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F264" w14:textId="2792D166" w:rsidR="006700F6" w:rsidRPr="003C26C1" w:rsidRDefault="006700F6" w:rsidP="006700F6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</w:p>
    <w:p w14:paraId="3E46D812" w14:textId="5C70271F" w:rsidR="006700F6" w:rsidRDefault="006700F6" w:rsidP="006700F6">
      <w:pPr>
        <w:rPr>
          <w:color w:val="000000"/>
        </w:rPr>
      </w:pPr>
    </w:p>
    <w:p w14:paraId="07262360" w14:textId="71983E39" w:rsidR="00C74640" w:rsidRDefault="00230F23" w:rsidP="00C221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147E0">
        <w:rPr>
          <w:rFonts w:ascii="Times New Roman" w:hAnsi="Times New Roman" w:cs="Times New Roman"/>
          <w:sz w:val="22"/>
          <w:szCs w:val="22"/>
        </w:rPr>
        <w:t>This evaluation plan includes all</w:t>
      </w:r>
      <w:r w:rsidR="002E7351">
        <w:rPr>
          <w:rFonts w:ascii="Times New Roman" w:hAnsi="Times New Roman" w:cs="Times New Roman"/>
          <w:sz w:val="22"/>
          <w:szCs w:val="22"/>
        </w:rPr>
        <w:t xml:space="preserve"> the</w:t>
      </w:r>
      <w:r w:rsidRPr="001147E0">
        <w:rPr>
          <w:rFonts w:ascii="Times New Roman" w:hAnsi="Times New Roman" w:cs="Times New Roman"/>
          <w:sz w:val="22"/>
          <w:szCs w:val="22"/>
        </w:rPr>
        <w:t xml:space="preserve"> mandatory evaluations </w:t>
      </w:r>
      <w:r w:rsidR="00D1343D">
        <w:rPr>
          <w:rFonts w:ascii="Times New Roman" w:hAnsi="Times New Roman" w:cs="Times New Roman"/>
          <w:sz w:val="22"/>
          <w:szCs w:val="22"/>
        </w:rPr>
        <w:t>that meet</w:t>
      </w:r>
      <w:r w:rsidR="00A15B6C">
        <w:rPr>
          <w:rFonts w:ascii="Times New Roman" w:hAnsi="Times New Roman" w:cs="Times New Roman"/>
          <w:sz w:val="22"/>
          <w:szCs w:val="22"/>
        </w:rPr>
        <w:t xml:space="preserve"> the</w:t>
      </w:r>
      <w:r w:rsidRPr="001147E0">
        <w:rPr>
          <w:rFonts w:ascii="Times New Roman" w:hAnsi="Times New Roman" w:cs="Times New Roman"/>
          <w:sz w:val="22"/>
          <w:szCs w:val="22"/>
        </w:rPr>
        <w:t xml:space="preserve"> criteria</w:t>
      </w:r>
      <w:r w:rsidR="0006745B" w:rsidRPr="001147E0">
        <w:rPr>
          <w:rFonts w:ascii="Times New Roman" w:hAnsi="Times New Roman" w:cs="Times New Roman"/>
          <w:sz w:val="22"/>
          <w:szCs w:val="22"/>
        </w:rPr>
        <w:t xml:space="preserve"> </w:t>
      </w:r>
      <w:r w:rsidR="005B401B" w:rsidRPr="001147E0">
        <w:rPr>
          <w:rFonts w:ascii="Times New Roman" w:hAnsi="Times New Roman" w:cs="Times New Roman"/>
          <w:sz w:val="22"/>
          <w:szCs w:val="22"/>
        </w:rPr>
        <w:t xml:space="preserve">set out in </w:t>
      </w:r>
      <w:r w:rsidR="00187213">
        <w:rPr>
          <w:rFonts w:ascii="Times New Roman" w:hAnsi="Times New Roman" w:cs="Times New Roman"/>
          <w:sz w:val="22"/>
          <w:szCs w:val="22"/>
        </w:rPr>
        <w:t xml:space="preserve">the </w:t>
      </w:r>
      <w:r w:rsidR="005B401B" w:rsidRPr="001147E0">
        <w:rPr>
          <w:rFonts w:ascii="Times New Roman" w:hAnsi="Times New Roman" w:cs="Times New Roman"/>
          <w:sz w:val="22"/>
          <w:szCs w:val="22"/>
        </w:rPr>
        <w:t>UNDP Evaluation guidelines</w:t>
      </w:r>
      <w:r w:rsidR="00187213">
        <w:rPr>
          <w:rFonts w:ascii="Times New Roman" w:hAnsi="Times New Roman" w:cs="Times New Roman"/>
          <w:sz w:val="22"/>
          <w:szCs w:val="22"/>
        </w:rPr>
        <w:t xml:space="preserve">, including </w:t>
      </w:r>
      <w:r w:rsidR="00411477">
        <w:rPr>
          <w:rFonts w:ascii="Times New Roman" w:hAnsi="Times New Roman" w:cs="Times New Roman"/>
          <w:sz w:val="22"/>
          <w:szCs w:val="22"/>
        </w:rPr>
        <w:t>GEF/GCF</w:t>
      </w:r>
      <w:r w:rsidR="004E298A">
        <w:rPr>
          <w:rFonts w:ascii="Times New Roman" w:hAnsi="Times New Roman" w:cs="Times New Roman"/>
          <w:sz w:val="22"/>
          <w:szCs w:val="22"/>
        </w:rPr>
        <w:t>/Adaption Fund</w:t>
      </w:r>
      <w:r w:rsidR="00411477">
        <w:rPr>
          <w:rFonts w:ascii="Times New Roman" w:hAnsi="Times New Roman" w:cs="Times New Roman"/>
          <w:sz w:val="22"/>
          <w:szCs w:val="22"/>
        </w:rPr>
        <w:t xml:space="preserve"> midterm </w:t>
      </w:r>
      <w:r w:rsidR="004E298A">
        <w:rPr>
          <w:rFonts w:ascii="Times New Roman" w:hAnsi="Times New Roman" w:cs="Times New Roman"/>
          <w:sz w:val="22"/>
          <w:szCs w:val="22"/>
        </w:rPr>
        <w:t>reviews and terminal evaluations, donor/cost</w:t>
      </w:r>
      <w:r w:rsidR="002E7351">
        <w:rPr>
          <w:rFonts w:ascii="Times New Roman" w:hAnsi="Times New Roman" w:cs="Times New Roman"/>
          <w:sz w:val="22"/>
          <w:szCs w:val="22"/>
        </w:rPr>
        <w:t>-sharing agreement</w:t>
      </w:r>
      <w:r w:rsidR="004E298A">
        <w:rPr>
          <w:rFonts w:ascii="Times New Roman" w:hAnsi="Times New Roman" w:cs="Times New Roman"/>
          <w:sz w:val="22"/>
          <w:szCs w:val="22"/>
        </w:rPr>
        <w:t xml:space="preserve"> evaluations</w:t>
      </w:r>
      <w:r w:rsidR="006B42BA">
        <w:rPr>
          <w:rFonts w:ascii="Times New Roman" w:hAnsi="Times New Roman" w:cs="Times New Roman"/>
          <w:sz w:val="22"/>
          <w:szCs w:val="22"/>
        </w:rPr>
        <w:t xml:space="preserve"> and </w:t>
      </w:r>
      <w:r w:rsidR="00DE6720">
        <w:rPr>
          <w:rFonts w:ascii="Times New Roman" w:hAnsi="Times New Roman" w:cs="Times New Roman"/>
          <w:sz w:val="22"/>
          <w:szCs w:val="22"/>
        </w:rPr>
        <w:t xml:space="preserve">one </w:t>
      </w:r>
      <w:r w:rsidR="004E298A">
        <w:rPr>
          <w:rFonts w:ascii="Times New Roman" w:hAnsi="Times New Roman" w:cs="Times New Roman"/>
          <w:sz w:val="22"/>
          <w:szCs w:val="22"/>
        </w:rPr>
        <w:t xml:space="preserve">outcome </w:t>
      </w:r>
      <w:r w:rsidR="002E7351">
        <w:rPr>
          <w:rFonts w:ascii="Times New Roman" w:hAnsi="Times New Roman" w:cs="Times New Roman"/>
          <w:sz w:val="22"/>
          <w:szCs w:val="22"/>
        </w:rPr>
        <w:t>evaluation</w:t>
      </w:r>
      <w:r w:rsidR="006B42BA">
        <w:rPr>
          <w:rFonts w:ascii="Times New Roman" w:hAnsi="Times New Roman" w:cs="Times New Roman"/>
          <w:sz w:val="22"/>
          <w:szCs w:val="22"/>
        </w:rPr>
        <w:t>.</w:t>
      </w:r>
      <w:r w:rsidR="00E81876">
        <w:rPr>
          <w:rFonts w:ascii="Times New Roman" w:hAnsi="Times New Roman" w:cs="Times New Roman"/>
          <w:sz w:val="22"/>
          <w:szCs w:val="22"/>
        </w:rPr>
        <w:t xml:space="preserve"> </w:t>
      </w:r>
      <w:r w:rsidR="002E7351">
        <w:rPr>
          <w:rFonts w:ascii="Times New Roman" w:hAnsi="Times New Roman" w:cs="Times New Roman"/>
          <w:sz w:val="22"/>
          <w:szCs w:val="22"/>
        </w:rPr>
        <w:t xml:space="preserve">CPD midterm </w:t>
      </w:r>
      <w:r w:rsidR="00802F57">
        <w:rPr>
          <w:rFonts w:ascii="Times New Roman" w:hAnsi="Times New Roman" w:cs="Times New Roman"/>
          <w:sz w:val="22"/>
          <w:szCs w:val="22"/>
        </w:rPr>
        <w:t>review</w:t>
      </w:r>
      <w:r w:rsidR="00946E3A">
        <w:rPr>
          <w:rFonts w:ascii="Times New Roman" w:hAnsi="Times New Roman" w:cs="Times New Roman"/>
          <w:sz w:val="22"/>
          <w:szCs w:val="22"/>
        </w:rPr>
        <w:t xml:space="preserve"> covering all 3 outcomes</w:t>
      </w:r>
      <w:r w:rsidR="00DE6720">
        <w:rPr>
          <w:rFonts w:ascii="Times New Roman" w:hAnsi="Times New Roman" w:cs="Times New Roman"/>
          <w:sz w:val="22"/>
          <w:szCs w:val="22"/>
        </w:rPr>
        <w:t xml:space="preserve"> </w:t>
      </w:r>
      <w:r w:rsidR="00946E3A">
        <w:rPr>
          <w:rFonts w:ascii="Times New Roman" w:hAnsi="Times New Roman" w:cs="Times New Roman"/>
          <w:sz w:val="22"/>
          <w:szCs w:val="22"/>
        </w:rPr>
        <w:t xml:space="preserve">was also added to </w:t>
      </w:r>
      <w:r w:rsidR="00773BDE">
        <w:rPr>
          <w:rFonts w:ascii="Times New Roman" w:hAnsi="Times New Roman" w:cs="Times New Roman"/>
          <w:sz w:val="22"/>
          <w:szCs w:val="22"/>
        </w:rPr>
        <w:t>assess the progress made towards achievement of programme results</w:t>
      </w:r>
      <w:r w:rsidR="002E7351">
        <w:rPr>
          <w:rFonts w:ascii="Times New Roman" w:hAnsi="Times New Roman" w:cs="Times New Roman"/>
          <w:sz w:val="22"/>
          <w:szCs w:val="22"/>
        </w:rPr>
        <w:t xml:space="preserve">. </w:t>
      </w:r>
      <w:r w:rsidR="00C221CF">
        <w:rPr>
          <w:rFonts w:ascii="Times New Roman" w:hAnsi="Times New Roman" w:cs="Times New Roman"/>
          <w:sz w:val="22"/>
          <w:szCs w:val="22"/>
        </w:rPr>
        <w:t>T</w:t>
      </w:r>
      <w:r w:rsidR="00AD1E64">
        <w:rPr>
          <w:rFonts w:ascii="Times New Roman" w:hAnsi="Times New Roman" w:cs="Times New Roman"/>
          <w:sz w:val="22"/>
          <w:szCs w:val="22"/>
        </w:rPr>
        <w:t xml:space="preserve">he </w:t>
      </w:r>
      <w:r w:rsidR="003848DB">
        <w:rPr>
          <w:rFonts w:ascii="Times New Roman" w:hAnsi="Times New Roman" w:cs="Times New Roman"/>
          <w:sz w:val="22"/>
          <w:szCs w:val="22"/>
        </w:rPr>
        <w:t>range</w:t>
      </w:r>
      <w:r w:rsidR="00AD1E64">
        <w:rPr>
          <w:rFonts w:ascii="Times New Roman" w:hAnsi="Times New Roman" w:cs="Times New Roman"/>
          <w:sz w:val="22"/>
          <w:szCs w:val="22"/>
        </w:rPr>
        <w:t xml:space="preserve"> of </w:t>
      </w:r>
      <w:r w:rsidR="009A7E82">
        <w:rPr>
          <w:rFonts w:ascii="Times New Roman" w:hAnsi="Times New Roman" w:cs="Times New Roman"/>
          <w:sz w:val="22"/>
          <w:szCs w:val="22"/>
        </w:rPr>
        <w:t>1</w:t>
      </w:r>
      <w:r w:rsidR="00802F57">
        <w:rPr>
          <w:rFonts w:ascii="Times New Roman" w:hAnsi="Times New Roman" w:cs="Times New Roman"/>
          <w:sz w:val="22"/>
          <w:szCs w:val="22"/>
        </w:rPr>
        <w:t>5</w:t>
      </w:r>
      <w:r w:rsidR="009A7E82">
        <w:rPr>
          <w:rFonts w:ascii="Times New Roman" w:hAnsi="Times New Roman" w:cs="Times New Roman"/>
          <w:sz w:val="22"/>
          <w:szCs w:val="22"/>
        </w:rPr>
        <w:t xml:space="preserve"> </w:t>
      </w:r>
      <w:r w:rsidR="00AD1E64">
        <w:rPr>
          <w:rFonts w:ascii="Times New Roman" w:hAnsi="Times New Roman" w:cs="Times New Roman"/>
          <w:sz w:val="22"/>
          <w:szCs w:val="22"/>
        </w:rPr>
        <w:t xml:space="preserve">evaluations included in the Evaluation Plan provides </w:t>
      </w:r>
      <w:r w:rsidR="00AD1E64" w:rsidRPr="00AD1E64">
        <w:rPr>
          <w:rFonts w:ascii="Times New Roman" w:hAnsi="Times New Roman" w:cs="Times New Roman"/>
          <w:sz w:val="22"/>
          <w:szCs w:val="22"/>
        </w:rPr>
        <w:t>comprehensive and sufficient coverage of the CO’s areas of engagement</w:t>
      </w:r>
      <w:r w:rsidR="00F13DAD">
        <w:rPr>
          <w:rFonts w:ascii="Times New Roman" w:hAnsi="Times New Roman" w:cs="Times New Roman"/>
          <w:sz w:val="22"/>
          <w:szCs w:val="22"/>
        </w:rPr>
        <w:t>:</w:t>
      </w:r>
      <w:r w:rsidR="00C041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D013E9" w14:textId="129B0BCF" w:rsidR="008A08D7" w:rsidRDefault="00B10EC2" w:rsidP="00C74640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evaluations </w:t>
      </w:r>
      <w:r w:rsidR="00F13DAD">
        <w:rPr>
          <w:rFonts w:ascii="Times New Roman" w:hAnsi="Times New Roman" w:cs="Times New Roman"/>
          <w:sz w:val="22"/>
          <w:szCs w:val="22"/>
        </w:rPr>
        <w:t xml:space="preserve">(one outcome evaluation and </w:t>
      </w:r>
      <w:r w:rsidR="00C74640">
        <w:rPr>
          <w:rFonts w:ascii="Times New Roman" w:hAnsi="Times New Roman" w:cs="Times New Roman"/>
          <w:sz w:val="22"/>
          <w:szCs w:val="22"/>
        </w:rPr>
        <w:t>two</w:t>
      </w:r>
      <w:r w:rsidR="00F13DAD">
        <w:rPr>
          <w:rFonts w:ascii="Times New Roman" w:hAnsi="Times New Roman" w:cs="Times New Roman"/>
          <w:sz w:val="22"/>
          <w:szCs w:val="22"/>
        </w:rPr>
        <w:t xml:space="preserve"> </w:t>
      </w:r>
      <w:r w:rsidR="00463418">
        <w:rPr>
          <w:rFonts w:ascii="Times New Roman" w:hAnsi="Times New Roman" w:cs="Times New Roman"/>
          <w:sz w:val="22"/>
          <w:szCs w:val="22"/>
        </w:rPr>
        <w:t xml:space="preserve">final </w:t>
      </w:r>
      <w:r w:rsidR="00F13DAD">
        <w:rPr>
          <w:rFonts w:ascii="Times New Roman" w:hAnsi="Times New Roman" w:cs="Times New Roman"/>
          <w:sz w:val="22"/>
          <w:szCs w:val="22"/>
        </w:rPr>
        <w:t xml:space="preserve">project evaluations) </w:t>
      </w:r>
      <w:r>
        <w:rPr>
          <w:rFonts w:ascii="Times New Roman" w:hAnsi="Times New Roman" w:cs="Times New Roman"/>
          <w:sz w:val="22"/>
          <w:szCs w:val="22"/>
        </w:rPr>
        <w:t>are planned under</w:t>
      </w:r>
      <w:r w:rsidR="00F13DAD">
        <w:rPr>
          <w:rFonts w:ascii="Times New Roman" w:hAnsi="Times New Roman" w:cs="Times New Roman"/>
          <w:sz w:val="22"/>
          <w:szCs w:val="22"/>
        </w:rPr>
        <w:t xml:space="preserve"> the </w:t>
      </w:r>
      <w:r w:rsidR="00C74640" w:rsidRPr="00C74640">
        <w:rPr>
          <w:rFonts w:ascii="Times New Roman" w:hAnsi="Times New Roman" w:cs="Times New Roman"/>
          <w:sz w:val="22"/>
          <w:szCs w:val="22"/>
        </w:rPr>
        <w:t xml:space="preserve">Outcome 2.  </w:t>
      </w:r>
    </w:p>
    <w:p w14:paraId="122A0FE0" w14:textId="40A328F7" w:rsidR="00C74640" w:rsidRDefault="00C74640" w:rsidP="00C74640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evaluations </w:t>
      </w:r>
      <w:r w:rsidR="004831D4">
        <w:rPr>
          <w:rFonts w:ascii="Times New Roman" w:hAnsi="Times New Roman" w:cs="Times New Roman"/>
          <w:sz w:val="22"/>
          <w:szCs w:val="22"/>
        </w:rPr>
        <w:t>are planned under the Outcome 3.</w:t>
      </w:r>
      <w:r w:rsidR="004831D4" w:rsidRPr="004831D4">
        <w:rPr>
          <w:rFonts w:ascii="Times New Roman" w:hAnsi="Times New Roman" w:cs="Times New Roman"/>
          <w:sz w:val="22"/>
          <w:szCs w:val="22"/>
        </w:rPr>
        <w:t xml:space="preserve"> </w:t>
      </w:r>
      <w:r w:rsidR="004831D4">
        <w:rPr>
          <w:rFonts w:ascii="Times New Roman" w:hAnsi="Times New Roman" w:cs="Times New Roman"/>
          <w:sz w:val="22"/>
          <w:szCs w:val="22"/>
        </w:rPr>
        <w:t>This includes mandatory midterm reviews and terminal evaluations of</w:t>
      </w:r>
      <w:r w:rsidR="00754BF9">
        <w:rPr>
          <w:rFonts w:ascii="Times New Roman" w:hAnsi="Times New Roman" w:cs="Times New Roman"/>
          <w:sz w:val="22"/>
          <w:szCs w:val="22"/>
        </w:rPr>
        <w:t xml:space="preserve"> GEF/GCF and Adaptation Fund</w:t>
      </w:r>
      <w:r w:rsidR="00065B7D">
        <w:rPr>
          <w:rFonts w:ascii="Times New Roman" w:hAnsi="Times New Roman" w:cs="Times New Roman"/>
          <w:sz w:val="22"/>
          <w:szCs w:val="22"/>
        </w:rPr>
        <w:t xml:space="preserve"> ongoing and pipeline</w:t>
      </w:r>
      <w:r w:rsidR="00754BF9">
        <w:rPr>
          <w:rFonts w:ascii="Times New Roman" w:hAnsi="Times New Roman" w:cs="Times New Roman"/>
          <w:sz w:val="22"/>
          <w:szCs w:val="22"/>
        </w:rPr>
        <w:t xml:space="preserve"> projects. </w:t>
      </w:r>
    </w:p>
    <w:p w14:paraId="6DE6EB7E" w14:textId="47408044" w:rsidR="00160922" w:rsidRDefault="00160922" w:rsidP="00C74640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63418">
        <w:rPr>
          <w:rFonts w:ascii="Times New Roman" w:hAnsi="Times New Roman" w:cs="Times New Roman"/>
          <w:sz w:val="22"/>
          <w:szCs w:val="22"/>
        </w:rPr>
        <w:t xml:space="preserve"> evaluations (2 midterm and 3 final project evaluations</w:t>
      </w:r>
      <w:r w:rsidR="00D853F7">
        <w:rPr>
          <w:rFonts w:ascii="Times New Roman" w:hAnsi="Times New Roman" w:cs="Times New Roman"/>
          <w:sz w:val="22"/>
          <w:szCs w:val="22"/>
        </w:rPr>
        <w:t>, of which 2 evaluations are</w:t>
      </w:r>
      <w:r w:rsidR="00065B7D">
        <w:rPr>
          <w:rFonts w:ascii="Times New Roman" w:hAnsi="Times New Roman" w:cs="Times New Roman"/>
          <w:sz w:val="22"/>
          <w:szCs w:val="22"/>
        </w:rPr>
        <w:t xml:space="preserve"> related to the pipeline project</w:t>
      </w:r>
      <w:r w:rsidR="00463418">
        <w:rPr>
          <w:rFonts w:ascii="Times New Roman" w:hAnsi="Times New Roman" w:cs="Times New Roman"/>
          <w:sz w:val="22"/>
          <w:szCs w:val="22"/>
        </w:rPr>
        <w:t xml:space="preserve">) under the </w:t>
      </w:r>
      <w:r w:rsidR="00463418" w:rsidRPr="00463418">
        <w:rPr>
          <w:rFonts w:ascii="Times New Roman" w:hAnsi="Times New Roman" w:cs="Times New Roman"/>
          <w:sz w:val="22"/>
          <w:szCs w:val="22"/>
        </w:rPr>
        <w:t>Outcome 4</w:t>
      </w:r>
      <w:r w:rsidR="009E62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02B68F" w14:textId="77777777" w:rsidR="003B3C7A" w:rsidRDefault="00160922" w:rsidP="00C74640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final project evaluation is related to the HIV/TB programme</w:t>
      </w:r>
      <w:r w:rsidR="003B3C7A">
        <w:rPr>
          <w:rFonts w:ascii="Times New Roman" w:hAnsi="Times New Roman" w:cs="Times New Roman"/>
          <w:sz w:val="22"/>
          <w:szCs w:val="22"/>
        </w:rPr>
        <w:t xml:space="preserve"> included in the Outcome 4. </w:t>
      </w:r>
    </w:p>
    <w:p w14:paraId="59FF8AF5" w14:textId="154A90CF" w:rsidR="00754BF9" w:rsidRDefault="007A3AE2" w:rsidP="00C74640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B3C7A">
        <w:rPr>
          <w:rFonts w:ascii="Times New Roman" w:hAnsi="Times New Roman" w:cs="Times New Roman"/>
          <w:sz w:val="22"/>
          <w:szCs w:val="22"/>
        </w:rPr>
        <w:t xml:space="preserve"> programme evaluation: CP</w:t>
      </w:r>
      <w:r w:rsidR="007C27DC">
        <w:rPr>
          <w:rFonts w:ascii="Times New Roman" w:hAnsi="Times New Roman" w:cs="Times New Roman"/>
          <w:sz w:val="22"/>
          <w:szCs w:val="22"/>
        </w:rPr>
        <w:t xml:space="preserve">D midterm </w:t>
      </w:r>
      <w:r>
        <w:rPr>
          <w:rFonts w:ascii="Times New Roman" w:hAnsi="Times New Roman" w:cs="Times New Roman"/>
          <w:sz w:val="22"/>
          <w:szCs w:val="22"/>
        </w:rPr>
        <w:t>review</w:t>
      </w:r>
      <w:r w:rsidR="007C27D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5078D2" w14:textId="77777777" w:rsidR="008A44C5" w:rsidRDefault="001B579E" w:rsidP="00C221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the </w:t>
      </w:r>
      <w:r w:rsidR="005A5B59">
        <w:rPr>
          <w:rFonts w:ascii="Times New Roman" w:hAnsi="Times New Roman" w:cs="Times New Roman"/>
          <w:sz w:val="22"/>
          <w:szCs w:val="22"/>
        </w:rPr>
        <w:t>p</w:t>
      </w:r>
      <w:r w:rsidR="00611AE1">
        <w:rPr>
          <w:rFonts w:ascii="Times New Roman" w:hAnsi="Times New Roman" w:cs="Times New Roman"/>
          <w:sz w:val="22"/>
          <w:szCs w:val="22"/>
        </w:rPr>
        <w:t xml:space="preserve">roject evaluations </w:t>
      </w:r>
      <w:r w:rsidR="00010B33">
        <w:rPr>
          <w:rFonts w:ascii="Times New Roman" w:hAnsi="Times New Roman" w:cs="Times New Roman"/>
          <w:sz w:val="22"/>
          <w:szCs w:val="22"/>
        </w:rPr>
        <w:t>included</w:t>
      </w:r>
      <w:r w:rsidR="005A5B59">
        <w:rPr>
          <w:rFonts w:ascii="Times New Roman" w:hAnsi="Times New Roman" w:cs="Times New Roman"/>
          <w:sz w:val="22"/>
          <w:szCs w:val="22"/>
        </w:rPr>
        <w:t xml:space="preserve"> in the Evaluation Plan</w:t>
      </w:r>
      <w:r w:rsidR="00010B33">
        <w:rPr>
          <w:rFonts w:ascii="Times New Roman" w:hAnsi="Times New Roman" w:cs="Times New Roman"/>
          <w:sz w:val="22"/>
          <w:szCs w:val="22"/>
        </w:rPr>
        <w:t xml:space="preserve"> </w:t>
      </w:r>
      <w:r w:rsidR="005A5B59">
        <w:rPr>
          <w:rFonts w:ascii="Times New Roman" w:hAnsi="Times New Roman" w:cs="Times New Roman"/>
          <w:sz w:val="22"/>
          <w:szCs w:val="22"/>
        </w:rPr>
        <w:t xml:space="preserve">are </w:t>
      </w:r>
      <w:r w:rsidR="009238D6">
        <w:rPr>
          <w:rFonts w:ascii="Times New Roman" w:hAnsi="Times New Roman" w:cs="Times New Roman"/>
          <w:sz w:val="22"/>
          <w:szCs w:val="22"/>
        </w:rPr>
        <w:t xml:space="preserve">related to the ongoing projects </w:t>
      </w:r>
      <w:r w:rsidR="005412D3">
        <w:rPr>
          <w:rFonts w:ascii="Times New Roman" w:hAnsi="Times New Roman" w:cs="Times New Roman"/>
          <w:sz w:val="22"/>
          <w:szCs w:val="22"/>
        </w:rPr>
        <w:t>as well as to</w:t>
      </w:r>
      <w:r w:rsidR="002F3D4D">
        <w:rPr>
          <w:rFonts w:ascii="Times New Roman" w:hAnsi="Times New Roman" w:cs="Times New Roman"/>
          <w:sz w:val="22"/>
          <w:szCs w:val="22"/>
        </w:rPr>
        <w:t xml:space="preserve"> the</w:t>
      </w:r>
      <w:r w:rsidR="009238D6">
        <w:rPr>
          <w:rFonts w:ascii="Times New Roman" w:hAnsi="Times New Roman" w:cs="Times New Roman"/>
          <w:sz w:val="22"/>
          <w:szCs w:val="22"/>
        </w:rPr>
        <w:t xml:space="preserve"> pipeline projects for which the project documents </w:t>
      </w:r>
      <w:r w:rsidR="00B46E3B" w:rsidRPr="001147E0">
        <w:rPr>
          <w:rFonts w:ascii="Times New Roman" w:hAnsi="Times New Roman" w:cs="Times New Roman"/>
          <w:sz w:val="22"/>
          <w:szCs w:val="22"/>
        </w:rPr>
        <w:t xml:space="preserve">were </w:t>
      </w:r>
      <w:r w:rsidR="00931C8C" w:rsidRPr="001147E0">
        <w:rPr>
          <w:rFonts w:ascii="Times New Roman" w:hAnsi="Times New Roman" w:cs="Times New Roman"/>
          <w:sz w:val="22"/>
          <w:szCs w:val="22"/>
        </w:rPr>
        <w:t xml:space="preserve">at the stage of </w:t>
      </w:r>
      <w:r w:rsidR="004B098D" w:rsidRPr="001147E0">
        <w:rPr>
          <w:rFonts w:ascii="Times New Roman" w:hAnsi="Times New Roman" w:cs="Times New Roman"/>
          <w:sz w:val="22"/>
          <w:szCs w:val="22"/>
        </w:rPr>
        <w:t>elaboration</w:t>
      </w:r>
      <w:r w:rsidR="00926BB0" w:rsidRPr="001147E0">
        <w:rPr>
          <w:rFonts w:ascii="Times New Roman" w:hAnsi="Times New Roman" w:cs="Times New Roman"/>
          <w:sz w:val="22"/>
          <w:szCs w:val="22"/>
        </w:rPr>
        <w:t xml:space="preserve"> during preparation of the present Evaluation Plan</w:t>
      </w:r>
      <w:r w:rsidR="00230F23" w:rsidRPr="001147E0">
        <w:rPr>
          <w:rFonts w:ascii="Times New Roman" w:hAnsi="Times New Roman" w:cs="Times New Roman"/>
          <w:sz w:val="22"/>
          <w:szCs w:val="22"/>
        </w:rPr>
        <w:t>.</w:t>
      </w:r>
      <w:r w:rsidR="00B35568" w:rsidRPr="001147E0">
        <w:rPr>
          <w:rFonts w:ascii="Times New Roman" w:hAnsi="Times New Roman" w:cs="Times New Roman"/>
          <w:sz w:val="22"/>
          <w:szCs w:val="22"/>
        </w:rPr>
        <w:t xml:space="preserve"> </w:t>
      </w:r>
      <w:r w:rsidR="00230F23" w:rsidRPr="001147E0">
        <w:rPr>
          <w:rFonts w:ascii="Times New Roman" w:hAnsi="Times New Roman" w:cs="Times New Roman"/>
          <w:sz w:val="22"/>
          <w:szCs w:val="22"/>
        </w:rPr>
        <w:t xml:space="preserve">Additional evaluations </w:t>
      </w:r>
      <w:r w:rsidR="00211C52">
        <w:rPr>
          <w:rFonts w:ascii="Times New Roman" w:hAnsi="Times New Roman" w:cs="Times New Roman"/>
          <w:sz w:val="22"/>
          <w:szCs w:val="22"/>
        </w:rPr>
        <w:t xml:space="preserve">will </w:t>
      </w:r>
      <w:r w:rsidR="00230F23" w:rsidRPr="001147E0">
        <w:rPr>
          <w:rFonts w:ascii="Times New Roman" w:hAnsi="Times New Roman" w:cs="Times New Roman"/>
          <w:sz w:val="22"/>
          <w:szCs w:val="22"/>
        </w:rPr>
        <w:t xml:space="preserve">be added </w:t>
      </w:r>
      <w:r w:rsidR="00211C52">
        <w:rPr>
          <w:rFonts w:ascii="Times New Roman" w:hAnsi="Times New Roman" w:cs="Times New Roman"/>
          <w:sz w:val="22"/>
          <w:szCs w:val="22"/>
        </w:rPr>
        <w:t xml:space="preserve">as part of the </w:t>
      </w:r>
      <w:r w:rsidR="00230F23" w:rsidRPr="001147E0">
        <w:rPr>
          <w:rFonts w:ascii="Times New Roman" w:hAnsi="Times New Roman" w:cs="Times New Roman"/>
          <w:sz w:val="22"/>
          <w:szCs w:val="22"/>
        </w:rPr>
        <w:t xml:space="preserve">yearly evaluation plan review. </w:t>
      </w:r>
      <w:r w:rsidR="006B15C2" w:rsidRPr="001147E0">
        <w:rPr>
          <w:rFonts w:ascii="Times New Roman" w:hAnsi="Times New Roman" w:cs="Times New Roman"/>
          <w:sz w:val="22"/>
          <w:szCs w:val="22"/>
        </w:rPr>
        <w:t xml:space="preserve">The evaluations included in the </w:t>
      </w:r>
      <w:r w:rsidR="00FD0F6C" w:rsidRPr="001147E0">
        <w:rPr>
          <w:rFonts w:ascii="Times New Roman" w:hAnsi="Times New Roman" w:cs="Times New Roman"/>
          <w:sz w:val="22"/>
          <w:szCs w:val="22"/>
        </w:rPr>
        <w:t xml:space="preserve">Evaluation Plan will be </w:t>
      </w:r>
      <w:r w:rsidR="006B15C2" w:rsidRPr="001147E0">
        <w:rPr>
          <w:rFonts w:ascii="Times New Roman" w:hAnsi="Times New Roman" w:cs="Times New Roman"/>
          <w:sz w:val="22"/>
          <w:szCs w:val="22"/>
        </w:rPr>
        <w:t xml:space="preserve">carried out by independent external consultants, and </w:t>
      </w:r>
      <w:r w:rsidR="00B40909">
        <w:rPr>
          <w:rFonts w:ascii="Times New Roman" w:hAnsi="Times New Roman" w:cs="Times New Roman"/>
          <w:sz w:val="22"/>
          <w:szCs w:val="22"/>
        </w:rPr>
        <w:t>CO</w:t>
      </w:r>
      <w:r w:rsidR="006B15C2" w:rsidRPr="001147E0">
        <w:rPr>
          <w:rFonts w:ascii="Times New Roman" w:hAnsi="Times New Roman" w:cs="Times New Roman"/>
          <w:sz w:val="22"/>
          <w:szCs w:val="22"/>
        </w:rPr>
        <w:t xml:space="preserve"> management </w:t>
      </w:r>
      <w:r w:rsidR="00FD0F6C" w:rsidRPr="001147E0">
        <w:rPr>
          <w:rFonts w:ascii="Times New Roman" w:hAnsi="Times New Roman" w:cs="Times New Roman"/>
          <w:sz w:val="22"/>
          <w:szCs w:val="22"/>
        </w:rPr>
        <w:t>will</w:t>
      </w:r>
      <w:r w:rsidR="006B15C2" w:rsidRPr="001147E0">
        <w:rPr>
          <w:rFonts w:ascii="Times New Roman" w:hAnsi="Times New Roman" w:cs="Times New Roman"/>
          <w:sz w:val="22"/>
          <w:szCs w:val="22"/>
        </w:rPr>
        <w:t xml:space="preserve"> take all necessary actions to ensure the objectivity and impartiality of the process and persons hired</w:t>
      </w:r>
      <w:r w:rsidR="00B72A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4458BA" w14:textId="3781C646" w:rsidR="006B15C2" w:rsidRDefault="0068215F" w:rsidP="00C221CF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evaluation plan will be</w:t>
      </w:r>
      <w:r w:rsidR="000036C2">
        <w:rPr>
          <w:rFonts w:ascii="Times New Roman" w:hAnsi="Times New Roman" w:cs="Times New Roman"/>
          <w:sz w:val="22"/>
          <w:szCs w:val="22"/>
        </w:rPr>
        <w:t xml:space="preserve"> </w:t>
      </w:r>
      <w:r w:rsidR="005A3D53" w:rsidRPr="000036C2">
        <w:rPr>
          <w:rFonts w:ascii="Times New Roman" w:hAnsi="Times New Roman" w:cs="Times New Roman"/>
          <w:sz w:val="22"/>
          <w:szCs w:val="22"/>
        </w:rPr>
        <w:t>constantly used</w:t>
      </w:r>
      <w:r w:rsidR="00FC074D">
        <w:rPr>
          <w:rFonts w:ascii="Times New Roman" w:hAnsi="Times New Roman" w:cs="Times New Roman"/>
          <w:sz w:val="22"/>
          <w:szCs w:val="22"/>
        </w:rPr>
        <w:t xml:space="preserve"> as a learning and accountability tool </w:t>
      </w:r>
      <w:r w:rsidR="005A3D53" w:rsidRPr="000036C2">
        <w:rPr>
          <w:rFonts w:ascii="Times New Roman" w:hAnsi="Times New Roman" w:cs="Times New Roman"/>
          <w:sz w:val="22"/>
          <w:szCs w:val="22"/>
        </w:rPr>
        <w:t>to check progress toward</w:t>
      </w:r>
      <w:r w:rsidR="005A3D53" w:rsidRPr="001147E0">
        <w:rPr>
          <w:rFonts w:ascii="Times New Roman" w:hAnsi="Times New Roman" w:cs="Times New Roman"/>
          <w:sz w:val="22"/>
          <w:szCs w:val="22"/>
        </w:rPr>
        <w:t>s agreed evaluation commitments, produce evaluation findings to support change, aid knowledge-gathering and inform the work of UNDP</w:t>
      </w:r>
      <w:r w:rsidR="000036C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40553A" w14:textId="77777777" w:rsidR="00230F23" w:rsidRPr="003C26C1" w:rsidRDefault="00230F23" w:rsidP="006700F6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30"/>
        <w:gridCol w:w="1530"/>
        <w:gridCol w:w="1848"/>
        <w:gridCol w:w="1854"/>
        <w:gridCol w:w="1893"/>
        <w:gridCol w:w="1689"/>
        <w:gridCol w:w="1626"/>
        <w:gridCol w:w="1533"/>
      </w:tblGrid>
      <w:tr w:rsidR="006700F6" w:rsidRPr="003C26C1" w14:paraId="4BF32EC6" w14:textId="77777777" w:rsidTr="00390066">
        <w:trPr>
          <w:trHeight w:val="845"/>
        </w:trPr>
        <w:tc>
          <w:tcPr>
            <w:tcW w:w="507" w:type="pct"/>
            <w:shd w:val="clear" w:color="auto" w:fill="D9E2F3" w:themeFill="accent1" w:themeFillTint="33"/>
            <w:vAlign w:val="center"/>
          </w:tcPr>
          <w:p w14:paraId="3EDBFA0A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181420C3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09" w:type="pct"/>
            <w:shd w:val="clear" w:color="auto" w:fill="D9E2F3" w:themeFill="accent1" w:themeFillTint="33"/>
            <w:vAlign w:val="center"/>
          </w:tcPr>
          <w:p w14:paraId="5739851F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09" w:type="pct"/>
            <w:shd w:val="clear" w:color="auto" w:fill="D9E2F3" w:themeFill="accent1" w:themeFillTint="33"/>
            <w:vAlign w:val="center"/>
          </w:tcPr>
          <w:p w14:paraId="54B4DD83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5" w:type="pct"/>
            <w:shd w:val="clear" w:color="auto" w:fill="D9E2F3" w:themeFill="accent1" w:themeFillTint="33"/>
            <w:vAlign w:val="center"/>
          </w:tcPr>
          <w:p w14:paraId="39A2CFF8" w14:textId="77777777" w:rsidR="006700F6" w:rsidRPr="003C26C1" w:rsidDel="00BA628C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7" w:type="pct"/>
            <w:shd w:val="clear" w:color="auto" w:fill="D9E2F3" w:themeFill="accent1" w:themeFillTint="33"/>
            <w:vAlign w:val="center"/>
          </w:tcPr>
          <w:p w14:paraId="36112DB8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30" w:type="pct"/>
            <w:shd w:val="clear" w:color="auto" w:fill="D9E2F3" w:themeFill="accent1" w:themeFillTint="33"/>
            <w:vAlign w:val="center"/>
          </w:tcPr>
          <w:p w14:paraId="4C13B067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62" w:type="pct"/>
            <w:shd w:val="clear" w:color="auto" w:fill="D9E2F3" w:themeFill="accent1" w:themeFillTint="33"/>
            <w:vAlign w:val="center"/>
          </w:tcPr>
          <w:p w14:paraId="2A6340FA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41" w:type="pct"/>
            <w:shd w:val="clear" w:color="auto" w:fill="D9E2F3" w:themeFill="accent1" w:themeFillTint="33"/>
            <w:vAlign w:val="center"/>
          </w:tcPr>
          <w:p w14:paraId="3CC07D54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0" w:type="pct"/>
            <w:shd w:val="clear" w:color="auto" w:fill="D9E2F3" w:themeFill="accent1" w:themeFillTint="33"/>
            <w:vAlign w:val="center"/>
          </w:tcPr>
          <w:p w14:paraId="3F94D66F" w14:textId="77777777" w:rsidR="006700F6" w:rsidRPr="003C26C1" w:rsidRDefault="006700F6" w:rsidP="0039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6700F6" w:rsidRPr="003C26C1" w14:paraId="6A802790" w14:textId="77777777" w:rsidTr="00390066">
        <w:trPr>
          <w:trHeight w:val="490"/>
        </w:trPr>
        <w:tc>
          <w:tcPr>
            <w:tcW w:w="507" w:type="pct"/>
            <w:vAlign w:val="center"/>
          </w:tcPr>
          <w:p w14:paraId="4B564296" w14:textId="77777777" w:rsidR="006700F6" w:rsidRPr="00411981" w:rsidRDefault="006700F6" w:rsidP="00390066">
            <w:pPr>
              <w:rPr>
                <w:sz w:val="16"/>
                <w:szCs w:val="16"/>
              </w:rPr>
            </w:pPr>
            <w:r w:rsidRPr="00411981">
              <w:rPr>
                <w:sz w:val="16"/>
                <w:szCs w:val="16"/>
              </w:rPr>
              <w:t>Outcome 2.  Sustainable, inclusive and green economic growth</w:t>
            </w:r>
          </w:p>
        </w:tc>
        <w:tc>
          <w:tcPr>
            <w:tcW w:w="509" w:type="pct"/>
            <w:vAlign w:val="center"/>
          </w:tcPr>
          <w:p w14:paraId="47455A78" w14:textId="77777777" w:rsidR="006700F6" w:rsidRPr="001A3689" w:rsidRDefault="006700F6" w:rsidP="00390066">
            <w:pPr>
              <w:rPr>
                <w:iCs/>
                <w:sz w:val="16"/>
                <w:szCs w:val="16"/>
              </w:rPr>
            </w:pPr>
            <w:r w:rsidRPr="00693C15">
              <w:rPr>
                <w:iCs/>
                <w:sz w:val="16"/>
                <w:szCs w:val="16"/>
              </w:rPr>
              <w:t xml:space="preserve">Outcome 1: Structural transformation accelerated, particularly green, inclusive and digital transitions </w:t>
            </w:r>
          </w:p>
        </w:tc>
        <w:tc>
          <w:tcPr>
            <w:tcW w:w="509" w:type="pct"/>
            <w:vAlign w:val="center"/>
          </w:tcPr>
          <w:p w14:paraId="4AAC8F9A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b/>
                <w:bCs/>
                <w:sz w:val="16"/>
                <w:szCs w:val="16"/>
              </w:rPr>
              <w:t>Final Evaluation</w:t>
            </w:r>
            <w:r w:rsidRPr="00AF1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the project “</w:t>
            </w:r>
            <w:r w:rsidRPr="00AF16D7">
              <w:rPr>
                <w:sz w:val="16"/>
                <w:szCs w:val="16"/>
              </w:rPr>
              <w:t>Youth Empowerment through Skills Development and Promotion of Innovations in Tajikistan</w:t>
            </w:r>
            <w:r>
              <w:rPr>
                <w:sz w:val="16"/>
                <w:szCs w:val="16"/>
              </w:rPr>
              <w:t>”</w:t>
            </w:r>
            <w:r w:rsidRPr="00AF16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590DD0E6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0213EC1D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155BEDE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61883C8A" w14:textId="77777777" w:rsidR="006700F6" w:rsidRPr="003C26C1" w:rsidRDefault="006700F6" w:rsidP="0039006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2025</w:t>
            </w:r>
          </w:p>
        </w:tc>
        <w:tc>
          <w:tcPr>
            <w:tcW w:w="541" w:type="pct"/>
            <w:vAlign w:val="center"/>
          </w:tcPr>
          <w:p w14:paraId="42876E92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$20,000</w:t>
            </w:r>
          </w:p>
        </w:tc>
        <w:tc>
          <w:tcPr>
            <w:tcW w:w="510" w:type="pct"/>
            <w:vAlign w:val="center"/>
          </w:tcPr>
          <w:p w14:paraId="60A9BB37" w14:textId="77777777" w:rsidR="006700F6" w:rsidRPr="003C26C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Russian Trust Fund</w:t>
            </w:r>
          </w:p>
        </w:tc>
      </w:tr>
      <w:tr w:rsidR="006700F6" w:rsidRPr="003C26C1" w14:paraId="26F65CA8" w14:textId="77777777" w:rsidTr="00390066">
        <w:trPr>
          <w:trHeight w:val="60"/>
        </w:trPr>
        <w:tc>
          <w:tcPr>
            <w:tcW w:w="507" w:type="pct"/>
            <w:vAlign w:val="center"/>
          </w:tcPr>
          <w:p w14:paraId="517A9F72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 w:rsidRPr="00411981">
              <w:rPr>
                <w:sz w:val="16"/>
                <w:szCs w:val="16"/>
              </w:rPr>
              <w:t>Outcome 2.  Sustainable, inclusive and green economic growth</w:t>
            </w:r>
          </w:p>
        </w:tc>
        <w:tc>
          <w:tcPr>
            <w:tcW w:w="509" w:type="pct"/>
            <w:vAlign w:val="center"/>
          </w:tcPr>
          <w:p w14:paraId="6843B3F9" w14:textId="77777777" w:rsidR="006700F6" w:rsidRPr="001A3689" w:rsidRDefault="006700F6" w:rsidP="00390066">
            <w:pPr>
              <w:rPr>
                <w:iCs/>
                <w:sz w:val="16"/>
                <w:szCs w:val="16"/>
              </w:rPr>
            </w:pPr>
            <w:r w:rsidRPr="00693C15">
              <w:rPr>
                <w:iCs/>
                <w:sz w:val="16"/>
                <w:szCs w:val="16"/>
              </w:rPr>
              <w:t xml:space="preserve">Outcome 1: Structural transformation accelerated, particularly green, inclusive and digital transitions </w:t>
            </w:r>
          </w:p>
        </w:tc>
        <w:tc>
          <w:tcPr>
            <w:tcW w:w="509" w:type="pct"/>
            <w:vAlign w:val="center"/>
          </w:tcPr>
          <w:p w14:paraId="085C5650" w14:textId="77777777" w:rsidR="006700F6" w:rsidRPr="00864C9C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b/>
                <w:bCs/>
                <w:sz w:val="16"/>
                <w:szCs w:val="16"/>
              </w:rPr>
              <w:t>Final Evaluation</w:t>
            </w:r>
            <w:r w:rsidRPr="00864C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864C9C">
              <w:rPr>
                <w:sz w:val="16"/>
                <w:szCs w:val="16"/>
              </w:rPr>
              <w:t xml:space="preserve">f the project “Accelerating Post COVID-19 Economic Recovery through Improved Livelihood, </w:t>
            </w:r>
            <w:r w:rsidRPr="00864C9C">
              <w:rPr>
                <w:sz w:val="16"/>
                <w:szCs w:val="16"/>
              </w:rPr>
              <w:lastRenderedPageBreak/>
              <w:t>Employability, and Regional Cooperation in Ferghana Valley</w:t>
            </w:r>
            <w:r>
              <w:rPr>
                <w:sz w:val="16"/>
                <w:szCs w:val="16"/>
              </w:rPr>
              <w:t>”</w:t>
            </w:r>
            <w:r w:rsidRPr="00864C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59680265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0630B38A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5645641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454DBA07" w14:textId="77777777" w:rsidR="006700F6" w:rsidRPr="003C26C1" w:rsidRDefault="006700F6" w:rsidP="0039006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2023</w:t>
            </w:r>
          </w:p>
        </w:tc>
        <w:tc>
          <w:tcPr>
            <w:tcW w:w="541" w:type="pct"/>
            <w:vAlign w:val="center"/>
          </w:tcPr>
          <w:p w14:paraId="51E68425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$20,000</w:t>
            </w:r>
          </w:p>
        </w:tc>
        <w:tc>
          <w:tcPr>
            <w:tcW w:w="510" w:type="pct"/>
            <w:vAlign w:val="center"/>
          </w:tcPr>
          <w:p w14:paraId="136864F9" w14:textId="77777777" w:rsidR="006700F6" w:rsidRPr="003C26C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Russian Trust Fund</w:t>
            </w:r>
          </w:p>
        </w:tc>
      </w:tr>
      <w:tr w:rsidR="00EE3BE5" w:rsidRPr="003C26C1" w14:paraId="79ABB536" w14:textId="77777777" w:rsidTr="00390066">
        <w:trPr>
          <w:trHeight w:val="60"/>
        </w:trPr>
        <w:tc>
          <w:tcPr>
            <w:tcW w:w="507" w:type="pct"/>
            <w:vAlign w:val="center"/>
          </w:tcPr>
          <w:p w14:paraId="343929C1" w14:textId="6944B262" w:rsidR="00EE3BE5" w:rsidRPr="00411981" w:rsidRDefault="00EE3BE5" w:rsidP="00390066">
            <w:pPr>
              <w:rPr>
                <w:sz w:val="16"/>
                <w:szCs w:val="16"/>
              </w:rPr>
            </w:pPr>
            <w:r w:rsidRPr="00411981">
              <w:rPr>
                <w:sz w:val="16"/>
                <w:szCs w:val="16"/>
              </w:rPr>
              <w:t>Outcome 2.  Sustainable, inclusive and green economic growth</w:t>
            </w:r>
          </w:p>
        </w:tc>
        <w:tc>
          <w:tcPr>
            <w:tcW w:w="509" w:type="pct"/>
            <w:vAlign w:val="center"/>
          </w:tcPr>
          <w:p w14:paraId="1003AFC0" w14:textId="4579F848" w:rsidR="00EE3BE5" w:rsidRPr="00693C15" w:rsidRDefault="00EE3BE5" w:rsidP="00390066">
            <w:pPr>
              <w:rPr>
                <w:iCs/>
                <w:sz w:val="16"/>
                <w:szCs w:val="16"/>
              </w:rPr>
            </w:pPr>
            <w:r w:rsidRPr="00693C15">
              <w:rPr>
                <w:iCs/>
                <w:sz w:val="16"/>
                <w:szCs w:val="16"/>
              </w:rPr>
              <w:t>Outcome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787A1C08" w14:textId="25A6377F" w:rsidR="00EE3BE5" w:rsidRPr="00F35334" w:rsidRDefault="00EE3BE5" w:rsidP="003900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Outcome evaluation of the Sustainable Economic Development </w:t>
            </w:r>
          </w:p>
        </w:tc>
        <w:tc>
          <w:tcPr>
            <w:tcW w:w="615" w:type="pct"/>
            <w:vAlign w:val="center"/>
          </w:tcPr>
          <w:p w14:paraId="7F926373" w14:textId="77777777" w:rsidR="00EE3BE5" w:rsidRPr="003C26C1" w:rsidRDefault="00EE3BE5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2DFE3F6B" w14:textId="77777777" w:rsidR="00EE3BE5" w:rsidRPr="003C26C1" w:rsidRDefault="00EE3BE5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DD3C377" w14:textId="620D95CD" w:rsidR="00EE3BE5" w:rsidRDefault="0014482A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</w:t>
            </w:r>
          </w:p>
        </w:tc>
        <w:tc>
          <w:tcPr>
            <w:tcW w:w="562" w:type="pct"/>
            <w:vAlign w:val="center"/>
          </w:tcPr>
          <w:p w14:paraId="0FFE6CAC" w14:textId="544DB9CF" w:rsidR="00EE3BE5" w:rsidRDefault="0014482A" w:rsidP="0039006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2025</w:t>
            </w:r>
          </w:p>
        </w:tc>
        <w:tc>
          <w:tcPr>
            <w:tcW w:w="541" w:type="pct"/>
            <w:vAlign w:val="center"/>
          </w:tcPr>
          <w:p w14:paraId="2E9BBE0E" w14:textId="56A3C129" w:rsidR="00EE3BE5" w:rsidRDefault="0014482A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510" w:type="pct"/>
            <w:vAlign w:val="center"/>
          </w:tcPr>
          <w:p w14:paraId="27D6E213" w14:textId="2AC240F9" w:rsidR="00EE3BE5" w:rsidRDefault="0014482A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Core </w:t>
            </w:r>
          </w:p>
        </w:tc>
      </w:tr>
      <w:tr w:rsidR="006700F6" w:rsidRPr="003C26C1" w14:paraId="61B02040" w14:textId="77777777" w:rsidTr="00390066">
        <w:trPr>
          <w:trHeight w:val="60"/>
        </w:trPr>
        <w:tc>
          <w:tcPr>
            <w:tcW w:w="507" w:type="pct"/>
            <w:vAlign w:val="center"/>
          </w:tcPr>
          <w:p w14:paraId="544D5559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sz w:val="16"/>
                <w:szCs w:val="16"/>
              </w:rPr>
              <w:t>Outcome 3: Integrated management of climate and environmental risk</w:t>
            </w:r>
          </w:p>
        </w:tc>
        <w:tc>
          <w:tcPr>
            <w:tcW w:w="509" w:type="pct"/>
            <w:vAlign w:val="center"/>
          </w:tcPr>
          <w:p w14:paraId="35D019A4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</w:t>
            </w:r>
            <w:r w:rsidRPr="00693C15">
              <w:rPr>
                <w:iCs/>
                <w:sz w:val="16"/>
                <w:szCs w:val="16"/>
              </w:rPr>
              <w:t>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0B74680C" w14:textId="77777777" w:rsidR="006700F6" w:rsidRPr="00F35334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b/>
                <w:bCs/>
                <w:sz w:val="16"/>
                <w:szCs w:val="16"/>
              </w:rPr>
              <w:t>Terminal Evaluation</w:t>
            </w:r>
            <w:r w:rsidRPr="00F35334">
              <w:rPr>
                <w:sz w:val="16"/>
                <w:szCs w:val="16"/>
              </w:rPr>
              <w:t xml:space="preserve"> of the project “Green Energy Small and Medium Enterprises (SMEs) Development” </w:t>
            </w:r>
          </w:p>
        </w:tc>
        <w:tc>
          <w:tcPr>
            <w:tcW w:w="615" w:type="pct"/>
            <w:vAlign w:val="center"/>
          </w:tcPr>
          <w:p w14:paraId="0BC84212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1C9B5860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E9A1852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48A3B32B" w14:textId="77777777" w:rsidR="006700F6" w:rsidRPr="003C26C1" w:rsidRDefault="006700F6" w:rsidP="0039006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2023</w:t>
            </w:r>
          </w:p>
        </w:tc>
        <w:tc>
          <w:tcPr>
            <w:tcW w:w="541" w:type="pct"/>
            <w:vAlign w:val="center"/>
          </w:tcPr>
          <w:p w14:paraId="4B1D46FF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$30,000</w:t>
            </w:r>
          </w:p>
        </w:tc>
        <w:tc>
          <w:tcPr>
            <w:tcW w:w="510" w:type="pct"/>
            <w:vAlign w:val="center"/>
          </w:tcPr>
          <w:p w14:paraId="3D397E54" w14:textId="77777777" w:rsidR="006700F6" w:rsidRPr="003C26C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6700F6" w:rsidRPr="003C26C1" w14:paraId="585E6659" w14:textId="77777777" w:rsidTr="00390066">
        <w:trPr>
          <w:trHeight w:val="60"/>
        </w:trPr>
        <w:tc>
          <w:tcPr>
            <w:tcW w:w="507" w:type="pct"/>
            <w:vAlign w:val="center"/>
          </w:tcPr>
          <w:p w14:paraId="3CD218E2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sz w:val="16"/>
                <w:szCs w:val="16"/>
              </w:rPr>
              <w:t>Outcome 3: Integrated management of climate and environmental risk</w:t>
            </w:r>
          </w:p>
        </w:tc>
        <w:tc>
          <w:tcPr>
            <w:tcW w:w="509" w:type="pct"/>
            <w:vAlign w:val="center"/>
          </w:tcPr>
          <w:p w14:paraId="63116393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</w:t>
            </w:r>
            <w:r w:rsidRPr="00693C15">
              <w:rPr>
                <w:iCs/>
                <w:sz w:val="16"/>
                <w:szCs w:val="16"/>
              </w:rPr>
              <w:t>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2D25F790" w14:textId="77777777" w:rsidR="006700F6" w:rsidRPr="00971A89" w:rsidRDefault="006700F6" w:rsidP="00390066">
            <w:pPr>
              <w:rPr>
                <w:sz w:val="16"/>
                <w:szCs w:val="16"/>
              </w:rPr>
            </w:pPr>
            <w:r w:rsidRPr="00971A89">
              <w:rPr>
                <w:b/>
                <w:bCs/>
                <w:sz w:val="16"/>
                <w:szCs w:val="16"/>
              </w:rPr>
              <w:t>Final evaluation</w:t>
            </w:r>
            <w:r w:rsidRPr="00971A89">
              <w:rPr>
                <w:sz w:val="16"/>
                <w:szCs w:val="16"/>
              </w:rPr>
              <w:t xml:space="preserve"> of the project “Integrated landscape approach”</w:t>
            </w:r>
          </w:p>
        </w:tc>
        <w:tc>
          <w:tcPr>
            <w:tcW w:w="615" w:type="pct"/>
            <w:vAlign w:val="center"/>
          </w:tcPr>
          <w:p w14:paraId="24971E24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546C01DA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E8FD991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7F9A738D" w14:textId="77777777" w:rsidR="006700F6" w:rsidRPr="003C26C1" w:rsidRDefault="006700F6" w:rsidP="0039006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2025</w:t>
            </w:r>
          </w:p>
        </w:tc>
        <w:tc>
          <w:tcPr>
            <w:tcW w:w="541" w:type="pct"/>
            <w:vAlign w:val="center"/>
          </w:tcPr>
          <w:p w14:paraId="634FED4B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$28,000</w:t>
            </w:r>
          </w:p>
        </w:tc>
        <w:tc>
          <w:tcPr>
            <w:tcW w:w="510" w:type="pct"/>
            <w:vAlign w:val="center"/>
          </w:tcPr>
          <w:p w14:paraId="0C4F46DE" w14:textId="77777777" w:rsidR="006700F6" w:rsidRPr="003C26C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Adaptation Fund</w:t>
            </w:r>
          </w:p>
        </w:tc>
      </w:tr>
      <w:tr w:rsidR="006700F6" w:rsidRPr="003C26C1" w14:paraId="1D2C02E0" w14:textId="77777777" w:rsidTr="00390066">
        <w:trPr>
          <w:trHeight w:val="60"/>
        </w:trPr>
        <w:tc>
          <w:tcPr>
            <w:tcW w:w="507" w:type="pct"/>
            <w:vAlign w:val="center"/>
          </w:tcPr>
          <w:p w14:paraId="38894AE9" w14:textId="77777777" w:rsidR="006700F6" w:rsidRPr="00F35334" w:rsidRDefault="006700F6" w:rsidP="00390066">
            <w:pPr>
              <w:rPr>
                <w:sz w:val="16"/>
                <w:szCs w:val="16"/>
              </w:rPr>
            </w:pPr>
            <w:r w:rsidRPr="00F35334">
              <w:rPr>
                <w:sz w:val="16"/>
                <w:szCs w:val="16"/>
              </w:rPr>
              <w:t>Outcome 3: Integrated management of climate and environmental risk</w:t>
            </w:r>
          </w:p>
        </w:tc>
        <w:tc>
          <w:tcPr>
            <w:tcW w:w="509" w:type="pct"/>
          </w:tcPr>
          <w:p w14:paraId="060B99AD" w14:textId="77777777" w:rsidR="006700F6" w:rsidRPr="003C26C1" w:rsidRDefault="006700F6" w:rsidP="00390066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</w:t>
            </w:r>
            <w:r w:rsidRPr="00693C15">
              <w:rPr>
                <w:iCs/>
                <w:sz w:val="16"/>
                <w:szCs w:val="16"/>
              </w:rPr>
              <w:t>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06132AD6" w14:textId="77777777" w:rsidR="006700F6" w:rsidRPr="00281C26" w:rsidRDefault="006700F6" w:rsidP="00390066">
            <w:pPr>
              <w:rPr>
                <w:sz w:val="16"/>
                <w:szCs w:val="16"/>
              </w:rPr>
            </w:pPr>
            <w:r w:rsidRPr="00281C26">
              <w:rPr>
                <w:b/>
                <w:bCs/>
                <w:sz w:val="16"/>
                <w:szCs w:val="16"/>
              </w:rPr>
              <w:t>Final Evaluation</w:t>
            </w:r>
            <w:r w:rsidRPr="00281C26">
              <w:rPr>
                <w:sz w:val="16"/>
                <w:szCs w:val="16"/>
              </w:rPr>
              <w:t xml:space="preserve"> of the project “Enabling an Effective National Adaptation Plan (NAP) Process for Tajikistan”</w:t>
            </w:r>
          </w:p>
        </w:tc>
        <w:tc>
          <w:tcPr>
            <w:tcW w:w="615" w:type="pct"/>
            <w:vAlign w:val="center"/>
          </w:tcPr>
          <w:p w14:paraId="285F14EE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62B2C959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7FE341D5" w14:textId="77777777" w:rsidR="006700F6" w:rsidRPr="003C26C1" w:rsidRDefault="006700F6" w:rsidP="0039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4C6174CD" w14:textId="77777777" w:rsidR="006700F6" w:rsidRPr="00261321" w:rsidRDefault="006700F6" w:rsidP="00390066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261321">
              <w:rPr>
                <w:rStyle w:val="CommentReference"/>
                <w:sz w:val="16"/>
                <w:szCs w:val="16"/>
                <w:lang w:eastAsia="uk-UA"/>
              </w:rPr>
              <w:t>May 2023</w:t>
            </w:r>
          </w:p>
        </w:tc>
        <w:tc>
          <w:tcPr>
            <w:tcW w:w="541" w:type="pct"/>
            <w:vAlign w:val="center"/>
          </w:tcPr>
          <w:p w14:paraId="51CAB004" w14:textId="77777777" w:rsidR="006700F6" w:rsidRPr="0026132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261321">
              <w:rPr>
                <w:rStyle w:val="CommentReference"/>
                <w:sz w:val="16"/>
                <w:szCs w:val="16"/>
                <w:lang w:eastAsia="uk-UA"/>
              </w:rPr>
              <w:t>$9,000</w:t>
            </w:r>
          </w:p>
        </w:tc>
        <w:tc>
          <w:tcPr>
            <w:tcW w:w="510" w:type="pct"/>
            <w:vAlign w:val="center"/>
          </w:tcPr>
          <w:p w14:paraId="67CF7798" w14:textId="77777777" w:rsidR="006700F6" w:rsidRPr="00261321" w:rsidRDefault="006700F6" w:rsidP="00390066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261321">
              <w:rPr>
                <w:rStyle w:val="CommentReference"/>
                <w:sz w:val="16"/>
                <w:szCs w:val="16"/>
                <w:lang w:eastAsia="uk-UA"/>
              </w:rPr>
              <w:t>GCF</w:t>
            </w:r>
          </w:p>
        </w:tc>
      </w:tr>
      <w:tr w:rsidR="00413B5C" w:rsidRPr="003C26C1" w14:paraId="0F2880B8" w14:textId="77777777" w:rsidTr="008A0296">
        <w:trPr>
          <w:trHeight w:val="60"/>
        </w:trPr>
        <w:tc>
          <w:tcPr>
            <w:tcW w:w="507" w:type="pct"/>
            <w:vAlign w:val="center"/>
          </w:tcPr>
          <w:p w14:paraId="19E91D4B" w14:textId="177DFA1B" w:rsidR="00413B5C" w:rsidRPr="00F35334" w:rsidRDefault="00413B5C" w:rsidP="00413B5C">
            <w:pPr>
              <w:rPr>
                <w:sz w:val="16"/>
                <w:szCs w:val="16"/>
              </w:rPr>
            </w:pPr>
            <w:r w:rsidRPr="00F35334">
              <w:rPr>
                <w:sz w:val="16"/>
                <w:szCs w:val="16"/>
              </w:rPr>
              <w:t>Outcome 3: Integrated management of climate and environmental risk</w:t>
            </w:r>
          </w:p>
        </w:tc>
        <w:tc>
          <w:tcPr>
            <w:tcW w:w="509" w:type="pct"/>
            <w:vAlign w:val="center"/>
          </w:tcPr>
          <w:p w14:paraId="1F15905A" w14:textId="56F08B10" w:rsidR="00413B5C" w:rsidRDefault="00413B5C" w:rsidP="008A029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</w:t>
            </w:r>
            <w:r w:rsidRPr="00693C15">
              <w:rPr>
                <w:iCs/>
                <w:sz w:val="16"/>
                <w:szCs w:val="16"/>
              </w:rPr>
              <w:t>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194F98D3" w14:textId="2C7FFA18" w:rsidR="00413B5C" w:rsidRPr="00281C26" w:rsidRDefault="003A6982" w:rsidP="00413B5C">
            <w:pPr>
              <w:rPr>
                <w:b/>
                <w:bCs/>
                <w:sz w:val="16"/>
                <w:szCs w:val="16"/>
              </w:rPr>
            </w:pPr>
            <w:r w:rsidRPr="00047277">
              <w:rPr>
                <w:b/>
                <w:bCs/>
                <w:sz w:val="16"/>
                <w:szCs w:val="16"/>
              </w:rPr>
              <w:t xml:space="preserve">Midterm Review (MTR) </w:t>
            </w:r>
            <w:r w:rsidRPr="00047277">
              <w:rPr>
                <w:sz w:val="16"/>
                <w:szCs w:val="16"/>
              </w:rPr>
              <w:t xml:space="preserve">of </w:t>
            </w:r>
            <w:r w:rsidR="00047277" w:rsidRPr="00047277">
              <w:rPr>
                <w:sz w:val="16"/>
                <w:szCs w:val="16"/>
              </w:rPr>
              <w:t>the project “Conservation and Sustainable Management of High-Value Arid Ecosystems in the Lower Amu Darya Basin”</w:t>
            </w:r>
          </w:p>
        </w:tc>
        <w:tc>
          <w:tcPr>
            <w:tcW w:w="615" w:type="pct"/>
            <w:vAlign w:val="center"/>
          </w:tcPr>
          <w:p w14:paraId="1DA69F1C" w14:textId="77777777" w:rsidR="00413B5C" w:rsidRPr="003C26C1" w:rsidRDefault="00413B5C" w:rsidP="0041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1C32C174" w14:textId="77777777" w:rsidR="00413B5C" w:rsidRPr="003C26C1" w:rsidRDefault="00413B5C" w:rsidP="0041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2342F2B" w14:textId="50F0CD0B" w:rsidR="00413B5C" w:rsidRDefault="00047277" w:rsidP="00413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562" w:type="pct"/>
            <w:vAlign w:val="center"/>
          </w:tcPr>
          <w:p w14:paraId="07026F06" w14:textId="1EC53C44" w:rsidR="00413B5C" w:rsidRPr="00261321" w:rsidRDefault="00F84F54" w:rsidP="00413B5C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October 2024</w:t>
            </w:r>
          </w:p>
        </w:tc>
        <w:tc>
          <w:tcPr>
            <w:tcW w:w="541" w:type="pct"/>
            <w:vAlign w:val="center"/>
          </w:tcPr>
          <w:p w14:paraId="0369E9F6" w14:textId="157479CC" w:rsidR="00413B5C" w:rsidRPr="00261321" w:rsidRDefault="004D3514" w:rsidP="00413B5C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$40,100</w:t>
            </w:r>
          </w:p>
        </w:tc>
        <w:tc>
          <w:tcPr>
            <w:tcW w:w="510" w:type="pct"/>
            <w:vAlign w:val="center"/>
          </w:tcPr>
          <w:p w14:paraId="11413F5D" w14:textId="6262F9DB" w:rsidR="00413B5C" w:rsidRPr="00261321" w:rsidRDefault="00112091" w:rsidP="00413B5C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6A1F78" w:rsidRPr="003C26C1" w14:paraId="05A9301A" w14:textId="77777777" w:rsidTr="008A0296">
        <w:trPr>
          <w:trHeight w:val="60"/>
        </w:trPr>
        <w:tc>
          <w:tcPr>
            <w:tcW w:w="507" w:type="pct"/>
            <w:vAlign w:val="center"/>
          </w:tcPr>
          <w:p w14:paraId="35C7D205" w14:textId="44134821" w:rsidR="006A1F78" w:rsidRPr="00F35334" w:rsidRDefault="006A1F78" w:rsidP="006A1F78">
            <w:pPr>
              <w:rPr>
                <w:sz w:val="16"/>
                <w:szCs w:val="16"/>
              </w:rPr>
            </w:pPr>
            <w:r w:rsidRPr="00F35334">
              <w:rPr>
                <w:sz w:val="16"/>
                <w:szCs w:val="16"/>
              </w:rPr>
              <w:t>Outcome 3: Integrated management of climate and environmental risk</w:t>
            </w:r>
          </w:p>
        </w:tc>
        <w:tc>
          <w:tcPr>
            <w:tcW w:w="509" w:type="pct"/>
            <w:vAlign w:val="center"/>
          </w:tcPr>
          <w:p w14:paraId="4DD0D186" w14:textId="32C2E19F" w:rsidR="006A1F78" w:rsidRDefault="006A1F78" w:rsidP="008A029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</w:t>
            </w:r>
            <w:r w:rsidRPr="00693C15">
              <w:rPr>
                <w:iCs/>
                <w:sz w:val="16"/>
                <w:szCs w:val="16"/>
              </w:rPr>
              <w:t>utcome 1: Structural transformation accelerated, particularly green, inclusive and digital transitions</w:t>
            </w:r>
          </w:p>
        </w:tc>
        <w:tc>
          <w:tcPr>
            <w:tcW w:w="509" w:type="pct"/>
            <w:vAlign w:val="center"/>
          </w:tcPr>
          <w:p w14:paraId="5F02D500" w14:textId="03718AD2" w:rsidR="006A1F78" w:rsidRPr="00047277" w:rsidRDefault="006A1F78" w:rsidP="006A1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  <w:r w:rsidRPr="00410279">
              <w:rPr>
                <w:b/>
                <w:bCs/>
                <w:sz w:val="16"/>
                <w:szCs w:val="16"/>
              </w:rPr>
              <w:t>erminal evaluation</w:t>
            </w:r>
            <w:r w:rsidRPr="00047277">
              <w:rPr>
                <w:b/>
                <w:bCs/>
                <w:sz w:val="16"/>
                <w:szCs w:val="16"/>
              </w:rPr>
              <w:t xml:space="preserve"> </w:t>
            </w:r>
            <w:r w:rsidRPr="00047277">
              <w:rPr>
                <w:sz w:val="16"/>
                <w:szCs w:val="16"/>
              </w:rPr>
              <w:t>of the project “Conservation and Sustainable Management of High-Value Arid Ecosystems in the Lower Amu Darya Basin”</w:t>
            </w:r>
          </w:p>
        </w:tc>
        <w:tc>
          <w:tcPr>
            <w:tcW w:w="615" w:type="pct"/>
            <w:vAlign w:val="center"/>
          </w:tcPr>
          <w:p w14:paraId="0AB23A3E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72711CCF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786B2B8E" w14:textId="77F6A3EF" w:rsidR="006A1F78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562" w:type="pct"/>
            <w:vAlign w:val="center"/>
          </w:tcPr>
          <w:p w14:paraId="4272D841" w14:textId="3273891F" w:rsidR="006A1F78" w:rsidRDefault="006A1F78" w:rsidP="006A1F78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December 2026</w:t>
            </w:r>
          </w:p>
        </w:tc>
        <w:tc>
          <w:tcPr>
            <w:tcW w:w="541" w:type="pct"/>
            <w:vAlign w:val="center"/>
          </w:tcPr>
          <w:p w14:paraId="4ADEFE38" w14:textId="6C5CE8EA" w:rsidR="006A1F78" w:rsidRDefault="006A1F78" w:rsidP="006A1F78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$40,100</w:t>
            </w:r>
          </w:p>
        </w:tc>
        <w:tc>
          <w:tcPr>
            <w:tcW w:w="510" w:type="pct"/>
            <w:vAlign w:val="center"/>
          </w:tcPr>
          <w:p w14:paraId="67CB848E" w14:textId="43603D0A" w:rsidR="006A1F78" w:rsidRDefault="006A1F78" w:rsidP="006A1F78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6A1F78" w:rsidRPr="003C26C1" w14:paraId="69EAB789" w14:textId="77777777" w:rsidTr="00390066">
        <w:trPr>
          <w:trHeight w:val="60"/>
        </w:trPr>
        <w:tc>
          <w:tcPr>
            <w:tcW w:w="507" w:type="pct"/>
            <w:vAlign w:val="center"/>
          </w:tcPr>
          <w:p w14:paraId="3C76FA21" w14:textId="77777777" w:rsidR="006A1F78" w:rsidRPr="00266842" w:rsidRDefault="006A1F78" w:rsidP="006A1F78">
            <w:pPr>
              <w:rPr>
                <w:bCs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lastRenderedPageBreak/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3B66AB04" w14:textId="77777777" w:rsidR="006A1F78" w:rsidRPr="001A3689" w:rsidRDefault="006A1F78" w:rsidP="006A1F78">
            <w:pPr>
              <w:rPr>
                <w:iCs/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6CBB88EC" w14:textId="77777777" w:rsidR="006A1F78" w:rsidRPr="001A3689" w:rsidRDefault="006A1F78" w:rsidP="006A1F78">
            <w:pPr>
              <w:rPr>
                <w:iCs/>
                <w:sz w:val="16"/>
                <w:szCs w:val="16"/>
              </w:rPr>
            </w:pPr>
            <w:r w:rsidRPr="001A3689">
              <w:rPr>
                <w:b/>
                <w:bCs/>
                <w:iCs/>
                <w:sz w:val="16"/>
                <w:szCs w:val="16"/>
              </w:rPr>
              <w:t>Final Evaluation</w:t>
            </w:r>
            <w:r w:rsidRPr="001A3689">
              <w:rPr>
                <w:iCs/>
                <w:sz w:val="16"/>
                <w:szCs w:val="16"/>
              </w:rPr>
              <w:t xml:space="preserve"> of the “Access to Justice” Project, Phase III </w:t>
            </w:r>
          </w:p>
        </w:tc>
        <w:tc>
          <w:tcPr>
            <w:tcW w:w="615" w:type="pct"/>
            <w:vAlign w:val="center"/>
          </w:tcPr>
          <w:p w14:paraId="7180C915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74AF1480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7BB265A9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05F30BA5" w14:textId="77777777" w:rsidR="006A1F78" w:rsidRDefault="006A1F78" w:rsidP="006A1F7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December 2024</w:t>
            </w:r>
          </w:p>
        </w:tc>
        <w:tc>
          <w:tcPr>
            <w:tcW w:w="541" w:type="pct"/>
            <w:vAlign w:val="center"/>
          </w:tcPr>
          <w:p w14:paraId="5812672C" w14:textId="77777777" w:rsidR="006A1F78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$40,000</w:t>
            </w:r>
          </w:p>
        </w:tc>
        <w:tc>
          <w:tcPr>
            <w:tcW w:w="510" w:type="pct"/>
            <w:vAlign w:val="center"/>
          </w:tcPr>
          <w:p w14:paraId="550CDF98" w14:textId="77777777" w:rsidR="006A1F78" w:rsidRDefault="006A1F78" w:rsidP="006A1F78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SDC</w:t>
            </w:r>
          </w:p>
        </w:tc>
      </w:tr>
      <w:tr w:rsidR="006A1F78" w:rsidRPr="003C26C1" w14:paraId="0833E7A6" w14:textId="77777777" w:rsidTr="00390066">
        <w:trPr>
          <w:trHeight w:val="60"/>
        </w:trPr>
        <w:tc>
          <w:tcPr>
            <w:tcW w:w="507" w:type="pct"/>
            <w:vAlign w:val="center"/>
          </w:tcPr>
          <w:p w14:paraId="6C90037E" w14:textId="77777777" w:rsidR="006A1F78" w:rsidRPr="00266842" w:rsidRDefault="006A1F78" w:rsidP="006A1F78">
            <w:pPr>
              <w:rPr>
                <w:bCs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6BE2FB39" w14:textId="77777777" w:rsidR="006A1F78" w:rsidRPr="003C26C1" w:rsidRDefault="006A1F78" w:rsidP="006A1F78">
            <w:pPr>
              <w:rPr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7DCC9CAF" w14:textId="77777777" w:rsidR="006A1F78" w:rsidRPr="00971A89" w:rsidRDefault="006A1F78" w:rsidP="006A1F78">
            <w:pPr>
              <w:rPr>
                <w:b/>
                <w:bCs/>
                <w:sz w:val="16"/>
                <w:szCs w:val="16"/>
              </w:rPr>
            </w:pPr>
            <w:r w:rsidRPr="00E774EC">
              <w:rPr>
                <w:b/>
                <w:bCs/>
                <w:sz w:val="16"/>
                <w:szCs w:val="16"/>
              </w:rPr>
              <w:t>Final Evaluation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774EC">
              <w:rPr>
                <w:sz w:val="16"/>
                <w:szCs w:val="16"/>
              </w:rPr>
              <w:t>of the project “Civil Registration Reform, Phase II”</w:t>
            </w:r>
          </w:p>
        </w:tc>
        <w:tc>
          <w:tcPr>
            <w:tcW w:w="615" w:type="pct"/>
            <w:vAlign w:val="center"/>
          </w:tcPr>
          <w:p w14:paraId="2DA3E3D4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03681868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B7CFFD5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156F751C" w14:textId="77777777" w:rsidR="006A1F78" w:rsidRDefault="006A1F78" w:rsidP="006A1F7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December 2023</w:t>
            </w:r>
          </w:p>
        </w:tc>
        <w:tc>
          <w:tcPr>
            <w:tcW w:w="541" w:type="pct"/>
            <w:vAlign w:val="center"/>
          </w:tcPr>
          <w:p w14:paraId="6FEC67C5" w14:textId="77777777" w:rsidR="006A1F78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$40,000</w:t>
            </w:r>
          </w:p>
        </w:tc>
        <w:tc>
          <w:tcPr>
            <w:tcW w:w="510" w:type="pct"/>
            <w:vAlign w:val="center"/>
          </w:tcPr>
          <w:p w14:paraId="5B55DE09" w14:textId="77777777" w:rsidR="006A1F78" w:rsidRDefault="006A1F78" w:rsidP="006A1F78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SDC</w:t>
            </w:r>
          </w:p>
        </w:tc>
      </w:tr>
      <w:tr w:rsidR="006A1F78" w:rsidRPr="003C26C1" w14:paraId="0751E717" w14:textId="77777777" w:rsidTr="00390066">
        <w:trPr>
          <w:trHeight w:val="60"/>
        </w:trPr>
        <w:tc>
          <w:tcPr>
            <w:tcW w:w="507" w:type="pct"/>
            <w:vAlign w:val="center"/>
          </w:tcPr>
          <w:p w14:paraId="1DC21E32" w14:textId="50FCCED3" w:rsidR="006A1F78" w:rsidRPr="00266842" w:rsidRDefault="006A1F78" w:rsidP="006A1F78">
            <w:pPr>
              <w:rPr>
                <w:bCs/>
                <w:color w:val="000000"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3B0D30BE" w14:textId="2023229D" w:rsidR="006A1F78" w:rsidRPr="001A3689" w:rsidRDefault="006A1F78" w:rsidP="006A1F78">
            <w:pPr>
              <w:rPr>
                <w:iCs/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0413B4EE" w14:textId="4B76ED72" w:rsidR="006A1F78" w:rsidRPr="00E774EC" w:rsidRDefault="006A1F78" w:rsidP="006A1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</w:t>
            </w:r>
            <w:r w:rsidR="00236B55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erm Evaluation </w:t>
            </w:r>
            <w:r w:rsidRPr="00A0243E">
              <w:rPr>
                <w:sz w:val="16"/>
                <w:szCs w:val="16"/>
              </w:rPr>
              <w:t>of the “Border Management Project”, Phase III</w:t>
            </w:r>
          </w:p>
        </w:tc>
        <w:tc>
          <w:tcPr>
            <w:tcW w:w="615" w:type="pct"/>
            <w:vAlign w:val="center"/>
          </w:tcPr>
          <w:p w14:paraId="0310C204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34EFC5BB" w14:textId="77777777" w:rsidR="006A1F78" w:rsidRPr="003C26C1" w:rsidRDefault="006A1F78" w:rsidP="006A1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D816C34" w14:textId="1D464DB8" w:rsidR="006A1F78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1920EC7F" w14:textId="1B111882" w:rsidR="006A1F78" w:rsidRDefault="006A1F78" w:rsidP="006A1F78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May 2025</w:t>
            </w:r>
          </w:p>
        </w:tc>
        <w:tc>
          <w:tcPr>
            <w:tcW w:w="541" w:type="pct"/>
            <w:vAlign w:val="center"/>
          </w:tcPr>
          <w:p w14:paraId="1F1D834E" w14:textId="064BAE93" w:rsidR="006A1F78" w:rsidRDefault="006A1F78" w:rsidP="006A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$16,250</w:t>
            </w:r>
          </w:p>
        </w:tc>
        <w:tc>
          <w:tcPr>
            <w:tcW w:w="510" w:type="pct"/>
            <w:vAlign w:val="center"/>
          </w:tcPr>
          <w:p w14:paraId="4A42FF88" w14:textId="3E9A7957" w:rsidR="006A1F78" w:rsidRDefault="006A1F78" w:rsidP="006A1F78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JICA </w:t>
            </w:r>
          </w:p>
        </w:tc>
      </w:tr>
      <w:tr w:rsidR="00236B55" w:rsidRPr="003C26C1" w14:paraId="3D25E9BA" w14:textId="77777777" w:rsidTr="00390066">
        <w:trPr>
          <w:trHeight w:val="60"/>
        </w:trPr>
        <w:tc>
          <w:tcPr>
            <w:tcW w:w="507" w:type="pct"/>
            <w:vAlign w:val="center"/>
          </w:tcPr>
          <w:p w14:paraId="23DA0C97" w14:textId="5B576763" w:rsidR="00236B55" w:rsidRPr="00266842" w:rsidRDefault="00236B55" w:rsidP="00236B55">
            <w:pPr>
              <w:rPr>
                <w:bCs/>
                <w:color w:val="000000"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7F21B426" w14:textId="43262ECF" w:rsidR="00236B55" w:rsidRPr="001A3689" w:rsidRDefault="00236B55" w:rsidP="00236B55">
            <w:pPr>
              <w:rPr>
                <w:iCs/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4B0917F4" w14:textId="55ECB942" w:rsidR="00236B55" w:rsidRDefault="00236B55" w:rsidP="00236B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Midterm evaluation of the project </w:t>
            </w:r>
            <w:r w:rsidRPr="00145E7A">
              <w:rPr>
                <w:sz w:val="16"/>
                <w:szCs w:val="16"/>
              </w:rPr>
              <w:t>“</w:t>
            </w:r>
            <w:r w:rsidR="00145E7A" w:rsidRPr="00145E7A">
              <w:rPr>
                <w:sz w:val="16"/>
                <w:szCs w:val="16"/>
              </w:rPr>
              <w:t>Improved Access to Public Services (IAPS) through Civil Registry Reform</w:t>
            </w:r>
            <w:r w:rsidR="00145E7A">
              <w:rPr>
                <w:sz w:val="16"/>
                <w:szCs w:val="16"/>
              </w:rPr>
              <w:t>”</w:t>
            </w:r>
          </w:p>
        </w:tc>
        <w:tc>
          <w:tcPr>
            <w:tcW w:w="615" w:type="pct"/>
            <w:vAlign w:val="center"/>
          </w:tcPr>
          <w:p w14:paraId="36E8D91D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1DDDEF79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638C8CD" w14:textId="5004CEFB" w:rsidR="00236B55" w:rsidRDefault="00004DB1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2B7C4421" w14:textId="7DB008CE" w:rsidR="00236B55" w:rsidRDefault="009F1702" w:rsidP="00236B55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October</w:t>
            </w:r>
            <w:r w:rsidR="008C7264"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  <w:r w:rsidR="00AE5CE0">
              <w:rPr>
                <w:rStyle w:val="CommentReference"/>
                <w:sz w:val="16"/>
                <w:szCs w:val="16"/>
                <w:lang w:eastAsia="uk-UA"/>
              </w:rPr>
              <w:t>202</w:t>
            </w:r>
            <w:r w:rsidR="00670BC4">
              <w:rPr>
                <w:rStyle w:val="CommentReference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41" w:type="pct"/>
            <w:vAlign w:val="center"/>
          </w:tcPr>
          <w:p w14:paraId="594E6FCB" w14:textId="40DCB7E8" w:rsidR="00236B55" w:rsidRPr="00004DB1" w:rsidRDefault="00004DB1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$50,000</w:t>
            </w:r>
          </w:p>
        </w:tc>
        <w:tc>
          <w:tcPr>
            <w:tcW w:w="510" w:type="pct"/>
            <w:vAlign w:val="center"/>
          </w:tcPr>
          <w:p w14:paraId="3123955D" w14:textId="06571431" w:rsidR="00236B55" w:rsidRDefault="004150C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Donor evaluation (will be commissioned by </w:t>
            </w:r>
            <w:r w:rsidR="00145E7A">
              <w:rPr>
                <w:rStyle w:val="CommentReference"/>
                <w:sz w:val="16"/>
                <w:szCs w:val="16"/>
                <w:lang w:eastAsia="uk-UA"/>
              </w:rPr>
              <w:t>EU</w:t>
            </w:r>
            <w:r>
              <w:rPr>
                <w:rStyle w:val="CommentReference"/>
                <w:sz w:val="16"/>
                <w:szCs w:val="16"/>
                <w:lang w:eastAsia="uk-UA"/>
              </w:rPr>
              <w:t>)</w:t>
            </w:r>
          </w:p>
        </w:tc>
      </w:tr>
      <w:tr w:rsidR="00236B55" w:rsidRPr="003C26C1" w14:paraId="5F0CF2C3" w14:textId="77777777" w:rsidTr="00390066">
        <w:trPr>
          <w:trHeight w:val="60"/>
        </w:trPr>
        <w:tc>
          <w:tcPr>
            <w:tcW w:w="507" w:type="pct"/>
            <w:vAlign w:val="center"/>
          </w:tcPr>
          <w:p w14:paraId="192687CB" w14:textId="1E170C38" w:rsidR="00236B55" w:rsidRPr="00266842" w:rsidRDefault="00236B55" w:rsidP="00236B55">
            <w:pPr>
              <w:rPr>
                <w:bCs/>
                <w:color w:val="000000"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76344112" w14:textId="753C7FE1" w:rsidR="00236B55" w:rsidRPr="001A3689" w:rsidRDefault="00236B55" w:rsidP="00236B55">
            <w:pPr>
              <w:rPr>
                <w:iCs/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4DB156EF" w14:textId="38BC02B0" w:rsidR="00236B55" w:rsidRDefault="00145E7A" w:rsidP="00236B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Final evaluation of the project </w:t>
            </w:r>
            <w:r w:rsidRPr="00145E7A">
              <w:rPr>
                <w:sz w:val="16"/>
                <w:szCs w:val="16"/>
              </w:rPr>
              <w:t>“Improved Access to Public Services (IAPS) through Civil Registry Reform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615" w:type="pct"/>
            <w:vAlign w:val="center"/>
          </w:tcPr>
          <w:p w14:paraId="2760F15B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4D18046D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2D6EB7AB" w14:textId="63854767" w:rsidR="00236B55" w:rsidRDefault="00004DB1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0B88EE72" w14:textId="1D389817" w:rsidR="00236B55" w:rsidRPr="00670BC4" w:rsidRDefault="00670BC4" w:rsidP="00236B55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September 2026</w:t>
            </w:r>
          </w:p>
        </w:tc>
        <w:tc>
          <w:tcPr>
            <w:tcW w:w="541" w:type="pct"/>
            <w:vAlign w:val="center"/>
          </w:tcPr>
          <w:p w14:paraId="1F303E4B" w14:textId="63D13F25" w:rsidR="00236B55" w:rsidRDefault="00004DB1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$50,000</w:t>
            </w:r>
          </w:p>
        </w:tc>
        <w:tc>
          <w:tcPr>
            <w:tcW w:w="510" w:type="pct"/>
            <w:vAlign w:val="center"/>
          </w:tcPr>
          <w:p w14:paraId="18D2838A" w14:textId="54D3DF4C" w:rsidR="00236B55" w:rsidRDefault="004150C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Donor evaluation (will be commissioned by EU)</w:t>
            </w:r>
          </w:p>
        </w:tc>
      </w:tr>
      <w:tr w:rsidR="00236B55" w:rsidRPr="003C26C1" w14:paraId="6F161229" w14:textId="77777777" w:rsidTr="00390066">
        <w:trPr>
          <w:trHeight w:val="60"/>
        </w:trPr>
        <w:tc>
          <w:tcPr>
            <w:tcW w:w="507" w:type="pct"/>
            <w:vAlign w:val="center"/>
          </w:tcPr>
          <w:p w14:paraId="4A4A7FC1" w14:textId="77777777" w:rsidR="00236B55" w:rsidRPr="00266842" w:rsidRDefault="00236B55" w:rsidP="00236B55">
            <w:pPr>
              <w:rPr>
                <w:bCs/>
                <w:sz w:val="16"/>
                <w:szCs w:val="16"/>
              </w:rPr>
            </w:pPr>
            <w:r w:rsidRPr="00266842">
              <w:rPr>
                <w:bCs/>
                <w:color w:val="000000"/>
                <w:sz w:val="16"/>
                <w:szCs w:val="16"/>
              </w:rPr>
              <w:t xml:space="preserve">Outcome 4: People-centred governance and rule of law  </w:t>
            </w:r>
          </w:p>
        </w:tc>
        <w:tc>
          <w:tcPr>
            <w:tcW w:w="509" w:type="pct"/>
            <w:vAlign w:val="center"/>
          </w:tcPr>
          <w:p w14:paraId="2713EEA6" w14:textId="77777777" w:rsidR="00236B55" w:rsidRPr="003C26C1" w:rsidRDefault="00236B55" w:rsidP="00236B55">
            <w:pPr>
              <w:rPr>
                <w:sz w:val="16"/>
                <w:szCs w:val="16"/>
              </w:rPr>
            </w:pPr>
            <w:r w:rsidRPr="001A3689">
              <w:rPr>
                <w:iCs/>
                <w:sz w:val="16"/>
                <w:szCs w:val="16"/>
              </w:rPr>
              <w:t>Outcome 2: No one left behind, centring on equitable access to opportunities and a rights-based approach to human agency and human development</w:t>
            </w:r>
          </w:p>
        </w:tc>
        <w:tc>
          <w:tcPr>
            <w:tcW w:w="509" w:type="pct"/>
            <w:vAlign w:val="center"/>
          </w:tcPr>
          <w:p w14:paraId="42B7207C" w14:textId="77777777" w:rsidR="00236B55" w:rsidRPr="00E774EC" w:rsidRDefault="00236B55" w:rsidP="00236B55">
            <w:pPr>
              <w:rPr>
                <w:sz w:val="16"/>
                <w:szCs w:val="16"/>
              </w:rPr>
            </w:pPr>
            <w:r w:rsidRPr="00E774EC">
              <w:rPr>
                <w:b/>
                <w:bCs/>
                <w:sz w:val="16"/>
                <w:szCs w:val="16"/>
              </w:rPr>
              <w:t>Final Evaluation</w:t>
            </w:r>
            <w:r w:rsidRPr="00E774EC">
              <w:rPr>
                <w:sz w:val="16"/>
                <w:szCs w:val="16"/>
              </w:rPr>
              <w:t xml:space="preserve"> of the “HIV, TB, Malaria control program” </w:t>
            </w:r>
          </w:p>
        </w:tc>
        <w:tc>
          <w:tcPr>
            <w:tcW w:w="615" w:type="pct"/>
            <w:vAlign w:val="center"/>
          </w:tcPr>
          <w:p w14:paraId="06660825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135337C7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7A8F99F1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62" w:type="pct"/>
            <w:vAlign w:val="center"/>
          </w:tcPr>
          <w:p w14:paraId="7211ABC8" w14:textId="77777777" w:rsidR="00236B55" w:rsidRPr="00266842" w:rsidRDefault="00236B55" w:rsidP="00236B55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October 2023</w:t>
            </w:r>
          </w:p>
        </w:tc>
        <w:tc>
          <w:tcPr>
            <w:tcW w:w="541" w:type="pct"/>
            <w:vAlign w:val="center"/>
          </w:tcPr>
          <w:p w14:paraId="2AF813F7" w14:textId="77777777" w:rsidR="00236B55" w:rsidRPr="00266842" w:rsidRDefault="00236B5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266842">
              <w:rPr>
                <w:rStyle w:val="CommentReference"/>
                <w:sz w:val="16"/>
                <w:szCs w:val="16"/>
                <w:lang w:eastAsia="uk-UA"/>
              </w:rPr>
              <w:t>$50,000</w:t>
            </w:r>
          </w:p>
        </w:tc>
        <w:tc>
          <w:tcPr>
            <w:tcW w:w="510" w:type="pct"/>
            <w:vAlign w:val="center"/>
          </w:tcPr>
          <w:p w14:paraId="0A22AB66" w14:textId="77777777" w:rsidR="00236B55" w:rsidRPr="00266842" w:rsidRDefault="00236B5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266842">
              <w:rPr>
                <w:rStyle w:val="CommentReference"/>
                <w:sz w:val="16"/>
                <w:szCs w:val="16"/>
                <w:lang w:eastAsia="uk-UA"/>
              </w:rPr>
              <w:t>GF</w:t>
            </w:r>
          </w:p>
        </w:tc>
      </w:tr>
      <w:tr w:rsidR="00236B55" w:rsidRPr="003C26C1" w14:paraId="64F1F895" w14:textId="77777777" w:rsidTr="00390066">
        <w:trPr>
          <w:trHeight w:val="60"/>
        </w:trPr>
        <w:tc>
          <w:tcPr>
            <w:tcW w:w="507" w:type="pct"/>
            <w:vAlign w:val="center"/>
          </w:tcPr>
          <w:p w14:paraId="184AD94A" w14:textId="236A655D" w:rsidR="00236B55" w:rsidRPr="00266842" w:rsidRDefault="00236B55" w:rsidP="00236B5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All outcomes</w:t>
            </w:r>
          </w:p>
        </w:tc>
        <w:tc>
          <w:tcPr>
            <w:tcW w:w="509" w:type="pct"/>
            <w:vAlign w:val="center"/>
          </w:tcPr>
          <w:p w14:paraId="0A7EB0AC" w14:textId="77777777" w:rsidR="00236B55" w:rsidRPr="001A3689" w:rsidRDefault="00236B55" w:rsidP="00236B55">
            <w:pPr>
              <w:rPr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94C6038" w14:textId="60CFB3C7" w:rsidR="00236B55" w:rsidRPr="00E774EC" w:rsidRDefault="00236B55" w:rsidP="00236B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CPD Midterm </w:t>
            </w:r>
            <w:r w:rsidR="00FE350C">
              <w:rPr>
                <w:b/>
                <w:bCs/>
                <w:sz w:val="16"/>
                <w:szCs w:val="16"/>
              </w:rPr>
              <w:t>review</w:t>
            </w:r>
            <w:r>
              <w:rPr>
                <w:b/>
                <w:bCs/>
                <w:sz w:val="16"/>
                <w:szCs w:val="16"/>
              </w:rPr>
              <w:t xml:space="preserve"> covering all 3 outcomes </w:t>
            </w:r>
          </w:p>
        </w:tc>
        <w:tc>
          <w:tcPr>
            <w:tcW w:w="615" w:type="pct"/>
            <w:vAlign w:val="center"/>
          </w:tcPr>
          <w:p w14:paraId="421424DA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14:paraId="19D6973D" w14:textId="77777777" w:rsidR="00236B55" w:rsidRPr="003C26C1" w:rsidRDefault="00236B55" w:rsidP="0023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874C30B" w14:textId="7732D2A4" w:rsidR="00236B55" w:rsidRDefault="00236B55" w:rsidP="0023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CPD evaluation </w:t>
            </w:r>
          </w:p>
        </w:tc>
        <w:tc>
          <w:tcPr>
            <w:tcW w:w="562" w:type="pct"/>
            <w:vAlign w:val="center"/>
          </w:tcPr>
          <w:p w14:paraId="126B6C91" w14:textId="4A658CD1" w:rsidR="00236B55" w:rsidRDefault="00236B55" w:rsidP="00236B55">
            <w:pPr>
              <w:spacing w:before="40" w:after="40"/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March 2025</w:t>
            </w:r>
          </w:p>
        </w:tc>
        <w:tc>
          <w:tcPr>
            <w:tcW w:w="541" w:type="pct"/>
            <w:vAlign w:val="center"/>
          </w:tcPr>
          <w:p w14:paraId="3E30BBE9" w14:textId="0A077CB5" w:rsidR="00236B55" w:rsidRPr="00266842" w:rsidRDefault="00236B5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$40,000</w:t>
            </w:r>
          </w:p>
        </w:tc>
        <w:tc>
          <w:tcPr>
            <w:tcW w:w="510" w:type="pct"/>
            <w:vAlign w:val="center"/>
          </w:tcPr>
          <w:p w14:paraId="6EA5AD30" w14:textId="5BD56CB1" w:rsidR="00236B55" w:rsidRPr="00266842" w:rsidRDefault="00236B55" w:rsidP="00236B55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Core  </w:t>
            </w:r>
          </w:p>
        </w:tc>
      </w:tr>
    </w:tbl>
    <w:p w14:paraId="1FEBDD15" w14:textId="77777777" w:rsidR="00FE676F" w:rsidRDefault="00FE676F"/>
    <w:sectPr w:rsidR="00FE676F" w:rsidSect="006700F6">
      <w:pgSz w:w="16840" w:h="11907" w:orient="landscape" w:code="9"/>
      <w:pgMar w:top="1134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FA4"/>
    <w:multiLevelType w:val="hybridMultilevel"/>
    <w:tmpl w:val="88BAEF0E"/>
    <w:lvl w:ilvl="0" w:tplc="DE365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F6"/>
    <w:rsid w:val="000036C2"/>
    <w:rsid w:val="00004DB1"/>
    <w:rsid w:val="00010B33"/>
    <w:rsid w:val="00047277"/>
    <w:rsid w:val="00065B7D"/>
    <w:rsid w:val="0006745B"/>
    <w:rsid w:val="00112091"/>
    <w:rsid w:val="00113C6A"/>
    <w:rsid w:val="001147E0"/>
    <w:rsid w:val="0014482A"/>
    <w:rsid w:val="00145E7A"/>
    <w:rsid w:val="00160922"/>
    <w:rsid w:val="00183BE4"/>
    <w:rsid w:val="00187213"/>
    <w:rsid w:val="001A5E0B"/>
    <w:rsid w:val="001B579E"/>
    <w:rsid w:val="002117AD"/>
    <w:rsid w:val="00211C52"/>
    <w:rsid w:val="00230F23"/>
    <w:rsid w:val="00236B55"/>
    <w:rsid w:val="00254F6A"/>
    <w:rsid w:val="002E7351"/>
    <w:rsid w:val="002F3D4D"/>
    <w:rsid w:val="003848DB"/>
    <w:rsid w:val="0038509D"/>
    <w:rsid w:val="003A6982"/>
    <w:rsid w:val="003B3C7A"/>
    <w:rsid w:val="0040333F"/>
    <w:rsid w:val="00410279"/>
    <w:rsid w:val="00411477"/>
    <w:rsid w:val="00413B5C"/>
    <w:rsid w:val="004150C5"/>
    <w:rsid w:val="00463418"/>
    <w:rsid w:val="004831D4"/>
    <w:rsid w:val="00484215"/>
    <w:rsid w:val="00494050"/>
    <w:rsid w:val="004B098D"/>
    <w:rsid w:val="004D0FA6"/>
    <w:rsid w:val="004D3514"/>
    <w:rsid w:val="004E298A"/>
    <w:rsid w:val="005304BA"/>
    <w:rsid w:val="005412D3"/>
    <w:rsid w:val="00543F37"/>
    <w:rsid w:val="00554EEB"/>
    <w:rsid w:val="00572B1A"/>
    <w:rsid w:val="005A3D53"/>
    <w:rsid w:val="005A5B59"/>
    <w:rsid w:val="005B401B"/>
    <w:rsid w:val="005E3B34"/>
    <w:rsid w:val="00611AE1"/>
    <w:rsid w:val="00630146"/>
    <w:rsid w:val="00666E4F"/>
    <w:rsid w:val="006700F6"/>
    <w:rsid w:val="00670BC4"/>
    <w:rsid w:val="0068215F"/>
    <w:rsid w:val="006A1F78"/>
    <w:rsid w:val="006B15C2"/>
    <w:rsid w:val="006B42BA"/>
    <w:rsid w:val="00754BF9"/>
    <w:rsid w:val="00773BDE"/>
    <w:rsid w:val="007A3AE2"/>
    <w:rsid w:val="007A6B2B"/>
    <w:rsid w:val="007C27DC"/>
    <w:rsid w:val="00802F57"/>
    <w:rsid w:val="0081681B"/>
    <w:rsid w:val="008A0296"/>
    <w:rsid w:val="008A08D7"/>
    <w:rsid w:val="008A44C5"/>
    <w:rsid w:val="008C7264"/>
    <w:rsid w:val="008D4431"/>
    <w:rsid w:val="008E6A4A"/>
    <w:rsid w:val="008F332A"/>
    <w:rsid w:val="009238D6"/>
    <w:rsid w:val="00926BB0"/>
    <w:rsid w:val="00931C8C"/>
    <w:rsid w:val="00946E3A"/>
    <w:rsid w:val="009A5600"/>
    <w:rsid w:val="009A7E82"/>
    <w:rsid w:val="009E6246"/>
    <w:rsid w:val="009F1702"/>
    <w:rsid w:val="00A0243E"/>
    <w:rsid w:val="00A15B6C"/>
    <w:rsid w:val="00A71DF4"/>
    <w:rsid w:val="00A74792"/>
    <w:rsid w:val="00AD1E64"/>
    <w:rsid w:val="00AE431B"/>
    <w:rsid w:val="00AE5C46"/>
    <w:rsid w:val="00AE5CE0"/>
    <w:rsid w:val="00B10EC2"/>
    <w:rsid w:val="00B211EE"/>
    <w:rsid w:val="00B35568"/>
    <w:rsid w:val="00B40909"/>
    <w:rsid w:val="00B46E3B"/>
    <w:rsid w:val="00B72A8B"/>
    <w:rsid w:val="00BE7E99"/>
    <w:rsid w:val="00C041F7"/>
    <w:rsid w:val="00C221CF"/>
    <w:rsid w:val="00C30DDF"/>
    <w:rsid w:val="00C31615"/>
    <w:rsid w:val="00C74640"/>
    <w:rsid w:val="00C83659"/>
    <w:rsid w:val="00C84954"/>
    <w:rsid w:val="00CA0AFC"/>
    <w:rsid w:val="00CF6639"/>
    <w:rsid w:val="00D0412D"/>
    <w:rsid w:val="00D1343D"/>
    <w:rsid w:val="00D564E8"/>
    <w:rsid w:val="00D6346F"/>
    <w:rsid w:val="00D853F7"/>
    <w:rsid w:val="00DC2A55"/>
    <w:rsid w:val="00DC629F"/>
    <w:rsid w:val="00DD46F0"/>
    <w:rsid w:val="00DE6720"/>
    <w:rsid w:val="00E01FCE"/>
    <w:rsid w:val="00E81876"/>
    <w:rsid w:val="00E82184"/>
    <w:rsid w:val="00E82CF5"/>
    <w:rsid w:val="00EB0DA0"/>
    <w:rsid w:val="00EE3BE5"/>
    <w:rsid w:val="00EF7935"/>
    <w:rsid w:val="00F11401"/>
    <w:rsid w:val="00F13DAD"/>
    <w:rsid w:val="00F1599C"/>
    <w:rsid w:val="00F60A87"/>
    <w:rsid w:val="00F71BE6"/>
    <w:rsid w:val="00F84F54"/>
    <w:rsid w:val="00FC074D"/>
    <w:rsid w:val="00FD0F6C"/>
    <w:rsid w:val="00FE350C"/>
    <w:rsid w:val="00FE676F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8A59"/>
  <w15:chartTrackingRefBased/>
  <w15:docId w15:val="{2F0B2895-7081-4EF4-9A81-9FE3E11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700F6"/>
    <w:rPr>
      <w:rFonts w:cs="Times New Roman"/>
      <w:sz w:val="6"/>
      <w:szCs w:val="6"/>
    </w:rPr>
  </w:style>
  <w:style w:type="paragraph" w:customStyle="1" w:styleId="Default">
    <w:name w:val="Default"/>
    <w:rsid w:val="006B1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UNITOFFICE-440-2362</_dlc_DocId>
    <_dlc_DocIdUrl xmlns="5ebeba3d-fd60-4dcb-8548-a9fd3c51d9ff">
      <Url>https://intranet.undp.org/unit/office/exo/sp2014/SP201417/_layouts/15/DocIdRedir.aspx?ID=UNITOFFICE-440-2362</Url>
      <Description>UNITOFFICE-440-2362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DAE4C-D6F5-4A09-ADFB-50D097FA2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F98B2-9E20-4FFC-B9B4-1CD4E00519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441A6-EA3B-4362-857F-B09CDF7AE9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EC3AF2-427E-4D61-84AB-53DD5D91BB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F00087-FA33-43CD-BD4D-64945C266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5881</Characters>
  <Application>Microsoft Office Word</Application>
  <DocSecurity>0</DocSecurity>
  <Lines>168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Mavlyanova</dc:creator>
  <cp:keywords/>
  <dc:description/>
  <cp:lastModifiedBy>Svetlana Iazykova</cp:lastModifiedBy>
  <cp:revision>3</cp:revision>
  <dcterms:created xsi:type="dcterms:W3CDTF">2022-06-04T17:27:00Z</dcterms:created>
  <dcterms:modified xsi:type="dcterms:W3CDTF">2022-06-04T17:27:00Z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943f570a-acc7-4e11-9d9c-e6bd0153fff5</vt:lpwstr>
  </property>
</Properties>
</file>