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827C" w14:textId="023DA970" w:rsidR="00C75DEF" w:rsidRPr="00B83A04" w:rsidRDefault="00C75DEF" w:rsidP="00C75DEF">
      <w:pPr>
        <w:jc w:val="center"/>
        <w:rPr>
          <w:b/>
          <w:bCs/>
          <w:sz w:val="24"/>
          <w:szCs w:val="24"/>
        </w:rPr>
      </w:pPr>
      <w:r w:rsidRPr="00B83A04">
        <w:rPr>
          <w:b/>
          <w:bCs/>
          <w:color w:val="000000" w:themeColor="text1"/>
          <w:sz w:val="24"/>
          <w:szCs w:val="24"/>
        </w:rPr>
        <w:t>CPD Evaluation Plan 2023-202</w:t>
      </w:r>
      <w:r w:rsidR="004823CF">
        <w:rPr>
          <w:b/>
          <w:bCs/>
          <w:color w:val="000000" w:themeColor="text1"/>
          <w:sz w:val="24"/>
          <w:szCs w:val="24"/>
        </w:rPr>
        <w:t>7</w:t>
      </w:r>
    </w:p>
    <w:p w14:paraId="7232B0FA" w14:textId="77777777" w:rsidR="00C75DEF" w:rsidRPr="00B83A04" w:rsidRDefault="00C75DEF" w:rsidP="00C75DEF">
      <w:pPr>
        <w:jc w:val="center"/>
        <w:rPr>
          <w:b/>
          <w:bCs/>
          <w:sz w:val="24"/>
          <w:szCs w:val="24"/>
        </w:rPr>
      </w:pPr>
      <w:r w:rsidRPr="00B83A04">
        <w:rPr>
          <w:b/>
          <w:bCs/>
          <w:color w:val="000000" w:themeColor="text1"/>
          <w:sz w:val="24"/>
          <w:szCs w:val="24"/>
        </w:rPr>
        <w:t>UNDP Country Office</w:t>
      </w:r>
    </w:p>
    <w:p w14:paraId="1DBC502C" w14:textId="453616FE" w:rsidR="00C75DEF" w:rsidRPr="00B83A04" w:rsidRDefault="00EA494F" w:rsidP="00C75DEF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Morocco</w:t>
      </w:r>
    </w:p>
    <w:p w14:paraId="358A501B" w14:textId="77777777" w:rsidR="00D16FE9" w:rsidRDefault="00D16FE9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</w:p>
    <w:p w14:paraId="4912316D" w14:textId="77777777" w:rsidR="00D16FE9" w:rsidRDefault="00D16FE9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</w:p>
    <w:p w14:paraId="62D1240A" w14:textId="0B15E9EA" w:rsidR="000A2B51" w:rsidRPr="000A2B51" w:rsidRDefault="000A2B51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Th</w:t>
      </w:r>
      <w:r w:rsidR="005E47C3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is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evaluation plan </w:t>
      </w:r>
      <w:r w:rsidR="005E47C3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proposes a combination of strategic project, programme and thematic evaluations for purposes of 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accountability, learning and inform</w:t>
      </w:r>
      <w:r w:rsidR="005E47C3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ed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decision-making </w:t>
      </w:r>
      <w:r w:rsidR="005E47C3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by</w:t>
      </w:r>
      <w:r w:rsidR="005E47C3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country office and stakeholders. </w:t>
      </w:r>
    </w:p>
    <w:p w14:paraId="0C6089E0" w14:textId="536F825F" w:rsidR="000A2B51" w:rsidRPr="000A2B51" w:rsidRDefault="005E47C3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It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cover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s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the three </w:t>
      </w:r>
      <w:r w:rsidR="00A52CB4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main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areas of </w:t>
      </w:r>
      <w:r w:rsidR="00A52CB4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planned interventions of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UNDP Morocco</w:t>
      </w:r>
      <w:r w:rsidR="00A52CB4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during the period 2023-2027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, </w:t>
      </w:r>
      <w:r w:rsidR="009A50E3">
        <w:rPr>
          <w:rFonts w:ascii="Cambria" w:hAnsi="Cambria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while considering mandatory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evaluations</w:t>
      </w:r>
      <w:r w:rsidR="00424A5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424A59">
        <w:rPr>
          <w:rFonts w:ascii="Calibri" w:hAnsi="Calibri" w:cs="Calibri"/>
          <w:color w:val="323130"/>
          <w:sz w:val="22"/>
          <w:szCs w:val="22"/>
          <w:shd w:val="clear" w:color="auto" w:fill="FFFFFF"/>
        </w:rPr>
        <w:t>as per the evaluation guidelines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, lessons learned from the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evaluation of the CPD 2017-2021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GB" w:eastAsia="fr-MA"/>
        </w:rPr>
        <w:t>/</w:t>
      </w:r>
      <w:r w:rsidRPr="004E2143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eastAsia="fr-MA"/>
        </w:rPr>
        <w:t>22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, as well as evidence needs to accompany Morocco</w:t>
      </w:r>
      <w:r w:rsidR="00A52CB4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’s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development </w:t>
      </w:r>
      <w:r w:rsidR="00A52CB4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trajectory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.</w:t>
      </w:r>
    </w:p>
    <w:p w14:paraId="6E95FB9D" w14:textId="5B1DBEAA" w:rsidR="000A2B51" w:rsidRPr="000A2B51" w:rsidRDefault="00772D02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T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he evaluation plan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includes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twelve evaluations over the next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five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years, including eight project/program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me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evaluations, three thematic evaluations, and one mid-term country program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me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evaluation.</w:t>
      </w:r>
    </w:p>
    <w:p w14:paraId="0AE29A71" w14:textId="7B3B3ABF" w:rsidR="000A2B51" w:rsidRPr="000A2B51" w:rsidRDefault="000A2B51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thematic evaluations are intended to assess the extent to which UNDP Morocco is contributing to change at the national and local </w:t>
      </w:r>
      <w:r w:rsidR="004E2143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levels and</w:t>
      </w:r>
      <w:r w:rsidR="00772D02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will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inform planning and future programm</w:t>
      </w:r>
      <w:r w:rsidR="00772D02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ing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. The choice of</w:t>
      </w:r>
      <w:r w:rsidR="00754083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the themes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was driven primarily by:</w:t>
      </w:r>
    </w:p>
    <w:p w14:paraId="324BA3D0" w14:textId="6D070ADA" w:rsidR="000A2B51" w:rsidRPr="000A2B51" w:rsidRDefault="00754083" w:rsidP="000A2B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evaluation of the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CPD 2017-2021 which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recommends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: </w:t>
      </w:r>
      <w:proofErr w:type="spellStart"/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</w:t>
      </w:r>
      <w:proofErr w:type="spellEnd"/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) improv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ing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the targeting strategy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of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local interventions that aim to reduce inequalities, ii) improv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ing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gender and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human rights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mainstreaming, and iii) evaluat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ing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impact of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a large project. </w:t>
      </w:r>
    </w:p>
    <w:p w14:paraId="1AD83656" w14:textId="4A92B84E" w:rsidR="000A2B51" w:rsidRPr="000A2B51" w:rsidRDefault="00754083" w:rsidP="000A2B5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Morocco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new development model that </w:t>
      </w:r>
      <w:r w:rsidR="000A2B51">
        <w:rPr>
          <w:rFonts w:ascii="Cambria" w:hAnsi="Cambria" w:cs="Segoe UI"/>
          <w:color w:val="201F1E"/>
          <w:sz w:val="22"/>
          <w:szCs w:val="22"/>
          <w:bdr w:val="none" w:sz="0" w:space="0" w:color="auto" w:frame="1"/>
          <w:lang w:val="en-CA" w:eastAsia="fr-MA"/>
        </w:rPr>
        <w:t>places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human rights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, social and gender equality at the center of the country's strategic priorities. </w:t>
      </w:r>
    </w:p>
    <w:p w14:paraId="73A93790" w14:textId="1939CC30" w:rsidR="000A2B51" w:rsidRPr="000A2B51" w:rsidRDefault="000A2B51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It should be noted that the evaluation of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contribution of 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UNDP Morocco to gender equality is planned at the beginning of the program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me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cycle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in order to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inform more gender-focused </w:t>
      </w:r>
      <w:r w:rsidR="00236328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planning and </w:t>
      </w:r>
      <w:proofErr w:type="gramStart"/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programming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, and</w:t>
      </w:r>
      <w:proofErr w:type="gramEnd"/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support 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country </w:t>
      </w:r>
      <w:r>
        <w:rPr>
          <w:rFonts w:ascii="Cambria" w:hAnsi="Cambria" w:cs="Segoe UI"/>
          <w:color w:val="201F1E"/>
          <w:sz w:val="22"/>
          <w:szCs w:val="22"/>
          <w:bdr w:val="none" w:sz="0" w:space="0" w:color="auto" w:frame="1"/>
          <w:lang w:val="en-CA" w:eastAsia="fr-MA"/>
        </w:rPr>
        <w:t>office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ambition 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to obtain the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gold 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gender equality seal </w:t>
      </w:r>
      <w:r w:rsidR="00714C49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certification</w:t>
      </w:r>
      <w:r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.</w:t>
      </w:r>
    </w:p>
    <w:p w14:paraId="3DC5839A" w14:textId="51DD30A6" w:rsidR="000A2B51" w:rsidRDefault="0017334B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  <w:r w:rsidRPr="0017334B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plan is prepared taking into consideration the socioeconomic, political, and environmental risks.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The evaluation plan will be reviewed annually to incorporate </w:t>
      </w:r>
      <w:r w:rsidR="00007EAE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new 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relevant evaluations</w:t>
      </w:r>
      <w:r w:rsidR="00007EAE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>, including evaluation of</w:t>
      </w:r>
      <w:r w:rsidR="000A2B51" w:rsidRPr="000A2B51"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  <w:t xml:space="preserve"> future projects, and any necessary adjustments will be reported to the regional office focal point.</w:t>
      </w:r>
    </w:p>
    <w:p w14:paraId="473CA873" w14:textId="77777777" w:rsidR="0097697F" w:rsidRPr="000A2B51" w:rsidRDefault="0097697F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</w:p>
    <w:p w14:paraId="5D568130" w14:textId="77777777" w:rsidR="000A2B51" w:rsidRPr="000A2B51" w:rsidRDefault="000A2B51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</w:p>
    <w:p w14:paraId="5AA6EAE6" w14:textId="77777777" w:rsidR="000A2B51" w:rsidRPr="000A2B51" w:rsidRDefault="000A2B51" w:rsidP="000A2B51">
      <w:pPr>
        <w:spacing w:before="120" w:after="120" w:line="360" w:lineRule="auto"/>
        <w:jc w:val="both"/>
        <w:rPr>
          <w:rFonts w:ascii="Segoe MDL2 Assets" w:hAnsi="Segoe MDL2 Assets" w:cs="Segoe UI"/>
          <w:color w:val="201F1E"/>
          <w:sz w:val="22"/>
          <w:szCs w:val="22"/>
          <w:bdr w:val="none" w:sz="0" w:space="0" w:color="auto" w:frame="1"/>
          <w:lang w:val="en-CA" w:eastAsia="fr-MA"/>
        </w:rPr>
      </w:pPr>
    </w:p>
    <w:p w14:paraId="5441DB59" w14:textId="3E2296DE" w:rsidR="00B54F5C" w:rsidRDefault="00BB01F5" w:rsidP="000A2B51">
      <w:pPr>
        <w:spacing w:before="120" w:after="120" w:line="360" w:lineRule="auto"/>
        <w:jc w:val="both"/>
      </w:pPr>
    </w:p>
    <w:p w14:paraId="5002A088" w14:textId="0FD5721A" w:rsidR="00E0067C" w:rsidRDefault="00E0067C" w:rsidP="000A2B51">
      <w:pPr>
        <w:spacing w:before="120" w:after="120" w:line="360" w:lineRule="auto"/>
        <w:jc w:val="both"/>
      </w:pPr>
    </w:p>
    <w:p w14:paraId="0A870A1E" w14:textId="799BDCFD" w:rsidR="00E0067C" w:rsidRDefault="00E0067C" w:rsidP="000A2B51">
      <w:pPr>
        <w:spacing w:before="120" w:after="120" w:line="360" w:lineRule="auto"/>
        <w:jc w:val="both"/>
      </w:pPr>
    </w:p>
    <w:p w14:paraId="6B79C9AC" w14:textId="3A3ABDC0" w:rsidR="00E0067C" w:rsidRDefault="00E0067C" w:rsidP="000A2B51">
      <w:pPr>
        <w:spacing w:before="120" w:after="120" w:line="360" w:lineRule="auto"/>
        <w:jc w:val="both"/>
      </w:pPr>
    </w:p>
    <w:p w14:paraId="7A8E48BC" w14:textId="3F895A45" w:rsidR="00E0067C" w:rsidRDefault="00E0067C" w:rsidP="000A2B51">
      <w:pPr>
        <w:spacing w:before="120" w:after="120" w:line="360" w:lineRule="auto"/>
        <w:jc w:val="both"/>
      </w:pPr>
    </w:p>
    <w:tbl>
      <w:tblPr>
        <w:tblpPr w:leftFromText="180" w:rightFromText="180" w:vertAnchor="text" w:horzAnchor="margin" w:tblpXSpec="center" w:tblpY="143"/>
        <w:tblW w:w="5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58"/>
        <w:gridCol w:w="1345"/>
        <w:gridCol w:w="981"/>
        <w:gridCol w:w="1176"/>
        <w:gridCol w:w="928"/>
        <w:gridCol w:w="1016"/>
        <w:gridCol w:w="910"/>
        <w:gridCol w:w="1016"/>
      </w:tblGrid>
      <w:tr w:rsidR="00E0067C" w:rsidRPr="003C26C1" w14:paraId="5FF6F1BC" w14:textId="77777777" w:rsidTr="00EA79A1">
        <w:trPr>
          <w:trHeight w:val="845"/>
        </w:trPr>
        <w:tc>
          <w:tcPr>
            <w:tcW w:w="584" w:type="pct"/>
            <w:shd w:val="clear" w:color="auto" w:fill="D9E2F3" w:themeFill="accent1" w:themeFillTint="33"/>
            <w:vAlign w:val="center"/>
          </w:tcPr>
          <w:p w14:paraId="52B83EF4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 (or equivalent</w:t>
            </w:r>
            <w:r>
              <w:rPr>
                <w:b/>
                <w:bCs/>
                <w:sz w:val="16"/>
                <w:szCs w:val="16"/>
              </w:rPr>
              <w:t xml:space="preserve">) </w:t>
            </w: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00" w:type="pct"/>
            <w:shd w:val="clear" w:color="auto" w:fill="D9E2F3" w:themeFill="accent1" w:themeFillTint="33"/>
            <w:vAlign w:val="center"/>
          </w:tcPr>
          <w:p w14:paraId="015401B8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696" w:type="pct"/>
            <w:shd w:val="clear" w:color="auto" w:fill="D9E2F3" w:themeFill="accent1" w:themeFillTint="33"/>
            <w:vAlign w:val="center"/>
          </w:tcPr>
          <w:p w14:paraId="0ED2929D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14:paraId="3F4F4F4D" w14:textId="77777777" w:rsidR="00E0067C" w:rsidRPr="003C26C1" w:rsidDel="00BA628C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09" w:type="pct"/>
            <w:shd w:val="clear" w:color="auto" w:fill="D9E2F3" w:themeFill="accent1" w:themeFillTint="33"/>
            <w:vAlign w:val="center"/>
          </w:tcPr>
          <w:p w14:paraId="60A22023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80" w:type="pct"/>
            <w:shd w:val="clear" w:color="auto" w:fill="D9E2F3" w:themeFill="accent1" w:themeFillTint="33"/>
            <w:vAlign w:val="center"/>
          </w:tcPr>
          <w:p w14:paraId="46B7DB19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26" w:type="pct"/>
            <w:shd w:val="clear" w:color="auto" w:fill="D9E2F3" w:themeFill="accent1" w:themeFillTint="33"/>
            <w:vAlign w:val="center"/>
          </w:tcPr>
          <w:p w14:paraId="165D15A4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71" w:type="pct"/>
            <w:shd w:val="clear" w:color="auto" w:fill="D9E2F3" w:themeFill="accent1" w:themeFillTint="33"/>
            <w:vAlign w:val="center"/>
          </w:tcPr>
          <w:p w14:paraId="0C13F9F7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26" w:type="pct"/>
            <w:shd w:val="clear" w:color="auto" w:fill="D9E2F3" w:themeFill="accent1" w:themeFillTint="33"/>
            <w:vAlign w:val="center"/>
          </w:tcPr>
          <w:p w14:paraId="756933D9" w14:textId="77777777" w:rsidR="00E0067C" w:rsidRPr="003C26C1" w:rsidRDefault="00E0067C" w:rsidP="00B226B8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E0067C" w:rsidRPr="00686DD0" w14:paraId="13F39737" w14:textId="77777777" w:rsidTr="00EA79A1">
        <w:trPr>
          <w:trHeight w:val="1408"/>
        </w:trPr>
        <w:tc>
          <w:tcPr>
            <w:tcW w:w="584" w:type="pct"/>
          </w:tcPr>
          <w:p w14:paraId="1FA49456" w14:textId="5C151AB3" w:rsidR="00E0067C" w:rsidRPr="00A84E77" w:rsidRDefault="0000610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1, 2 and </w:t>
            </w:r>
            <w:r w:rsidR="00AC4C23">
              <w:rPr>
                <w:sz w:val="16"/>
                <w:szCs w:val="16"/>
              </w:rPr>
              <w:t>4</w:t>
            </w:r>
          </w:p>
        </w:tc>
        <w:tc>
          <w:tcPr>
            <w:tcW w:w="600" w:type="pct"/>
          </w:tcPr>
          <w:p w14:paraId="07DB7552" w14:textId="04AAFC3E" w:rsidR="00E0067C" w:rsidRPr="00A84E77" w:rsidRDefault="00D16FE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</w:t>
            </w:r>
            <w:r w:rsidR="00E77D35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2 </w:t>
            </w:r>
          </w:p>
        </w:tc>
        <w:tc>
          <w:tcPr>
            <w:tcW w:w="696" w:type="pct"/>
          </w:tcPr>
          <w:p w14:paraId="0930889C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  <w:p w14:paraId="25F57688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  <w:p w14:paraId="54D0F92D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  <w:p w14:paraId="6FF40EE8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evaluation of the CPD </w:t>
            </w:r>
          </w:p>
        </w:tc>
        <w:tc>
          <w:tcPr>
            <w:tcW w:w="508" w:type="pct"/>
          </w:tcPr>
          <w:p w14:paraId="00ECD924" w14:textId="77777777" w:rsidR="00E0067C" w:rsidRPr="00A84E77" w:rsidRDefault="00E0067C" w:rsidP="00B226B8">
            <w:pPr>
              <w:spacing w:before="100" w:beforeAutospacing="1" w:after="100" w:afterAutospacing="1"/>
              <w:rPr>
                <w:sz w:val="16"/>
                <w:szCs w:val="16"/>
                <w:lang w:val="en-CA"/>
              </w:rPr>
            </w:pPr>
          </w:p>
        </w:tc>
        <w:tc>
          <w:tcPr>
            <w:tcW w:w="609" w:type="pct"/>
          </w:tcPr>
          <w:p w14:paraId="1952DB20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1AAD1213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CPD</w:t>
            </w:r>
          </w:p>
        </w:tc>
        <w:tc>
          <w:tcPr>
            <w:tcW w:w="526" w:type="pct"/>
          </w:tcPr>
          <w:p w14:paraId="7C9B31C3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</w:t>
            </w:r>
            <w:r w:rsidRPr="00A84E7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  <w:p w14:paraId="68D0F9A4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</w:p>
          <w:p w14:paraId="3405EB1C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6219658A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>50,000</w:t>
            </w:r>
          </w:p>
        </w:tc>
        <w:tc>
          <w:tcPr>
            <w:tcW w:w="526" w:type="pct"/>
          </w:tcPr>
          <w:p w14:paraId="03594D35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 w:rsidRPr="00686DD0">
              <w:rPr>
                <w:rStyle w:val="CommentReference"/>
                <w:lang w:eastAsia="uk-UA"/>
              </w:rPr>
              <w:t>.</w:t>
            </w:r>
            <w:r>
              <w:rPr>
                <w:rStyle w:val="CommentReference"/>
                <w:lang w:eastAsia="uk-UA"/>
              </w:rPr>
              <w:t>New MERAD project phase budget</w:t>
            </w:r>
          </w:p>
        </w:tc>
      </w:tr>
      <w:tr w:rsidR="00E0067C" w:rsidRPr="00686DD0" w14:paraId="65C18D4A" w14:textId="77777777" w:rsidTr="00EA79A1">
        <w:trPr>
          <w:trHeight w:val="1408"/>
        </w:trPr>
        <w:tc>
          <w:tcPr>
            <w:tcW w:w="584" w:type="pct"/>
          </w:tcPr>
          <w:p w14:paraId="02FCCBDC" w14:textId="00923F70" w:rsidR="00E0067C" w:rsidRPr="00A84E77" w:rsidRDefault="00D16FE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Outcome 1,2 and </w:t>
            </w:r>
            <w:r w:rsidR="00AC4C23">
              <w:rPr>
                <w:sz w:val="16"/>
                <w:szCs w:val="16"/>
              </w:rPr>
              <w:t>4</w:t>
            </w:r>
          </w:p>
        </w:tc>
        <w:tc>
          <w:tcPr>
            <w:tcW w:w="600" w:type="pct"/>
          </w:tcPr>
          <w:p w14:paraId="37257736" w14:textId="72184F61" w:rsidR="00E0067C" w:rsidRPr="00A84E77" w:rsidRDefault="00D16FE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1</w:t>
            </w:r>
            <w:r w:rsidR="00EA79A1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696" w:type="pct"/>
          </w:tcPr>
          <w:p w14:paraId="335B269E" w14:textId="77777777" w:rsidR="00E0067C" w:rsidRPr="007720A1" w:rsidRDefault="00E0067C" w:rsidP="00B226B8">
            <w:pPr>
              <w:rPr>
                <w:sz w:val="16"/>
                <w:szCs w:val="16"/>
                <w:lang w:val="en-CA"/>
              </w:rPr>
            </w:pPr>
            <w:r w:rsidRPr="007720A1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 xml:space="preserve">Evaluation of 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 xml:space="preserve">the </w:t>
            </w:r>
            <w:r w:rsidRPr="007720A1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>UNDP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 xml:space="preserve"> contribution to </w:t>
            </w:r>
            <w:r w:rsidRPr="007720A1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 xml:space="preserve">gender 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 xml:space="preserve">equality </w:t>
            </w:r>
            <w:r w:rsidRPr="007444C9">
              <w:rPr>
                <w:sz w:val="16"/>
                <w:szCs w:val="16"/>
                <w:lang w:val="en-CA"/>
              </w:rPr>
              <w:t>and women's empowerment</w:t>
            </w:r>
          </w:p>
        </w:tc>
        <w:tc>
          <w:tcPr>
            <w:tcW w:w="508" w:type="pct"/>
          </w:tcPr>
          <w:p w14:paraId="4AE53744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56860A90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6F500E80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fr-MA"/>
              </w:rPr>
              <w:t>Thematic</w:t>
            </w:r>
            <w:proofErr w:type="spellEnd"/>
            <w:r>
              <w:rPr>
                <w:sz w:val="16"/>
                <w:szCs w:val="16"/>
                <w:lang w:val="fr-M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MA"/>
              </w:rPr>
              <w:t>evaluation</w:t>
            </w:r>
            <w:proofErr w:type="spellEnd"/>
          </w:p>
        </w:tc>
        <w:tc>
          <w:tcPr>
            <w:tcW w:w="526" w:type="pct"/>
          </w:tcPr>
          <w:p w14:paraId="6D493CAF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  <w:lang w:val="fr-MA"/>
              </w:rPr>
              <w:t>06/2023</w:t>
            </w:r>
          </w:p>
        </w:tc>
        <w:tc>
          <w:tcPr>
            <w:tcW w:w="471" w:type="pct"/>
          </w:tcPr>
          <w:p w14:paraId="2DA9ECE7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MA"/>
              </w:rPr>
              <w:t>$</w:t>
            </w:r>
            <w:r w:rsidRPr="00A84E77">
              <w:rPr>
                <w:sz w:val="16"/>
                <w:szCs w:val="16"/>
                <w:lang w:val="fr-MA"/>
              </w:rPr>
              <w:t xml:space="preserve">40,000 </w:t>
            </w:r>
          </w:p>
        </w:tc>
        <w:tc>
          <w:tcPr>
            <w:tcW w:w="526" w:type="pct"/>
          </w:tcPr>
          <w:p w14:paraId="6AF21FF9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>
              <w:rPr>
                <w:rStyle w:val="CommentReference"/>
                <w:lang w:eastAsia="uk-UA"/>
              </w:rPr>
              <w:t>New MERAD project phase budget</w:t>
            </w:r>
          </w:p>
        </w:tc>
      </w:tr>
      <w:tr w:rsidR="00E0067C" w:rsidRPr="00686DD0" w14:paraId="3FFA24AF" w14:textId="77777777" w:rsidTr="00EA79A1">
        <w:trPr>
          <w:trHeight w:val="490"/>
        </w:trPr>
        <w:tc>
          <w:tcPr>
            <w:tcW w:w="584" w:type="pct"/>
            <w:vMerge w:val="restart"/>
          </w:tcPr>
          <w:p w14:paraId="4D563735" w14:textId="77777777" w:rsidR="00E0067C" w:rsidRPr="00A84E77" w:rsidRDefault="00E0067C" w:rsidP="00B226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90D899" w14:textId="77777777" w:rsidR="00E0067C" w:rsidRPr="00A84E77" w:rsidRDefault="00E0067C" w:rsidP="00B226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2D25872" w14:textId="77777777" w:rsidR="00E0067C" w:rsidRPr="00A84E77" w:rsidRDefault="00E0067C" w:rsidP="00B226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A97F8CA" w14:textId="77777777" w:rsidR="00E0067C" w:rsidRPr="00A84E77" w:rsidRDefault="00E0067C" w:rsidP="00B226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3301C1A" w14:textId="77777777" w:rsidR="00E0067C" w:rsidRPr="00A84E77" w:rsidRDefault="00E0067C" w:rsidP="00B226B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B2C631" w14:textId="77777777" w:rsidR="00E0067C" w:rsidRPr="00A84E77" w:rsidRDefault="00E0067C" w:rsidP="00B226B8">
            <w:pPr>
              <w:rPr>
                <w:color w:val="000000"/>
                <w:sz w:val="16"/>
                <w:szCs w:val="16"/>
              </w:rPr>
            </w:pPr>
          </w:p>
          <w:p w14:paraId="506A4136" w14:textId="77777777" w:rsidR="00E0067C" w:rsidRPr="00A84E77" w:rsidRDefault="00E0067C" w:rsidP="00B226B8">
            <w:pPr>
              <w:jc w:val="center"/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</w:rPr>
              <w:t xml:space="preserve">Outcome 1: </w:t>
            </w:r>
            <w:r w:rsidRPr="00A84E77">
              <w:rPr>
                <w:color w:val="000000"/>
                <w:sz w:val="16"/>
                <w:szCs w:val="16"/>
              </w:rPr>
              <w:t>By 2027, public policies are effective, inclusive, territorialized, integrating sustainable development, based on evidence and sensitive to gender and human rights, in accordance with Morocco's Constitution and international commitments</w:t>
            </w:r>
          </w:p>
        </w:tc>
        <w:tc>
          <w:tcPr>
            <w:tcW w:w="600" w:type="pct"/>
            <w:vMerge w:val="restart"/>
          </w:tcPr>
          <w:p w14:paraId="17548551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208B3FF5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19215114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2E303326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0A270C34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170BE0BD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3DB96ED4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0DDD8F63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07D290AD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3404E9CE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3B8A5D13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14:paraId="4621888E" w14:textId="77777777" w:rsidR="00E0067C" w:rsidRPr="008F2499" w:rsidRDefault="00E0067C" w:rsidP="00B226B8">
            <w:pPr>
              <w:pStyle w:val="Heading2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266D5B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Outcome 1: </w:t>
            </w:r>
            <w:bookmarkStart w:id="0" w:name="_Toc78802131"/>
            <w:r w:rsidRPr="008F249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</w:t>
            </w:r>
            <w:bookmarkEnd w:id="0"/>
          </w:p>
          <w:p w14:paraId="0F808395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bookmarkStart w:id="1" w:name="_Hlk77050292"/>
            <w:r w:rsidRPr="008F2499">
              <w:rPr>
                <w:color w:val="000000"/>
                <w:sz w:val="16"/>
                <w:szCs w:val="16"/>
              </w:rPr>
              <w:t>Structural transformation accelerated, particularly green, inclusive, and digital transitions</w:t>
            </w:r>
            <w:bookmarkEnd w:id="1"/>
          </w:p>
        </w:tc>
        <w:tc>
          <w:tcPr>
            <w:tcW w:w="696" w:type="pct"/>
          </w:tcPr>
          <w:p w14:paraId="5044B65B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Mid-term evaluation of “Strengthening Marrakech’s sustainable development through innovative planning and financing” project</w:t>
            </w:r>
          </w:p>
        </w:tc>
        <w:tc>
          <w:tcPr>
            <w:tcW w:w="508" w:type="pct"/>
          </w:tcPr>
          <w:p w14:paraId="7714A8FB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6EA3A2E9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16ADBD0F" w14:textId="204A7812" w:rsidR="00E0067C" w:rsidRPr="00A84E77" w:rsidRDefault="0031328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  <w:r w:rsidR="00E0067C" w:rsidRPr="00A84E77">
              <w:rPr>
                <w:sz w:val="16"/>
                <w:szCs w:val="16"/>
              </w:rPr>
              <w:t>Project evaluation</w:t>
            </w:r>
          </w:p>
        </w:tc>
        <w:tc>
          <w:tcPr>
            <w:tcW w:w="526" w:type="pct"/>
          </w:tcPr>
          <w:p w14:paraId="223A9808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06/2024</w:t>
            </w:r>
          </w:p>
        </w:tc>
        <w:tc>
          <w:tcPr>
            <w:tcW w:w="471" w:type="pct"/>
          </w:tcPr>
          <w:p w14:paraId="3CE72B7F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 xml:space="preserve">70,000 </w:t>
            </w:r>
          </w:p>
        </w:tc>
        <w:tc>
          <w:tcPr>
            <w:tcW w:w="526" w:type="pct"/>
          </w:tcPr>
          <w:p w14:paraId="0B7C70A5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 w:rsidRPr="00AC7B71">
              <w:rPr>
                <w:rStyle w:val="CommentReference"/>
                <w:lang w:eastAsia="uk-UA"/>
              </w:rPr>
              <w:t xml:space="preserve">The GEF project </w:t>
            </w:r>
            <w:r>
              <w:rPr>
                <w:rStyle w:val="CommentReference"/>
                <w:lang w:eastAsia="uk-UA"/>
              </w:rPr>
              <w:t>fund</w:t>
            </w:r>
          </w:p>
        </w:tc>
      </w:tr>
      <w:tr w:rsidR="00E0067C" w:rsidRPr="00686DD0" w14:paraId="68845E61" w14:textId="77777777" w:rsidTr="00EA79A1">
        <w:trPr>
          <w:trHeight w:val="490"/>
        </w:trPr>
        <w:tc>
          <w:tcPr>
            <w:tcW w:w="584" w:type="pct"/>
            <w:vMerge/>
          </w:tcPr>
          <w:p w14:paraId="7A5E36FF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14:paraId="0B70C449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14:paraId="0026CA83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Final evaluation of the “Strengthening Marrakech’s sustainable development through innovative planning and financing” project</w:t>
            </w:r>
          </w:p>
        </w:tc>
        <w:tc>
          <w:tcPr>
            <w:tcW w:w="508" w:type="pct"/>
          </w:tcPr>
          <w:p w14:paraId="6B33BA96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3A89F2C5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5933558B" w14:textId="4871DD1B" w:rsidR="00E0067C" w:rsidRPr="00A84E77" w:rsidRDefault="0031328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  <w:r w:rsidR="00E0067C" w:rsidRPr="00A84E77">
              <w:rPr>
                <w:sz w:val="16"/>
                <w:szCs w:val="16"/>
              </w:rPr>
              <w:t>Project evaluation</w:t>
            </w:r>
          </w:p>
        </w:tc>
        <w:tc>
          <w:tcPr>
            <w:tcW w:w="526" w:type="pct"/>
          </w:tcPr>
          <w:p w14:paraId="21659781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10/2026</w:t>
            </w:r>
          </w:p>
        </w:tc>
        <w:tc>
          <w:tcPr>
            <w:tcW w:w="471" w:type="pct"/>
          </w:tcPr>
          <w:p w14:paraId="5171F9D1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 xml:space="preserve">90,000 </w:t>
            </w:r>
          </w:p>
        </w:tc>
        <w:tc>
          <w:tcPr>
            <w:tcW w:w="526" w:type="pct"/>
          </w:tcPr>
          <w:p w14:paraId="1C89AB7B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 w:rsidRPr="00AC7B71">
              <w:rPr>
                <w:rStyle w:val="CommentReference"/>
                <w:lang w:eastAsia="uk-UA"/>
              </w:rPr>
              <w:t>The GEF project budget</w:t>
            </w:r>
          </w:p>
        </w:tc>
      </w:tr>
      <w:tr w:rsidR="00E0067C" w:rsidRPr="00686DD0" w14:paraId="7277085B" w14:textId="77777777" w:rsidTr="00EA79A1">
        <w:trPr>
          <w:trHeight w:val="490"/>
        </w:trPr>
        <w:tc>
          <w:tcPr>
            <w:tcW w:w="584" w:type="pct"/>
            <w:vMerge/>
          </w:tcPr>
          <w:p w14:paraId="3925A121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14:paraId="73A34C6C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14:paraId="5AB7B87B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Final evaluation of the “ 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D</w:t>
            </w: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eveloping an integrated transparency framework for NDC planning and monitoring” project</w:t>
            </w:r>
          </w:p>
        </w:tc>
        <w:tc>
          <w:tcPr>
            <w:tcW w:w="508" w:type="pct"/>
          </w:tcPr>
          <w:p w14:paraId="552D1A3A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3E541137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3A254545" w14:textId="456221C7" w:rsidR="00E0067C" w:rsidRPr="00A84E77" w:rsidRDefault="0031328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GEF </w:t>
            </w:r>
            <w:r w:rsidR="00E0067C" w:rsidRPr="00A84E77">
              <w:rPr>
                <w:sz w:val="16"/>
                <w:szCs w:val="16"/>
              </w:rPr>
              <w:t>Project evaluation</w:t>
            </w:r>
          </w:p>
        </w:tc>
        <w:tc>
          <w:tcPr>
            <w:tcW w:w="526" w:type="pct"/>
          </w:tcPr>
          <w:p w14:paraId="42DF3D2F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06/2024</w:t>
            </w:r>
          </w:p>
        </w:tc>
        <w:tc>
          <w:tcPr>
            <w:tcW w:w="471" w:type="pct"/>
          </w:tcPr>
          <w:p w14:paraId="093B1B1B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 xml:space="preserve">20,000 </w:t>
            </w:r>
          </w:p>
        </w:tc>
        <w:tc>
          <w:tcPr>
            <w:tcW w:w="526" w:type="pct"/>
          </w:tcPr>
          <w:p w14:paraId="3B8B84EB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 w:rsidRPr="00AC7B71">
              <w:rPr>
                <w:rStyle w:val="CommentReference"/>
                <w:lang w:eastAsia="uk-UA"/>
              </w:rPr>
              <w:t>The GEF project budget</w:t>
            </w:r>
          </w:p>
        </w:tc>
      </w:tr>
      <w:tr w:rsidR="00E0067C" w:rsidRPr="00686DD0" w14:paraId="3C4B87BB" w14:textId="77777777" w:rsidTr="00EA79A1">
        <w:trPr>
          <w:trHeight w:val="490"/>
        </w:trPr>
        <w:tc>
          <w:tcPr>
            <w:tcW w:w="584" w:type="pct"/>
            <w:vMerge/>
          </w:tcPr>
          <w:p w14:paraId="5B8874DB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14:paraId="1CF7E1AF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14:paraId="6C99AE2B" w14:textId="77777777" w:rsidR="00E0067C" w:rsidRPr="00A84E77" w:rsidRDefault="00E0067C" w:rsidP="00B226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6"/>
                <w:szCs w:val="16"/>
                <w:lang w:val="en-CA" w:eastAsia="fr-MA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Final evaluation</w:t>
            </w: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of</w:t>
            </w: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lang w:val="en-US"/>
              </w:rPr>
              <w:t xml:space="preserve"> “Supporting the foundations for sustainable adaptation</w:t>
            </w:r>
          </w:p>
          <w:p w14:paraId="5EBB9F48" w14:textId="77777777" w:rsidR="00E0067C" w:rsidRPr="00A84E77" w:rsidRDefault="00E0067C" w:rsidP="00B226B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01F1E"/>
                <w:sz w:val="16"/>
                <w:szCs w:val="16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lang w:val="en-US"/>
              </w:rPr>
              <w:t>planning and financing in Morocco” project</w:t>
            </w:r>
          </w:p>
        </w:tc>
        <w:tc>
          <w:tcPr>
            <w:tcW w:w="508" w:type="pct"/>
          </w:tcPr>
          <w:p w14:paraId="5EDA6A24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7C26D0E0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78280D7E" w14:textId="70DF7507" w:rsidR="00E0067C" w:rsidRPr="00A84E77" w:rsidRDefault="00313289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GCF </w:t>
            </w:r>
            <w:r w:rsidR="00E0067C" w:rsidRPr="00A84E77">
              <w:rPr>
                <w:sz w:val="16"/>
                <w:szCs w:val="16"/>
              </w:rPr>
              <w:t>Project evaluation</w:t>
            </w:r>
          </w:p>
        </w:tc>
        <w:tc>
          <w:tcPr>
            <w:tcW w:w="526" w:type="pct"/>
          </w:tcPr>
          <w:p w14:paraId="339A9F2C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03/2024</w:t>
            </w:r>
          </w:p>
        </w:tc>
        <w:tc>
          <w:tcPr>
            <w:tcW w:w="471" w:type="pct"/>
          </w:tcPr>
          <w:p w14:paraId="4DD93353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</w:t>
            </w:r>
            <w:r>
              <w:t>0</w:t>
            </w:r>
            <w:r w:rsidRPr="00A84E77">
              <w:rPr>
                <w:sz w:val="16"/>
                <w:szCs w:val="16"/>
              </w:rPr>
              <w:t xml:space="preserve">,000 </w:t>
            </w:r>
          </w:p>
        </w:tc>
        <w:tc>
          <w:tcPr>
            <w:tcW w:w="526" w:type="pct"/>
          </w:tcPr>
          <w:p w14:paraId="2092D6EA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>
              <w:rPr>
                <w:rStyle w:val="CommentReference"/>
                <w:lang w:eastAsia="uk-UA"/>
              </w:rPr>
              <w:t>GCF project fund</w:t>
            </w:r>
          </w:p>
        </w:tc>
      </w:tr>
      <w:tr w:rsidR="00E0067C" w:rsidRPr="00686DD0" w14:paraId="1A21DA21" w14:textId="77777777" w:rsidTr="00EA79A1">
        <w:trPr>
          <w:trHeight w:val="490"/>
        </w:trPr>
        <w:tc>
          <w:tcPr>
            <w:tcW w:w="584" w:type="pct"/>
            <w:vMerge/>
          </w:tcPr>
          <w:p w14:paraId="38A2D7AB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14:paraId="5A388094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14:paraId="44A99637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Final evaluation of the “Operational strengthening of 4C Morocco” project</w:t>
            </w:r>
          </w:p>
        </w:tc>
        <w:tc>
          <w:tcPr>
            <w:tcW w:w="508" w:type="pct"/>
          </w:tcPr>
          <w:p w14:paraId="38F49DC3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14:paraId="1B551D41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</w:tcPr>
          <w:p w14:paraId="2B50112B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Project evaluation</w:t>
            </w:r>
          </w:p>
        </w:tc>
        <w:tc>
          <w:tcPr>
            <w:tcW w:w="526" w:type="pct"/>
          </w:tcPr>
          <w:p w14:paraId="39AF6E32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12/2023</w:t>
            </w:r>
          </w:p>
        </w:tc>
        <w:tc>
          <w:tcPr>
            <w:tcW w:w="471" w:type="pct"/>
          </w:tcPr>
          <w:p w14:paraId="1A234A42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 xml:space="preserve">20,000 </w:t>
            </w:r>
          </w:p>
        </w:tc>
        <w:tc>
          <w:tcPr>
            <w:tcW w:w="526" w:type="pct"/>
          </w:tcPr>
          <w:p w14:paraId="56E49480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>
              <w:rPr>
                <w:rStyle w:val="CommentReference"/>
                <w:lang w:eastAsia="uk-UA"/>
              </w:rPr>
              <w:t>German fund for the project</w:t>
            </w:r>
          </w:p>
        </w:tc>
      </w:tr>
      <w:tr w:rsidR="00E0067C" w:rsidRPr="00053CA4" w14:paraId="3FC9D397" w14:textId="77777777" w:rsidTr="00EA79A1">
        <w:trPr>
          <w:trHeight w:val="490"/>
        </w:trPr>
        <w:tc>
          <w:tcPr>
            <w:tcW w:w="584" w:type="pct"/>
            <w:vMerge w:val="restart"/>
          </w:tcPr>
          <w:p w14:paraId="1FB9DF7C" w14:textId="77777777" w:rsidR="00E0067C" w:rsidRPr="00A84E77" w:rsidRDefault="00E0067C" w:rsidP="00B226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Outcome 2: </w:t>
            </w:r>
            <w:r w:rsidRPr="00A84E77">
              <w:rPr>
                <w:color w:val="000000"/>
                <w:sz w:val="16"/>
                <w:szCs w:val="16"/>
              </w:rPr>
              <w:t>By 2027, social protection is universal and sustainable, and social, territorial and gender inequalities are reduced with a view to leaving no one behind</w:t>
            </w:r>
          </w:p>
        </w:tc>
        <w:tc>
          <w:tcPr>
            <w:tcW w:w="600" w:type="pct"/>
            <w:vMerge w:val="restart"/>
          </w:tcPr>
          <w:p w14:paraId="38BF5411" w14:textId="77777777" w:rsidR="00E0067C" w:rsidRPr="00A84E77" w:rsidRDefault="00E0067C" w:rsidP="00B226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Outcome 2:</w:t>
            </w:r>
          </w:p>
          <w:p w14:paraId="1F08D69C" w14:textId="77777777" w:rsidR="00E0067C" w:rsidRPr="00A84E77" w:rsidRDefault="00E0067C" w:rsidP="00B226B8">
            <w:pPr>
              <w:rPr>
                <w:color w:val="000000"/>
                <w:sz w:val="16"/>
                <w:szCs w:val="16"/>
              </w:rPr>
            </w:pPr>
            <w:r w:rsidRPr="00817098">
              <w:rPr>
                <w:color w:val="000000"/>
                <w:sz w:val="16"/>
                <w:szCs w:val="16"/>
              </w:rPr>
              <w:t xml:space="preserve">No-one </w:t>
            </w:r>
            <w:proofErr w:type="gramStart"/>
            <w:r w:rsidRPr="00817098">
              <w:rPr>
                <w:color w:val="000000"/>
                <w:sz w:val="16"/>
                <w:szCs w:val="16"/>
              </w:rPr>
              <w:t>left behind,</w:t>
            </w:r>
            <w:proofErr w:type="gramEnd"/>
            <w:r w:rsidRPr="0081709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098">
              <w:rPr>
                <w:color w:val="000000"/>
                <w:sz w:val="16"/>
                <w:szCs w:val="16"/>
              </w:rPr>
              <w:t>centring</w:t>
            </w:r>
            <w:proofErr w:type="spellEnd"/>
            <w:r w:rsidRPr="00817098">
              <w:rPr>
                <w:color w:val="000000"/>
                <w:sz w:val="16"/>
                <w:szCs w:val="16"/>
              </w:rPr>
              <w:t xml:space="preserve"> on equitable access to opportunities and a rights-based approach to human agency and human development</w:t>
            </w:r>
          </w:p>
        </w:tc>
        <w:tc>
          <w:tcPr>
            <w:tcW w:w="696" w:type="pct"/>
          </w:tcPr>
          <w:p w14:paraId="311DEE9F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>Evaluation of UNDP's contribution to local development</w:t>
            </w:r>
          </w:p>
        </w:tc>
        <w:tc>
          <w:tcPr>
            <w:tcW w:w="508" w:type="pct"/>
          </w:tcPr>
          <w:p w14:paraId="64581C55" w14:textId="77777777" w:rsidR="00E0067C" w:rsidRPr="00817098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2343C92A" w14:textId="77777777" w:rsidR="00E0067C" w:rsidRPr="00817098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609" w:type="pct"/>
          </w:tcPr>
          <w:p w14:paraId="7A891364" w14:textId="77777777" w:rsidR="00E0067C" w:rsidRPr="00817098" w:rsidRDefault="00E0067C" w:rsidP="00B226B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80" w:type="pct"/>
          </w:tcPr>
          <w:p w14:paraId="77B9D9F0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proofErr w:type="spellStart"/>
            <w:r>
              <w:rPr>
                <w:sz w:val="16"/>
                <w:szCs w:val="16"/>
                <w:lang w:val="fr-MA"/>
              </w:rPr>
              <w:t>Thematic</w:t>
            </w:r>
            <w:proofErr w:type="spellEnd"/>
            <w:r>
              <w:rPr>
                <w:sz w:val="16"/>
                <w:szCs w:val="16"/>
                <w:lang w:val="fr-M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MA"/>
              </w:rPr>
              <w:t>evaluation</w:t>
            </w:r>
            <w:proofErr w:type="spellEnd"/>
          </w:p>
        </w:tc>
        <w:tc>
          <w:tcPr>
            <w:tcW w:w="526" w:type="pct"/>
          </w:tcPr>
          <w:p w14:paraId="2FEABAB5" w14:textId="6B7B52FA" w:rsidR="00E0067C" w:rsidRPr="00A84E77" w:rsidRDefault="00E0067C" w:rsidP="00B226B8">
            <w:pPr>
              <w:spacing w:before="40" w:after="40"/>
              <w:rPr>
                <w:sz w:val="16"/>
                <w:szCs w:val="16"/>
                <w:lang w:val="fr-MA"/>
              </w:rPr>
            </w:pPr>
            <w:r w:rsidRPr="00A84E77">
              <w:rPr>
                <w:sz w:val="16"/>
                <w:szCs w:val="16"/>
                <w:lang w:val="fr-MA"/>
              </w:rPr>
              <w:t>0</w:t>
            </w:r>
            <w:r w:rsidR="009A50E3">
              <w:rPr>
                <w:sz w:val="16"/>
                <w:szCs w:val="16"/>
                <w:lang w:val="fr-MA"/>
              </w:rPr>
              <w:t>9</w:t>
            </w:r>
            <w:r w:rsidRPr="00A84E77">
              <w:rPr>
                <w:sz w:val="16"/>
                <w:szCs w:val="16"/>
                <w:lang w:val="fr-MA"/>
              </w:rPr>
              <w:t>/202</w:t>
            </w:r>
            <w:r w:rsidR="009A50E3">
              <w:rPr>
                <w:sz w:val="16"/>
                <w:szCs w:val="16"/>
                <w:lang w:val="fr-MA"/>
              </w:rPr>
              <w:t>6</w:t>
            </w:r>
          </w:p>
        </w:tc>
        <w:tc>
          <w:tcPr>
            <w:tcW w:w="471" w:type="pct"/>
          </w:tcPr>
          <w:p w14:paraId="5B098898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r>
              <w:rPr>
                <w:sz w:val="16"/>
                <w:szCs w:val="16"/>
                <w:lang w:val="fr-MA"/>
              </w:rPr>
              <w:t>$</w:t>
            </w:r>
            <w:r w:rsidRPr="00A84E77">
              <w:rPr>
                <w:sz w:val="16"/>
                <w:szCs w:val="16"/>
                <w:lang w:val="fr-MA"/>
              </w:rPr>
              <w:t xml:space="preserve">40,000 </w:t>
            </w:r>
          </w:p>
        </w:tc>
        <w:tc>
          <w:tcPr>
            <w:tcW w:w="526" w:type="pct"/>
          </w:tcPr>
          <w:p w14:paraId="17CA1D11" w14:textId="77777777" w:rsidR="00E0067C" w:rsidRPr="00094E9E" w:rsidRDefault="00E0067C" w:rsidP="00B226B8">
            <w:pPr>
              <w:rPr>
                <w:rStyle w:val="CommentReference"/>
                <w:lang w:val="en-CA" w:eastAsia="uk-UA"/>
              </w:rPr>
            </w:pPr>
            <w:r>
              <w:rPr>
                <w:rStyle w:val="CommentReference"/>
                <w:lang w:eastAsia="uk-UA"/>
              </w:rPr>
              <w:t>New MERAD project phase budget</w:t>
            </w:r>
          </w:p>
        </w:tc>
      </w:tr>
      <w:tr w:rsidR="00E0067C" w:rsidRPr="00021A85" w14:paraId="6F4DDF3A" w14:textId="77777777" w:rsidTr="00EA79A1">
        <w:trPr>
          <w:trHeight w:val="490"/>
        </w:trPr>
        <w:tc>
          <w:tcPr>
            <w:tcW w:w="584" w:type="pct"/>
            <w:vMerge/>
          </w:tcPr>
          <w:p w14:paraId="3CC72D75" w14:textId="77777777" w:rsidR="00E0067C" w:rsidRPr="00094E9E" w:rsidRDefault="00E0067C" w:rsidP="00B226B8">
            <w:pPr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600" w:type="pct"/>
            <w:vMerge/>
          </w:tcPr>
          <w:p w14:paraId="4027C708" w14:textId="77777777" w:rsidR="00E0067C" w:rsidRPr="00094E9E" w:rsidRDefault="00E0067C" w:rsidP="00B226B8">
            <w:pPr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696" w:type="pct"/>
          </w:tcPr>
          <w:p w14:paraId="510B5C77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  <w:t>Evaluation of UNDP's contribution to reducing inequality</w:t>
            </w:r>
          </w:p>
        </w:tc>
        <w:tc>
          <w:tcPr>
            <w:tcW w:w="508" w:type="pct"/>
          </w:tcPr>
          <w:p w14:paraId="3BE723E9" w14:textId="77777777" w:rsidR="00E0067C" w:rsidRPr="00E0067C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609" w:type="pct"/>
          </w:tcPr>
          <w:p w14:paraId="2D5983F4" w14:textId="77777777" w:rsidR="00E0067C" w:rsidRPr="00E0067C" w:rsidRDefault="00E0067C" w:rsidP="00B226B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80" w:type="pct"/>
          </w:tcPr>
          <w:p w14:paraId="5E27E71A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proofErr w:type="spellStart"/>
            <w:r>
              <w:rPr>
                <w:sz w:val="16"/>
                <w:szCs w:val="16"/>
                <w:lang w:val="fr-MA"/>
              </w:rPr>
              <w:t>Thematic</w:t>
            </w:r>
            <w:proofErr w:type="spellEnd"/>
            <w:r>
              <w:rPr>
                <w:sz w:val="16"/>
                <w:szCs w:val="16"/>
                <w:lang w:val="fr-M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MA"/>
              </w:rPr>
              <w:t>evaluation</w:t>
            </w:r>
            <w:proofErr w:type="spellEnd"/>
          </w:p>
        </w:tc>
        <w:tc>
          <w:tcPr>
            <w:tcW w:w="526" w:type="pct"/>
          </w:tcPr>
          <w:p w14:paraId="3BD9CAE1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  <w:lang w:val="fr-MA"/>
              </w:rPr>
            </w:pPr>
            <w:r w:rsidRPr="00A84E77">
              <w:rPr>
                <w:sz w:val="16"/>
                <w:szCs w:val="16"/>
                <w:lang w:val="fr-MA"/>
              </w:rPr>
              <w:t>06/2025</w:t>
            </w:r>
          </w:p>
        </w:tc>
        <w:tc>
          <w:tcPr>
            <w:tcW w:w="471" w:type="pct"/>
          </w:tcPr>
          <w:p w14:paraId="2D48EBF0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r>
              <w:rPr>
                <w:sz w:val="16"/>
                <w:szCs w:val="16"/>
                <w:lang w:val="fr-MA"/>
              </w:rPr>
              <w:t>$</w:t>
            </w:r>
            <w:r w:rsidRPr="00A84E77">
              <w:rPr>
                <w:sz w:val="16"/>
                <w:szCs w:val="16"/>
                <w:lang w:val="fr-MA"/>
              </w:rPr>
              <w:t xml:space="preserve">60,000 </w:t>
            </w:r>
          </w:p>
        </w:tc>
        <w:tc>
          <w:tcPr>
            <w:tcW w:w="526" w:type="pct"/>
          </w:tcPr>
          <w:p w14:paraId="619013A1" w14:textId="77777777" w:rsidR="00E0067C" w:rsidRPr="00094E9E" w:rsidRDefault="00E0067C" w:rsidP="00B226B8">
            <w:pPr>
              <w:rPr>
                <w:rStyle w:val="CommentReference"/>
                <w:lang w:val="en-CA" w:eastAsia="uk-UA"/>
              </w:rPr>
            </w:pPr>
            <w:r>
              <w:rPr>
                <w:rStyle w:val="CommentReference"/>
                <w:lang w:eastAsia="uk-UA"/>
              </w:rPr>
              <w:t>New MERAD project phase budget</w:t>
            </w:r>
          </w:p>
        </w:tc>
      </w:tr>
      <w:tr w:rsidR="00E0067C" w:rsidRPr="00686DD0" w14:paraId="239D022D" w14:textId="77777777" w:rsidTr="00EA79A1">
        <w:trPr>
          <w:trHeight w:val="490"/>
        </w:trPr>
        <w:tc>
          <w:tcPr>
            <w:tcW w:w="584" w:type="pct"/>
            <w:vMerge w:val="restart"/>
          </w:tcPr>
          <w:p w14:paraId="1979A8D0" w14:textId="77777777" w:rsidR="00E0067C" w:rsidRPr="00A84E77" w:rsidRDefault="00E0067C" w:rsidP="00B226B8">
            <w:pPr>
              <w:rPr>
                <w:color w:val="000000"/>
                <w:sz w:val="16"/>
                <w:szCs w:val="16"/>
                <w:lang w:val="en-CA"/>
              </w:rPr>
            </w:pPr>
            <w:r>
              <w:rPr>
                <w:color w:val="000000"/>
                <w:sz w:val="16"/>
                <w:szCs w:val="16"/>
              </w:rPr>
              <w:t xml:space="preserve">Outcome 4: </w:t>
            </w:r>
            <w:r w:rsidRPr="00A84E77">
              <w:rPr>
                <w:color w:val="000000"/>
                <w:sz w:val="16"/>
                <w:szCs w:val="16"/>
              </w:rPr>
              <w:t>By 2027, public policies are effective, inclusive, territorialized, integrating sustainable development, based on evidence and sensitive to gender and human rights, in accordance with Morocco's Constitution and international commitments</w:t>
            </w:r>
            <w:r w:rsidRPr="00A84E7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0" w:type="pct"/>
            <w:vMerge w:val="restart"/>
          </w:tcPr>
          <w:p w14:paraId="6B4DE709" w14:textId="77777777" w:rsidR="00E0067C" w:rsidRPr="00817098" w:rsidRDefault="00E0067C" w:rsidP="00B226B8">
            <w:pPr>
              <w:rPr>
                <w:color w:val="000000"/>
                <w:sz w:val="16"/>
                <w:szCs w:val="16"/>
                <w:lang w:val="en-CA"/>
              </w:rPr>
            </w:pPr>
            <w:r>
              <w:rPr>
                <w:color w:val="000000"/>
                <w:sz w:val="16"/>
                <w:szCs w:val="16"/>
              </w:rPr>
              <w:t xml:space="preserve">Outcome 1: </w:t>
            </w:r>
            <w:r w:rsidRPr="00B226B8">
              <w:rPr>
                <w:color w:val="000000"/>
                <w:sz w:val="16"/>
                <w:szCs w:val="16"/>
              </w:rPr>
              <w:t xml:space="preserve"> Structural transformation accelerated, particularly green, inclusive, and digital transitions</w:t>
            </w:r>
          </w:p>
        </w:tc>
        <w:tc>
          <w:tcPr>
            <w:tcW w:w="696" w:type="pct"/>
          </w:tcPr>
          <w:p w14:paraId="26A53C4E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</w:pPr>
            <w:proofErr w:type="spell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Mid-term</w:t>
            </w:r>
            <w:proofErr w:type="spellEnd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</w:t>
            </w:r>
            <w:proofErr w:type="spell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evaluation</w:t>
            </w:r>
            <w:proofErr w:type="spellEnd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of the </w:t>
            </w:r>
            <w:proofErr w:type="spell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project</w:t>
            </w:r>
            <w:proofErr w:type="spellEnd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‘’</w:t>
            </w: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Appui à la transformation digitale du système judiciaire au Maroc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’’</w:t>
            </w: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</w:t>
            </w:r>
          </w:p>
        </w:tc>
        <w:tc>
          <w:tcPr>
            <w:tcW w:w="508" w:type="pct"/>
          </w:tcPr>
          <w:p w14:paraId="2C0755E0" w14:textId="77777777" w:rsidR="00E0067C" w:rsidRPr="00E0067C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</w:pPr>
          </w:p>
        </w:tc>
        <w:tc>
          <w:tcPr>
            <w:tcW w:w="609" w:type="pct"/>
          </w:tcPr>
          <w:p w14:paraId="30764E8A" w14:textId="77777777" w:rsidR="00E0067C" w:rsidRPr="00E0067C" w:rsidRDefault="00E0067C" w:rsidP="00B226B8">
            <w:pPr>
              <w:rPr>
                <w:sz w:val="16"/>
                <w:szCs w:val="16"/>
                <w:lang w:val="fr-MA"/>
              </w:rPr>
            </w:pPr>
          </w:p>
        </w:tc>
        <w:tc>
          <w:tcPr>
            <w:tcW w:w="480" w:type="pct"/>
          </w:tcPr>
          <w:p w14:paraId="45AFC7A5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r w:rsidRPr="00A84E77">
              <w:rPr>
                <w:sz w:val="16"/>
                <w:szCs w:val="16"/>
                <w:lang w:val="fr-MA"/>
              </w:rPr>
              <w:t xml:space="preserve">Project </w:t>
            </w:r>
            <w:proofErr w:type="spellStart"/>
            <w:r w:rsidRPr="00A84E77">
              <w:rPr>
                <w:sz w:val="16"/>
                <w:szCs w:val="16"/>
                <w:lang w:val="fr-MA"/>
              </w:rPr>
              <w:t>evaluation</w:t>
            </w:r>
            <w:proofErr w:type="spellEnd"/>
          </w:p>
        </w:tc>
        <w:tc>
          <w:tcPr>
            <w:tcW w:w="526" w:type="pct"/>
          </w:tcPr>
          <w:p w14:paraId="038AD1AC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  <w:lang w:val="fr-MA"/>
              </w:rPr>
            </w:pPr>
            <w:r w:rsidRPr="00A84E77">
              <w:rPr>
                <w:sz w:val="16"/>
                <w:szCs w:val="16"/>
                <w:lang w:val="fr-MA"/>
              </w:rPr>
              <w:t>04/2025</w:t>
            </w:r>
          </w:p>
        </w:tc>
        <w:tc>
          <w:tcPr>
            <w:tcW w:w="471" w:type="pct"/>
          </w:tcPr>
          <w:p w14:paraId="7F9A66F5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 xml:space="preserve">80 000 </w:t>
            </w:r>
          </w:p>
        </w:tc>
        <w:tc>
          <w:tcPr>
            <w:tcW w:w="526" w:type="pct"/>
          </w:tcPr>
          <w:p w14:paraId="616CBD0A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>
              <w:rPr>
                <w:rStyle w:val="CommentReference"/>
                <w:lang w:eastAsia="uk-UA"/>
              </w:rPr>
              <w:t>Government fund for the project</w:t>
            </w:r>
          </w:p>
        </w:tc>
      </w:tr>
      <w:tr w:rsidR="00E0067C" w:rsidRPr="00686DD0" w14:paraId="5D2601A0" w14:textId="77777777" w:rsidTr="00EA79A1">
        <w:trPr>
          <w:trHeight w:val="490"/>
        </w:trPr>
        <w:tc>
          <w:tcPr>
            <w:tcW w:w="584" w:type="pct"/>
            <w:vMerge/>
          </w:tcPr>
          <w:p w14:paraId="59692E25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14:paraId="331C2B51" w14:textId="77777777" w:rsidR="00E0067C" w:rsidRPr="00A84E77" w:rsidRDefault="00E0067C" w:rsidP="00B226B8">
            <w:pPr>
              <w:rPr>
                <w:sz w:val="16"/>
                <w:szCs w:val="16"/>
              </w:rPr>
            </w:pPr>
          </w:p>
        </w:tc>
        <w:tc>
          <w:tcPr>
            <w:tcW w:w="696" w:type="pct"/>
          </w:tcPr>
          <w:p w14:paraId="5AB68F27" w14:textId="77777777" w:rsidR="00E0067C" w:rsidRPr="0042644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</w:pPr>
            <w:r w:rsidRPr="0042644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  <w:t xml:space="preserve">Final </w:t>
            </w:r>
            <w:proofErr w:type="spellStart"/>
            <w:r w:rsidRPr="0042644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  <w:t>evaluation</w:t>
            </w:r>
            <w:proofErr w:type="spellEnd"/>
            <w:r w:rsidRPr="0042644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  <w:t xml:space="preserve"> of the </w:t>
            </w:r>
            <w:proofErr w:type="spellStart"/>
            <w:r w:rsidRPr="0042644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  <w:t>project</w:t>
            </w:r>
            <w:proofErr w:type="spellEnd"/>
            <w:r w:rsidRPr="0042644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  <w:t xml:space="preserve"> “</w:t>
            </w:r>
            <w:r w:rsidRPr="00426447">
              <w:rPr>
                <w:lang w:val="fr-FR"/>
              </w:rPr>
              <w:t xml:space="preserve"> </w:t>
            </w:r>
            <w:r w:rsidRPr="0042644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FR"/>
              </w:rPr>
              <w:t>Appui à la Gouvernance Locale pour la mise en œuvre de la Régionalisation Avancée - AGORA III”</w:t>
            </w:r>
          </w:p>
        </w:tc>
        <w:tc>
          <w:tcPr>
            <w:tcW w:w="508" w:type="pct"/>
          </w:tcPr>
          <w:p w14:paraId="289EA502" w14:textId="77777777" w:rsidR="00E0067C" w:rsidRPr="00E0067C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</w:pPr>
          </w:p>
        </w:tc>
        <w:tc>
          <w:tcPr>
            <w:tcW w:w="609" w:type="pct"/>
          </w:tcPr>
          <w:p w14:paraId="692D0F65" w14:textId="77777777" w:rsidR="00E0067C" w:rsidRPr="00E0067C" w:rsidRDefault="00E0067C" w:rsidP="00B226B8">
            <w:pPr>
              <w:rPr>
                <w:sz w:val="16"/>
                <w:szCs w:val="16"/>
                <w:lang w:val="fr-MA"/>
              </w:rPr>
            </w:pPr>
          </w:p>
        </w:tc>
        <w:tc>
          <w:tcPr>
            <w:tcW w:w="480" w:type="pct"/>
          </w:tcPr>
          <w:p w14:paraId="00B49573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Project evaluation</w:t>
            </w:r>
          </w:p>
        </w:tc>
        <w:tc>
          <w:tcPr>
            <w:tcW w:w="526" w:type="pct"/>
          </w:tcPr>
          <w:p w14:paraId="2AD604A4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</w:rPr>
            </w:pPr>
            <w:r w:rsidRPr="00A84E77">
              <w:rPr>
                <w:sz w:val="16"/>
                <w:szCs w:val="16"/>
              </w:rPr>
              <w:t>06/2026</w:t>
            </w:r>
          </w:p>
        </w:tc>
        <w:tc>
          <w:tcPr>
            <w:tcW w:w="471" w:type="pct"/>
          </w:tcPr>
          <w:p w14:paraId="6F7CD354" w14:textId="77777777" w:rsidR="00E0067C" w:rsidRPr="00A84E77" w:rsidRDefault="00E0067C" w:rsidP="00B22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A84E77">
              <w:rPr>
                <w:sz w:val="16"/>
                <w:szCs w:val="16"/>
              </w:rPr>
              <w:t xml:space="preserve">20,000 </w:t>
            </w:r>
          </w:p>
        </w:tc>
        <w:tc>
          <w:tcPr>
            <w:tcW w:w="526" w:type="pct"/>
          </w:tcPr>
          <w:p w14:paraId="22C43B5C" w14:textId="77777777" w:rsidR="00E0067C" w:rsidRPr="00686DD0" w:rsidRDefault="00E0067C" w:rsidP="00B226B8">
            <w:pPr>
              <w:rPr>
                <w:rStyle w:val="CommentReference"/>
                <w:lang w:eastAsia="uk-UA"/>
              </w:rPr>
            </w:pPr>
            <w:r>
              <w:rPr>
                <w:rStyle w:val="CommentReference"/>
                <w:lang w:eastAsia="uk-UA"/>
              </w:rPr>
              <w:t>Government fund for the project</w:t>
            </w:r>
          </w:p>
        </w:tc>
      </w:tr>
      <w:tr w:rsidR="00E0067C" w:rsidRPr="009B6E69" w14:paraId="72D74907" w14:textId="77777777" w:rsidTr="00EA79A1">
        <w:trPr>
          <w:trHeight w:val="490"/>
        </w:trPr>
        <w:tc>
          <w:tcPr>
            <w:tcW w:w="584" w:type="pct"/>
            <w:vMerge/>
          </w:tcPr>
          <w:p w14:paraId="161942BA" w14:textId="77777777" w:rsidR="00E0067C" w:rsidRPr="00A84E77" w:rsidRDefault="00E0067C" w:rsidP="00B226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14:paraId="622186C0" w14:textId="77777777" w:rsidR="00E0067C" w:rsidRPr="00094E9E" w:rsidRDefault="00E0067C" w:rsidP="00B226B8">
            <w:pPr>
              <w:rPr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696" w:type="pct"/>
          </w:tcPr>
          <w:p w14:paraId="3B3B61E5" w14:textId="77777777" w:rsidR="00E0067C" w:rsidRPr="00A84E77" w:rsidRDefault="00E0067C" w:rsidP="00B226B8">
            <w:pP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</w:pPr>
            <w:proofErr w:type="spell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Mid-term</w:t>
            </w:r>
            <w:proofErr w:type="spellEnd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</w:t>
            </w:r>
            <w:proofErr w:type="spell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evaluation</w:t>
            </w:r>
            <w:proofErr w:type="spellEnd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of </w:t>
            </w:r>
            <w:proofErr w:type="gram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the  </w:t>
            </w:r>
            <w:proofErr w:type="spellStart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project</w:t>
            </w:r>
            <w:proofErr w:type="spellEnd"/>
            <w:proofErr w:type="gramEnd"/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 xml:space="preserve"> 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‘’</w:t>
            </w:r>
            <w:r w:rsidRPr="00A84E77"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Appui à la réforme de l’administration</w:t>
            </w:r>
            <w:r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  <w:lang w:val="fr-MA"/>
              </w:rPr>
              <w:t>’’</w:t>
            </w:r>
          </w:p>
        </w:tc>
        <w:tc>
          <w:tcPr>
            <w:tcW w:w="508" w:type="pct"/>
          </w:tcPr>
          <w:p w14:paraId="7027687A" w14:textId="77777777" w:rsidR="00E0067C" w:rsidRPr="00A84E77" w:rsidRDefault="00E0067C" w:rsidP="00B226B8">
            <w:pPr>
              <w:pStyle w:val="Heading2"/>
              <w:shd w:val="clear" w:color="auto" w:fill="FFFFFF"/>
              <w:textAlignment w:val="baseline"/>
              <w:rPr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09" w:type="pct"/>
          </w:tcPr>
          <w:p w14:paraId="32E00BCE" w14:textId="77777777" w:rsidR="00E0067C" w:rsidRPr="00A84E77" w:rsidRDefault="00E0067C" w:rsidP="00B226B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480" w:type="pct"/>
          </w:tcPr>
          <w:p w14:paraId="58319E7F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r w:rsidRPr="00A84E77">
              <w:rPr>
                <w:sz w:val="16"/>
                <w:szCs w:val="16"/>
                <w:lang w:val="fr-MA"/>
              </w:rPr>
              <w:t xml:space="preserve">Project </w:t>
            </w:r>
            <w:proofErr w:type="spellStart"/>
            <w:r w:rsidRPr="00A84E77">
              <w:rPr>
                <w:sz w:val="16"/>
                <w:szCs w:val="16"/>
                <w:lang w:val="fr-MA"/>
              </w:rPr>
              <w:t>evaluation</w:t>
            </w:r>
            <w:proofErr w:type="spellEnd"/>
          </w:p>
        </w:tc>
        <w:tc>
          <w:tcPr>
            <w:tcW w:w="526" w:type="pct"/>
          </w:tcPr>
          <w:p w14:paraId="029A64FA" w14:textId="77777777" w:rsidR="00E0067C" w:rsidRPr="00A84E77" w:rsidRDefault="00E0067C" w:rsidP="00B226B8">
            <w:pPr>
              <w:spacing w:before="40" w:after="40"/>
              <w:rPr>
                <w:sz w:val="16"/>
                <w:szCs w:val="16"/>
                <w:lang w:val="fr-MA"/>
              </w:rPr>
            </w:pPr>
            <w:r w:rsidRPr="00A84E77">
              <w:rPr>
                <w:sz w:val="16"/>
                <w:szCs w:val="16"/>
                <w:lang w:val="fr-MA"/>
              </w:rPr>
              <w:t>10/2024</w:t>
            </w:r>
          </w:p>
        </w:tc>
        <w:tc>
          <w:tcPr>
            <w:tcW w:w="471" w:type="pct"/>
          </w:tcPr>
          <w:p w14:paraId="78208171" w14:textId="77777777" w:rsidR="00E0067C" w:rsidRPr="00A84E77" w:rsidRDefault="00E0067C" w:rsidP="00B226B8">
            <w:pPr>
              <w:rPr>
                <w:sz w:val="16"/>
                <w:szCs w:val="16"/>
                <w:lang w:val="fr-MA"/>
              </w:rPr>
            </w:pPr>
            <w:r>
              <w:rPr>
                <w:sz w:val="16"/>
                <w:szCs w:val="16"/>
                <w:lang w:val="fr-MA"/>
              </w:rPr>
              <w:t>$</w:t>
            </w:r>
            <w:r w:rsidRPr="00A84E77">
              <w:rPr>
                <w:sz w:val="16"/>
                <w:szCs w:val="16"/>
                <w:lang w:val="fr-MA"/>
              </w:rPr>
              <w:t xml:space="preserve">90,000 </w:t>
            </w:r>
          </w:p>
        </w:tc>
        <w:tc>
          <w:tcPr>
            <w:tcW w:w="526" w:type="pct"/>
          </w:tcPr>
          <w:p w14:paraId="1212B5DB" w14:textId="77777777" w:rsidR="00E0067C" w:rsidRPr="00094E9E" w:rsidRDefault="00E0067C" w:rsidP="00B226B8">
            <w:pPr>
              <w:rPr>
                <w:rStyle w:val="CommentReference"/>
                <w:lang w:val="en-CA" w:eastAsia="uk-UA"/>
              </w:rPr>
            </w:pPr>
            <w:r>
              <w:rPr>
                <w:rStyle w:val="CommentReference"/>
                <w:lang w:eastAsia="uk-UA"/>
              </w:rPr>
              <w:t>Government fund for the project</w:t>
            </w:r>
          </w:p>
        </w:tc>
      </w:tr>
    </w:tbl>
    <w:p w14:paraId="1358DA38" w14:textId="77777777" w:rsidR="00E0067C" w:rsidRDefault="00E0067C" w:rsidP="000A2B51">
      <w:pPr>
        <w:spacing w:before="120" w:after="120" w:line="360" w:lineRule="auto"/>
        <w:jc w:val="both"/>
      </w:pPr>
    </w:p>
    <w:sectPr w:rsidR="00E0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AEC"/>
    <w:multiLevelType w:val="hybridMultilevel"/>
    <w:tmpl w:val="306E32CE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53C"/>
    <w:multiLevelType w:val="hybridMultilevel"/>
    <w:tmpl w:val="4614DCB8"/>
    <w:lvl w:ilvl="0" w:tplc="4DF4050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1"/>
    <w:rsid w:val="0000610C"/>
    <w:rsid w:val="00007EAE"/>
    <w:rsid w:val="000A2B51"/>
    <w:rsid w:val="00156AC7"/>
    <w:rsid w:val="0017334B"/>
    <w:rsid w:val="001B49A1"/>
    <w:rsid w:val="00236328"/>
    <w:rsid w:val="00237529"/>
    <w:rsid w:val="00277194"/>
    <w:rsid w:val="00313289"/>
    <w:rsid w:val="003162A2"/>
    <w:rsid w:val="0038618A"/>
    <w:rsid w:val="00424A59"/>
    <w:rsid w:val="00432A9C"/>
    <w:rsid w:val="004823CF"/>
    <w:rsid w:val="004E2143"/>
    <w:rsid w:val="00584AA2"/>
    <w:rsid w:val="005E47C3"/>
    <w:rsid w:val="006F2A14"/>
    <w:rsid w:val="006F5AFF"/>
    <w:rsid w:val="00714C49"/>
    <w:rsid w:val="00754083"/>
    <w:rsid w:val="00772D02"/>
    <w:rsid w:val="00873FCE"/>
    <w:rsid w:val="00962AD3"/>
    <w:rsid w:val="0097697F"/>
    <w:rsid w:val="00980E63"/>
    <w:rsid w:val="009A264A"/>
    <w:rsid w:val="009A50E3"/>
    <w:rsid w:val="009C5191"/>
    <w:rsid w:val="00A361E4"/>
    <w:rsid w:val="00A52CB4"/>
    <w:rsid w:val="00A8213C"/>
    <w:rsid w:val="00AA34EC"/>
    <w:rsid w:val="00AC4C23"/>
    <w:rsid w:val="00B4476A"/>
    <w:rsid w:val="00BB01F5"/>
    <w:rsid w:val="00C333C2"/>
    <w:rsid w:val="00C64883"/>
    <w:rsid w:val="00C75DEF"/>
    <w:rsid w:val="00CB5877"/>
    <w:rsid w:val="00CE33C3"/>
    <w:rsid w:val="00D16FE9"/>
    <w:rsid w:val="00E0067C"/>
    <w:rsid w:val="00E47B39"/>
    <w:rsid w:val="00E77D35"/>
    <w:rsid w:val="00EA2E8C"/>
    <w:rsid w:val="00EA494F"/>
    <w:rsid w:val="00E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640D"/>
  <w15:chartTrackingRefBased/>
  <w15:docId w15:val="{B57F56AD-A2D3-4624-BD49-5253D62B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067C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51"/>
    <w:pPr>
      <w:ind w:left="720"/>
      <w:contextualSpacing/>
    </w:pPr>
  </w:style>
  <w:style w:type="paragraph" w:styleId="Revision">
    <w:name w:val="Revision"/>
    <w:hidden/>
    <w:uiPriority w:val="99"/>
    <w:semiHidden/>
    <w:rsid w:val="005E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5E4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7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0067C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0067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UNITOFFICE-440-2478</_dlc_DocId>
    <_dlc_DocIdUrl xmlns="5ebeba3d-fd60-4dcb-8548-a9fd3c51d9ff">
      <Url>https://intranet.undp.org/unit/office/exo/sp2014/SP201417/_layouts/15/DocIdRedir.aspx?ID=UNITOFFICE-440-2478</Url>
      <Description>UNITOFFICE-440-2478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65C5E-4D54-4B95-A18E-A1142A2A18A6}">
  <ds:schemaRefs>
    <ds:schemaRef ds:uri="http://schemas.openxmlformats.org/package/2006/metadata/core-properties"/>
    <ds:schemaRef ds:uri="http://purl.org/dc/dcmitype/"/>
    <ds:schemaRef ds:uri="5ebeba3d-fd60-4dcb-8548-a9fd3c51d9f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B9DA4-37C4-42B2-8D7F-C4814837B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8D75-B69D-4D4D-BC19-5BEEBDA4D7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4AA56-F594-4E6D-A3F1-A8EBD6310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Sebban</dc:creator>
  <cp:keywords/>
  <dc:description/>
  <cp:lastModifiedBy>Svetlana Iazykova</cp:lastModifiedBy>
  <cp:revision>2</cp:revision>
  <dcterms:created xsi:type="dcterms:W3CDTF">2022-10-25T08:53:00Z</dcterms:created>
  <dcterms:modified xsi:type="dcterms:W3CDTF">2022-10-25T08:53:00Z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9923667f-8ae6-4e41-821a-a0c320b164ac</vt:lpwstr>
  </property>
</Properties>
</file>