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D7A1" w14:textId="42698EC0" w:rsidR="00DC6CEE" w:rsidRPr="00DC6CEE" w:rsidRDefault="00DC6CEE" w:rsidP="00DC6CEE">
      <w:pPr>
        <w:spacing w:after="60" w:line="240" w:lineRule="auto"/>
        <w:jc w:val="center"/>
        <w:outlineLvl w:val="1"/>
        <w:rPr>
          <w:rFonts w:ascii="Arial" w:eastAsia="Times New Roman" w:hAnsi="Arial" w:cs="Arial"/>
          <w:b/>
          <w:bCs/>
          <w:i/>
          <w:sz w:val="16"/>
          <w:szCs w:val="16"/>
        </w:rPr>
      </w:pPr>
      <w:r w:rsidRPr="00DC6CEE">
        <w:rPr>
          <w:rFonts w:ascii="Arial" w:eastAsia="Times New Roman" w:hAnsi="Arial" w:cs="Arial"/>
          <w:b/>
          <w:bCs/>
          <w:sz w:val="16"/>
          <w:szCs w:val="16"/>
        </w:rPr>
        <w:t xml:space="preserve">ANNEX. FULLY-COSTED EVALUATION PLAN </w:t>
      </w:r>
    </w:p>
    <w:p w14:paraId="083F1A5A" w14:textId="063F61AB" w:rsidR="00DC6CEE" w:rsidRDefault="00DC6CEE" w:rsidP="00DC6CEE">
      <w:pPr>
        <w:spacing w:after="60" w:line="240" w:lineRule="auto"/>
        <w:jc w:val="center"/>
        <w:outlineLvl w:val="1"/>
        <w:rPr>
          <w:rFonts w:ascii="Arial" w:eastAsia="Times New Roman" w:hAnsi="Arial" w:cs="Arial"/>
          <w:b/>
          <w:bCs/>
          <w:sz w:val="16"/>
          <w:szCs w:val="16"/>
        </w:rPr>
      </w:pPr>
    </w:p>
    <w:p w14:paraId="3017AD70" w14:textId="77777777" w:rsidR="0065631A" w:rsidRPr="0065631A" w:rsidRDefault="0065631A" w:rsidP="0065631A">
      <w:pPr>
        <w:spacing w:after="60" w:line="240" w:lineRule="auto"/>
        <w:outlineLvl w:val="1"/>
        <w:rPr>
          <w:rFonts w:ascii="Arial" w:eastAsia="Times New Roman" w:hAnsi="Arial" w:cs="Arial"/>
          <w:b/>
          <w:bCs/>
          <w:sz w:val="16"/>
          <w:szCs w:val="16"/>
          <w:lang w:val="en-GB"/>
        </w:rPr>
      </w:pPr>
      <w:r w:rsidRPr="0065631A">
        <w:rPr>
          <w:rFonts w:ascii="Arial" w:eastAsia="Times New Roman" w:hAnsi="Arial" w:cs="Arial"/>
          <w:b/>
          <w:bCs/>
          <w:sz w:val="16"/>
          <w:szCs w:val="16"/>
          <w:lang w:val="en-GB"/>
        </w:rPr>
        <w:t xml:space="preserve">UNDP Belize Evaluation Plan provides the basis for the systematic and impartial review of the effectiveness of the CO’s programmatic offer. The CO employs a mix of independent and decentralized thematic evaluations as a means of supporting CO learning and improving quality and relevance of the CO’s programmable offer. Scheduled evaluations </w:t>
      </w:r>
      <w:proofErr w:type="gramStart"/>
      <w:r w:rsidRPr="0065631A">
        <w:rPr>
          <w:rFonts w:ascii="Arial" w:eastAsia="Times New Roman" w:hAnsi="Arial" w:cs="Arial"/>
          <w:b/>
          <w:bCs/>
          <w:sz w:val="16"/>
          <w:szCs w:val="16"/>
          <w:lang w:val="en-GB"/>
        </w:rPr>
        <w:t>ensures</w:t>
      </w:r>
      <w:proofErr w:type="gramEnd"/>
      <w:r w:rsidRPr="0065631A">
        <w:rPr>
          <w:rFonts w:ascii="Arial" w:eastAsia="Times New Roman" w:hAnsi="Arial" w:cs="Arial"/>
          <w:b/>
          <w:bCs/>
          <w:sz w:val="16"/>
          <w:szCs w:val="16"/>
          <w:lang w:val="en-GB"/>
        </w:rPr>
        <w:t xml:space="preserve"> consistency of the offer with those development principles and direction advocated by UNDP as a global development partner.</w:t>
      </w:r>
    </w:p>
    <w:p w14:paraId="176569B2" w14:textId="77777777" w:rsidR="0065631A" w:rsidRPr="0065631A" w:rsidRDefault="0065631A" w:rsidP="0065631A">
      <w:pPr>
        <w:spacing w:after="60" w:line="240" w:lineRule="auto"/>
        <w:outlineLvl w:val="1"/>
        <w:rPr>
          <w:rFonts w:ascii="Arial" w:eastAsia="Times New Roman" w:hAnsi="Arial" w:cs="Arial"/>
          <w:b/>
          <w:bCs/>
          <w:sz w:val="16"/>
          <w:szCs w:val="16"/>
          <w:lang w:val="en-GB"/>
        </w:rPr>
      </w:pPr>
      <w:r w:rsidRPr="0065631A">
        <w:rPr>
          <w:rFonts w:ascii="Arial" w:eastAsia="Times New Roman" w:hAnsi="Arial" w:cs="Arial"/>
          <w:b/>
          <w:bCs/>
          <w:sz w:val="16"/>
          <w:szCs w:val="16"/>
          <w:lang w:val="en-GB"/>
        </w:rPr>
        <w:t xml:space="preserve">Considering CO size and associated resourcing constraints, the plan’s foundation rests in the effective administration of timely project evaluations that are customarily self-resourced from project budgets. Project evaluations are effectively impact evaluations which allows the CO’s tracking of relevance, efficiency and effectiveness of projects. Project evaluations are commissioned based on UNDP and donor guidance on mandatory evaluation thresholds. The measuring of individual project relevance and effectiveness is utilized as a proxy for assessing overarching portfolio performance and relevance and project evaluations provides significant insight on adjustments necessary to improve the CO’s programming. </w:t>
      </w:r>
    </w:p>
    <w:p w14:paraId="28949A7F" w14:textId="77777777" w:rsidR="0065631A" w:rsidRPr="0065631A" w:rsidRDefault="0065631A" w:rsidP="0065631A">
      <w:pPr>
        <w:spacing w:after="60" w:line="240" w:lineRule="auto"/>
        <w:outlineLvl w:val="1"/>
        <w:rPr>
          <w:rFonts w:ascii="Arial" w:eastAsia="Times New Roman" w:hAnsi="Arial" w:cs="Arial"/>
          <w:b/>
          <w:bCs/>
          <w:sz w:val="16"/>
          <w:szCs w:val="16"/>
          <w:lang w:val="en-GB"/>
        </w:rPr>
      </w:pPr>
      <w:r w:rsidRPr="0065631A">
        <w:rPr>
          <w:rFonts w:ascii="Arial" w:eastAsia="Times New Roman" w:hAnsi="Arial" w:cs="Arial"/>
          <w:b/>
          <w:bCs/>
          <w:sz w:val="16"/>
          <w:szCs w:val="16"/>
          <w:lang w:val="en-GB"/>
        </w:rPr>
        <w:t>The Evaluation plan is also seeded with strategic thematic and portfolio evaluations which are meant to validate portfolio performance as is suggested by the more common project evaluations. Mid-cycle portfolio evaluations also serve as early warning beacons as the CO tracks its performance against commitments found within its defined Country Programme. Midterm reviews allow  sufficient time for structural portfolio adjustments ensuring alignment to national offer elaborated within the CPD. Planned CPD evaluations allow the CO to determine if its programming made a coherent contribution to those overarching commitments made by the joint UN system through the Caribbean Region MSDCF. Linking CPD evaluations with CO portfolio reviews improves budgetary efficiency and streamlines the evaluation plan by minimizes incidences of evaluation overlaps. It also minimizes the possibility of evaluation fatigue by national counterparts who play a significant role in advancing UNDP programming.</w:t>
      </w:r>
    </w:p>
    <w:p w14:paraId="48928D4D" w14:textId="77777777" w:rsidR="00566DB5" w:rsidRPr="00DC6CEE" w:rsidRDefault="00566DB5" w:rsidP="00566DB5">
      <w:pPr>
        <w:spacing w:after="60" w:line="240" w:lineRule="auto"/>
        <w:outlineLvl w:val="1"/>
        <w:rPr>
          <w:rFonts w:ascii="Arial" w:eastAsia="Times New Roman" w:hAnsi="Arial" w:cs="Arial"/>
          <w:b/>
          <w:bCs/>
          <w:sz w:val="16"/>
          <w:szCs w:val="16"/>
        </w:rPr>
      </w:pPr>
    </w:p>
    <w:tbl>
      <w:tblPr>
        <w:tblpPr w:leftFromText="180" w:rightFromText="180" w:vertAnchor="text" w:horzAnchor="margin" w:tblpXSpec="center" w:tblpY="143"/>
        <w:tblW w:w="5372" w:type="pct"/>
        <w:tblBorders>
          <w:insideH w:val="single" w:sz="4" w:space="0" w:color="auto"/>
          <w:insideV w:val="single" w:sz="4" w:space="0" w:color="auto"/>
        </w:tblBorders>
        <w:tblLook w:val="01E0" w:firstRow="1" w:lastRow="1" w:firstColumn="1" w:lastColumn="1" w:noHBand="0" w:noVBand="0"/>
      </w:tblPr>
      <w:tblGrid>
        <w:gridCol w:w="1810"/>
        <w:gridCol w:w="1211"/>
        <w:gridCol w:w="1995"/>
        <w:gridCol w:w="1528"/>
        <w:gridCol w:w="1495"/>
        <w:gridCol w:w="1722"/>
        <w:gridCol w:w="1335"/>
        <w:gridCol w:w="1283"/>
        <w:gridCol w:w="1242"/>
        <w:gridCol w:w="99"/>
        <w:gridCol w:w="823"/>
      </w:tblGrid>
      <w:tr w:rsidR="00DC6CEE" w:rsidRPr="00DC6CEE" w14:paraId="0B8A3CF4" w14:textId="77777777" w:rsidTr="02CCB2CD">
        <w:trPr>
          <w:gridAfter w:val="1"/>
          <w:wAfter w:w="282" w:type="pct"/>
          <w:trHeight w:val="845"/>
        </w:trPr>
        <w:tc>
          <w:tcPr>
            <w:tcW w:w="622" w:type="pct"/>
            <w:shd w:val="clear" w:color="auto" w:fill="DBE5F1"/>
            <w:vAlign w:val="center"/>
          </w:tcPr>
          <w:p w14:paraId="77E2A085"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UNMSDCF</w:t>
            </w:r>
          </w:p>
          <w:p w14:paraId="4C350680"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 xml:space="preserve">Outcome </w:t>
            </w:r>
          </w:p>
        </w:tc>
        <w:tc>
          <w:tcPr>
            <w:tcW w:w="416" w:type="pct"/>
            <w:shd w:val="clear" w:color="auto" w:fill="DBE5F1"/>
            <w:vAlign w:val="center"/>
          </w:tcPr>
          <w:p w14:paraId="294743D4"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UNDP Strategic Plan Outcome</w:t>
            </w:r>
          </w:p>
        </w:tc>
        <w:tc>
          <w:tcPr>
            <w:tcW w:w="686" w:type="pct"/>
            <w:shd w:val="clear" w:color="auto" w:fill="DBE5F1"/>
            <w:vAlign w:val="center"/>
          </w:tcPr>
          <w:p w14:paraId="2E01E200"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Evaluation Title</w:t>
            </w:r>
          </w:p>
        </w:tc>
        <w:tc>
          <w:tcPr>
            <w:tcW w:w="525" w:type="pct"/>
            <w:shd w:val="clear" w:color="auto" w:fill="DBE5F1"/>
            <w:vAlign w:val="center"/>
          </w:tcPr>
          <w:p w14:paraId="1947E681" w14:textId="77777777" w:rsidR="00DC6CEE" w:rsidRPr="00DC6CEE" w:rsidDel="00BA628C"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Partners (joint evaluation)</w:t>
            </w:r>
          </w:p>
        </w:tc>
        <w:tc>
          <w:tcPr>
            <w:tcW w:w="514" w:type="pct"/>
            <w:shd w:val="clear" w:color="auto" w:fill="DBE5F1"/>
            <w:vAlign w:val="center"/>
          </w:tcPr>
          <w:p w14:paraId="7662A7CB"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Evaluation commissioned by (if not UNDP)</w:t>
            </w:r>
          </w:p>
        </w:tc>
        <w:tc>
          <w:tcPr>
            <w:tcW w:w="592" w:type="pct"/>
            <w:shd w:val="clear" w:color="auto" w:fill="DBE5F1"/>
            <w:vAlign w:val="center"/>
          </w:tcPr>
          <w:p w14:paraId="41CC1B25"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Type of evaluation</w:t>
            </w:r>
          </w:p>
        </w:tc>
        <w:tc>
          <w:tcPr>
            <w:tcW w:w="459" w:type="pct"/>
            <w:shd w:val="clear" w:color="auto" w:fill="DBE5F1"/>
            <w:vAlign w:val="center"/>
          </w:tcPr>
          <w:p w14:paraId="4E3A32C8"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Planned Evaluation Completion Date</w:t>
            </w:r>
          </w:p>
        </w:tc>
        <w:tc>
          <w:tcPr>
            <w:tcW w:w="441" w:type="pct"/>
            <w:shd w:val="clear" w:color="auto" w:fill="DBE5F1"/>
            <w:vAlign w:val="center"/>
          </w:tcPr>
          <w:p w14:paraId="29BB026B"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Estimated Cost</w:t>
            </w:r>
          </w:p>
        </w:tc>
        <w:tc>
          <w:tcPr>
            <w:tcW w:w="461" w:type="pct"/>
            <w:gridSpan w:val="2"/>
            <w:shd w:val="clear" w:color="auto" w:fill="DBE5F1"/>
            <w:vAlign w:val="center"/>
          </w:tcPr>
          <w:p w14:paraId="06587B98"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Provisional Source of Funding</w:t>
            </w:r>
          </w:p>
        </w:tc>
      </w:tr>
      <w:tr w:rsidR="00DC6CEE" w:rsidRPr="00DC6CEE" w14:paraId="6D22D29D" w14:textId="77777777" w:rsidTr="02CCB2CD">
        <w:trPr>
          <w:trHeight w:val="2495"/>
        </w:trPr>
        <w:tc>
          <w:tcPr>
            <w:tcW w:w="622" w:type="pct"/>
          </w:tcPr>
          <w:p w14:paraId="51512219"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sz w:val="16"/>
                <w:szCs w:val="16"/>
              </w:rPr>
              <w:t xml:space="preserve">UNMSDCF 2022-2026 evaluation </w:t>
            </w:r>
          </w:p>
        </w:tc>
        <w:tc>
          <w:tcPr>
            <w:tcW w:w="416" w:type="pct"/>
          </w:tcPr>
          <w:p w14:paraId="30960189"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686" w:type="pct"/>
          </w:tcPr>
          <w:p w14:paraId="05C5A031"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 xml:space="preserve">Final evaluation of UNMSCDF </w:t>
            </w:r>
          </w:p>
        </w:tc>
        <w:tc>
          <w:tcPr>
            <w:tcW w:w="525" w:type="pct"/>
          </w:tcPr>
          <w:p w14:paraId="099F2CDB" w14:textId="77777777" w:rsidR="00DC6CEE" w:rsidRPr="00DC6CEE" w:rsidRDefault="00DC6CEE" w:rsidP="02CCB2CD">
            <w:pPr>
              <w:numPr>
                <w:ilvl w:val="0"/>
                <w:numId w:val="1"/>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lang w:val="fr-FR"/>
              </w:rPr>
              <w:t>UNS</w:t>
            </w:r>
          </w:p>
        </w:tc>
        <w:tc>
          <w:tcPr>
            <w:tcW w:w="514" w:type="pct"/>
          </w:tcPr>
          <w:p w14:paraId="3A8871C0"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RCO</w:t>
            </w:r>
          </w:p>
        </w:tc>
        <w:tc>
          <w:tcPr>
            <w:tcW w:w="592" w:type="pct"/>
          </w:tcPr>
          <w:p w14:paraId="1F80A253"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lang w:val="es-ES"/>
              </w:rPr>
              <w:t>UNMSDCF</w:t>
            </w:r>
          </w:p>
        </w:tc>
        <w:tc>
          <w:tcPr>
            <w:tcW w:w="459" w:type="pct"/>
          </w:tcPr>
          <w:p w14:paraId="24E0203F"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Dec.2025</w:t>
            </w:r>
          </w:p>
        </w:tc>
        <w:tc>
          <w:tcPr>
            <w:tcW w:w="441" w:type="pct"/>
          </w:tcPr>
          <w:p w14:paraId="4541DF69"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30,000</w:t>
            </w:r>
          </w:p>
        </w:tc>
        <w:tc>
          <w:tcPr>
            <w:tcW w:w="427" w:type="pct"/>
          </w:tcPr>
          <w:p w14:paraId="0B24A6C6"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United Nations System</w:t>
            </w:r>
          </w:p>
        </w:tc>
        <w:tc>
          <w:tcPr>
            <w:tcW w:w="317" w:type="pct"/>
            <w:gridSpan w:val="2"/>
          </w:tcPr>
          <w:p w14:paraId="181EB56D"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r>
      <w:tr w:rsidR="00DC6CEE" w:rsidRPr="00DC6CEE" w14:paraId="7BD788D1" w14:textId="77777777" w:rsidTr="02CCB2CD">
        <w:trPr>
          <w:gridAfter w:val="2"/>
          <w:wAfter w:w="317" w:type="pct"/>
          <w:trHeight w:val="2495"/>
        </w:trPr>
        <w:tc>
          <w:tcPr>
            <w:tcW w:w="622" w:type="pct"/>
            <w:vMerge w:val="restart"/>
          </w:tcPr>
          <w:p w14:paraId="6BF6BDD4"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lastRenderedPageBreak/>
              <w:t xml:space="preserve">Pillar: </w:t>
            </w:r>
            <w:r w:rsidRPr="00DC6CEE">
              <w:rPr>
                <w:rFonts w:ascii="Arial" w:eastAsia="Times New Roman" w:hAnsi="Arial" w:cs="Arial"/>
                <w:sz w:val="16"/>
                <w:szCs w:val="16"/>
              </w:rPr>
              <w:t xml:space="preserve"> </w:t>
            </w:r>
            <w:r w:rsidRPr="00DC6CEE">
              <w:rPr>
                <w:rFonts w:ascii="Arial" w:eastAsia="Times New Roman" w:hAnsi="Arial" w:cs="Arial"/>
                <w:b/>
                <w:bCs/>
                <w:sz w:val="16"/>
                <w:szCs w:val="16"/>
              </w:rPr>
              <w:t>PLANET: Resilience to Climate Change and sustainable NRM</w:t>
            </w:r>
          </w:p>
          <w:p w14:paraId="73DD6453"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p w14:paraId="0F5EBD2A" w14:textId="77777777" w:rsidR="00DC6CEE" w:rsidRPr="00DC6CEE" w:rsidRDefault="00DC6CEE" w:rsidP="00DC6CEE">
            <w:pPr>
              <w:numPr>
                <w:ilvl w:val="0"/>
                <w:numId w:val="4"/>
              </w:num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Outcome 5: Caribbean people and communities have enhanced adaptive capacity for inclusive, gender responsive DRM and climate change adaptation and mitigation</w:t>
            </w:r>
          </w:p>
          <w:p w14:paraId="408BB539" w14:textId="77777777" w:rsidR="00DC6CEE" w:rsidRPr="00DC6CEE" w:rsidRDefault="00DC6CEE" w:rsidP="00DC6CEE">
            <w:pPr>
              <w:numPr>
                <w:ilvl w:val="0"/>
                <w:numId w:val="4"/>
              </w:num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Outcome 6: Natural resources and ecosystems are managed more</w:t>
            </w:r>
            <w:r w:rsidRPr="00DC6CEE">
              <w:rPr>
                <w:rFonts w:ascii="Arial" w:eastAsia="Times New Roman" w:hAnsi="Arial" w:cs="Arial"/>
                <w:b/>
                <w:bCs/>
                <w:sz w:val="16"/>
                <w:szCs w:val="16"/>
              </w:rPr>
              <w:t xml:space="preserve"> </w:t>
            </w:r>
            <w:r w:rsidRPr="00DC6CEE">
              <w:rPr>
                <w:rFonts w:ascii="Arial" w:eastAsia="Times New Roman" w:hAnsi="Arial" w:cs="Arial"/>
                <w:sz w:val="16"/>
                <w:szCs w:val="16"/>
              </w:rPr>
              <w:t xml:space="preserve">sustainably to enhance community and people resilience as well as shared prosperity </w:t>
            </w:r>
          </w:p>
          <w:p w14:paraId="4AB411B1"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416" w:type="pct"/>
            <w:vMerge w:val="restart"/>
          </w:tcPr>
          <w:p w14:paraId="79177FCD"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SP Outcomes 1-3</w:t>
            </w:r>
          </w:p>
        </w:tc>
        <w:tc>
          <w:tcPr>
            <w:tcW w:w="686" w:type="pct"/>
          </w:tcPr>
          <w:p w14:paraId="158EC6C6" w14:textId="77777777" w:rsidR="00DC6CEE" w:rsidRPr="00DC6CEE" w:rsidRDefault="00DC6CEE" w:rsidP="00DC6CEE">
            <w:pPr>
              <w:spacing w:after="60" w:line="240" w:lineRule="auto"/>
              <w:jc w:val="center"/>
              <w:outlineLvl w:val="1"/>
              <w:rPr>
                <w:rFonts w:ascii="Arial" w:eastAsia="Times New Roman" w:hAnsi="Arial" w:cs="Arial"/>
                <w:sz w:val="16"/>
                <w:szCs w:val="16"/>
              </w:rPr>
            </w:pPr>
            <w:proofErr w:type="spellStart"/>
            <w:r w:rsidRPr="00DC6CEE">
              <w:rPr>
                <w:rFonts w:ascii="Arial" w:eastAsia="Times New Roman" w:hAnsi="Arial" w:cs="Arial"/>
                <w:sz w:val="16"/>
                <w:szCs w:val="16"/>
              </w:rPr>
              <w:t>Mid term</w:t>
            </w:r>
            <w:proofErr w:type="spellEnd"/>
            <w:r w:rsidRPr="00DC6CEE">
              <w:rPr>
                <w:rFonts w:ascii="Arial" w:eastAsia="Times New Roman" w:hAnsi="Arial" w:cs="Arial"/>
                <w:sz w:val="16"/>
                <w:szCs w:val="16"/>
              </w:rPr>
              <w:t xml:space="preserve"> Pillar/ Programme Evaluation (E&amp;E Portfolio)</w:t>
            </w:r>
          </w:p>
          <w:p w14:paraId="216C519B"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525" w:type="pct"/>
          </w:tcPr>
          <w:p w14:paraId="53835936" w14:textId="77777777" w:rsidR="00DC6CEE" w:rsidRPr="00DC6CEE" w:rsidRDefault="00DC6CEE" w:rsidP="02CCB2CD">
            <w:pPr>
              <w:numPr>
                <w:ilvl w:val="0"/>
                <w:numId w:val="1"/>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MSDCCDRM</w:t>
            </w:r>
          </w:p>
          <w:p w14:paraId="71024568" w14:textId="77777777" w:rsidR="00DC6CEE" w:rsidRPr="00DC6CEE" w:rsidRDefault="00DC6CEE" w:rsidP="02CCB2CD">
            <w:pPr>
              <w:numPr>
                <w:ilvl w:val="0"/>
                <w:numId w:val="1"/>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MNRPM</w:t>
            </w:r>
          </w:p>
          <w:p w14:paraId="7F2D89FC" w14:textId="77777777" w:rsidR="00DC6CEE" w:rsidRPr="00DC6CEE" w:rsidRDefault="00DC6CEE" w:rsidP="02CCB2CD">
            <w:pPr>
              <w:numPr>
                <w:ilvl w:val="0"/>
                <w:numId w:val="1"/>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MFEDI</w:t>
            </w:r>
          </w:p>
          <w:p w14:paraId="11137545" w14:textId="77777777" w:rsidR="00DC6CEE" w:rsidRPr="00DC6CEE" w:rsidRDefault="00DC6CEE" w:rsidP="02CCB2CD">
            <w:pPr>
              <w:numPr>
                <w:ilvl w:val="0"/>
                <w:numId w:val="1"/>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MAFSE</w:t>
            </w:r>
          </w:p>
          <w:p w14:paraId="3286A11F" w14:textId="77777777" w:rsidR="00DC6CEE" w:rsidRPr="00DC6CEE" w:rsidRDefault="00DC6CEE" w:rsidP="02CCB2CD">
            <w:pPr>
              <w:numPr>
                <w:ilvl w:val="0"/>
                <w:numId w:val="1"/>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GEF SGP</w:t>
            </w:r>
          </w:p>
          <w:p w14:paraId="71DFFFEB" w14:textId="77777777" w:rsidR="00DC6CEE" w:rsidRPr="00DC6CEE" w:rsidRDefault="00DC6CEE" w:rsidP="02CCB2CD">
            <w:pPr>
              <w:numPr>
                <w:ilvl w:val="0"/>
                <w:numId w:val="1"/>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UNRCO</w:t>
            </w:r>
          </w:p>
        </w:tc>
        <w:tc>
          <w:tcPr>
            <w:tcW w:w="514" w:type="pct"/>
          </w:tcPr>
          <w:p w14:paraId="3969DC86"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UNDP</w:t>
            </w:r>
          </w:p>
        </w:tc>
        <w:tc>
          <w:tcPr>
            <w:tcW w:w="592" w:type="pct"/>
          </w:tcPr>
          <w:p w14:paraId="2D3DC7CA"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Programme Thematic Outcome evaluation</w:t>
            </w:r>
          </w:p>
          <w:p w14:paraId="36265252" w14:textId="77777777" w:rsidR="00DC6CEE" w:rsidRPr="00DC6CEE" w:rsidRDefault="00DC6CEE" w:rsidP="00DC6CEE">
            <w:pPr>
              <w:spacing w:after="60" w:line="240" w:lineRule="auto"/>
              <w:jc w:val="center"/>
              <w:outlineLvl w:val="1"/>
              <w:rPr>
                <w:rFonts w:ascii="Arial" w:eastAsia="Times New Roman" w:hAnsi="Arial" w:cs="Arial"/>
                <w:sz w:val="16"/>
                <w:szCs w:val="16"/>
              </w:rPr>
            </w:pPr>
          </w:p>
          <w:p w14:paraId="7730E7A1" w14:textId="77777777" w:rsidR="00DC6CEE" w:rsidRPr="00DC6CEE" w:rsidRDefault="00DC6CEE" w:rsidP="00DC6CEE">
            <w:pPr>
              <w:spacing w:after="60" w:line="240" w:lineRule="auto"/>
              <w:jc w:val="center"/>
              <w:outlineLvl w:val="1"/>
              <w:rPr>
                <w:rFonts w:ascii="Arial" w:eastAsia="Times New Roman" w:hAnsi="Arial" w:cs="Arial"/>
                <w:sz w:val="16"/>
                <w:szCs w:val="16"/>
              </w:rPr>
            </w:pPr>
          </w:p>
          <w:p w14:paraId="2A331582" w14:textId="77777777" w:rsidR="00DC6CEE" w:rsidRPr="00DC6CEE" w:rsidRDefault="00DC6CEE" w:rsidP="00DC6CEE">
            <w:pPr>
              <w:spacing w:after="60" w:line="240" w:lineRule="auto"/>
              <w:jc w:val="center"/>
              <w:outlineLvl w:val="1"/>
              <w:rPr>
                <w:rFonts w:ascii="Arial" w:eastAsia="Times New Roman" w:hAnsi="Arial" w:cs="Arial"/>
                <w:sz w:val="16"/>
                <w:szCs w:val="16"/>
              </w:rPr>
            </w:pPr>
          </w:p>
          <w:p w14:paraId="04CCE62F" w14:textId="77777777" w:rsidR="00DC6CEE" w:rsidRPr="00DC6CEE" w:rsidRDefault="00DC6CEE" w:rsidP="00DC6CEE">
            <w:pPr>
              <w:spacing w:after="60" w:line="240" w:lineRule="auto"/>
              <w:jc w:val="center"/>
              <w:outlineLvl w:val="1"/>
              <w:rPr>
                <w:rFonts w:ascii="Arial" w:eastAsia="Times New Roman" w:hAnsi="Arial" w:cs="Arial"/>
                <w:sz w:val="16"/>
                <w:szCs w:val="16"/>
              </w:rPr>
            </w:pPr>
          </w:p>
          <w:p w14:paraId="43A75744" w14:textId="77777777" w:rsidR="00DC6CEE" w:rsidRPr="00DC6CEE" w:rsidRDefault="00DC6CEE" w:rsidP="00DC6CEE">
            <w:pPr>
              <w:spacing w:after="60" w:line="240" w:lineRule="auto"/>
              <w:jc w:val="center"/>
              <w:outlineLvl w:val="1"/>
              <w:rPr>
                <w:rFonts w:ascii="Arial" w:eastAsia="Times New Roman" w:hAnsi="Arial" w:cs="Arial"/>
                <w:sz w:val="16"/>
                <w:szCs w:val="16"/>
              </w:rPr>
            </w:pPr>
          </w:p>
          <w:p w14:paraId="05CB9C68" w14:textId="77777777" w:rsidR="00DC6CEE" w:rsidRPr="00DC6CEE" w:rsidRDefault="00DC6CEE" w:rsidP="00DC6CEE">
            <w:pPr>
              <w:spacing w:after="60" w:line="240" w:lineRule="auto"/>
              <w:jc w:val="center"/>
              <w:outlineLvl w:val="1"/>
              <w:rPr>
                <w:rFonts w:ascii="Arial" w:eastAsia="Times New Roman" w:hAnsi="Arial" w:cs="Arial"/>
                <w:sz w:val="16"/>
                <w:szCs w:val="16"/>
              </w:rPr>
            </w:pPr>
          </w:p>
          <w:p w14:paraId="6F3BE6F1"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459" w:type="pct"/>
          </w:tcPr>
          <w:p w14:paraId="6817AF59"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668B21EC">
              <w:rPr>
                <w:rFonts w:ascii="Arial" w:eastAsia="Times New Roman" w:hAnsi="Arial" w:cs="Arial"/>
                <w:sz w:val="16"/>
                <w:szCs w:val="16"/>
              </w:rPr>
              <w:t>July 2024</w:t>
            </w:r>
          </w:p>
          <w:p w14:paraId="6FAED6A6" w14:textId="77777777" w:rsidR="00DC6CEE" w:rsidRPr="00DC6CEE" w:rsidRDefault="00DC6CEE" w:rsidP="00DC6CEE">
            <w:pPr>
              <w:spacing w:after="60" w:line="240" w:lineRule="auto"/>
              <w:jc w:val="center"/>
              <w:outlineLvl w:val="1"/>
              <w:rPr>
                <w:rFonts w:ascii="Arial" w:eastAsia="Times New Roman" w:hAnsi="Arial" w:cs="Arial"/>
                <w:sz w:val="16"/>
                <w:szCs w:val="16"/>
              </w:rPr>
            </w:pPr>
          </w:p>
          <w:p w14:paraId="216D9F09"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441" w:type="pct"/>
          </w:tcPr>
          <w:p w14:paraId="057AD226"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$25,000</w:t>
            </w:r>
          </w:p>
          <w:p w14:paraId="53DC9FEB"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427" w:type="pct"/>
          </w:tcPr>
          <w:p w14:paraId="51EFE957"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Project/ CO M&amp;E Budget</w:t>
            </w:r>
          </w:p>
        </w:tc>
      </w:tr>
      <w:tr w:rsidR="00DC6CEE" w:rsidRPr="00DC6CEE" w14:paraId="76241834" w14:textId="77777777" w:rsidTr="02CCB2CD">
        <w:trPr>
          <w:gridAfter w:val="1"/>
          <w:wAfter w:w="282" w:type="pct"/>
          <w:trHeight w:val="490"/>
        </w:trPr>
        <w:tc>
          <w:tcPr>
            <w:tcW w:w="622" w:type="pct"/>
            <w:vMerge/>
          </w:tcPr>
          <w:p w14:paraId="16A8AE71" w14:textId="77777777" w:rsidR="00DC6CEE" w:rsidRPr="00DC6CEE" w:rsidRDefault="00DC6CEE" w:rsidP="00DC6CEE">
            <w:pPr>
              <w:spacing w:after="60" w:line="240" w:lineRule="auto"/>
              <w:jc w:val="center"/>
              <w:outlineLvl w:val="1"/>
              <w:rPr>
                <w:rFonts w:ascii="Arial" w:eastAsia="Times New Roman" w:hAnsi="Arial" w:cs="Arial"/>
                <w:b/>
                <w:bCs/>
                <w:sz w:val="16"/>
                <w:szCs w:val="16"/>
                <w:lang w:val="en-GB"/>
              </w:rPr>
            </w:pPr>
          </w:p>
        </w:tc>
        <w:tc>
          <w:tcPr>
            <w:tcW w:w="416" w:type="pct"/>
            <w:vMerge/>
          </w:tcPr>
          <w:p w14:paraId="6038E9E9"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686" w:type="pct"/>
          </w:tcPr>
          <w:p w14:paraId="46D0F473" w14:textId="42082EBA" w:rsidR="00DC6CEE" w:rsidRPr="00DC6CEE" w:rsidRDefault="00DC6CEE" w:rsidP="02CCB2CD">
            <w:pPr>
              <w:spacing w:after="60" w:line="240" w:lineRule="auto"/>
              <w:jc w:val="center"/>
              <w:outlineLvl w:val="1"/>
              <w:rPr>
                <w:rFonts w:ascii="Arial" w:eastAsia="Times New Roman" w:hAnsi="Arial" w:cs="Arial"/>
                <w:sz w:val="16"/>
                <w:szCs w:val="16"/>
              </w:rPr>
            </w:pPr>
            <w:r w:rsidRPr="02CCB2CD">
              <w:rPr>
                <w:rFonts w:ascii="Arial" w:eastAsia="Times New Roman" w:hAnsi="Arial" w:cs="Arial"/>
                <w:sz w:val="16"/>
                <w:szCs w:val="16"/>
              </w:rPr>
              <w:t>GEF 6</w:t>
            </w:r>
            <w:r w:rsidR="74891375" w:rsidRPr="02CCB2CD">
              <w:rPr>
                <w:rFonts w:ascii="Arial" w:eastAsia="Times New Roman" w:hAnsi="Arial" w:cs="Arial"/>
                <w:sz w:val="16"/>
                <w:szCs w:val="16"/>
              </w:rPr>
              <w:t xml:space="preserve"> </w:t>
            </w:r>
            <w:r w:rsidRPr="02CCB2CD">
              <w:rPr>
                <w:rFonts w:ascii="Arial" w:eastAsia="Times New Roman" w:hAnsi="Arial" w:cs="Arial"/>
                <w:sz w:val="16"/>
                <w:szCs w:val="16"/>
              </w:rPr>
              <w:t xml:space="preserve">- </w:t>
            </w:r>
            <w:r w:rsidR="693F15C9" w:rsidRPr="02CCB2CD">
              <w:rPr>
                <w:rFonts w:ascii="Arial" w:eastAsia="Times New Roman" w:hAnsi="Arial" w:cs="Arial"/>
                <w:sz w:val="16"/>
                <w:szCs w:val="16"/>
              </w:rPr>
              <w:t xml:space="preserve">PIMS 6015: Integrated management of production landscapes to deliver multiple global environmental benefits </w:t>
            </w:r>
          </w:p>
          <w:p w14:paraId="027266B7" w14:textId="785C26FE" w:rsidR="00DC6CEE" w:rsidRPr="00DC6CEE" w:rsidRDefault="00DC6CEE" w:rsidP="00DC6CEE">
            <w:pPr>
              <w:spacing w:after="60" w:line="240" w:lineRule="auto"/>
              <w:jc w:val="center"/>
              <w:outlineLvl w:val="1"/>
              <w:rPr>
                <w:rFonts w:ascii="Arial" w:eastAsia="Times New Roman" w:hAnsi="Arial" w:cs="Arial"/>
                <w:sz w:val="16"/>
                <w:szCs w:val="16"/>
              </w:rPr>
            </w:pPr>
            <w:r w:rsidRPr="02CCB2CD">
              <w:rPr>
                <w:rFonts w:ascii="Arial" w:eastAsia="Times New Roman" w:hAnsi="Arial" w:cs="Arial"/>
                <w:sz w:val="16"/>
                <w:szCs w:val="16"/>
              </w:rPr>
              <w:t>Midterm Evaluation</w:t>
            </w:r>
          </w:p>
        </w:tc>
        <w:tc>
          <w:tcPr>
            <w:tcW w:w="525" w:type="pct"/>
          </w:tcPr>
          <w:p w14:paraId="79DB3080"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MSDCCDRM</w:t>
            </w:r>
          </w:p>
          <w:p w14:paraId="68E09D47"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MAFSE</w:t>
            </w:r>
          </w:p>
        </w:tc>
        <w:tc>
          <w:tcPr>
            <w:tcW w:w="514" w:type="pct"/>
          </w:tcPr>
          <w:p w14:paraId="0BFEAA9A"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GEF</w:t>
            </w:r>
          </w:p>
        </w:tc>
        <w:tc>
          <w:tcPr>
            <w:tcW w:w="592" w:type="pct"/>
          </w:tcPr>
          <w:p w14:paraId="43E38872"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 xml:space="preserve">Project </w:t>
            </w:r>
            <w:proofErr w:type="spellStart"/>
            <w:r w:rsidRPr="00DC6CEE">
              <w:rPr>
                <w:rFonts w:ascii="Arial" w:eastAsia="Times New Roman" w:hAnsi="Arial" w:cs="Arial"/>
                <w:sz w:val="16"/>
                <w:szCs w:val="16"/>
              </w:rPr>
              <w:t>Mid term</w:t>
            </w:r>
            <w:proofErr w:type="spellEnd"/>
            <w:r w:rsidRPr="00DC6CEE">
              <w:rPr>
                <w:rFonts w:ascii="Arial" w:eastAsia="Times New Roman" w:hAnsi="Arial" w:cs="Arial"/>
                <w:sz w:val="16"/>
                <w:szCs w:val="16"/>
              </w:rPr>
              <w:t xml:space="preserve"> Review</w:t>
            </w:r>
          </w:p>
        </w:tc>
        <w:tc>
          <w:tcPr>
            <w:tcW w:w="459" w:type="pct"/>
          </w:tcPr>
          <w:p w14:paraId="0AF66797"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March 2024</w:t>
            </w:r>
          </w:p>
        </w:tc>
        <w:tc>
          <w:tcPr>
            <w:tcW w:w="441" w:type="pct"/>
          </w:tcPr>
          <w:p w14:paraId="29F0CE18"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$15,000</w:t>
            </w:r>
          </w:p>
        </w:tc>
        <w:tc>
          <w:tcPr>
            <w:tcW w:w="461" w:type="pct"/>
            <w:gridSpan w:val="2"/>
          </w:tcPr>
          <w:p w14:paraId="161F3814"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Project</w:t>
            </w:r>
          </w:p>
          <w:p w14:paraId="46B70413"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r>
      <w:tr w:rsidR="00DC6CEE" w:rsidRPr="00DC6CEE" w14:paraId="49FD5EA1" w14:textId="77777777" w:rsidTr="02CCB2CD">
        <w:trPr>
          <w:gridAfter w:val="1"/>
          <w:wAfter w:w="282" w:type="pct"/>
          <w:trHeight w:val="1410"/>
        </w:trPr>
        <w:tc>
          <w:tcPr>
            <w:tcW w:w="622" w:type="pct"/>
            <w:vMerge/>
          </w:tcPr>
          <w:p w14:paraId="61C171C8" w14:textId="77777777" w:rsidR="00DC6CEE" w:rsidRPr="00DC6CEE" w:rsidRDefault="00DC6CEE" w:rsidP="00DC6CEE">
            <w:pPr>
              <w:spacing w:after="60" w:line="240" w:lineRule="auto"/>
              <w:jc w:val="center"/>
              <w:outlineLvl w:val="1"/>
              <w:rPr>
                <w:rFonts w:ascii="Arial" w:eastAsia="Times New Roman" w:hAnsi="Arial" w:cs="Arial"/>
                <w:b/>
                <w:bCs/>
                <w:sz w:val="16"/>
                <w:szCs w:val="16"/>
                <w:lang w:val="en-GB"/>
              </w:rPr>
            </w:pPr>
          </w:p>
        </w:tc>
        <w:tc>
          <w:tcPr>
            <w:tcW w:w="416" w:type="pct"/>
            <w:vMerge/>
          </w:tcPr>
          <w:p w14:paraId="5536FF44"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686" w:type="pct"/>
          </w:tcPr>
          <w:p w14:paraId="7AF8949B" w14:textId="73D1FC91" w:rsidR="00DC6CEE" w:rsidRPr="00DC6CEE" w:rsidRDefault="00DC6CEE" w:rsidP="02CCB2CD">
            <w:pPr>
              <w:spacing w:after="60" w:line="240" w:lineRule="auto"/>
              <w:jc w:val="center"/>
              <w:outlineLvl w:val="1"/>
              <w:rPr>
                <w:rFonts w:ascii="Arial" w:eastAsia="Times New Roman" w:hAnsi="Arial" w:cs="Arial"/>
                <w:sz w:val="16"/>
                <w:szCs w:val="16"/>
              </w:rPr>
            </w:pPr>
            <w:r w:rsidRPr="02CCB2CD">
              <w:rPr>
                <w:rFonts w:ascii="Arial" w:eastAsia="Times New Roman" w:hAnsi="Arial" w:cs="Arial"/>
                <w:sz w:val="16"/>
                <w:szCs w:val="16"/>
              </w:rPr>
              <w:t xml:space="preserve">GEF 6 </w:t>
            </w:r>
            <w:r w:rsidR="06B4725E" w:rsidRPr="02CCB2CD">
              <w:rPr>
                <w:rFonts w:ascii="Arial" w:eastAsia="Times New Roman" w:hAnsi="Arial" w:cs="Arial"/>
                <w:sz w:val="16"/>
                <w:szCs w:val="16"/>
              </w:rPr>
              <w:t xml:space="preserve">- PIMS 6015: Integrated management of production landscapes to deliver multiple global environmental benefits </w:t>
            </w:r>
          </w:p>
          <w:p w14:paraId="39EBA5FA" w14:textId="77974DE4" w:rsidR="00DC6CEE" w:rsidRPr="00DC6CEE" w:rsidRDefault="00DC6CEE" w:rsidP="00DC6CEE">
            <w:pPr>
              <w:spacing w:after="60" w:line="240" w:lineRule="auto"/>
              <w:jc w:val="center"/>
              <w:outlineLvl w:val="1"/>
              <w:rPr>
                <w:rFonts w:ascii="Arial" w:eastAsia="Times New Roman" w:hAnsi="Arial" w:cs="Arial"/>
                <w:sz w:val="16"/>
                <w:szCs w:val="16"/>
              </w:rPr>
            </w:pPr>
            <w:r w:rsidRPr="02CCB2CD">
              <w:rPr>
                <w:rFonts w:ascii="Arial" w:eastAsia="Times New Roman" w:hAnsi="Arial" w:cs="Arial"/>
                <w:sz w:val="16"/>
                <w:szCs w:val="16"/>
              </w:rPr>
              <w:t>Terminal</w:t>
            </w:r>
            <w:r w:rsidR="51A86DCB" w:rsidRPr="02CCB2CD">
              <w:rPr>
                <w:rFonts w:ascii="Arial" w:eastAsia="Times New Roman" w:hAnsi="Arial" w:cs="Arial"/>
                <w:sz w:val="16"/>
                <w:szCs w:val="16"/>
              </w:rPr>
              <w:t xml:space="preserve"> Evaluation</w:t>
            </w:r>
          </w:p>
        </w:tc>
        <w:tc>
          <w:tcPr>
            <w:tcW w:w="525" w:type="pct"/>
          </w:tcPr>
          <w:p w14:paraId="204B2C3B"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MSDCCDRM</w:t>
            </w:r>
          </w:p>
          <w:p w14:paraId="7EECA70D"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MAFSE</w:t>
            </w:r>
          </w:p>
        </w:tc>
        <w:tc>
          <w:tcPr>
            <w:tcW w:w="514" w:type="pct"/>
          </w:tcPr>
          <w:p w14:paraId="57D192D6"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GEF</w:t>
            </w:r>
          </w:p>
        </w:tc>
        <w:tc>
          <w:tcPr>
            <w:tcW w:w="592" w:type="pct"/>
          </w:tcPr>
          <w:p w14:paraId="1DFAF1FD"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Project Terminal Evaluation</w:t>
            </w:r>
          </w:p>
        </w:tc>
        <w:tc>
          <w:tcPr>
            <w:tcW w:w="459" w:type="pct"/>
          </w:tcPr>
          <w:p w14:paraId="3F222D02"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March 2026</w:t>
            </w:r>
          </w:p>
        </w:tc>
        <w:tc>
          <w:tcPr>
            <w:tcW w:w="441" w:type="pct"/>
          </w:tcPr>
          <w:p w14:paraId="1D25851D"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$30,000</w:t>
            </w:r>
          </w:p>
        </w:tc>
        <w:tc>
          <w:tcPr>
            <w:tcW w:w="461" w:type="pct"/>
            <w:gridSpan w:val="2"/>
          </w:tcPr>
          <w:p w14:paraId="437065C7"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Project</w:t>
            </w:r>
          </w:p>
        </w:tc>
      </w:tr>
      <w:tr w:rsidR="00DC6CEE" w:rsidRPr="00DC6CEE" w14:paraId="5F2B97C6" w14:textId="77777777" w:rsidTr="02CCB2CD">
        <w:trPr>
          <w:gridAfter w:val="1"/>
          <w:wAfter w:w="282" w:type="pct"/>
          <w:trHeight w:val="490"/>
        </w:trPr>
        <w:tc>
          <w:tcPr>
            <w:tcW w:w="622" w:type="pct"/>
            <w:vMerge/>
          </w:tcPr>
          <w:p w14:paraId="18243071" w14:textId="77777777" w:rsidR="00DC6CEE" w:rsidRPr="00DC6CEE" w:rsidRDefault="00DC6CEE" w:rsidP="00DC6CEE">
            <w:pPr>
              <w:spacing w:after="60" w:line="240" w:lineRule="auto"/>
              <w:jc w:val="center"/>
              <w:outlineLvl w:val="1"/>
              <w:rPr>
                <w:rFonts w:ascii="Arial" w:eastAsia="Times New Roman" w:hAnsi="Arial" w:cs="Arial"/>
                <w:b/>
                <w:bCs/>
                <w:sz w:val="16"/>
                <w:szCs w:val="16"/>
                <w:lang w:val="en-GB"/>
              </w:rPr>
            </w:pPr>
          </w:p>
        </w:tc>
        <w:tc>
          <w:tcPr>
            <w:tcW w:w="416" w:type="pct"/>
            <w:vMerge/>
          </w:tcPr>
          <w:p w14:paraId="3F630C62"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686" w:type="pct"/>
          </w:tcPr>
          <w:p w14:paraId="793BBDB7" w14:textId="561591BC" w:rsidR="00DC6CEE" w:rsidRPr="00DC6CEE" w:rsidRDefault="00DC6CEE" w:rsidP="02CCB2CD">
            <w:pPr>
              <w:spacing w:after="60" w:line="240" w:lineRule="auto"/>
              <w:jc w:val="center"/>
              <w:outlineLvl w:val="1"/>
              <w:rPr>
                <w:rFonts w:ascii="Arial" w:eastAsia="Times New Roman" w:hAnsi="Arial" w:cs="Arial"/>
                <w:sz w:val="16"/>
                <w:szCs w:val="16"/>
              </w:rPr>
            </w:pPr>
            <w:r w:rsidRPr="02CCB2CD">
              <w:rPr>
                <w:rFonts w:ascii="Arial" w:eastAsia="Times New Roman" w:hAnsi="Arial" w:cs="Arial"/>
                <w:sz w:val="16"/>
                <w:szCs w:val="16"/>
              </w:rPr>
              <w:t xml:space="preserve">GEF 7 </w:t>
            </w:r>
            <w:r w:rsidR="2F930158" w:rsidRPr="02CCB2CD">
              <w:rPr>
                <w:rFonts w:ascii="Arial" w:eastAsia="Times New Roman" w:hAnsi="Arial" w:cs="Arial"/>
                <w:sz w:val="16"/>
                <w:szCs w:val="16"/>
              </w:rPr>
              <w:t xml:space="preserve">- PIMS 6397: Enhancing jaguar corridors and strongholds through improved management and threat reduction </w:t>
            </w:r>
          </w:p>
          <w:p w14:paraId="55DEE152" w14:textId="6EF465CC" w:rsidR="00DC6CEE" w:rsidRPr="00DC6CEE" w:rsidRDefault="00DC6CEE" w:rsidP="00DC6CEE">
            <w:pPr>
              <w:spacing w:after="60" w:line="240" w:lineRule="auto"/>
              <w:jc w:val="center"/>
              <w:outlineLvl w:val="1"/>
              <w:rPr>
                <w:rFonts w:ascii="Arial" w:eastAsia="Times New Roman" w:hAnsi="Arial" w:cs="Arial"/>
                <w:sz w:val="16"/>
                <w:szCs w:val="16"/>
              </w:rPr>
            </w:pPr>
            <w:r w:rsidRPr="02CCB2CD">
              <w:rPr>
                <w:rFonts w:ascii="Arial" w:eastAsia="Times New Roman" w:hAnsi="Arial" w:cs="Arial"/>
                <w:sz w:val="16"/>
                <w:szCs w:val="16"/>
              </w:rPr>
              <w:t>Terminal Evaluation</w:t>
            </w:r>
          </w:p>
        </w:tc>
        <w:tc>
          <w:tcPr>
            <w:tcW w:w="525" w:type="pct"/>
          </w:tcPr>
          <w:p w14:paraId="6276D8D5"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MSDCCDRM</w:t>
            </w:r>
          </w:p>
        </w:tc>
        <w:tc>
          <w:tcPr>
            <w:tcW w:w="514" w:type="pct"/>
          </w:tcPr>
          <w:p w14:paraId="04695F9D"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GEF</w:t>
            </w:r>
          </w:p>
        </w:tc>
        <w:tc>
          <w:tcPr>
            <w:tcW w:w="592" w:type="pct"/>
          </w:tcPr>
          <w:p w14:paraId="5985C3A7"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Project Terminal Evaluation</w:t>
            </w:r>
          </w:p>
        </w:tc>
        <w:tc>
          <w:tcPr>
            <w:tcW w:w="459" w:type="pct"/>
          </w:tcPr>
          <w:p w14:paraId="7BAFD1A7"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December 2023</w:t>
            </w:r>
          </w:p>
        </w:tc>
        <w:tc>
          <w:tcPr>
            <w:tcW w:w="441" w:type="pct"/>
          </w:tcPr>
          <w:p w14:paraId="230AFAC4"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$25,000</w:t>
            </w:r>
          </w:p>
        </w:tc>
        <w:tc>
          <w:tcPr>
            <w:tcW w:w="461" w:type="pct"/>
            <w:gridSpan w:val="2"/>
          </w:tcPr>
          <w:p w14:paraId="7742F7DC"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Project</w:t>
            </w:r>
          </w:p>
        </w:tc>
      </w:tr>
      <w:tr w:rsidR="00DC6CEE" w:rsidRPr="00DC6CEE" w14:paraId="05B9AC0B" w14:textId="77777777" w:rsidTr="02CCB2CD">
        <w:trPr>
          <w:gridAfter w:val="1"/>
          <w:wAfter w:w="282" w:type="pct"/>
          <w:trHeight w:val="490"/>
        </w:trPr>
        <w:tc>
          <w:tcPr>
            <w:tcW w:w="622" w:type="pct"/>
            <w:vMerge/>
          </w:tcPr>
          <w:p w14:paraId="266A73A7" w14:textId="77777777" w:rsidR="00DC6CEE" w:rsidRPr="00DC6CEE" w:rsidRDefault="00DC6CEE" w:rsidP="00DC6CEE">
            <w:pPr>
              <w:spacing w:after="60" w:line="240" w:lineRule="auto"/>
              <w:jc w:val="center"/>
              <w:outlineLvl w:val="1"/>
              <w:rPr>
                <w:rFonts w:ascii="Arial" w:eastAsia="Times New Roman" w:hAnsi="Arial" w:cs="Arial"/>
                <w:b/>
                <w:bCs/>
                <w:sz w:val="16"/>
                <w:szCs w:val="16"/>
                <w:lang w:val="en-GB"/>
              </w:rPr>
            </w:pPr>
          </w:p>
        </w:tc>
        <w:tc>
          <w:tcPr>
            <w:tcW w:w="416" w:type="pct"/>
            <w:vMerge/>
          </w:tcPr>
          <w:p w14:paraId="5CE396A6"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686" w:type="pct"/>
          </w:tcPr>
          <w:p w14:paraId="22173500" w14:textId="02B0C5B4" w:rsidR="00DC6CEE" w:rsidRPr="00DC6CEE" w:rsidRDefault="1E4533C4" w:rsidP="02CCB2CD">
            <w:pPr>
              <w:spacing w:after="60" w:line="240" w:lineRule="auto"/>
              <w:jc w:val="center"/>
              <w:outlineLvl w:val="1"/>
              <w:rPr>
                <w:rFonts w:ascii="Arial" w:eastAsia="Times New Roman" w:hAnsi="Arial" w:cs="Arial"/>
                <w:sz w:val="16"/>
                <w:szCs w:val="16"/>
              </w:rPr>
            </w:pPr>
            <w:r w:rsidRPr="02CCB2CD">
              <w:rPr>
                <w:rFonts w:ascii="Arial" w:eastAsia="Times New Roman" w:hAnsi="Arial" w:cs="Arial"/>
                <w:sz w:val="16"/>
                <w:szCs w:val="16"/>
              </w:rPr>
              <w:t>Towards Low Carbon Transport: Piloting e-mobility within Belize’s Public Transport System</w:t>
            </w:r>
          </w:p>
        </w:tc>
        <w:tc>
          <w:tcPr>
            <w:tcW w:w="525" w:type="pct"/>
          </w:tcPr>
          <w:p w14:paraId="6F58FA8B"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MPUL</w:t>
            </w:r>
          </w:p>
        </w:tc>
        <w:tc>
          <w:tcPr>
            <w:tcW w:w="514" w:type="pct"/>
          </w:tcPr>
          <w:p w14:paraId="43909384"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EU</w:t>
            </w:r>
          </w:p>
        </w:tc>
        <w:tc>
          <w:tcPr>
            <w:tcW w:w="592" w:type="pct"/>
          </w:tcPr>
          <w:p w14:paraId="1C7813E2"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Project Terminal Evaluation</w:t>
            </w:r>
          </w:p>
        </w:tc>
        <w:tc>
          <w:tcPr>
            <w:tcW w:w="459" w:type="pct"/>
          </w:tcPr>
          <w:p w14:paraId="459F9247"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December 2023</w:t>
            </w:r>
          </w:p>
        </w:tc>
        <w:tc>
          <w:tcPr>
            <w:tcW w:w="441" w:type="pct"/>
          </w:tcPr>
          <w:p w14:paraId="15BB8B15"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$30,000</w:t>
            </w:r>
          </w:p>
        </w:tc>
        <w:tc>
          <w:tcPr>
            <w:tcW w:w="461" w:type="pct"/>
            <w:gridSpan w:val="2"/>
          </w:tcPr>
          <w:p w14:paraId="56D35D93"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Project</w:t>
            </w:r>
          </w:p>
        </w:tc>
      </w:tr>
      <w:tr w:rsidR="00DC6CEE" w:rsidRPr="00DC6CEE" w14:paraId="7F31D415" w14:textId="77777777" w:rsidTr="02CCB2CD">
        <w:trPr>
          <w:gridAfter w:val="1"/>
          <w:wAfter w:w="282" w:type="pct"/>
          <w:trHeight w:val="490"/>
        </w:trPr>
        <w:tc>
          <w:tcPr>
            <w:tcW w:w="622" w:type="pct"/>
          </w:tcPr>
          <w:p w14:paraId="3F09DB18"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lang w:val="en-GB"/>
              </w:rPr>
              <w:t>Pillar: Safety, Justice and the Rule of Law</w:t>
            </w:r>
          </w:p>
          <w:p w14:paraId="7826EAED" w14:textId="77777777" w:rsidR="00DC6CEE" w:rsidRPr="00DC6CEE" w:rsidRDefault="00DC6CEE" w:rsidP="00DC6CEE">
            <w:pPr>
              <w:numPr>
                <w:ilvl w:val="0"/>
                <w:numId w:val="3"/>
              </w:num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lang w:val="en-GB"/>
              </w:rPr>
              <w:t xml:space="preserve">Outcome 7: Regional and national laws, policies, systems and institutions improve access to justice and </w:t>
            </w:r>
            <w:r w:rsidRPr="00DC6CEE">
              <w:rPr>
                <w:rFonts w:ascii="Arial" w:eastAsia="Times New Roman" w:hAnsi="Arial" w:cs="Arial"/>
                <w:sz w:val="16"/>
                <w:szCs w:val="16"/>
                <w:lang w:val="en-GB"/>
              </w:rPr>
              <w:lastRenderedPageBreak/>
              <w:t xml:space="preserve">promote peace, social cohesion and security </w:t>
            </w:r>
          </w:p>
          <w:p w14:paraId="080F83AE" w14:textId="77777777" w:rsidR="00DC6CEE" w:rsidRPr="00DC6CEE" w:rsidRDefault="00DC6CEE" w:rsidP="00DC6CEE">
            <w:pPr>
              <w:numPr>
                <w:ilvl w:val="0"/>
                <w:numId w:val="3"/>
              </w:num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lang w:val="en-GB"/>
              </w:rPr>
              <w:t xml:space="preserve"> Outcome 8: People in the Caribbean and communities have an improved standard of living, in safe, fair, inclusive, and equitable societies </w:t>
            </w:r>
          </w:p>
          <w:p w14:paraId="563B6E2B"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416" w:type="pct"/>
          </w:tcPr>
          <w:p w14:paraId="40FE5E28"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lastRenderedPageBreak/>
              <w:t>SP Outcomes 1  &amp; 2</w:t>
            </w:r>
          </w:p>
        </w:tc>
        <w:tc>
          <w:tcPr>
            <w:tcW w:w="686" w:type="pct"/>
          </w:tcPr>
          <w:p w14:paraId="796F0C01" w14:textId="77777777" w:rsidR="00DC6CEE" w:rsidRPr="00DC6CEE" w:rsidRDefault="00DC6CEE" w:rsidP="00DC6CEE">
            <w:pPr>
              <w:spacing w:after="60" w:line="240" w:lineRule="auto"/>
              <w:jc w:val="center"/>
              <w:outlineLvl w:val="1"/>
              <w:rPr>
                <w:rFonts w:ascii="Arial" w:eastAsia="Times New Roman" w:hAnsi="Arial" w:cs="Arial"/>
                <w:sz w:val="16"/>
                <w:szCs w:val="16"/>
              </w:rPr>
            </w:pPr>
            <w:proofErr w:type="spellStart"/>
            <w:r w:rsidRPr="00DC6CEE">
              <w:rPr>
                <w:rFonts w:ascii="Arial" w:eastAsia="Times New Roman" w:hAnsi="Arial" w:cs="Arial"/>
                <w:sz w:val="16"/>
                <w:szCs w:val="16"/>
              </w:rPr>
              <w:t>Mid term</w:t>
            </w:r>
            <w:proofErr w:type="spellEnd"/>
            <w:r w:rsidRPr="00DC6CEE">
              <w:rPr>
                <w:rFonts w:ascii="Arial" w:eastAsia="Times New Roman" w:hAnsi="Arial" w:cs="Arial"/>
                <w:sz w:val="16"/>
                <w:szCs w:val="16"/>
              </w:rPr>
              <w:t xml:space="preserve"> Pillar/ Programme Evaluation (Governance Portfolio)</w:t>
            </w:r>
          </w:p>
          <w:p w14:paraId="342C7CA6" w14:textId="77777777" w:rsidR="00DC6CEE" w:rsidRPr="00DC6CEE" w:rsidRDefault="00DC6CEE" w:rsidP="00DC6CEE">
            <w:pPr>
              <w:spacing w:after="60" w:line="240" w:lineRule="auto"/>
              <w:jc w:val="center"/>
              <w:outlineLvl w:val="1"/>
              <w:rPr>
                <w:rFonts w:ascii="Arial" w:eastAsia="Times New Roman" w:hAnsi="Arial" w:cs="Arial"/>
                <w:sz w:val="16"/>
                <w:szCs w:val="16"/>
              </w:rPr>
            </w:pPr>
          </w:p>
          <w:p w14:paraId="29B6B091"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525" w:type="pct"/>
          </w:tcPr>
          <w:p w14:paraId="60A0705C"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MAG</w:t>
            </w:r>
          </w:p>
          <w:p w14:paraId="0603506B"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MHDFIPA</w:t>
            </w:r>
          </w:p>
          <w:p w14:paraId="4830C7ED" w14:textId="77777777" w:rsidR="00DC6CEE" w:rsidRPr="00DC6CEE" w:rsidRDefault="00DC6CEE" w:rsidP="02CCB2CD">
            <w:pPr>
              <w:numPr>
                <w:ilvl w:val="0"/>
                <w:numId w:val="2"/>
              </w:numPr>
              <w:spacing w:after="60" w:line="240" w:lineRule="auto"/>
              <w:outlineLvl w:val="1"/>
              <w:rPr>
                <w:rFonts w:ascii="Arial" w:eastAsia="Times New Roman" w:hAnsi="Arial" w:cs="Arial"/>
                <w:b/>
                <w:bCs/>
                <w:sz w:val="16"/>
                <w:szCs w:val="16"/>
              </w:rPr>
            </w:pPr>
            <w:r w:rsidRPr="02CCB2CD">
              <w:rPr>
                <w:rFonts w:ascii="Arial" w:eastAsia="Times New Roman" w:hAnsi="Arial" w:cs="Arial"/>
                <w:sz w:val="16"/>
                <w:szCs w:val="16"/>
              </w:rPr>
              <w:t>MYSE-G</w:t>
            </w:r>
          </w:p>
          <w:p w14:paraId="1272ABA3"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MHANGI</w:t>
            </w:r>
          </w:p>
          <w:p w14:paraId="542F4C34" w14:textId="77777777" w:rsidR="00DC6CEE" w:rsidRPr="00DC6CEE" w:rsidRDefault="00DC6CEE" w:rsidP="02CCB2CD">
            <w:pPr>
              <w:numPr>
                <w:ilvl w:val="0"/>
                <w:numId w:val="2"/>
              </w:numPr>
              <w:spacing w:after="60" w:line="240" w:lineRule="auto"/>
              <w:outlineLvl w:val="1"/>
              <w:rPr>
                <w:rFonts w:ascii="Arial" w:eastAsia="Times New Roman" w:hAnsi="Arial" w:cs="Arial"/>
                <w:sz w:val="16"/>
                <w:szCs w:val="16"/>
              </w:rPr>
            </w:pPr>
            <w:r w:rsidRPr="02CCB2CD">
              <w:rPr>
                <w:rFonts w:ascii="Arial" w:eastAsia="Times New Roman" w:hAnsi="Arial" w:cs="Arial"/>
                <w:sz w:val="16"/>
                <w:szCs w:val="16"/>
              </w:rPr>
              <w:t>UNRCO</w:t>
            </w:r>
          </w:p>
        </w:tc>
        <w:tc>
          <w:tcPr>
            <w:tcW w:w="514" w:type="pct"/>
          </w:tcPr>
          <w:p w14:paraId="358B4560"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668B21EC">
              <w:rPr>
                <w:rFonts w:ascii="Arial" w:eastAsia="Times New Roman" w:hAnsi="Arial" w:cs="Arial"/>
                <w:sz w:val="16"/>
                <w:szCs w:val="16"/>
              </w:rPr>
              <w:t>UNDP</w:t>
            </w:r>
          </w:p>
        </w:tc>
        <w:tc>
          <w:tcPr>
            <w:tcW w:w="592" w:type="pct"/>
          </w:tcPr>
          <w:p w14:paraId="3AF14F96"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Programme Thematic Outcome evaluation</w:t>
            </w:r>
          </w:p>
          <w:p w14:paraId="568713EB"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459" w:type="pct"/>
          </w:tcPr>
          <w:p w14:paraId="171403D4"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July 2024</w:t>
            </w:r>
          </w:p>
        </w:tc>
        <w:tc>
          <w:tcPr>
            <w:tcW w:w="441" w:type="pct"/>
          </w:tcPr>
          <w:p w14:paraId="75E38D3E"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$25,000</w:t>
            </w:r>
          </w:p>
        </w:tc>
        <w:tc>
          <w:tcPr>
            <w:tcW w:w="461" w:type="pct"/>
            <w:gridSpan w:val="2"/>
          </w:tcPr>
          <w:p w14:paraId="35AE6A53"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Project/ CO M&amp; E Budget</w:t>
            </w:r>
          </w:p>
        </w:tc>
      </w:tr>
      <w:tr w:rsidR="00DC6CEE" w:rsidRPr="00DC6CEE" w14:paraId="76DE3046" w14:textId="77777777" w:rsidTr="02CCB2CD">
        <w:trPr>
          <w:gridAfter w:val="1"/>
          <w:wAfter w:w="282" w:type="pct"/>
          <w:trHeight w:val="490"/>
        </w:trPr>
        <w:tc>
          <w:tcPr>
            <w:tcW w:w="622" w:type="pct"/>
            <w:vMerge w:val="restart"/>
          </w:tcPr>
          <w:p w14:paraId="35A212FB"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Country Programme Document (CPD 2022-2026)</w:t>
            </w:r>
          </w:p>
        </w:tc>
        <w:tc>
          <w:tcPr>
            <w:tcW w:w="416" w:type="pct"/>
            <w:vMerge w:val="restart"/>
          </w:tcPr>
          <w:p w14:paraId="25BEE9A6"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SP outcomes 1-3</w:t>
            </w:r>
          </w:p>
          <w:p w14:paraId="28163D34"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686" w:type="pct"/>
          </w:tcPr>
          <w:p w14:paraId="7836BAB2"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668B21EC">
              <w:rPr>
                <w:rFonts w:ascii="Arial" w:eastAsia="Times New Roman" w:hAnsi="Arial" w:cs="Arial"/>
                <w:sz w:val="16"/>
                <w:szCs w:val="16"/>
              </w:rPr>
              <w:t>CPD Terminal Evaluation</w:t>
            </w:r>
          </w:p>
        </w:tc>
        <w:tc>
          <w:tcPr>
            <w:tcW w:w="525" w:type="pct"/>
          </w:tcPr>
          <w:p w14:paraId="66A53174"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514" w:type="pct"/>
          </w:tcPr>
          <w:p w14:paraId="6A671378"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UNDP</w:t>
            </w:r>
          </w:p>
        </w:tc>
        <w:tc>
          <w:tcPr>
            <w:tcW w:w="592" w:type="pct"/>
          </w:tcPr>
          <w:p w14:paraId="0F62C4C1"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Cooperation Framework Evaluation</w:t>
            </w:r>
          </w:p>
        </w:tc>
        <w:tc>
          <w:tcPr>
            <w:tcW w:w="459" w:type="pct"/>
          </w:tcPr>
          <w:p w14:paraId="5B22D1A4"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October 2024</w:t>
            </w:r>
          </w:p>
        </w:tc>
        <w:tc>
          <w:tcPr>
            <w:tcW w:w="441" w:type="pct"/>
          </w:tcPr>
          <w:p w14:paraId="61D15CE3"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$35,000</w:t>
            </w:r>
          </w:p>
        </w:tc>
        <w:tc>
          <w:tcPr>
            <w:tcW w:w="461" w:type="pct"/>
            <w:gridSpan w:val="2"/>
          </w:tcPr>
          <w:p w14:paraId="37E56847"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668B21EC">
              <w:rPr>
                <w:rFonts w:ascii="Arial" w:eastAsia="Times New Roman" w:hAnsi="Arial" w:cs="Arial"/>
                <w:sz w:val="16"/>
                <w:szCs w:val="16"/>
              </w:rPr>
              <w:t>CO M&amp;E budget</w:t>
            </w:r>
          </w:p>
        </w:tc>
      </w:tr>
      <w:tr w:rsidR="00DC6CEE" w:rsidRPr="00DC6CEE" w14:paraId="34496F55" w14:textId="77777777" w:rsidTr="02CCB2CD">
        <w:trPr>
          <w:gridAfter w:val="1"/>
          <w:wAfter w:w="282" w:type="pct"/>
          <w:trHeight w:val="490"/>
        </w:trPr>
        <w:tc>
          <w:tcPr>
            <w:tcW w:w="622" w:type="pct"/>
            <w:vMerge/>
          </w:tcPr>
          <w:p w14:paraId="44EEEE62"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416" w:type="pct"/>
            <w:vMerge/>
          </w:tcPr>
          <w:p w14:paraId="1D3BF04F"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686" w:type="pct"/>
          </w:tcPr>
          <w:p w14:paraId="1F7EBDD9"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668B21EC">
              <w:rPr>
                <w:rFonts w:ascii="Arial" w:eastAsia="Times New Roman" w:hAnsi="Arial" w:cs="Arial"/>
                <w:sz w:val="16"/>
                <w:szCs w:val="16"/>
              </w:rPr>
              <w:t>CPD Terminal Evaluation</w:t>
            </w:r>
          </w:p>
        </w:tc>
        <w:tc>
          <w:tcPr>
            <w:tcW w:w="525" w:type="pct"/>
          </w:tcPr>
          <w:p w14:paraId="5C45FBAE"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514" w:type="pct"/>
          </w:tcPr>
          <w:p w14:paraId="03D537DA"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UNDP</w:t>
            </w:r>
          </w:p>
        </w:tc>
        <w:tc>
          <w:tcPr>
            <w:tcW w:w="592" w:type="pct"/>
          </w:tcPr>
          <w:p w14:paraId="25CC606B"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Cooperation Framework Evaluation</w:t>
            </w:r>
          </w:p>
        </w:tc>
        <w:tc>
          <w:tcPr>
            <w:tcW w:w="459" w:type="pct"/>
          </w:tcPr>
          <w:p w14:paraId="2C9BA185"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October 2026</w:t>
            </w:r>
          </w:p>
        </w:tc>
        <w:tc>
          <w:tcPr>
            <w:tcW w:w="441" w:type="pct"/>
          </w:tcPr>
          <w:p w14:paraId="69902B14"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$50,000</w:t>
            </w:r>
          </w:p>
        </w:tc>
        <w:tc>
          <w:tcPr>
            <w:tcW w:w="461" w:type="pct"/>
            <w:gridSpan w:val="2"/>
          </w:tcPr>
          <w:p w14:paraId="5AD18E35" w14:textId="77777777" w:rsidR="00DC6CEE" w:rsidRPr="00DC6CEE" w:rsidRDefault="00DC6CEE" w:rsidP="00DC6CEE">
            <w:pPr>
              <w:spacing w:after="60" w:line="240" w:lineRule="auto"/>
              <w:jc w:val="center"/>
              <w:outlineLvl w:val="1"/>
              <w:rPr>
                <w:rFonts w:ascii="Arial" w:eastAsia="Times New Roman" w:hAnsi="Arial" w:cs="Arial"/>
                <w:sz w:val="16"/>
                <w:szCs w:val="16"/>
              </w:rPr>
            </w:pPr>
            <w:r w:rsidRPr="00DC6CEE">
              <w:rPr>
                <w:rFonts w:ascii="Arial" w:eastAsia="Times New Roman" w:hAnsi="Arial" w:cs="Arial"/>
                <w:sz w:val="16"/>
                <w:szCs w:val="16"/>
              </w:rPr>
              <w:t>CO M&amp;E budget</w:t>
            </w:r>
          </w:p>
        </w:tc>
      </w:tr>
      <w:tr w:rsidR="00DC6CEE" w:rsidRPr="00DC6CEE" w14:paraId="2F1E62C8" w14:textId="77777777" w:rsidTr="02CCB2CD">
        <w:trPr>
          <w:gridAfter w:val="1"/>
          <w:wAfter w:w="282" w:type="pct"/>
          <w:trHeight w:val="490"/>
        </w:trPr>
        <w:tc>
          <w:tcPr>
            <w:tcW w:w="622" w:type="pct"/>
            <w:vMerge/>
          </w:tcPr>
          <w:p w14:paraId="0040CED3"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416" w:type="pct"/>
            <w:vMerge/>
          </w:tcPr>
          <w:p w14:paraId="514B17F1"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686" w:type="pct"/>
          </w:tcPr>
          <w:p w14:paraId="48E26799" w14:textId="77777777" w:rsidR="00DC6CEE" w:rsidRPr="00DC6CEE" w:rsidRDefault="00DC6CEE" w:rsidP="02CCB2CD">
            <w:pPr>
              <w:spacing w:after="60" w:line="240" w:lineRule="auto"/>
              <w:jc w:val="center"/>
              <w:outlineLvl w:val="1"/>
              <w:rPr>
                <w:rFonts w:ascii="Arial" w:eastAsia="Times New Roman" w:hAnsi="Arial" w:cs="Arial"/>
                <w:sz w:val="16"/>
                <w:szCs w:val="16"/>
              </w:rPr>
            </w:pPr>
            <w:r w:rsidRPr="02CCB2CD">
              <w:rPr>
                <w:rFonts w:ascii="Arial" w:eastAsia="Times New Roman" w:hAnsi="Arial" w:cs="Arial"/>
                <w:color w:val="000000" w:themeColor="text1"/>
                <w:sz w:val="16"/>
                <w:szCs w:val="16"/>
              </w:rPr>
              <w:t>Independent Country Programme Review</w:t>
            </w:r>
          </w:p>
        </w:tc>
        <w:tc>
          <w:tcPr>
            <w:tcW w:w="525" w:type="pct"/>
          </w:tcPr>
          <w:p w14:paraId="30AD21CA" w14:textId="77777777" w:rsidR="00DC6CEE" w:rsidRPr="00DC6CEE" w:rsidRDefault="00DC6CEE" w:rsidP="02CCB2CD">
            <w:pPr>
              <w:spacing w:after="60" w:line="240" w:lineRule="auto"/>
              <w:jc w:val="center"/>
              <w:outlineLvl w:val="1"/>
              <w:rPr>
                <w:rFonts w:ascii="Arial" w:eastAsia="Times New Roman" w:hAnsi="Arial" w:cs="Arial"/>
                <w:b/>
                <w:bCs/>
                <w:sz w:val="16"/>
                <w:szCs w:val="16"/>
              </w:rPr>
            </w:pPr>
          </w:p>
        </w:tc>
        <w:tc>
          <w:tcPr>
            <w:tcW w:w="514" w:type="pct"/>
          </w:tcPr>
          <w:p w14:paraId="7CF6079D" w14:textId="77777777" w:rsidR="00DC6CEE" w:rsidRPr="00DC6CEE" w:rsidRDefault="00DC6CEE" w:rsidP="02CCB2CD">
            <w:pPr>
              <w:spacing w:after="60" w:line="240" w:lineRule="auto"/>
              <w:jc w:val="center"/>
              <w:outlineLvl w:val="1"/>
              <w:rPr>
                <w:rFonts w:ascii="Arial" w:eastAsia="Times New Roman" w:hAnsi="Arial" w:cs="Arial"/>
                <w:sz w:val="16"/>
                <w:szCs w:val="16"/>
              </w:rPr>
            </w:pPr>
            <w:r w:rsidRPr="02CCB2CD">
              <w:rPr>
                <w:rFonts w:ascii="Arial" w:eastAsia="Times New Roman" w:hAnsi="Arial" w:cs="Arial"/>
                <w:color w:val="000000" w:themeColor="text1"/>
                <w:sz w:val="16"/>
                <w:szCs w:val="16"/>
              </w:rPr>
              <w:t>UNDP IEO</w:t>
            </w:r>
          </w:p>
        </w:tc>
        <w:tc>
          <w:tcPr>
            <w:tcW w:w="592" w:type="pct"/>
          </w:tcPr>
          <w:p w14:paraId="058F0BF3" w14:textId="77777777" w:rsidR="00DC6CEE" w:rsidRPr="00DC6CEE" w:rsidRDefault="00DC6CEE" w:rsidP="02CCB2CD">
            <w:pPr>
              <w:spacing w:after="60" w:line="240" w:lineRule="auto"/>
              <w:jc w:val="center"/>
              <w:outlineLvl w:val="1"/>
              <w:rPr>
                <w:rFonts w:ascii="Arial" w:eastAsia="Times New Roman" w:hAnsi="Arial" w:cs="Arial"/>
                <w:sz w:val="16"/>
                <w:szCs w:val="16"/>
              </w:rPr>
            </w:pPr>
            <w:r w:rsidRPr="02CCB2CD">
              <w:rPr>
                <w:rFonts w:ascii="Arial" w:eastAsia="Times New Roman" w:hAnsi="Arial" w:cs="Arial"/>
                <w:color w:val="000000" w:themeColor="text1"/>
                <w:sz w:val="16"/>
                <w:szCs w:val="16"/>
              </w:rPr>
              <w:t>Programme Evaluation</w:t>
            </w:r>
          </w:p>
        </w:tc>
        <w:tc>
          <w:tcPr>
            <w:tcW w:w="459" w:type="pct"/>
          </w:tcPr>
          <w:p w14:paraId="5BCA0AC5" w14:textId="77777777" w:rsidR="00DC6CEE" w:rsidRPr="00DC6CEE" w:rsidRDefault="00DC6CEE" w:rsidP="02CCB2CD">
            <w:pPr>
              <w:spacing w:after="60" w:line="240" w:lineRule="auto"/>
              <w:jc w:val="center"/>
              <w:outlineLvl w:val="1"/>
              <w:rPr>
                <w:rFonts w:ascii="Arial" w:eastAsia="Times New Roman" w:hAnsi="Arial" w:cs="Arial"/>
                <w:sz w:val="16"/>
                <w:szCs w:val="16"/>
              </w:rPr>
            </w:pPr>
            <w:r w:rsidRPr="02CCB2CD">
              <w:rPr>
                <w:rFonts w:ascii="Arial" w:eastAsia="Times New Roman" w:hAnsi="Arial" w:cs="Arial"/>
                <w:color w:val="000000" w:themeColor="text1"/>
                <w:sz w:val="16"/>
                <w:szCs w:val="16"/>
              </w:rPr>
              <w:t>December 2025</w:t>
            </w:r>
          </w:p>
        </w:tc>
        <w:tc>
          <w:tcPr>
            <w:tcW w:w="441" w:type="pct"/>
          </w:tcPr>
          <w:p w14:paraId="710C08D2" w14:textId="77777777" w:rsidR="00DC6CEE" w:rsidRPr="00DC6CEE" w:rsidRDefault="00DC6CEE" w:rsidP="02CCB2CD">
            <w:pPr>
              <w:spacing w:after="60" w:line="240" w:lineRule="auto"/>
              <w:jc w:val="center"/>
              <w:outlineLvl w:val="1"/>
              <w:rPr>
                <w:rFonts w:ascii="Arial" w:eastAsia="Times New Roman" w:hAnsi="Arial" w:cs="Arial"/>
                <w:sz w:val="16"/>
                <w:szCs w:val="16"/>
              </w:rPr>
            </w:pPr>
            <w:r w:rsidRPr="02CCB2CD">
              <w:rPr>
                <w:rFonts w:ascii="Arial" w:eastAsia="Times New Roman" w:hAnsi="Arial" w:cs="Arial"/>
                <w:color w:val="000000" w:themeColor="text1"/>
                <w:sz w:val="16"/>
                <w:szCs w:val="16"/>
              </w:rPr>
              <w:t>$35,000</w:t>
            </w:r>
          </w:p>
        </w:tc>
        <w:tc>
          <w:tcPr>
            <w:tcW w:w="461" w:type="pct"/>
            <w:gridSpan w:val="2"/>
          </w:tcPr>
          <w:p w14:paraId="75BB57A6"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r>
      <w:tr w:rsidR="00DC6CEE" w:rsidRPr="00DC6CEE" w14:paraId="6C84B35D" w14:textId="77777777" w:rsidTr="02CCB2CD">
        <w:trPr>
          <w:gridAfter w:val="1"/>
          <w:wAfter w:w="282" w:type="pct"/>
          <w:trHeight w:val="490"/>
        </w:trPr>
        <w:tc>
          <w:tcPr>
            <w:tcW w:w="622" w:type="pct"/>
            <w:vMerge/>
          </w:tcPr>
          <w:p w14:paraId="3BC066A7"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416" w:type="pct"/>
            <w:vMerge/>
          </w:tcPr>
          <w:p w14:paraId="5F2EDFE5"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686" w:type="pct"/>
          </w:tcPr>
          <w:p w14:paraId="24503C1E"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525" w:type="pct"/>
          </w:tcPr>
          <w:p w14:paraId="351F2244" w14:textId="77777777" w:rsidR="00DC6CEE" w:rsidRPr="00DC6CEE" w:rsidRDefault="00DC6CEE" w:rsidP="02CCB2CD">
            <w:pPr>
              <w:spacing w:after="60" w:line="240" w:lineRule="auto"/>
              <w:jc w:val="center"/>
              <w:outlineLvl w:val="1"/>
              <w:rPr>
                <w:rFonts w:ascii="Arial" w:eastAsia="Times New Roman" w:hAnsi="Arial" w:cs="Arial"/>
                <w:b/>
                <w:bCs/>
                <w:sz w:val="16"/>
                <w:szCs w:val="16"/>
              </w:rPr>
            </w:pPr>
          </w:p>
        </w:tc>
        <w:tc>
          <w:tcPr>
            <w:tcW w:w="514" w:type="pct"/>
          </w:tcPr>
          <w:p w14:paraId="06725C9B"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592" w:type="pct"/>
          </w:tcPr>
          <w:p w14:paraId="6C5747E0"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459" w:type="pct"/>
          </w:tcPr>
          <w:p w14:paraId="6B6D4499"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441" w:type="pct"/>
          </w:tcPr>
          <w:p w14:paraId="59ED94E5"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c>
          <w:tcPr>
            <w:tcW w:w="461" w:type="pct"/>
            <w:gridSpan w:val="2"/>
          </w:tcPr>
          <w:p w14:paraId="0A760404" w14:textId="77777777" w:rsidR="00DC6CEE" w:rsidRPr="00DC6CEE" w:rsidRDefault="00DC6CEE" w:rsidP="00DC6CEE">
            <w:pPr>
              <w:spacing w:after="60" w:line="240" w:lineRule="auto"/>
              <w:jc w:val="center"/>
              <w:outlineLvl w:val="1"/>
              <w:rPr>
                <w:rFonts w:ascii="Arial" w:eastAsia="Times New Roman" w:hAnsi="Arial" w:cs="Arial"/>
                <w:sz w:val="16"/>
                <w:szCs w:val="16"/>
              </w:rPr>
            </w:pPr>
          </w:p>
        </w:tc>
      </w:tr>
      <w:tr w:rsidR="00DC6CEE" w:rsidRPr="00DC6CEE" w14:paraId="6579946B" w14:textId="77777777" w:rsidTr="02CCB2CD">
        <w:trPr>
          <w:gridAfter w:val="1"/>
          <w:wAfter w:w="282" w:type="pct"/>
          <w:trHeight w:val="60"/>
        </w:trPr>
        <w:tc>
          <w:tcPr>
            <w:tcW w:w="622" w:type="pct"/>
          </w:tcPr>
          <w:p w14:paraId="39E1F38B"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416" w:type="pct"/>
          </w:tcPr>
          <w:p w14:paraId="2C48DF9C"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686" w:type="pct"/>
          </w:tcPr>
          <w:p w14:paraId="02B71B6C"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525" w:type="pct"/>
          </w:tcPr>
          <w:p w14:paraId="45A3B71B"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514" w:type="pct"/>
          </w:tcPr>
          <w:p w14:paraId="34B45B7B"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592" w:type="pct"/>
          </w:tcPr>
          <w:p w14:paraId="062651E8"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459" w:type="pct"/>
          </w:tcPr>
          <w:p w14:paraId="0720EB0E"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441" w:type="pct"/>
          </w:tcPr>
          <w:p w14:paraId="14E62D4A"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c>
          <w:tcPr>
            <w:tcW w:w="461" w:type="pct"/>
            <w:gridSpan w:val="2"/>
          </w:tcPr>
          <w:p w14:paraId="5D642202"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tc>
      </w:tr>
    </w:tbl>
    <w:p w14:paraId="043FCA15"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p w14:paraId="6B800C2A"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r w:rsidRPr="00DC6CEE">
        <w:rPr>
          <w:rFonts w:ascii="Arial" w:eastAsia="Times New Roman" w:hAnsi="Arial" w:cs="Arial"/>
          <w:b/>
          <w:bCs/>
          <w:sz w:val="16"/>
          <w:szCs w:val="16"/>
        </w:rPr>
        <w:t xml:space="preserve">Note: </w:t>
      </w:r>
    </w:p>
    <w:p w14:paraId="2A5F8CDD" w14:textId="77777777" w:rsidR="00DC6CEE" w:rsidRPr="00DC6CEE" w:rsidRDefault="00DC6CEE" w:rsidP="00DC6CEE">
      <w:pPr>
        <w:spacing w:after="60" w:line="240" w:lineRule="auto"/>
        <w:jc w:val="center"/>
        <w:outlineLvl w:val="1"/>
        <w:rPr>
          <w:rFonts w:ascii="Arial" w:eastAsia="Times New Roman" w:hAnsi="Arial" w:cs="Arial"/>
          <w:b/>
          <w:bCs/>
          <w:sz w:val="16"/>
          <w:szCs w:val="16"/>
        </w:rPr>
      </w:pPr>
    </w:p>
    <w:p w14:paraId="2EABB973" w14:textId="77777777" w:rsidR="00DC6CEE" w:rsidRPr="00DC6CEE" w:rsidRDefault="00DC6CEE" w:rsidP="00DC6CEE">
      <w:pPr>
        <w:spacing w:after="60" w:line="240" w:lineRule="auto"/>
        <w:outlineLvl w:val="1"/>
        <w:rPr>
          <w:rFonts w:ascii="Arial" w:eastAsia="Times New Roman" w:hAnsi="Arial" w:cs="Arial"/>
          <w:sz w:val="16"/>
          <w:szCs w:val="16"/>
        </w:rPr>
      </w:pPr>
      <w:r w:rsidRPr="00DC6CEE">
        <w:rPr>
          <w:rFonts w:ascii="Arial" w:eastAsia="Times New Roman" w:hAnsi="Arial" w:cs="Arial"/>
          <w:sz w:val="16"/>
          <w:szCs w:val="16"/>
        </w:rPr>
        <w:t>Individual Project evaluations are planned across the cooperation cycle. Projects are subjected to one (1) or two (2) evaluations across their lifetime dependent on project duration and specific donor requirements. It is customary practice that Projects implemented in a period less than 36 months be subjected to a single terminal evaluation administered within the last 6 months of project implementation. For longer duration projects, 2 evaluations (Mid-term and Terminal) are required.</w:t>
      </w:r>
    </w:p>
    <w:p w14:paraId="0CF64F57" w14:textId="77777777" w:rsidR="00DC6CEE" w:rsidRPr="00DC6CEE" w:rsidRDefault="00DC6CEE" w:rsidP="00DC6CEE">
      <w:pPr>
        <w:spacing w:after="60" w:line="240" w:lineRule="auto"/>
        <w:outlineLvl w:val="1"/>
        <w:rPr>
          <w:rFonts w:ascii="Arial" w:eastAsia="Times New Roman" w:hAnsi="Arial" w:cs="Arial"/>
          <w:sz w:val="16"/>
          <w:szCs w:val="16"/>
        </w:rPr>
      </w:pPr>
    </w:p>
    <w:p w14:paraId="604E78EC" w14:textId="77777777" w:rsidR="00DC6CEE" w:rsidRPr="00DC6CEE" w:rsidRDefault="00DC6CEE" w:rsidP="00DC6CEE">
      <w:pPr>
        <w:spacing w:after="60" w:line="240" w:lineRule="auto"/>
        <w:outlineLvl w:val="1"/>
        <w:rPr>
          <w:rFonts w:ascii="Arial" w:eastAsia="Times New Roman" w:hAnsi="Arial" w:cs="Arial"/>
          <w:sz w:val="16"/>
          <w:szCs w:val="16"/>
        </w:rPr>
      </w:pPr>
      <w:r w:rsidRPr="00DC6CEE">
        <w:rPr>
          <w:rFonts w:ascii="Arial" w:eastAsia="Times New Roman" w:hAnsi="Arial" w:cs="Arial"/>
          <w:sz w:val="16"/>
          <w:szCs w:val="16"/>
        </w:rPr>
        <w:t>Terminal evaluations are mandatory for all GEF financed medium sized and full-sized projects, and midterm reviews required for all full-sized projects.</w:t>
      </w:r>
    </w:p>
    <w:p w14:paraId="3D81D80A" w14:textId="77777777" w:rsidR="00DC6CEE" w:rsidRPr="00DC6CEE" w:rsidRDefault="00DC6CEE" w:rsidP="00DC6CEE">
      <w:pPr>
        <w:spacing w:after="60" w:line="240" w:lineRule="auto"/>
        <w:outlineLvl w:val="1"/>
        <w:rPr>
          <w:rFonts w:ascii="Arial" w:eastAsia="Times New Roman" w:hAnsi="Arial" w:cs="Arial"/>
          <w:sz w:val="16"/>
          <w:szCs w:val="16"/>
        </w:rPr>
      </w:pPr>
    </w:p>
    <w:p w14:paraId="3949DD76" w14:textId="77777777" w:rsidR="00DC6CEE" w:rsidRPr="00DC6CEE" w:rsidRDefault="00DC6CEE" w:rsidP="00DC6CEE">
      <w:pPr>
        <w:spacing w:after="60" w:line="240" w:lineRule="auto"/>
        <w:outlineLvl w:val="1"/>
        <w:rPr>
          <w:rFonts w:ascii="Arial" w:eastAsia="Times New Roman" w:hAnsi="Arial" w:cs="Arial"/>
          <w:b/>
          <w:bCs/>
          <w:sz w:val="16"/>
          <w:szCs w:val="16"/>
        </w:rPr>
      </w:pPr>
      <w:r w:rsidRPr="00DC6CEE">
        <w:rPr>
          <w:rFonts w:ascii="Arial" w:eastAsia="Times New Roman" w:hAnsi="Arial" w:cs="Arial"/>
          <w:sz w:val="16"/>
          <w:szCs w:val="16"/>
        </w:rPr>
        <w:t xml:space="preserve">Standard costs for project evaluations </w:t>
      </w:r>
      <w:proofErr w:type="gramStart"/>
      <w:r w:rsidRPr="00DC6CEE">
        <w:rPr>
          <w:rFonts w:ascii="Arial" w:eastAsia="Times New Roman" w:hAnsi="Arial" w:cs="Arial"/>
          <w:sz w:val="16"/>
          <w:szCs w:val="16"/>
        </w:rPr>
        <w:t>is</w:t>
      </w:r>
      <w:proofErr w:type="gramEnd"/>
      <w:r w:rsidRPr="00DC6CEE">
        <w:rPr>
          <w:rFonts w:ascii="Arial" w:eastAsia="Times New Roman" w:hAnsi="Arial" w:cs="Arial"/>
          <w:sz w:val="16"/>
          <w:szCs w:val="16"/>
        </w:rPr>
        <w:t>: $15,000 Project Mid-term Evaluation; $25,000 Project Terminal Evaluation. Evaluations are costed within respective project budgets. CO Project evaluation Plan is updated on an annual basis ad tracked by UNDP Evaluation Resource Center.</w:t>
      </w:r>
    </w:p>
    <w:p w14:paraId="3249FED1" w14:textId="2E03ED10" w:rsidR="00E555B3" w:rsidRDefault="00A44E93" w:rsidP="668B21EC">
      <w:pPr>
        <w:spacing w:after="0" w:line="240" w:lineRule="auto"/>
        <w:rPr>
          <w:rFonts w:ascii="Times New Roman" w:eastAsia="Times New Roman" w:hAnsi="Times New Roman" w:cs="Times New Roman"/>
          <w:sz w:val="16"/>
          <w:szCs w:val="16"/>
        </w:rPr>
      </w:pPr>
    </w:p>
    <w:sectPr w:rsidR="00E555B3" w:rsidSect="00C0679E">
      <w:pgSz w:w="15840" w:h="12240" w:orient="landscape"/>
      <w:pgMar w:top="1440" w:right="1152" w:bottom="1440" w:left="1152" w:header="81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E8C"/>
    <w:multiLevelType w:val="hybridMultilevel"/>
    <w:tmpl w:val="94F63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C262C5"/>
    <w:multiLevelType w:val="hybridMultilevel"/>
    <w:tmpl w:val="E69A4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E1054C"/>
    <w:multiLevelType w:val="hybridMultilevel"/>
    <w:tmpl w:val="2F6A8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2F0852"/>
    <w:multiLevelType w:val="hybridMultilevel"/>
    <w:tmpl w:val="C59EC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034919"/>
    <w:multiLevelType w:val="hybridMultilevel"/>
    <w:tmpl w:val="1598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EE"/>
    <w:rsid w:val="000B6394"/>
    <w:rsid w:val="00566DB5"/>
    <w:rsid w:val="0065631A"/>
    <w:rsid w:val="006D43EF"/>
    <w:rsid w:val="00A44E93"/>
    <w:rsid w:val="00D565E8"/>
    <w:rsid w:val="00DC6CEE"/>
    <w:rsid w:val="02CCB2CD"/>
    <w:rsid w:val="06B4725E"/>
    <w:rsid w:val="1E4533C4"/>
    <w:rsid w:val="21A7B095"/>
    <w:rsid w:val="22E6909A"/>
    <w:rsid w:val="27869F17"/>
    <w:rsid w:val="2F930158"/>
    <w:rsid w:val="3115C6F1"/>
    <w:rsid w:val="51A86DCB"/>
    <w:rsid w:val="668B21EC"/>
    <w:rsid w:val="693F15C9"/>
    <w:rsid w:val="74891375"/>
    <w:rsid w:val="7F1CB875"/>
    <w:rsid w:val="7FF0D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1FC3"/>
  <w15:chartTrackingRefBased/>
  <w15:docId w15:val="{60573C53-3415-45DA-A6D9-58255422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C6CEE"/>
    <w:rPr>
      <w:rFonts w:cs="Times New Roman"/>
      <w:sz w:val="6"/>
      <w:szCs w:val="6"/>
    </w:rPr>
  </w:style>
  <w:style w:type="paragraph" w:styleId="CommentText">
    <w:name w:val="annotation text"/>
    <w:basedOn w:val="Normal"/>
    <w:link w:val="CommentTextChar"/>
    <w:rsid w:val="00DC6CE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C6C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6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UNITOFFICE-440-2073</_dlc_DocId>
    <_dlc_DocIdUrl xmlns="5ebeba3d-fd60-4dcb-8548-a9fd3c51d9ff">
      <Url>https://intranet.undp.org/unit/office/exo/sp2014/SP201417/_layouts/15/DocIdRedir.aspx?ID=UNITOFFICE-440-2073</Url>
      <Description>UNITOFFICE-440-2073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87896-B59D-4A01-90A7-9F81A426F19E}">
  <ds:schemaRefs>
    <ds:schemaRef ds:uri="http://schemas.microsoft.com/sharepoint/events"/>
  </ds:schemaRefs>
</ds:datastoreItem>
</file>

<file path=customXml/itemProps2.xml><?xml version="1.0" encoding="utf-8"?>
<ds:datastoreItem xmlns:ds="http://schemas.openxmlformats.org/officeDocument/2006/customXml" ds:itemID="{D3788A7D-2D2D-49A7-8880-060A110E2FE0}">
  <ds:schemaRefs>
    <ds:schemaRef ds:uri="5ebeba3d-fd60-4dcb-8548-a9fd3c51d9ff"/>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0ECCB8-DDE2-4ECA-9F27-3D099EF94823}">
  <ds:schemaRefs>
    <ds:schemaRef ds:uri="http://schemas.microsoft.com/sharepoint/v3/contenttype/forms"/>
  </ds:schemaRefs>
</ds:datastoreItem>
</file>

<file path=customXml/itemProps4.xml><?xml version="1.0" encoding="utf-8"?>
<ds:datastoreItem xmlns:ds="http://schemas.openxmlformats.org/officeDocument/2006/customXml" ds:itemID="{44461C39-C5B0-4D29-9BFF-C8A6E221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4919</Characters>
  <Application>Microsoft Office Word</Application>
  <DocSecurity>4</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Svetlana Iazykova</cp:lastModifiedBy>
  <cp:revision>2</cp:revision>
  <dcterms:created xsi:type="dcterms:W3CDTF">2021-10-14T17:01:00Z</dcterms:created>
  <dcterms:modified xsi:type="dcterms:W3CDTF">2021-10-14T17:01:00Z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06093c74-13db-4b89-a985-4742ec252881</vt:lpwstr>
  </property>
</Properties>
</file>