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6726" w14:textId="584AE410" w:rsidR="00D4192F" w:rsidRPr="005323D5" w:rsidRDefault="00534E03" w:rsidP="00A457DA">
      <w:pPr>
        <w:spacing w:line="240" w:lineRule="auto"/>
        <w:jc w:val="center"/>
        <w:rPr>
          <w:rFonts w:cs="Times New Roman"/>
          <w:b/>
          <w:sz w:val="24"/>
          <w:szCs w:val="24"/>
        </w:rPr>
      </w:pPr>
      <w:r w:rsidRPr="005323D5">
        <w:rPr>
          <w:rFonts w:cs="Times New Roman"/>
          <w:b/>
          <w:sz w:val="24"/>
          <w:szCs w:val="24"/>
        </w:rPr>
        <w:t xml:space="preserve">COMMENTS ON </w:t>
      </w:r>
      <w:r w:rsidR="00006E69">
        <w:rPr>
          <w:rFonts w:cs="Times New Roman"/>
          <w:b/>
          <w:sz w:val="24"/>
          <w:szCs w:val="24"/>
        </w:rPr>
        <w:t xml:space="preserve">THE UNDP </w:t>
      </w:r>
      <w:r w:rsidRPr="005323D5">
        <w:rPr>
          <w:rFonts w:cs="Times New Roman"/>
          <w:b/>
          <w:sz w:val="24"/>
          <w:szCs w:val="24"/>
        </w:rPr>
        <w:t>DRAFT COUNTRY PROGRAMME DOCUMENT</w:t>
      </w:r>
      <w:r w:rsidR="00006E69">
        <w:rPr>
          <w:rFonts w:cs="Times New Roman"/>
          <w:b/>
          <w:sz w:val="24"/>
          <w:szCs w:val="24"/>
        </w:rPr>
        <w:t xml:space="preserve"> FOR EGYPT (2023-2027)</w:t>
      </w:r>
    </w:p>
    <w:p w14:paraId="53F340D5" w14:textId="53F41E91" w:rsidR="00DA5D1C" w:rsidRPr="00A457DA" w:rsidRDefault="00C34840" w:rsidP="00A457DA">
      <w:pPr>
        <w:spacing w:line="240" w:lineRule="auto"/>
        <w:jc w:val="center"/>
        <w:rPr>
          <w:rFonts w:cs="Times New Roman"/>
          <w:i/>
          <w:sz w:val="24"/>
          <w:szCs w:val="24"/>
        </w:rPr>
      </w:pPr>
      <w:r>
        <w:rPr>
          <w:rFonts w:cs="Times New Roman"/>
          <w:i/>
          <w:sz w:val="24"/>
          <w:szCs w:val="24"/>
        </w:rPr>
        <w:t>Second</w:t>
      </w:r>
      <w:r w:rsidR="00423221">
        <w:rPr>
          <w:rFonts w:cs="Times New Roman"/>
          <w:i/>
          <w:sz w:val="24"/>
          <w:szCs w:val="24"/>
        </w:rPr>
        <w:t xml:space="preserve"> regular </w:t>
      </w:r>
      <w:r w:rsidR="00EB1427" w:rsidRPr="00A457DA">
        <w:rPr>
          <w:rFonts w:cs="Times New Roman"/>
          <w:i/>
          <w:sz w:val="24"/>
          <w:szCs w:val="24"/>
        </w:rPr>
        <w:t>s</w:t>
      </w:r>
      <w:r w:rsidR="00DA5D1C" w:rsidRPr="00A457DA">
        <w:rPr>
          <w:rFonts w:cs="Times New Roman"/>
          <w:i/>
          <w:sz w:val="24"/>
          <w:szCs w:val="24"/>
        </w:rPr>
        <w:t>ession</w:t>
      </w:r>
      <w:r w:rsidR="00EB1427" w:rsidRPr="00A457DA">
        <w:rPr>
          <w:rFonts w:cs="Times New Roman"/>
          <w:i/>
          <w:sz w:val="24"/>
          <w:szCs w:val="24"/>
        </w:rPr>
        <w:t xml:space="preserve"> 202</w:t>
      </w:r>
      <w:r w:rsidR="00A41C94">
        <w:rPr>
          <w:rFonts w:cs="Times New Roman"/>
          <w:i/>
          <w:sz w:val="24"/>
          <w:szCs w:val="24"/>
        </w:rPr>
        <w:t>2</w:t>
      </w:r>
    </w:p>
    <w:p w14:paraId="06A4B1A0" w14:textId="12FBD5FB" w:rsidR="0003213E" w:rsidRPr="005323D5" w:rsidRDefault="00D4192F" w:rsidP="00006E69">
      <w:pPr>
        <w:tabs>
          <w:tab w:val="left" w:pos="720"/>
        </w:tabs>
        <w:spacing w:after="0" w:line="240" w:lineRule="auto"/>
        <w:ind w:right="1034"/>
        <w:jc w:val="both"/>
        <w:rPr>
          <w:rFonts w:cstheme="minorHAnsi"/>
          <w:sz w:val="24"/>
          <w:szCs w:val="24"/>
        </w:rPr>
      </w:pPr>
      <w:r w:rsidRPr="005323D5">
        <w:rPr>
          <w:rFonts w:cstheme="minorHAnsi"/>
          <w:sz w:val="24"/>
          <w:szCs w:val="24"/>
        </w:rPr>
        <w:t xml:space="preserve"> </w:t>
      </w:r>
    </w:p>
    <w:tbl>
      <w:tblPr>
        <w:tblStyle w:val="TableGrid"/>
        <w:tblW w:w="14434" w:type="dxa"/>
        <w:tblLook w:val="04A0" w:firstRow="1" w:lastRow="0" w:firstColumn="1" w:lastColumn="0" w:noHBand="0" w:noVBand="1"/>
      </w:tblPr>
      <w:tblGrid>
        <w:gridCol w:w="6025"/>
        <w:gridCol w:w="8409"/>
      </w:tblGrid>
      <w:tr w:rsidR="004B7604" w:rsidRPr="005323D5" w14:paraId="218C0B4A" w14:textId="38A2AF05" w:rsidTr="00006E69">
        <w:trPr>
          <w:trHeight w:val="476"/>
        </w:trPr>
        <w:tc>
          <w:tcPr>
            <w:tcW w:w="6025" w:type="dxa"/>
            <w:vAlign w:val="center"/>
          </w:tcPr>
          <w:p w14:paraId="4E86B9A0" w14:textId="6F3B417A" w:rsidR="004B7604" w:rsidRPr="00A457DA" w:rsidRDefault="004B7604" w:rsidP="00936D6C">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Spain</w:t>
            </w:r>
          </w:p>
        </w:tc>
        <w:tc>
          <w:tcPr>
            <w:tcW w:w="8409" w:type="dxa"/>
            <w:vAlign w:val="center"/>
          </w:tcPr>
          <w:p w14:paraId="54211294" w14:textId="5A81BD14" w:rsidR="004B7604" w:rsidRPr="00534E03" w:rsidRDefault="004B7604" w:rsidP="00936D6C">
            <w:pPr>
              <w:jc w:val="center"/>
              <w:rPr>
                <w:rFonts w:cs="Times New Roman"/>
                <w:b/>
                <w:sz w:val="24"/>
                <w:szCs w:val="24"/>
              </w:rPr>
            </w:pPr>
            <w:r>
              <w:rPr>
                <w:rFonts w:cs="Times New Roman"/>
                <w:b/>
                <w:sz w:val="24"/>
                <w:szCs w:val="24"/>
              </w:rPr>
              <w:t>UNDP response</w:t>
            </w:r>
          </w:p>
        </w:tc>
      </w:tr>
      <w:tr w:rsidR="004B7604" w:rsidRPr="005323D5" w14:paraId="59FFD639" w14:textId="13D2A7B6" w:rsidTr="00A06F16">
        <w:trPr>
          <w:trHeight w:val="476"/>
        </w:trPr>
        <w:tc>
          <w:tcPr>
            <w:tcW w:w="6025" w:type="dxa"/>
            <w:vAlign w:val="center"/>
          </w:tcPr>
          <w:p w14:paraId="52C52ED1" w14:textId="77777777" w:rsidR="004B7604" w:rsidRPr="00EA0213" w:rsidRDefault="004B7604" w:rsidP="00936D6C">
            <w:pPr>
              <w:rPr>
                <w:rFonts w:cs="Times New Roman"/>
                <w:sz w:val="24"/>
                <w:szCs w:val="24"/>
              </w:rPr>
            </w:pPr>
            <w:r w:rsidRPr="00EA0213">
              <w:rPr>
                <w:rFonts w:cs="Times New Roman"/>
                <w:sz w:val="24"/>
                <w:szCs w:val="24"/>
              </w:rPr>
              <w:t>UNDP continues to play a role in accompanying, implementing, improving the efficiency and impact of programs aimed at improving human development levels in Egypt. Egypt has been one of the first countries in the region to endorse the 2030 Agenda and to produce voluntary monitoring reports. Vision 2030 is aligned with the proposed systemic transformation proposed by the SDGs at the global level. For the materialization of this vision, the government has approved a package of strategies with a roadmap in which sustainability, prosperity and equality are important.</w:t>
            </w:r>
          </w:p>
          <w:p w14:paraId="71A1F4CB" w14:textId="77777777" w:rsidR="004B7604" w:rsidRPr="00EA0213" w:rsidRDefault="004B7604" w:rsidP="00936D6C">
            <w:pPr>
              <w:rPr>
                <w:rFonts w:cs="Times New Roman"/>
                <w:sz w:val="24"/>
                <w:szCs w:val="24"/>
              </w:rPr>
            </w:pPr>
          </w:p>
          <w:p w14:paraId="106DA92D" w14:textId="5BE12156" w:rsidR="004B7604" w:rsidRPr="00EA0213" w:rsidRDefault="004B7604" w:rsidP="00936D6C">
            <w:pPr>
              <w:rPr>
                <w:rFonts w:cs="Times New Roman"/>
                <w:sz w:val="24"/>
                <w:szCs w:val="24"/>
              </w:rPr>
            </w:pPr>
            <w:r w:rsidRPr="00EA0213">
              <w:rPr>
                <w:rFonts w:cs="Times New Roman"/>
                <w:sz w:val="24"/>
                <w:szCs w:val="24"/>
              </w:rPr>
              <w:t xml:space="preserve">We believe it is important to recognize the efforts of the Egyptian government in the last decade and it is true that UNDP has played the role of accompaniment, transfer of best practices, knowledge and innovation, and also mobilized experts to collaborate with Egyptian institutions. </w:t>
            </w:r>
          </w:p>
        </w:tc>
        <w:tc>
          <w:tcPr>
            <w:tcW w:w="8409" w:type="dxa"/>
          </w:tcPr>
          <w:p w14:paraId="1BFC6792" w14:textId="77777777" w:rsidR="00A06F16" w:rsidRDefault="00A06F16" w:rsidP="00A06F16"/>
          <w:p w14:paraId="445BAB8E" w14:textId="77777777" w:rsidR="00A06F16" w:rsidRDefault="00A06F16" w:rsidP="00A06F16"/>
          <w:p w14:paraId="7487B3F1" w14:textId="77777777" w:rsidR="00A06F16" w:rsidRDefault="00A06F16" w:rsidP="00A06F16"/>
          <w:p w14:paraId="5696078C" w14:textId="69A63065" w:rsidR="00A06F16" w:rsidRDefault="00A06F16" w:rsidP="00A06F16">
            <w:r>
              <w:t>Agreed.  Vision 2030 and its alignment with SDGs is recognized in paragraph 4.</w:t>
            </w:r>
          </w:p>
          <w:p w14:paraId="279B7320" w14:textId="119C63B3" w:rsidR="00A06F16" w:rsidRDefault="00A06F16" w:rsidP="00A06F16"/>
          <w:p w14:paraId="37A99209" w14:textId="7F542C19" w:rsidR="00A06F16" w:rsidRDefault="00A06F16" w:rsidP="00A06F16"/>
          <w:p w14:paraId="5B2CAA33" w14:textId="5B8A4EC0" w:rsidR="00A06F16" w:rsidRDefault="00A06F16" w:rsidP="00A06F16"/>
          <w:p w14:paraId="63FC0EFD" w14:textId="57D7E7AF" w:rsidR="00A06F16" w:rsidRDefault="00A06F16" w:rsidP="00A06F16"/>
          <w:p w14:paraId="10E0145F" w14:textId="7F7A3449" w:rsidR="00A06F16" w:rsidRDefault="00A06F16" w:rsidP="00A06F16"/>
          <w:p w14:paraId="0E34C211" w14:textId="1905CF3C" w:rsidR="00A06F16" w:rsidRDefault="00A06F16" w:rsidP="00A06F16"/>
          <w:p w14:paraId="0EEBE819" w14:textId="0B33BC82" w:rsidR="00A06F16" w:rsidRDefault="00A06F16" w:rsidP="00A06F16"/>
          <w:p w14:paraId="5AD38E42" w14:textId="01055B50" w:rsidR="00A06F16" w:rsidRDefault="00A06F16" w:rsidP="00A06F16"/>
          <w:p w14:paraId="458CBDAA" w14:textId="4355060A" w:rsidR="00A06F16" w:rsidRDefault="00A06F16" w:rsidP="00A06F16"/>
          <w:p w14:paraId="1CCF0F22" w14:textId="77777777" w:rsidR="00A06F16" w:rsidRDefault="00A06F16" w:rsidP="00A06F16">
            <w:r>
              <w:t>This is recognized in paragraph 1, specifically the monetary and fiscal reforms launched in 2016.</w:t>
            </w:r>
          </w:p>
          <w:p w14:paraId="1378B2D5" w14:textId="0D13E296" w:rsidR="004B7604" w:rsidRPr="00A06F16" w:rsidRDefault="00A06F16" w:rsidP="00A06F16">
            <w:r>
              <w:t>UNDP role as evaluated in the Independent Country Programme Evaluation is mentioned in paragraph 7</w:t>
            </w:r>
          </w:p>
        </w:tc>
      </w:tr>
      <w:tr w:rsidR="004B7604" w:rsidRPr="005323D5" w14:paraId="1F829039" w14:textId="18715452" w:rsidTr="00A06F16">
        <w:trPr>
          <w:trHeight w:val="476"/>
        </w:trPr>
        <w:tc>
          <w:tcPr>
            <w:tcW w:w="6025" w:type="dxa"/>
            <w:vAlign w:val="center"/>
          </w:tcPr>
          <w:p w14:paraId="7B1CEB7A" w14:textId="345B3BE8" w:rsidR="004B7604" w:rsidRPr="00EA0213" w:rsidRDefault="004B7604" w:rsidP="00936D6C">
            <w:pPr>
              <w:rPr>
                <w:rFonts w:cs="Times New Roman"/>
                <w:sz w:val="24"/>
                <w:szCs w:val="24"/>
              </w:rPr>
            </w:pPr>
            <w:r w:rsidRPr="00EA0213">
              <w:rPr>
                <w:rFonts w:cs="Times New Roman"/>
                <w:sz w:val="24"/>
                <w:szCs w:val="24"/>
              </w:rPr>
              <w:t>In relation to the proposed UNDP Country Program for the period 2023-2027, we would highlight for discussion:</w:t>
            </w:r>
          </w:p>
        </w:tc>
        <w:tc>
          <w:tcPr>
            <w:tcW w:w="8409" w:type="dxa"/>
          </w:tcPr>
          <w:p w14:paraId="4EBC9771" w14:textId="39BC3417" w:rsidR="004B7604" w:rsidRPr="00045447" w:rsidRDefault="004B7604" w:rsidP="00B96FE7">
            <w:pPr>
              <w:tabs>
                <w:tab w:val="left" w:pos="1350"/>
              </w:tabs>
              <w:spacing w:before="120" w:after="120"/>
              <w:ind w:right="720"/>
              <w:jc w:val="both"/>
              <w:rPr>
                <w:rFonts w:cs="Times New Roman"/>
                <w:sz w:val="24"/>
                <w:szCs w:val="24"/>
                <w:lang w:val="en-GB"/>
              </w:rPr>
            </w:pPr>
          </w:p>
        </w:tc>
      </w:tr>
      <w:tr w:rsidR="004B7604" w:rsidRPr="005323D5" w14:paraId="08712356" w14:textId="340AB918" w:rsidTr="00A06F16">
        <w:trPr>
          <w:trHeight w:val="476"/>
        </w:trPr>
        <w:tc>
          <w:tcPr>
            <w:tcW w:w="6025" w:type="dxa"/>
            <w:vAlign w:val="center"/>
          </w:tcPr>
          <w:p w14:paraId="779E1198" w14:textId="58B02BA0" w:rsidR="004B7604" w:rsidRPr="00EA0213" w:rsidRDefault="004B7604" w:rsidP="00245948">
            <w:pPr>
              <w:pStyle w:val="ListParagraph"/>
              <w:numPr>
                <w:ilvl w:val="0"/>
                <w:numId w:val="12"/>
              </w:numPr>
              <w:rPr>
                <w:rFonts w:cs="Times New Roman"/>
                <w:sz w:val="24"/>
                <w:szCs w:val="24"/>
              </w:rPr>
            </w:pPr>
            <w:r w:rsidRPr="00EA0213">
              <w:rPr>
                <w:rFonts w:cs="Times New Roman"/>
                <w:sz w:val="24"/>
                <w:szCs w:val="24"/>
              </w:rPr>
              <w:t xml:space="preserve">It shows firm will to accompany Egyptian institutions in their struggle for gender equality, mainstreaming an equality approach in the four results of the Country Program and setting the commitment to devote at least 50% to activities </w:t>
            </w:r>
            <w:r w:rsidRPr="00EA0213">
              <w:rPr>
                <w:rFonts w:cs="Times New Roman"/>
                <w:sz w:val="24"/>
                <w:szCs w:val="24"/>
              </w:rPr>
              <w:lastRenderedPageBreak/>
              <w:t xml:space="preserve">that contribute directly to the achievement of gender equality results (See page 3 of the document "...(ensuring that at least 50 per cent of programme expenditure contributes directly to gender equality results, as measured by the UNDP gender marker)". However, the Country Program shows a disparity in the percentage of women and men in the targets of key indicators to ensure women's socio-economic inclusion as well as in the creation of policy frameworks. </w:t>
            </w:r>
          </w:p>
          <w:p w14:paraId="0615EB5C" w14:textId="77777777" w:rsidR="004B7604" w:rsidRPr="00EA0213" w:rsidRDefault="004B7604" w:rsidP="00245948">
            <w:pPr>
              <w:pStyle w:val="ListParagraph"/>
              <w:rPr>
                <w:rFonts w:cs="Times New Roman"/>
                <w:sz w:val="24"/>
                <w:szCs w:val="24"/>
              </w:rPr>
            </w:pPr>
            <w:r w:rsidRPr="00EA0213">
              <w:rPr>
                <w:rFonts w:cs="Times New Roman"/>
                <w:sz w:val="24"/>
                <w:szCs w:val="24"/>
              </w:rPr>
              <w:t>In terms of financial inclusion, the number and value of women's access to credit schemes is lower, 25% of total disbursements. Disparity is also repeated in the framework of the country program outputs.</w:t>
            </w:r>
          </w:p>
          <w:p w14:paraId="42D1DF52" w14:textId="62A23CD6" w:rsidR="004B7604" w:rsidRPr="00EA0213" w:rsidRDefault="004B7604" w:rsidP="00245948">
            <w:pPr>
              <w:pStyle w:val="ListParagraph"/>
              <w:rPr>
                <w:rFonts w:cs="Times New Roman"/>
                <w:sz w:val="24"/>
                <w:szCs w:val="24"/>
              </w:rPr>
            </w:pPr>
            <w:r w:rsidRPr="00EA0213">
              <w:rPr>
                <w:rFonts w:cs="Times New Roman"/>
                <w:sz w:val="24"/>
                <w:szCs w:val="24"/>
              </w:rPr>
              <w:t>It would be important to maintain the commitment to the execution of expenditure in terms of equality between women and men in all the indicators of the document.</w:t>
            </w:r>
          </w:p>
        </w:tc>
        <w:tc>
          <w:tcPr>
            <w:tcW w:w="8409" w:type="dxa"/>
          </w:tcPr>
          <w:p w14:paraId="50DEF68E" w14:textId="512F7A47" w:rsidR="000C739F" w:rsidRPr="00556FDC" w:rsidRDefault="00B96FE7" w:rsidP="00B96FE7">
            <w:pPr>
              <w:tabs>
                <w:tab w:val="left" w:pos="1350"/>
              </w:tabs>
              <w:spacing w:before="120" w:after="120"/>
              <w:ind w:right="720"/>
              <w:jc w:val="both"/>
              <w:rPr>
                <w:sz w:val="24"/>
                <w:szCs w:val="24"/>
                <w:lang w:val="en-GB"/>
              </w:rPr>
            </w:pPr>
            <w:r w:rsidRPr="00AA3E98">
              <w:rPr>
                <w:rFonts w:cs="Times New Roman"/>
                <w:sz w:val="24"/>
                <w:szCs w:val="24"/>
              </w:rPr>
              <w:lastRenderedPageBreak/>
              <w:t xml:space="preserve">There is a difference between </w:t>
            </w:r>
            <w:r w:rsidRPr="00AA3E98">
              <w:rPr>
                <w:sz w:val="24"/>
                <w:szCs w:val="24"/>
                <w:lang w:val="en-GB"/>
              </w:rPr>
              <w:t xml:space="preserve">(ensuring 50 per cent of programme expenditure contributes directly to gender equality results) and </w:t>
            </w:r>
            <w:r w:rsidR="00E2042B" w:rsidRPr="00AA3E98">
              <w:rPr>
                <w:sz w:val="24"/>
                <w:szCs w:val="24"/>
                <w:lang w:val="en-GB"/>
              </w:rPr>
              <w:t>(</w:t>
            </w:r>
            <w:r w:rsidRPr="00AA3E98">
              <w:rPr>
                <w:sz w:val="24"/>
                <w:szCs w:val="24"/>
                <w:lang w:val="en-GB"/>
              </w:rPr>
              <w:t>the percentage of women benefit</w:t>
            </w:r>
            <w:r w:rsidR="008624B5" w:rsidRPr="00AA3E98">
              <w:rPr>
                <w:sz w:val="24"/>
                <w:szCs w:val="24"/>
                <w:lang w:val="en-GB"/>
              </w:rPr>
              <w:t>ing</w:t>
            </w:r>
            <w:r w:rsidRPr="00AA3E98">
              <w:rPr>
                <w:sz w:val="24"/>
                <w:szCs w:val="24"/>
                <w:lang w:val="en-GB"/>
              </w:rPr>
              <w:t xml:space="preserve"> </w:t>
            </w:r>
            <w:r w:rsidR="00E2042B" w:rsidRPr="00AA3E98">
              <w:rPr>
                <w:sz w:val="24"/>
                <w:szCs w:val="24"/>
                <w:lang w:val="en-GB"/>
              </w:rPr>
              <w:t xml:space="preserve">from </w:t>
            </w:r>
            <w:r w:rsidR="008624B5" w:rsidRPr="00AA3E98">
              <w:rPr>
                <w:sz w:val="24"/>
                <w:szCs w:val="24"/>
                <w:lang w:val="en-GB"/>
              </w:rPr>
              <w:t xml:space="preserve">various activities </w:t>
            </w:r>
            <w:r w:rsidR="00E2042B" w:rsidRPr="00AA3E98">
              <w:rPr>
                <w:sz w:val="24"/>
                <w:szCs w:val="24"/>
                <w:lang w:val="en-GB"/>
              </w:rPr>
              <w:t>as measured by the</w:t>
            </w:r>
            <w:r w:rsidRPr="00AA3E98">
              <w:rPr>
                <w:sz w:val="24"/>
                <w:szCs w:val="24"/>
                <w:lang w:val="en-GB"/>
              </w:rPr>
              <w:t xml:space="preserve"> key indicators</w:t>
            </w:r>
            <w:r w:rsidR="008624B5" w:rsidRPr="00AA3E98">
              <w:rPr>
                <w:sz w:val="24"/>
                <w:szCs w:val="24"/>
                <w:lang w:val="en-GB"/>
              </w:rPr>
              <w:t xml:space="preserve"> – </w:t>
            </w:r>
            <w:bookmarkStart w:id="0" w:name="_Hlk107434802"/>
            <w:r w:rsidR="008624B5" w:rsidRPr="00AA3E98">
              <w:rPr>
                <w:sz w:val="24"/>
                <w:szCs w:val="24"/>
                <w:lang w:val="en-GB"/>
              </w:rPr>
              <w:t>2.2.1 Entrepreneurship support, 2.1.3 loans, 2.3.1 digital skills, 2.3.2</w:t>
            </w:r>
            <w:r w:rsidR="008624B5">
              <w:rPr>
                <w:sz w:val="24"/>
                <w:szCs w:val="24"/>
                <w:lang w:val="en-GB"/>
              </w:rPr>
              <w:t xml:space="preserve"> career guidance</w:t>
            </w:r>
            <w:bookmarkEnd w:id="0"/>
            <w:r w:rsidR="00E2042B" w:rsidRPr="00556FDC">
              <w:rPr>
                <w:sz w:val="24"/>
                <w:szCs w:val="24"/>
                <w:lang w:val="en-GB"/>
              </w:rPr>
              <w:t>)</w:t>
            </w:r>
            <w:r w:rsidR="00C133D4" w:rsidRPr="00556FDC">
              <w:rPr>
                <w:sz w:val="24"/>
                <w:szCs w:val="24"/>
                <w:lang w:val="en-GB"/>
              </w:rPr>
              <w:t xml:space="preserve">. </w:t>
            </w:r>
            <w:r w:rsidR="003710B9" w:rsidRPr="00556FDC">
              <w:rPr>
                <w:sz w:val="24"/>
                <w:szCs w:val="24"/>
                <w:lang w:val="en-GB"/>
              </w:rPr>
              <w:t xml:space="preserve">Increasing the number of </w:t>
            </w:r>
            <w:r w:rsidR="00907756" w:rsidRPr="00556FDC">
              <w:rPr>
                <w:sz w:val="24"/>
                <w:szCs w:val="24"/>
                <w:lang w:val="en-GB"/>
              </w:rPr>
              <w:t>women</w:t>
            </w:r>
            <w:r w:rsidR="003710B9" w:rsidRPr="00556FDC">
              <w:rPr>
                <w:sz w:val="24"/>
                <w:szCs w:val="24"/>
                <w:lang w:val="en-GB"/>
              </w:rPr>
              <w:t xml:space="preserve"> benefit</w:t>
            </w:r>
            <w:r w:rsidR="008624B5">
              <w:rPr>
                <w:sz w:val="24"/>
                <w:szCs w:val="24"/>
                <w:lang w:val="en-GB"/>
              </w:rPr>
              <w:t>ing</w:t>
            </w:r>
            <w:r w:rsidR="003710B9" w:rsidRPr="00556FDC">
              <w:rPr>
                <w:sz w:val="24"/>
                <w:szCs w:val="24"/>
                <w:lang w:val="en-GB"/>
              </w:rPr>
              <w:t xml:space="preserve"> </w:t>
            </w:r>
            <w:r w:rsidR="003710B9" w:rsidRPr="00556FDC">
              <w:rPr>
                <w:sz w:val="24"/>
                <w:szCs w:val="24"/>
                <w:lang w:val="en-GB"/>
              </w:rPr>
              <w:lastRenderedPageBreak/>
              <w:t xml:space="preserve">from </w:t>
            </w:r>
            <w:r w:rsidR="000D63F2">
              <w:rPr>
                <w:sz w:val="24"/>
                <w:szCs w:val="24"/>
                <w:lang w:val="en-GB"/>
              </w:rPr>
              <w:t xml:space="preserve">the </w:t>
            </w:r>
            <w:r w:rsidR="003710B9" w:rsidRPr="00556FDC">
              <w:rPr>
                <w:sz w:val="24"/>
                <w:szCs w:val="24"/>
                <w:lang w:val="en-GB"/>
              </w:rPr>
              <w:t xml:space="preserve">programs requires </w:t>
            </w:r>
            <w:r w:rsidR="008624B5">
              <w:rPr>
                <w:sz w:val="24"/>
                <w:szCs w:val="24"/>
                <w:lang w:val="en-GB"/>
              </w:rPr>
              <w:t xml:space="preserve">more advocacy and </w:t>
            </w:r>
            <w:r w:rsidR="003710B9" w:rsidRPr="00556FDC">
              <w:rPr>
                <w:sz w:val="24"/>
                <w:szCs w:val="24"/>
                <w:lang w:val="en-GB"/>
              </w:rPr>
              <w:t>additional activities</w:t>
            </w:r>
            <w:r w:rsidR="00490117" w:rsidRPr="00556FDC">
              <w:rPr>
                <w:sz w:val="24"/>
                <w:szCs w:val="24"/>
                <w:lang w:val="en-GB"/>
              </w:rPr>
              <w:t xml:space="preserve"> (and expenditure) </w:t>
            </w:r>
            <w:r w:rsidR="003710B9" w:rsidRPr="00556FDC">
              <w:rPr>
                <w:sz w:val="24"/>
                <w:szCs w:val="24"/>
                <w:lang w:val="en-GB"/>
              </w:rPr>
              <w:t xml:space="preserve">than those needed to engage men. This might include additional awareness raising </w:t>
            </w:r>
            <w:r w:rsidR="00907756" w:rsidRPr="00556FDC">
              <w:rPr>
                <w:sz w:val="24"/>
                <w:szCs w:val="24"/>
                <w:lang w:val="en-GB"/>
              </w:rPr>
              <w:t>campaigns</w:t>
            </w:r>
            <w:r w:rsidR="003710B9" w:rsidRPr="00556FDC">
              <w:rPr>
                <w:sz w:val="24"/>
                <w:szCs w:val="24"/>
                <w:lang w:val="en-GB"/>
              </w:rPr>
              <w:t xml:space="preserve">, </w:t>
            </w:r>
            <w:r w:rsidR="00907756" w:rsidRPr="00556FDC">
              <w:rPr>
                <w:sz w:val="24"/>
                <w:szCs w:val="24"/>
                <w:lang w:val="en-GB"/>
              </w:rPr>
              <w:t>additional capacity building</w:t>
            </w:r>
            <w:r w:rsidR="00D97941" w:rsidRPr="00556FDC">
              <w:rPr>
                <w:sz w:val="24"/>
                <w:szCs w:val="24"/>
                <w:lang w:val="en-GB"/>
              </w:rPr>
              <w:t xml:space="preserve"> programs</w:t>
            </w:r>
            <w:r w:rsidR="00907756" w:rsidRPr="00556FDC">
              <w:rPr>
                <w:sz w:val="24"/>
                <w:szCs w:val="24"/>
                <w:lang w:val="en-GB"/>
              </w:rPr>
              <w:t xml:space="preserve">, </w:t>
            </w:r>
            <w:r w:rsidR="00CE3890" w:rsidRPr="00556FDC">
              <w:rPr>
                <w:sz w:val="24"/>
                <w:szCs w:val="24"/>
                <w:lang w:val="en-GB"/>
              </w:rPr>
              <w:t>developing tailored products</w:t>
            </w:r>
            <w:r w:rsidR="00D97941" w:rsidRPr="00556FDC">
              <w:rPr>
                <w:sz w:val="24"/>
                <w:szCs w:val="24"/>
                <w:lang w:val="en-GB"/>
              </w:rPr>
              <w:t xml:space="preserve"> </w:t>
            </w:r>
            <w:r w:rsidR="00CE3890" w:rsidRPr="00556FDC">
              <w:rPr>
                <w:sz w:val="24"/>
                <w:szCs w:val="24"/>
                <w:lang w:val="en-GB"/>
              </w:rPr>
              <w:t>/ applications</w:t>
            </w:r>
            <w:r w:rsidR="00D97941" w:rsidRPr="00556FDC">
              <w:rPr>
                <w:sz w:val="24"/>
                <w:szCs w:val="24"/>
                <w:lang w:val="en-GB"/>
              </w:rPr>
              <w:t xml:space="preserve"> </w:t>
            </w:r>
            <w:r w:rsidR="00CE3890" w:rsidRPr="00556FDC">
              <w:rPr>
                <w:sz w:val="24"/>
                <w:szCs w:val="24"/>
                <w:lang w:val="en-GB"/>
              </w:rPr>
              <w:t>for women</w:t>
            </w:r>
            <w:r w:rsidR="00552907" w:rsidRPr="00556FDC">
              <w:rPr>
                <w:sz w:val="24"/>
                <w:szCs w:val="24"/>
                <w:lang w:val="en-GB"/>
              </w:rPr>
              <w:t xml:space="preserve">. </w:t>
            </w:r>
          </w:p>
          <w:p w14:paraId="5B6DC85A" w14:textId="5438AFA3" w:rsidR="003457C0" w:rsidRPr="00556FDC" w:rsidRDefault="00552907" w:rsidP="00B96FE7">
            <w:pPr>
              <w:tabs>
                <w:tab w:val="left" w:pos="1350"/>
              </w:tabs>
              <w:spacing w:before="120" w:after="120"/>
              <w:ind w:right="720"/>
              <w:jc w:val="both"/>
              <w:rPr>
                <w:rFonts w:cs="Times New Roman"/>
                <w:sz w:val="24"/>
                <w:szCs w:val="24"/>
              </w:rPr>
            </w:pPr>
            <w:r w:rsidRPr="00556FDC">
              <w:rPr>
                <w:sz w:val="24"/>
                <w:szCs w:val="24"/>
                <w:lang w:val="en-GB"/>
              </w:rPr>
              <w:t>For example</w:t>
            </w:r>
            <w:r w:rsidR="006D29E5" w:rsidRPr="00556FDC">
              <w:rPr>
                <w:sz w:val="24"/>
                <w:szCs w:val="24"/>
                <w:lang w:val="en-GB"/>
              </w:rPr>
              <w:t xml:space="preserve">, </w:t>
            </w:r>
            <w:r w:rsidR="009016B8">
              <w:rPr>
                <w:sz w:val="24"/>
                <w:szCs w:val="24"/>
                <w:lang w:val="en-GB"/>
              </w:rPr>
              <w:t xml:space="preserve">the </w:t>
            </w:r>
            <w:r w:rsidR="00222E6F" w:rsidRPr="00556FDC">
              <w:rPr>
                <w:rFonts w:cs="Times New Roman"/>
                <w:sz w:val="24"/>
                <w:szCs w:val="24"/>
              </w:rPr>
              <w:t>25%</w:t>
            </w:r>
            <w:r w:rsidR="009016B8">
              <w:rPr>
                <w:rFonts w:cs="Times New Roman"/>
                <w:sz w:val="24"/>
                <w:szCs w:val="24"/>
              </w:rPr>
              <w:t xml:space="preserve"> </w:t>
            </w:r>
            <w:r w:rsidR="009016B8" w:rsidRPr="00556FDC">
              <w:rPr>
                <w:rFonts w:cs="Times New Roman"/>
                <w:sz w:val="24"/>
                <w:szCs w:val="24"/>
              </w:rPr>
              <w:t>of women's access to credit schemes</w:t>
            </w:r>
            <w:r w:rsidR="00222E6F" w:rsidRPr="00556FDC">
              <w:rPr>
                <w:rFonts w:cs="Times New Roman"/>
                <w:sz w:val="24"/>
                <w:szCs w:val="24"/>
              </w:rPr>
              <w:t xml:space="preserve">, doesn’t mean that </w:t>
            </w:r>
            <w:r w:rsidR="00586A37" w:rsidRPr="00556FDC">
              <w:rPr>
                <w:rFonts w:cs="Times New Roman"/>
                <w:sz w:val="24"/>
                <w:szCs w:val="24"/>
              </w:rPr>
              <w:t xml:space="preserve">only 25% of </w:t>
            </w:r>
            <w:r w:rsidR="00222E6F" w:rsidRPr="00556FDC">
              <w:rPr>
                <w:rFonts w:cs="Times New Roman"/>
                <w:sz w:val="24"/>
                <w:szCs w:val="24"/>
              </w:rPr>
              <w:t xml:space="preserve">the </w:t>
            </w:r>
            <w:r w:rsidR="00586A37" w:rsidRPr="00556FDC">
              <w:rPr>
                <w:rFonts w:cs="Times New Roman"/>
                <w:sz w:val="24"/>
                <w:szCs w:val="24"/>
              </w:rPr>
              <w:t xml:space="preserve">overall project expenditure (of which </w:t>
            </w:r>
            <w:r w:rsidR="00206045" w:rsidRPr="00556FDC">
              <w:rPr>
                <w:rFonts w:cs="Times New Roman"/>
                <w:sz w:val="24"/>
                <w:szCs w:val="24"/>
              </w:rPr>
              <w:t xml:space="preserve">credit scheme is </w:t>
            </w:r>
            <w:r w:rsidR="00D460CA">
              <w:rPr>
                <w:rFonts w:cs="Times New Roman"/>
                <w:sz w:val="24"/>
                <w:szCs w:val="24"/>
              </w:rPr>
              <w:t xml:space="preserve">only </w:t>
            </w:r>
            <w:r w:rsidR="00206045" w:rsidRPr="00556FDC">
              <w:rPr>
                <w:rFonts w:cs="Times New Roman"/>
                <w:sz w:val="24"/>
                <w:szCs w:val="24"/>
              </w:rPr>
              <w:t xml:space="preserve">one element) </w:t>
            </w:r>
            <w:r w:rsidR="008624B5">
              <w:rPr>
                <w:rFonts w:cs="Times New Roman"/>
                <w:sz w:val="24"/>
                <w:szCs w:val="24"/>
              </w:rPr>
              <w:t xml:space="preserve">is </w:t>
            </w:r>
            <w:r w:rsidR="001D7DE7" w:rsidRPr="00556FDC">
              <w:rPr>
                <w:rFonts w:cs="Times New Roman"/>
                <w:sz w:val="24"/>
                <w:szCs w:val="24"/>
              </w:rPr>
              <w:t xml:space="preserve">spent on women. On </w:t>
            </w:r>
            <w:r w:rsidR="00B92BFC" w:rsidRPr="00556FDC">
              <w:rPr>
                <w:rFonts w:cs="Times New Roman"/>
                <w:sz w:val="24"/>
                <w:szCs w:val="24"/>
              </w:rPr>
              <w:t xml:space="preserve">the contrary, the expenditure required to </w:t>
            </w:r>
            <w:r w:rsidR="000867AC" w:rsidRPr="00556FDC">
              <w:rPr>
                <w:rFonts w:cs="Times New Roman"/>
                <w:sz w:val="24"/>
                <w:szCs w:val="24"/>
              </w:rPr>
              <w:t xml:space="preserve">achieve a 7% increase (baseline to target) </w:t>
            </w:r>
            <w:r w:rsidR="008419C6" w:rsidRPr="00556FDC">
              <w:rPr>
                <w:rFonts w:cs="Times New Roman"/>
                <w:sz w:val="24"/>
                <w:szCs w:val="24"/>
              </w:rPr>
              <w:t>might exceed the 50% of the project overall expenditure</w:t>
            </w:r>
            <w:r w:rsidR="00811BC1">
              <w:rPr>
                <w:rFonts w:cs="Times New Roman"/>
                <w:sz w:val="24"/>
                <w:szCs w:val="24"/>
              </w:rPr>
              <w:t xml:space="preserve"> due to the need to implement the required additional activities</w:t>
            </w:r>
            <w:r w:rsidR="008624B5">
              <w:rPr>
                <w:rFonts w:cs="Times New Roman"/>
                <w:sz w:val="24"/>
                <w:szCs w:val="24"/>
              </w:rPr>
              <w:t xml:space="preserve"> to increase awareness and access</w:t>
            </w:r>
            <w:r w:rsidR="008419C6" w:rsidRPr="00556FDC">
              <w:rPr>
                <w:rFonts w:cs="Times New Roman"/>
                <w:sz w:val="24"/>
                <w:szCs w:val="24"/>
              </w:rPr>
              <w:t xml:space="preserve">. </w:t>
            </w:r>
            <w:r w:rsidR="00586A37" w:rsidRPr="00556FDC">
              <w:rPr>
                <w:rFonts w:cs="Times New Roman"/>
                <w:sz w:val="24"/>
                <w:szCs w:val="24"/>
              </w:rPr>
              <w:t xml:space="preserve"> </w:t>
            </w:r>
            <w:r w:rsidR="00222E6F" w:rsidRPr="00556FDC">
              <w:rPr>
                <w:rFonts w:cs="Times New Roman"/>
                <w:sz w:val="24"/>
                <w:szCs w:val="24"/>
              </w:rPr>
              <w:t xml:space="preserve"> </w:t>
            </w:r>
          </w:p>
          <w:p w14:paraId="03BBC599" w14:textId="1DEEE7E3" w:rsidR="00A06F16" w:rsidRPr="008624B5" w:rsidRDefault="0094168B" w:rsidP="008624B5">
            <w:pPr>
              <w:tabs>
                <w:tab w:val="left" w:pos="1350"/>
              </w:tabs>
              <w:spacing w:before="120" w:after="120"/>
              <w:ind w:right="720"/>
              <w:jc w:val="both"/>
              <w:rPr>
                <w:rFonts w:cs="Times New Roman"/>
                <w:sz w:val="28"/>
                <w:szCs w:val="28"/>
              </w:rPr>
            </w:pPr>
            <w:r>
              <w:rPr>
                <w:rFonts w:cs="Times New Roman"/>
                <w:sz w:val="24"/>
                <w:szCs w:val="24"/>
              </w:rPr>
              <w:t>The</w:t>
            </w:r>
            <w:r w:rsidR="00E4004E" w:rsidRPr="00556FDC">
              <w:rPr>
                <w:rFonts w:cs="Times New Roman"/>
                <w:sz w:val="24"/>
                <w:szCs w:val="24"/>
              </w:rPr>
              <w:t xml:space="preserve"> value of women's access to credit schemes is </w:t>
            </w:r>
            <w:r w:rsidR="00811BC1">
              <w:rPr>
                <w:rFonts w:cs="Times New Roman"/>
                <w:sz w:val="24"/>
                <w:szCs w:val="24"/>
              </w:rPr>
              <w:t>not</w:t>
            </w:r>
            <w:r w:rsidR="00164BC1">
              <w:rPr>
                <w:rFonts w:cs="Times New Roman"/>
                <w:sz w:val="24"/>
                <w:szCs w:val="24"/>
              </w:rPr>
              <w:t xml:space="preserve"> </w:t>
            </w:r>
            <w:r w:rsidR="00811BC1">
              <w:rPr>
                <w:rFonts w:cs="Times New Roman"/>
                <w:sz w:val="24"/>
                <w:szCs w:val="24"/>
              </w:rPr>
              <w:t>mentioned as a target indicator</w:t>
            </w:r>
            <w:r>
              <w:rPr>
                <w:rFonts w:cs="Times New Roman"/>
                <w:sz w:val="24"/>
                <w:szCs w:val="24"/>
              </w:rPr>
              <w:t xml:space="preserve">, what is mentioned </w:t>
            </w:r>
            <w:r w:rsidR="00B16F1A">
              <w:rPr>
                <w:rFonts w:cs="Times New Roman"/>
                <w:sz w:val="24"/>
                <w:szCs w:val="24"/>
              </w:rPr>
              <w:t>is</w:t>
            </w:r>
            <w:r>
              <w:rPr>
                <w:rFonts w:cs="Times New Roman"/>
                <w:sz w:val="24"/>
                <w:szCs w:val="24"/>
              </w:rPr>
              <w:t xml:space="preserve"> the total value of loans for both men and women. </w:t>
            </w:r>
          </w:p>
          <w:p w14:paraId="1A6BAEE7" w14:textId="3EBE47B4" w:rsidR="004B7604" w:rsidRPr="008624B5" w:rsidRDefault="008624B5" w:rsidP="008624B5">
            <w:pPr>
              <w:tabs>
                <w:tab w:val="left" w:pos="1350"/>
              </w:tabs>
              <w:spacing w:before="120" w:after="120"/>
              <w:ind w:right="720"/>
              <w:jc w:val="both"/>
              <w:rPr>
                <w:lang w:val="en-GB"/>
              </w:rPr>
            </w:pPr>
            <w:r w:rsidRPr="008624B5">
              <w:rPr>
                <w:sz w:val="24"/>
                <w:szCs w:val="24"/>
                <w:lang w:val="en-GB"/>
              </w:rPr>
              <w:t xml:space="preserve">However, UNDP has consulted with partners and agreed to increase the target for proportion of MSME loans toward women. UNDP will strive for </w:t>
            </w:r>
            <w:r>
              <w:rPr>
                <w:lang w:val="en-GB"/>
              </w:rPr>
              <w:t xml:space="preserve">parity though. </w:t>
            </w:r>
          </w:p>
        </w:tc>
      </w:tr>
      <w:tr w:rsidR="004B7604" w:rsidRPr="005323D5" w14:paraId="1C7B6627" w14:textId="30219DF3" w:rsidTr="00A06F16">
        <w:trPr>
          <w:trHeight w:val="476"/>
        </w:trPr>
        <w:tc>
          <w:tcPr>
            <w:tcW w:w="6025" w:type="dxa"/>
            <w:vAlign w:val="center"/>
          </w:tcPr>
          <w:p w14:paraId="71B088C2" w14:textId="279DB93A" w:rsidR="004B7604" w:rsidRPr="00EA0213" w:rsidRDefault="004B7604" w:rsidP="00A457DA">
            <w:pPr>
              <w:pStyle w:val="ListParagraph"/>
              <w:numPr>
                <w:ilvl w:val="0"/>
                <w:numId w:val="12"/>
              </w:numPr>
              <w:rPr>
                <w:rFonts w:cs="Times New Roman"/>
                <w:sz w:val="24"/>
                <w:szCs w:val="24"/>
              </w:rPr>
            </w:pPr>
            <w:r w:rsidRPr="00EA0213">
              <w:rPr>
                <w:rFonts w:cs="Times New Roman"/>
                <w:sz w:val="24"/>
                <w:szCs w:val="24"/>
              </w:rPr>
              <w:lastRenderedPageBreak/>
              <w:t>Regarding the strengthening of multi-stakeholder partnerships at the national level. Given the crucial role played by civil society in the implementation of development programs, particularly in remote and rural areas, we would recommend including indicators on the number of organizations participating in the implementation of programs, in order to know their contribution to the sustainable development of the country.</w:t>
            </w:r>
          </w:p>
        </w:tc>
        <w:tc>
          <w:tcPr>
            <w:tcW w:w="8409" w:type="dxa"/>
          </w:tcPr>
          <w:p w14:paraId="0CA9FC1E" w14:textId="3574B1B6" w:rsidR="004B7604" w:rsidRPr="00AA3E98" w:rsidRDefault="00AA3E98" w:rsidP="00AA3E98">
            <w:pPr>
              <w:rPr>
                <w:rFonts w:cs="Times New Roman"/>
                <w:sz w:val="24"/>
                <w:szCs w:val="24"/>
              </w:rPr>
            </w:pPr>
            <w:r>
              <w:rPr>
                <w:rFonts w:cs="Times New Roman"/>
                <w:sz w:val="24"/>
                <w:szCs w:val="24"/>
              </w:rPr>
              <w:t>T</w:t>
            </w:r>
            <w:r w:rsidR="00BF4E86" w:rsidRPr="00AA3E98">
              <w:rPr>
                <w:rFonts w:cs="Times New Roman"/>
                <w:sz w:val="24"/>
                <w:szCs w:val="24"/>
              </w:rPr>
              <w:t xml:space="preserve">he engagement of civil society is envisioned in several pillars of programmes e.g. under social protection and inclusion, support to the health sector </w:t>
            </w:r>
            <w:r>
              <w:rPr>
                <w:rFonts w:cs="Times New Roman"/>
                <w:sz w:val="24"/>
                <w:szCs w:val="24"/>
              </w:rPr>
              <w:t xml:space="preserve">(paragraph 22) </w:t>
            </w:r>
            <w:r w:rsidR="00BF4E86" w:rsidRPr="00AA3E98">
              <w:rPr>
                <w:rFonts w:cs="Times New Roman"/>
                <w:sz w:val="24"/>
                <w:szCs w:val="24"/>
              </w:rPr>
              <w:t>and environment</w:t>
            </w:r>
            <w:r>
              <w:rPr>
                <w:rFonts w:cs="Times New Roman"/>
                <w:sz w:val="24"/>
                <w:szCs w:val="24"/>
              </w:rPr>
              <w:t xml:space="preserve"> (paragraph 35) and in support of the MSME sector (output 2.1 in Results and Resources Framework)</w:t>
            </w:r>
            <w:r w:rsidR="00BF4E86" w:rsidRPr="00AA3E98">
              <w:rPr>
                <w:rFonts w:cs="Times New Roman"/>
                <w:sz w:val="24"/>
                <w:szCs w:val="24"/>
              </w:rPr>
              <w:t>.</w:t>
            </w:r>
          </w:p>
          <w:p w14:paraId="4883751E" w14:textId="77777777" w:rsidR="00A06F16" w:rsidRDefault="00A06F16" w:rsidP="00BF4E86">
            <w:pPr>
              <w:ind w:left="360"/>
              <w:rPr>
                <w:rFonts w:cs="Times New Roman"/>
                <w:b/>
                <w:bCs/>
                <w:sz w:val="24"/>
                <w:szCs w:val="24"/>
              </w:rPr>
            </w:pPr>
          </w:p>
          <w:p w14:paraId="4FBC43AA" w14:textId="30F387BA" w:rsidR="00BF4E86" w:rsidRPr="00AA3E98" w:rsidRDefault="00AA3E98" w:rsidP="00AA3E98">
            <w:pPr>
              <w:rPr>
                <w:rFonts w:cs="Times New Roman"/>
                <w:sz w:val="24"/>
                <w:szCs w:val="24"/>
              </w:rPr>
            </w:pPr>
            <w:r w:rsidRPr="00AA3E98">
              <w:rPr>
                <w:rFonts w:cs="Times New Roman"/>
                <w:sz w:val="24"/>
                <w:szCs w:val="24"/>
              </w:rPr>
              <w:t xml:space="preserve">UNDP has consulted programme teams and </w:t>
            </w:r>
            <w:r>
              <w:rPr>
                <w:rFonts w:cs="Times New Roman"/>
                <w:sz w:val="24"/>
                <w:szCs w:val="24"/>
              </w:rPr>
              <w:t xml:space="preserve">to convey civil society engagement more explicitly, UNDP has </w:t>
            </w:r>
            <w:r w:rsidRPr="00AA3E98">
              <w:rPr>
                <w:rFonts w:cs="Times New Roman"/>
                <w:sz w:val="24"/>
                <w:szCs w:val="24"/>
              </w:rPr>
              <w:t>broaden</w:t>
            </w:r>
            <w:r>
              <w:rPr>
                <w:rFonts w:cs="Times New Roman"/>
                <w:sz w:val="24"/>
                <w:szCs w:val="24"/>
              </w:rPr>
              <w:t>ed</w:t>
            </w:r>
            <w:r w:rsidRPr="00AA3E98">
              <w:rPr>
                <w:rFonts w:cs="Times New Roman"/>
                <w:sz w:val="24"/>
                <w:szCs w:val="24"/>
              </w:rPr>
              <w:t xml:space="preserve"> indicator 4.3.2 </w:t>
            </w:r>
            <w:r>
              <w:rPr>
                <w:rFonts w:cs="Times New Roman"/>
                <w:sz w:val="24"/>
                <w:szCs w:val="24"/>
              </w:rPr>
              <w:t xml:space="preserve">and increased its target </w:t>
            </w:r>
            <w:r w:rsidRPr="00AA3E98">
              <w:rPr>
                <w:rFonts w:cs="Times New Roman"/>
                <w:sz w:val="24"/>
                <w:szCs w:val="24"/>
              </w:rPr>
              <w:t>to read</w:t>
            </w:r>
            <w:r w:rsidR="00BF4E86" w:rsidRPr="00AA3E98">
              <w:rPr>
                <w:rFonts w:cs="Times New Roman"/>
                <w:sz w:val="24"/>
                <w:szCs w:val="24"/>
              </w:rPr>
              <w:t>:</w:t>
            </w:r>
          </w:p>
          <w:p w14:paraId="4674CF4F" w14:textId="77777777" w:rsidR="00AA3E98" w:rsidRDefault="00AA3E98" w:rsidP="00AA3E98">
            <w:pPr>
              <w:jc w:val="both"/>
              <w:rPr>
                <w:b/>
                <w:bCs/>
                <w:sz w:val="16"/>
                <w:szCs w:val="16"/>
                <w:lang w:val="en-GB"/>
              </w:rPr>
            </w:pPr>
          </w:p>
          <w:p w14:paraId="5AC72412" w14:textId="1A2CDF07" w:rsidR="00AA3E98" w:rsidRPr="00CC69AF" w:rsidRDefault="00AA3E98" w:rsidP="00AA3E98">
            <w:pPr>
              <w:jc w:val="both"/>
              <w:rPr>
                <w:sz w:val="16"/>
                <w:szCs w:val="16"/>
                <w:lang w:val="en-GB"/>
              </w:rPr>
            </w:pPr>
            <w:r w:rsidRPr="00CC69AF">
              <w:rPr>
                <w:b/>
                <w:bCs/>
                <w:sz w:val="16"/>
                <w:szCs w:val="16"/>
                <w:lang w:val="en-GB"/>
              </w:rPr>
              <w:t>Indicator 4.3.2</w:t>
            </w:r>
            <w:r w:rsidRPr="00CC69AF">
              <w:rPr>
                <w:sz w:val="16"/>
                <w:szCs w:val="16"/>
                <w:lang w:val="en-GB"/>
              </w:rPr>
              <w:t>: N</w:t>
            </w:r>
            <w:r>
              <w:rPr>
                <w:sz w:val="16"/>
                <w:szCs w:val="16"/>
                <w:lang w:val="en-GB"/>
              </w:rPr>
              <w:t>umber</w:t>
            </w:r>
            <w:r w:rsidRPr="00CC69AF">
              <w:rPr>
                <w:sz w:val="16"/>
                <w:szCs w:val="16"/>
                <w:lang w:val="en-GB"/>
              </w:rPr>
              <w:t xml:space="preserve"> of NGOs </w:t>
            </w:r>
            <w:r w:rsidRPr="007C2273">
              <w:rPr>
                <w:sz w:val="16"/>
                <w:szCs w:val="16"/>
                <w:lang w:val="en-GB"/>
              </w:rPr>
              <w:t xml:space="preserve">involved in programme execution </w:t>
            </w:r>
            <w:r>
              <w:rPr>
                <w:sz w:val="16"/>
                <w:szCs w:val="16"/>
                <w:lang w:val="en-GB"/>
              </w:rPr>
              <w:t xml:space="preserve">and </w:t>
            </w:r>
            <w:r w:rsidRPr="00CC69AF">
              <w:rPr>
                <w:sz w:val="16"/>
                <w:szCs w:val="16"/>
                <w:lang w:val="en-GB"/>
              </w:rPr>
              <w:t xml:space="preserve">trained in financial management/planning, development solutions </w:t>
            </w:r>
          </w:p>
          <w:p w14:paraId="14B53870" w14:textId="0A41D348" w:rsidR="00BF4E86" w:rsidRPr="00AA3E98" w:rsidRDefault="00AA3E98" w:rsidP="00AA3E98">
            <w:pPr>
              <w:tabs>
                <w:tab w:val="left" w:pos="8460"/>
              </w:tabs>
              <w:jc w:val="both"/>
              <w:rPr>
                <w:sz w:val="16"/>
                <w:szCs w:val="16"/>
                <w:lang w:val="en-GB"/>
              </w:rPr>
            </w:pPr>
            <w:r w:rsidRPr="00CC69AF">
              <w:rPr>
                <w:sz w:val="16"/>
                <w:szCs w:val="16"/>
                <w:lang w:val="en-GB"/>
              </w:rPr>
              <w:t xml:space="preserve">Baseline: 0; Target: </w:t>
            </w:r>
            <w:r>
              <w:rPr>
                <w:sz w:val="16"/>
                <w:szCs w:val="16"/>
                <w:lang w:val="en-GB"/>
              </w:rPr>
              <w:t>5</w:t>
            </w:r>
            <w:r w:rsidRPr="00CC69AF">
              <w:rPr>
                <w:sz w:val="16"/>
                <w:szCs w:val="16"/>
                <w:lang w:val="en-GB"/>
              </w:rPr>
              <w:t>0</w:t>
            </w:r>
          </w:p>
        </w:tc>
      </w:tr>
    </w:tbl>
    <w:p w14:paraId="70823533" w14:textId="4A083B24" w:rsidR="001567CA" w:rsidRPr="005323D5" w:rsidRDefault="00534E03" w:rsidP="00A457DA">
      <w:pPr>
        <w:spacing w:after="0" w:line="240" w:lineRule="auto"/>
        <w:jc w:val="center"/>
        <w:rPr>
          <w:rFonts w:cs="Times New Roman"/>
          <w:sz w:val="24"/>
          <w:szCs w:val="24"/>
        </w:rPr>
      </w:pPr>
      <w:r>
        <w:rPr>
          <w:rFonts w:cs="Times New Roman"/>
          <w:sz w:val="24"/>
          <w:szCs w:val="24"/>
        </w:rPr>
        <w:t>_______</w:t>
      </w:r>
    </w:p>
    <w:sectPr w:rsidR="001567CA" w:rsidRPr="005323D5"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5C81" w14:textId="77777777" w:rsidR="00431C46" w:rsidRDefault="00431C46" w:rsidP="0053576A">
      <w:pPr>
        <w:spacing w:after="0" w:line="240" w:lineRule="auto"/>
      </w:pPr>
      <w:r>
        <w:separator/>
      </w:r>
    </w:p>
  </w:endnote>
  <w:endnote w:type="continuationSeparator" w:id="0">
    <w:p w14:paraId="0D0C5FC8" w14:textId="77777777" w:rsidR="00431C46" w:rsidRDefault="00431C46"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22901"/>
      <w:docPartObj>
        <w:docPartGallery w:val="Page Numbers (Bottom of Page)"/>
        <w:docPartUnique/>
      </w:docPartObj>
    </w:sdtPr>
    <w:sdtEndPr>
      <w:rPr>
        <w:noProof/>
      </w:rPr>
    </w:sdtEndPr>
    <w:sdtContent>
      <w:p w14:paraId="7984814F" w14:textId="5EDF2520" w:rsidR="00F3633B" w:rsidRDefault="00F3633B">
        <w:pPr>
          <w:pStyle w:val="Footer"/>
          <w:jc w:val="center"/>
        </w:pPr>
        <w:r>
          <w:fldChar w:fldCharType="begin"/>
        </w:r>
        <w:r>
          <w:instrText xml:space="preserve"> PAGE   \* MERGEFORMAT </w:instrText>
        </w:r>
        <w:r>
          <w:fldChar w:fldCharType="separate"/>
        </w:r>
        <w:r w:rsidR="00245948">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A0AA" w14:textId="77777777" w:rsidR="00431C46" w:rsidRDefault="00431C46" w:rsidP="0053576A">
      <w:pPr>
        <w:spacing w:after="0" w:line="240" w:lineRule="auto"/>
      </w:pPr>
      <w:r>
        <w:separator/>
      </w:r>
    </w:p>
  </w:footnote>
  <w:footnote w:type="continuationSeparator" w:id="0">
    <w:p w14:paraId="7127B91E" w14:textId="77777777" w:rsidR="00431C46" w:rsidRDefault="00431C46"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F404E238"/>
    <w:lvl w:ilvl="0" w:tplc="FFFFFFFF">
      <w:start w:val="1"/>
      <w:numFmt w:val="decimal"/>
      <w:lvlText w:val="%1."/>
      <w:lvlJc w:val="left"/>
      <w:pPr>
        <w:ind w:left="1980" w:hanging="360"/>
      </w:pPr>
      <w:rPr>
        <w:b w:val="0"/>
        <w:bCs w:val="0"/>
        <w:sz w:val="20"/>
        <w:szCs w:val="20"/>
      </w:rPr>
    </w:lvl>
    <w:lvl w:ilvl="1" w:tplc="0409000F">
      <w:start w:val="1"/>
      <w:numFmt w:val="decimal"/>
      <w:lvlText w:val="%2."/>
      <w:lvlJc w:val="left"/>
      <w:pPr>
        <w:ind w:left="171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7"/>
  </w:num>
  <w:num w:numId="5">
    <w:abstractNumId w:val="4"/>
  </w:num>
  <w:num w:numId="6">
    <w:abstractNumId w:val="6"/>
  </w:num>
  <w:num w:numId="7">
    <w:abstractNumId w:val="5"/>
  </w:num>
  <w:num w:numId="8">
    <w:abstractNumId w:val="1"/>
  </w:num>
  <w:num w:numId="9">
    <w:abstractNumId w:val="9"/>
  </w:num>
  <w:num w:numId="10">
    <w:abstractNumId w:val="3"/>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6A"/>
    <w:rsid w:val="0000038F"/>
    <w:rsid w:val="0000647B"/>
    <w:rsid w:val="00006E69"/>
    <w:rsid w:val="00007370"/>
    <w:rsid w:val="00012624"/>
    <w:rsid w:val="00023C33"/>
    <w:rsid w:val="0002543D"/>
    <w:rsid w:val="000301C5"/>
    <w:rsid w:val="00031330"/>
    <w:rsid w:val="0003212B"/>
    <w:rsid w:val="0003213E"/>
    <w:rsid w:val="00035CCD"/>
    <w:rsid w:val="0004201B"/>
    <w:rsid w:val="0004295E"/>
    <w:rsid w:val="00045447"/>
    <w:rsid w:val="000470F0"/>
    <w:rsid w:val="00052B13"/>
    <w:rsid w:val="00054870"/>
    <w:rsid w:val="00055EC9"/>
    <w:rsid w:val="00056EA8"/>
    <w:rsid w:val="00057DC3"/>
    <w:rsid w:val="000756B5"/>
    <w:rsid w:val="000768F7"/>
    <w:rsid w:val="00081427"/>
    <w:rsid w:val="000829C1"/>
    <w:rsid w:val="00084180"/>
    <w:rsid w:val="000867AC"/>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739F"/>
    <w:rsid w:val="000C7D4E"/>
    <w:rsid w:val="000D002C"/>
    <w:rsid w:val="000D1BE1"/>
    <w:rsid w:val="000D46BE"/>
    <w:rsid w:val="000D63F2"/>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19B1"/>
    <w:rsid w:val="00114444"/>
    <w:rsid w:val="00116943"/>
    <w:rsid w:val="0011704F"/>
    <w:rsid w:val="00121B8C"/>
    <w:rsid w:val="00122314"/>
    <w:rsid w:val="00122A81"/>
    <w:rsid w:val="0013018C"/>
    <w:rsid w:val="0013163E"/>
    <w:rsid w:val="001328E8"/>
    <w:rsid w:val="00133AAF"/>
    <w:rsid w:val="00134D13"/>
    <w:rsid w:val="001369D8"/>
    <w:rsid w:val="00136C75"/>
    <w:rsid w:val="001372CB"/>
    <w:rsid w:val="00142517"/>
    <w:rsid w:val="00142CA2"/>
    <w:rsid w:val="00143366"/>
    <w:rsid w:val="0014570C"/>
    <w:rsid w:val="00150E35"/>
    <w:rsid w:val="00151ABC"/>
    <w:rsid w:val="00152EA6"/>
    <w:rsid w:val="001563BA"/>
    <w:rsid w:val="001567CA"/>
    <w:rsid w:val="00156E03"/>
    <w:rsid w:val="0016372C"/>
    <w:rsid w:val="00164BC1"/>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33A1"/>
    <w:rsid w:val="001C59D1"/>
    <w:rsid w:val="001C5AE9"/>
    <w:rsid w:val="001C74D1"/>
    <w:rsid w:val="001D2E21"/>
    <w:rsid w:val="001D3016"/>
    <w:rsid w:val="001D73C9"/>
    <w:rsid w:val="001D7DE7"/>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045"/>
    <w:rsid w:val="002063B3"/>
    <w:rsid w:val="00207533"/>
    <w:rsid w:val="00210E0B"/>
    <w:rsid w:val="002112D8"/>
    <w:rsid w:val="002121AB"/>
    <w:rsid w:val="00213107"/>
    <w:rsid w:val="002137E0"/>
    <w:rsid w:val="00213D00"/>
    <w:rsid w:val="00220B62"/>
    <w:rsid w:val="00221D16"/>
    <w:rsid w:val="00222E6F"/>
    <w:rsid w:val="00222F93"/>
    <w:rsid w:val="0022333C"/>
    <w:rsid w:val="00224233"/>
    <w:rsid w:val="00224AD6"/>
    <w:rsid w:val="00224B60"/>
    <w:rsid w:val="00226672"/>
    <w:rsid w:val="00232D7F"/>
    <w:rsid w:val="0023676B"/>
    <w:rsid w:val="00236AF4"/>
    <w:rsid w:val="0023797B"/>
    <w:rsid w:val="00243476"/>
    <w:rsid w:val="00244C7B"/>
    <w:rsid w:val="00245948"/>
    <w:rsid w:val="00246021"/>
    <w:rsid w:val="00250474"/>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607E"/>
    <w:rsid w:val="002A769E"/>
    <w:rsid w:val="002B2BD0"/>
    <w:rsid w:val="002B3287"/>
    <w:rsid w:val="002B3941"/>
    <w:rsid w:val="002B7079"/>
    <w:rsid w:val="002C0E63"/>
    <w:rsid w:val="002C1C86"/>
    <w:rsid w:val="002C6948"/>
    <w:rsid w:val="002D47F3"/>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57C0"/>
    <w:rsid w:val="00346A3B"/>
    <w:rsid w:val="00354086"/>
    <w:rsid w:val="00354E71"/>
    <w:rsid w:val="003553E0"/>
    <w:rsid w:val="00355BD0"/>
    <w:rsid w:val="003565D7"/>
    <w:rsid w:val="0035697F"/>
    <w:rsid w:val="00357134"/>
    <w:rsid w:val="00357FB7"/>
    <w:rsid w:val="00365131"/>
    <w:rsid w:val="00365B31"/>
    <w:rsid w:val="00370D2E"/>
    <w:rsid w:val="003710B9"/>
    <w:rsid w:val="00372718"/>
    <w:rsid w:val="0037314A"/>
    <w:rsid w:val="0037448B"/>
    <w:rsid w:val="00377E5F"/>
    <w:rsid w:val="0038133F"/>
    <w:rsid w:val="003826EB"/>
    <w:rsid w:val="00386F71"/>
    <w:rsid w:val="00387E10"/>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D37D3"/>
    <w:rsid w:val="003E28BC"/>
    <w:rsid w:val="003E58C9"/>
    <w:rsid w:val="003F1B9C"/>
    <w:rsid w:val="003F584D"/>
    <w:rsid w:val="003F7B5A"/>
    <w:rsid w:val="00403076"/>
    <w:rsid w:val="004036FA"/>
    <w:rsid w:val="00405CD2"/>
    <w:rsid w:val="00405D9F"/>
    <w:rsid w:val="00406AA4"/>
    <w:rsid w:val="00421675"/>
    <w:rsid w:val="004227EB"/>
    <w:rsid w:val="0042321E"/>
    <w:rsid w:val="00423221"/>
    <w:rsid w:val="00425E1A"/>
    <w:rsid w:val="004261B4"/>
    <w:rsid w:val="00431490"/>
    <w:rsid w:val="00431C46"/>
    <w:rsid w:val="004334BB"/>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79A3"/>
    <w:rsid w:val="00490117"/>
    <w:rsid w:val="0049029C"/>
    <w:rsid w:val="00490772"/>
    <w:rsid w:val="0049108A"/>
    <w:rsid w:val="00494A81"/>
    <w:rsid w:val="004A0BC6"/>
    <w:rsid w:val="004A1E61"/>
    <w:rsid w:val="004A2F72"/>
    <w:rsid w:val="004A446F"/>
    <w:rsid w:val="004A6011"/>
    <w:rsid w:val="004B040F"/>
    <w:rsid w:val="004B6382"/>
    <w:rsid w:val="004B7604"/>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51EAC"/>
    <w:rsid w:val="00552907"/>
    <w:rsid w:val="00556FDC"/>
    <w:rsid w:val="005574FF"/>
    <w:rsid w:val="00560078"/>
    <w:rsid w:val="005615AE"/>
    <w:rsid w:val="00561AA4"/>
    <w:rsid w:val="0056345E"/>
    <w:rsid w:val="00563ED2"/>
    <w:rsid w:val="0056474F"/>
    <w:rsid w:val="0057197B"/>
    <w:rsid w:val="005769A5"/>
    <w:rsid w:val="00581AA7"/>
    <w:rsid w:val="00582240"/>
    <w:rsid w:val="00586A37"/>
    <w:rsid w:val="005902A0"/>
    <w:rsid w:val="00591407"/>
    <w:rsid w:val="00594967"/>
    <w:rsid w:val="00594E11"/>
    <w:rsid w:val="00596B39"/>
    <w:rsid w:val="00597E6D"/>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62466"/>
    <w:rsid w:val="00663AD3"/>
    <w:rsid w:val="00665492"/>
    <w:rsid w:val="00666B74"/>
    <w:rsid w:val="00670617"/>
    <w:rsid w:val="00670880"/>
    <w:rsid w:val="00670A1D"/>
    <w:rsid w:val="00672A76"/>
    <w:rsid w:val="006777FC"/>
    <w:rsid w:val="00677865"/>
    <w:rsid w:val="00680A5D"/>
    <w:rsid w:val="00682121"/>
    <w:rsid w:val="006822C3"/>
    <w:rsid w:val="0068398B"/>
    <w:rsid w:val="006874E2"/>
    <w:rsid w:val="00691DAB"/>
    <w:rsid w:val="00692E79"/>
    <w:rsid w:val="006951F2"/>
    <w:rsid w:val="00695401"/>
    <w:rsid w:val="006A31E5"/>
    <w:rsid w:val="006A4609"/>
    <w:rsid w:val="006A4976"/>
    <w:rsid w:val="006A6744"/>
    <w:rsid w:val="006B06F5"/>
    <w:rsid w:val="006B17EA"/>
    <w:rsid w:val="006B22DD"/>
    <w:rsid w:val="006C1102"/>
    <w:rsid w:val="006D1F8F"/>
    <w:rsid w:val="006D25E3"/>
    <w:rsid w:val="006D29E5"/>
    <w:rsid w:val="006D4586"/>
    <w:rsid w:val="006D5781"/>
    <w:rsid w:val="006D5B1E"/>
    <w:rsid w:val="006D5DF2"/>
    <w:rsid w:val="006E30D6"/>
    <w:rsid w:val="006F00FD"/>
    <w:rsid w:val="006F2389"/>
    <w:rsid w:val="006F3317"/>
    <w:rsid w:val="006F6C34"/>
    <w:rsid w:val="006F76B4"/>
    <w:rsid w:val="00704AB0"/>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5133"/>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74E6"/>
    <w:rsid w:val="00811721"/>
    <w:rsid w:val="00811BC1"/>
    <w:rsid w:val="00813A85"/>
    <w:rsid w:val="00814B3C"/>
    <w:rsid w:val="00814E46"/>
    <w:rsid w:val="0081605D"/>
    <w:rsid w:val="00822C44"/>
    <w:rsid w:val="00823593"/>
    <w:rsid w:val="008269D5"/>
    <w:rsid w:val="008306BF"/>
    <w:rsid w:val="00831AF6"/>
    <w:rsid w:val="008331C2"/>
    <w:rsid w:val="00833AFD"/>
    <w:rsid w:val="008348C2"/>
    <w:rsid w:val="00837260"/>
    <w:rsid w:val="008419C6"/>
    <w:rsid w:val="008421D3"/>
    <w:rsid w:val="00844533"/>
    <w:rsid w:val="00847FBA"/>
    <w:rsid w:val="008502D0"/>
    <w:rsid w:val="008504A6"/>
    <w:rsid w:val="00851CBF"/>
    <w:rsid w:val="00854341"/>
    <w:rsid w:val="008554B1"/>
    <w:rsid w:val="008570D0"/>
    <w:rsid w:val="00860942"/>
    <w:rsid w:val="0086099D"/>
    <w:rsid w:val="008624B5"/>
    <w:rsid w:val="008635F6"/>
    <w:rsid w:val="008676B8"/>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35CD"/>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741D"/>
    <w:rsid w:val="008F474E"/>
    <w:rsid w:val="008F4AA1"/>
    <w:rsid w:val="008F5281"/>
    <w:rsid w:val="00900C01"/>
    <w:rsid w:val="00901343"/>
    <w:rsid w:val="009016B8"/>
    <w:rsid w:val="00907756"/>
    <w:rsid w:val="00920BC8"/>
    <w:rsid w:val="00921135"/>
    <w:rsid w:val="00921CE6"/>
    <w:rsid w:val="009230AD"/>
    <w:rsid w:val="0092549C"/>
    <w:rsid w:val="00930BBF"/>
    <w:rsid w:val="00934851"/>
    <w:rsid w:val="00934F1B"/>
    <w:rsid w:val="009361BB"/>
    <w:rsid w:val="00936D6C"/>
    <w:rsid w:val="0094011F"/>
    <w:rsid w:val="00940753"/>
    <w:rsid w:val="00941174"/>
    <w:rsid w:val="0094168B"/>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06F16"/>
    <w:rsid w:val="00A117E9"/>
    <w:rsid w:val="00A12A18"/>
    <w:rsid w:val="00A14EDE"/>
    <w:rsid w:val="00A160E9"/>
    <w:rsid w:val="00A2169D"/>
    <w:rsid w:val="00A22E6A"/>
    <w:rsid w:val="00A237E4"/>
    <w:rsid w:val="00A24B69"/>
    <w:rsid w:val="00A270A8"/>
    <w:rsid w:val="00A31E24"/>
    <w:rsid w:val="00A35D1B"/>
    <w:rsid w:val="00A36E4E"/>
    <w:rsid w:val="00A41C94"/>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9738C"/>
    <w:rsid w:val="00AA0907"/>
    <w:rsid w:val="00AA17B7"/>
    <w:rsid w:val="00AA3E98"/>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1797"/>
    <w:rsid w:val="00AF0BF1"/>
    <w:rsid w:val="00AF2323"/>
    <w:rsid w:val="00AF5D06"/>
    <w:rsid w:val="00AF6129"/>
    <w:rsid w:val="00B0424F"/>
    <w:rsid w:val="00B04898"/>
    <w:rsid w:val="00B048CA"/>
    <w:rsid w:val="00B10684"/>
    <w:rsid w:val="00B1158B"/>
    <w:rsid w:val="00B116F6"/>
    <w:rsid w:val="00B1534A"/>
    <w:rsid w:val="00B16F1A"/>
    <w:rsid w:val="00B17A69"/>
    <w:rsid w:val="00B207DF"/>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E64"/>
    <w:rsid w:val="00B643AF"/>
    <w:rsid w:val="00B64A30"/>
    <w:rsid w:val="00B73260"/>
    <w:rsid w:val="00B757CE"/>
    <w:rsid w:val="00B7603A"/>
    <w:rsid w:val="00B80761"/>
    <w:rsid w:val="00B81793"/>
    <w:rsid w:val="00B855B3"/>
    <w:rsid w:val="00B866FA"/>
    <w:rsid w:val="00B86770"/>
    <w:rsid w:val="00B86A85"/>
    <w:rsid w:val="00B90103"/>
    <w:rsid w:val="00B907CC"/>
    <w:rsid w:val="00B91A71"/>
    <w:rsid w:val="00B91BC2"/>
    <w:rsid w:val="00B92BFC"/>
    <w:rsid w:val="00B92F98"/>
    <w:rsid w:val="00B964E0"/>
    <w:rsid w:val="00B96FE7"/>
    <w:rsid w:val="00BA01E8"/>
    <w:rsid w:val="00BA0C7B"/>
    <w:rsid w:val="00BA3C95"/>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46FB"/>
    <w:rsid w:val="00BF4E86"/>
    <w:rsid w:val="00BF7053"/>
    <w:rsid w:val="00BF7CEA"/>
    <w:rsid w:val="00C02CE4"/>
    <w:rsid w:val="00C04579"/>
    <w:rsid w:val="00C04A5B"/>
    <w:rsid w:val="00C107B8"/>
    <w:rsid w:val="00C10D3C"/>
    <w:rsid w:val="00C133D4"/>
    <w:rsid w:val="00C154CB"/>
    <w:rsid w:val="00C20E57"/>
    <w:rsid w:val="00C23183"/>
    <w:rsid w:val="00C24187"/>
    <w:rsid w:val="00C250A7"/>
    <w:rsid w:val="00C27EE5"/>
    <w:rsid w:val="00C31B82"/>
    <w:rsid w:val="00C32891"/>
    <w:rsid w:val="00C3356E"/>
    <w:rsid w:val="00C34840"/>
    <w:rsid w:val="00C36665"/>
    <w:rsid w:val="00C36E48"/>
    <w:rsid w:val="00C40C74"/>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86E73"/>
    <w:rsid w:val="00C90295"/>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B73B8"/>
    <w:rsid w:val="00CC2851"/>
    <w:rsid w:val="00CC42BB"/>
    <w:rsid w:val="00CC453D"/>
    <w:rsid w:val="00CC52B5"/>
    <w:rsid w:val="00CC5DA6"/>
    <w:rsid w:val="00CD1D6F"/>
    <w:rsid w:val="00CD3837"/>
    <w:rsid w:val="00CD3FA0"/>
    <w:rsid w:val="00CD445D"/>
    <w:rsid w:val="00CD5B6D"/>
    <w:rsid w:val="00CD65A9"/>
    <w:rsid w:val="00CD67C8"/>
    <w:rsid w:val="00CE3184"/>
    <w:rsid w:val="00CE3890"/>
    <w:rsid w:val="00CE7727"/>
    <w:rsid w:val="00CF7C4E"/>
    <w:rsid w:val="00D00E6F"/>
    <w:rsid w:val="00D0153C"/>
    <w:rsid w:val="00D05A18"/>
    <w:rsid w:val="00D05EA5"/>
    <w:rsid w:val="00D06758"/>
    <w:rsid w:val="00D06EB6"/>
    <w:rsid w:val="00D11033"/>
    <w:rsid w:val="00D11E09"/>
    <w:rsid w:val="00D13B32"/>
    <w:rsid w:val="00D14CF4"/>
    <w:rsid w:val="00D14E59"/>
    <w:rsid w:val="00D20461"/>
    <w:rsid w:val="00D209AE"/>
    <w:rsid w:val="00D20C15"/>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460CA"/>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97941"/>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773A"/>
    <w:rsid w:val="00E00D50"/>
    <w:rsid w:val="00E03066"/>
    <w:rsid w:val="00E0332F"/>
    <w:rsid w:val="00E03BC0"/>
    <w:rsid w:val="00E0433B"/>
    <w:rsid w:val="00E10A6B"/>
    <w:rsid w:val="00E10F54"/>
    <w:rsid w:val="00E14545"/>
    <w:rsid w:val="00E1586C"/>
    <w:rsid w:val="00E2042B"/>
    <w:rsid w:val="00E21F5F"/>
    <w:rsid w:val="00E2469D"/>
    <w:rsid w:val="00E278F9"/>
    <w:rsid w:val="00E30CCD"/>
    <w:rsid w:val="00E31D5E"/>
    <w:rsid w:val="00E368F9"/>
    <w:rsid w:val="00E4004E"/>
    <w:rsid w:val="00E425C4"/>
    <w:rsid w:val="00E439E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21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4550"/>
    <w:rsid w:val="00EF603A"/>
    <w:rsid w:val="00EF7C8B"/>
    <w:rsid w:val="00F01E2D"/>
    <w:rsid w:val="00F042FC"/>
    <w:rsid w:val="00F04C47"/>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5119E"/>
    <w:rsid w:val="00F51582"/>
    <w:rsid w:val="00F51BA7"/>
    <w:rsid w:val="00F55CDA"/>
    <w:rsid w:val="00F610CF"/>
    <w:rsid w:val="00F61B64"/>
    <w:rsid w:val="00F63E29"/>
    <w:rsid w:val="00F64177"/>
    <w:rsid w:val="00F6752E"/>
    <w:rsid w:val="00F72E1B"/>
    <w:rsid w:val="00F74435"/>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link w:val="ListParagraphChar"/>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04544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641470382">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4.xml><?xml version="1.0" encoding="utf-8"?>
<ds:datastoreItem xmlns:ds="http://schemas.openxmlformats.org/officeDocument/2006/customXml" ds:itemID="{AE84EB68-1E68-4C9B-9F53-0C00846D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Iazykova</dc:creator>
  <cp:keywords/>
  <dc:description/>
  <cp:lastModifiedBy>Svetlana Iazykova</cp:lastModifiedBy>
  <cp:revision>4</cp:revision>
  <cp:lastPrinted>2019-10-23T14:31:00Z</cp:lastPrinted>
  <dcterms:created xsi:type="dcterms:W3CDTF">2022-07-05T18:43:00Z</dcterms:created>
  <dcterms:modified xsi:type="dcterms:W3CDTF">2022-07-05T18:44:00Z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