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CD04" w14:textId="77777777" w:rsidR="00A107E5" w:rsidRPr="00A107E5" w:rsidRDefault="00A107E5" w:rsidP="00A107E5">
      <w:pPr>
        <w:tabs>
          <w:tab w:val="left" w:pos="8789"/>
        </w:tabs>
        <w:ind w:right="288"/>
        <w:rPr>
          <w:b/>
          <w:color w:val="000000"/>
          <w:lang w:val="en-GB"/>
        </w:rPr>
      </w:pPr>
      <w:r w:rsidRPr="00A107E5">
        <w:rPr>
          <w:b/>
          <w:color w:val="000000"/>
          <w:lang w:val="en-GB"/>
        </w:rPr>
        <w:t>Second regular session 2021</w:t>
      </w:r>
    </w:p>
    <w:p w14:paraId="00ABFDFB" w14:textId="77777777" w:rsidR="00A107E5" w:rsidRPr="00A107E5" w:rsidRDefault="00A107E5" w:rsidP="00A107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A107E5">
        <w:rPr>
          <w:color w:val="000000"/>
          <w:lang w:val="en-GB"/>
        </w:rPr>
        <w:t>30 August – 2 September 2021, New York</w:t>
      </w:r>
    </w:p>
    <w:p w14:paraId="613B2C65" w14:textId="41652393" w:rsidR="00A107E5" w:rsidRPr="00A107E5" w:rsidRDefault="00A107E5" w:rsidP="00A107E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A107E5">
        <w:rPr>
          <w:color w:val="000000"/>
          <w:lang w:val="en-GB"/>
        </w:rPr>
        <w:t xml:space="preserve">Item </w:t>
      </w:r>
      <w:r w:rsidR="00412CE1">
        <w:rPr>
          <w:color w:val="000000"/>
          <w:lang w:val="en-GB"/>
        </w:rPr>
        <w:t>5</w:t>
      </w:r>
      <w:r w:rsidRPr="00A107E5">
        <w:rPr>
          <w:color w:val="000000"/>
          <w:lang w:val="en-GB"/>
        </w:rPr>
        <w:t xml:space="preserve"> of the provisional agenda</w:t>
      </w:r>
    </w:p>
    <w:p w14:paraId="362310F6" w14:textId="77777777" w:rsidR="00A107E5" w:rsidRPr="00A107E5" w:rsidRDefault="00A107E5" w:rsidP="00A107E5">
      <w:pPr>
        <w:ind w:right="1260"/>
        <w:rPr>
          <w:b/>
          <w:color w:val="000000"/>
          <w:lang w:val="en-GB"/>
        </w:rPr>
      </w:pPr>
      <w:r w:rsidRPr="00A107E5">
        <w:rPr>
          <w:b/>
          <w:color w:val="000000"/>
          <w:lang w:val="en-GB"/>
        </w:rPr>
        <w:t>Country programmes and related matters</w:t>
      </w:r>
    </w:p>
    <w:p w14:paraId="7A4E6C61" w14:textId="77777777" w:rsidR="00A107E5" w:rsidRPr="00A107E5" w:rsidRDefault="00A107E5" w:rsidP="00A107E5">
      <w:pPr>
        <w:jc w:val="both"/>
        <w:rPr>
          <w:b/>
          <w:lang w:val="en-GB"/>
        </w:rPr>
      </w:pPr>
    </w:p>
    <w:p w14:paraId="2DA0BC3A" w14:textId="77777777" w:rsidR="00A107E5" w:rsidRPr="00A107E5" w:rsidRDefault="00A107E5" w:rsidP="00A107E5">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0A61C1A2" w14:textId="209FFD7B" w:rsidR="00A107E5" w:rsidRPr="00A107E5" w:rsidRDefault="00A107E5" w:rsidP="00A107E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A107E5">
        <w:rPr>
          <w:b/>
          <w:sz w:val="28"/>
          <w:szCs w:val="28"/>
          <w:lang w:val="en-GB"/>
        </w:rPr>
        <w:t>Draft country programme document for</w:t>
      </w:r>
      <w:r w:rsidRPr="00A107E5">
        <w:rPr>
          <w:b/>
          <w:sz w:val="28"/>
          <w:szCs w:val="28"/>
        </w:rPr>
        <w:t xml:space="preserve"> </w:t>
      </w:r>
      <w:r w:rsidR="0091094F">
        <w:rPr>
          <w:b/>
          <w:sz w:val="28"/>
          <w:szCs w:val="28"/>
        </w:rPr>
        <w:t>Eritrea</w:t>
      </w:r>
      <w:r w:rsidRPr="00A107E5">
        <w:rPr>
          <w:b/>
          <w:sz w:val="28"/>
          <w:szCs w:val="28"/>
          <w:lang w:val="en-GB"/>
        </w:rPr>
        <w:t xml:space="preserve"> (202</w:t>
      </w:r>
      <w:r>
        <w:rPr>
          <w:b/>
          <w:sz w:val="28"/>
          <w:szCs w:val="28"/>
          <w:lang w:val="en-GB"/>
        </w:rPr>
        <w:t>2</w:t>
      </w:r>
      <w:r w:rsidRPr="00A107E5">
        <w:rPr>
          <w:b/>
          <w:sz w:val="28"/>
          <w:szCs w:val="28"/>
          <w:lang w:val="en-GB"/>
        </w:rPr>
        <w:t>-202</w:t>
      </w:r>
      <w:r>
        <w:rPr>
          <w:b/>
          <w:sz w:val="28"/>
          <w:szCs w:val="28"/>
          <w:lang w:val="en-GB"/>
        </w:rPr>
        <w:t>6</w:t>
      </w:r>
      <w:r w:rsidRPr="00A107E5">
        <w:rPr>
          <w:b/>
          <w:sz w:val="28"/>
          <w:szCs w:val="28"/>
          <w:lang w:val="en-GB"/>
        </w:rPr>
        <w:t>)</w:t>
      </w:r>
      <w:r w:rsidRPr="00A107E5">
        <w:rPr>
          <w:b/>
          <w:sz w:val="28"/>
          <w:szCs w:val="28"/>
          <w:lang w:val="en-GB"/>
        </w:rPr>
        <w:br/>
      </w:r>
    </w:p>
    <w:p w14:paraId="634E1F0B" w14:textId="77777777" w:rsidR="00A107E5" w:rsidRPr="00A107E5" w:rsidRDefault="00A107E5" w:rsidP="00A107E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A107E5">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A107E5" w:rsidRPr="00A107E5" w14:paraId="3DAECD48" w14:textId="77777777" w:rsidTr="007A2AD5">
        <w:tc>
          <w:tcPr>
            <w:tcW w:w="1060" w:type="dxa"/>
            <w:shd w:val="clear" w:color="auto" w:fill="auto"/>
          </w:tcPr>
          <w:p w14:paraId="4709D5DE" w14:textId="77777777" w:rsidR="00A107E5" w:rsidRPr="00A107E5" w:rsidRDefault="00A107E5" w:rsidP="00A107E5">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F5E7C90" w14:textId="77777777" w:rsidR="00A107E5" w:rsidRPr="00A107E5" w:rsidRDefault="00A107E5" w:rsidP="00A107E5">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46DD9520" w14:textId="77777777" w:rsidR="00A107E5" w:rsidRPr="00A107E5" w:rsidRDefault="00A107E5" w:rsidP="00A107E5">
            <w:pPr>
              <w:tabs>
                <w:tab w:val="left" w:pos="1620"/>
              </w:tabs>
              <w:suppressAutoHyphens/>
              <w:spacing w:after="120"/>
              <w:jc w:val="right"/>
              <w:rPr>
                <w:i/>
                <w:color w:val="000000"/>
                <w:spacing w:val="4"/>
                <w:w w:val="103"/>
                <w:kern w:val="14"/>
                <w:sz w:val="14"/>
                <w:lang w:val="en-GB" w:eastAsia="fr-FR"/>
              </w:rPr>
            </w:pPr>
            <w:r w:rsidRPr="00A107E5">
              <w:rPr>
                <w:i/>
                <w:iCs/>
                <w:color w:val="000000"/>
                <w:kern w:val="14"/>
                <w:sz w:val="14"/>
                <w:lang w:val="en-GB" w:eastAsia="fr-FR"/>
              </w:rPr>
              <w:t>Page</w:t>
            </w:r>
          </w:p>
        </w:tc>
      </w:tr>
      <w:tr w:rsidR="00A107E5" w:rsidRPr="00A107E5" w14:paraId="5B6AC56D" w14:textId="77777777" w:rsidTr="007A2AD5">
        <w:tc>
          <w:tcPr>
            <w:tcW w:w="9540" w:type="dxa"/>
            <w:gridSpan w:val="3"/>
            <w:shd w:val="clear" w:color="auto" w:fill="auto"/>
          </w:tcPr>
          <w:p w14:paraId="76062921" w14:textId="77777777" w:rsidR="00A107E5" w:rsidRPr="00A107E5" w:rsidRDefault="00A107E5" w:rsidP="00A107E5">
            <w:pPr>
              <w:numPr>
                <w:ilvl w:val="0"/>
                <w:numId w:val="3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UNDP within the United Nations Sustainable Development Cooperation Framework</w:t>
            </w:r>
            <w:r w:rsidRPr="00A107E5">
              <w:rPr>
                <w:color w:val="000000"/>
                <w:sz w:val="24"/>
                <w:szCs w:val="24"/>
                <w:lang w:val="en-GB" w:eastAsia="fr-FR"/>
              </w:rPr>
              <w:tab/>
            </w:r>
          </w:p>
        </w:tc>
        <w:tc>
          <w:tcPr>
            <w:tcW w:w="362" w:type="dxa"/>
            <w:vMerge w:val="restart"/>
            <w:shd w:val="clear" w:color="auto" w:fill="auto"/>
            <w:vAlign w:val="bottom"/>
          </w:tcPr>
          <w:p w14:paraId="6564DF5B"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kern w:val="14"/>
                <w:lang w:val="en-GB" w:eastAsia="fr-FR"/>
              </w:rPr>
              <w:t>2</w:t>
            </w:r>
          </w:p>
          <w:p w14:paraId="69D99660"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kern w:val="14"/>
                <w:lang w:val="en-GB" w:eastAsia="fr-FR"/>
              </w:rPr>
              <w:t>4</w:t>
            </w:r>
          </w:p>
        </w:tc>
      </w:tr>
      <w:tr w:rsidR="00A107E5" w:rsidRPr="00A107E5" w14:paraId="5197A62B" w14:textId="77777777" w:rsidTr="007A2AD5">
        <w:tc>
          <w:tcPr>
            <w:tcW w:w="9540" w:type="dxa"/>
            <w:gridSpan w:val="3"/>
            <w:shd w:val="clear" w:color="auto" w:fill="auto"/>
          </w:tcPr>
          <w:p w14:paraId="2A24DDA9"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Programme priorities and partnerships</w:t>
            </w:r>
            <w:r w:rsidRPr="00A107E5">
              <w:rPr>
                <w:color w:val="000000"/>
                <w:lang w:val="en-GB" w:eastAsia="fr-FR"/>
              </w:rPr>
              <w:t>………………………………………………….</w:t>
            </w:r>
            <w:r w:rsidRPr="00A107E5">
              <w:rPr>
                <w:color w:val="000000"/>
                <w:lang w:val="en-GB" w:eastAsia="fr-FR"/>
              </w:rPr>
              <w:tab/>
              <w:t>……….…</w:t>
            </w:r>
          </w:p>
        </w:tc>
        <w:tc>
          <w:tcPr>
            <w:tcW w:w="362" w:type="dxa"/>
            <w:vMerge/>
            <w:shd w:val="clear" w:color="auto" w:fill="auto"/>
            <w:vAlign w:val="bottom"/>
          </w:tcPr>
          <w:p w14:paraId="635867EC"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61918F6B" w14:textId="77777777" w:rsidTr="007A2AD5">
        <w:tc>
          <w:tcPr>
            <w:tcW w:w="9540" w:type="dxa"/>
            <w:gridSpan w:val="3"/>
            <w:shd w:val="clear" w:color="auto" w:fill="auto"/>
          </w:tcPr>
          <w:p w14:paraId="41CEACDE"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 xml:space="preserve">Programme and risk management </w:t>
            </w:r>
            <w:r w:rsidRPr="00A107E5">
              <w:rPr>
                <w:color w:val="000000"/>
                <w:lang w:val="en-GB" w:eastAsia="fr-FR"/>
              </w:rPr>
              <w:t>……………………………………………….…………………</w:t>
            </w:r>
          </w:p>
        </w:tc>
        <w:tc>
          <w:tcPr>
            <w:tcW w:w="362" w:type="dxa"/>
            <w:vMerge w:val="restart"/>
            <w:shd w:val="clear" w:color="auto" w:fill="auto"/>
            <w:vAlign w:val="bottom"/>
          </w:tcPr>
          <w:p w14:paraId="30CA940B"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r w:rsidRPr="00A107E5">
              <w:rPr>
                <w:color w:val="000000"/>
                <w:spacing w:val="4"/>
                <w:w w:val="103"/>
                <w:kern w:val="14"/>
                <w:lang w:val="en-GB" w:eastAsia="fr-FR"/>
              </w:rPr>
              <w:t>7</w:t>
            </w:r>
          </w:p>
          <w:p w14:paraId="669E4A34" w14:textId="5304CC2B" w:rsidR="00A107E5" w:rsidRPr="00A107E5" w:rsidRDefault="00D87CDC" w:rsidP="00A107E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A107E5" w:rsidRPr="00A107E5" w14:paraId="3DFC4CC6" w14:textId="77777777" w:rsidTr="007A2AD5">
        <w:tc>
          <w:tcPr>
            <w:tcW w:w="9540" w:type="dxa"/>
            <w:gridSpan w:val="3"/>
            <w:shd w:val="clear" w:color="auto" w:fill="auto"/>
          </w:tcPr>
          <w:p w14:paraId="2837F69B" w14:textId="77777777" w:rsidR="00A107E5" w:rsidRPr="00A107E5" w:rsidRDefault="00A107E5" w:rsidP="00A107E5">
            <w:pPr>
              <w:numPr>
                <w:ilvl w:val="0"/>
                <w:numId w:val="3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A107E5">
              <w:rPr>
                <w:color w:val="000000"/>
                <w:kern w:val="14"/>
                <w:lang w:val="en-GB" w:eastAsia="fr-FR"/>
              </w:rPr>
              <w:tab/>
              <w:t>Monitoring and evaluation</w:t>
            </w:r>
            <w:r w:rsidRPr="00A107E5">
              <w:rPr>
                <w:color w:val="000000"/>
                <w:sz w:val="24"/>
                <w:szCs w:val="24"/>
                <w:lang w:val="en-GB" w:eastAsia="fr-FR"/>
              </w:rPr>
              <w:tab/>
            </w:r>
            <w:r w:rsidRPr="00A107E5">
              <w:rPr>
                <w:color w:val="000000"/>
                <w:lang w:val="en-GB" w:eastAsia="fr-FR"/>
              </w:rPr>
              <w:t>…………………………………………………….……………………</w:t>
            </w:r>
          </w:p>
        </w:tc>
        <w:tc>
          <w:tcPr>
            <w:tcW w:w="362" w:type="dxa"/>
            <w:vMerge/>
            <w:shd w:val="clear" w:color="auto" w:fill="auto"/>
            <w:vAlign w:val="bottom"/>
          </w:tcPr>
          <w:p w14:paraId="05FC6005"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390F326D" w14:textId="77777777" w:rsidTr="007A2AD5">
        <w:tc>
          <w:tcPr>
            <w:tcW w:w="9369" w:type="dxa"/>
            <w:gridSpan w:val="2"/>
            <w:shd w:val="clear" w:color="auto" w:fill="auto"/>
          </w:tcPr>
          <w:p w14:paraId="131A212C" w14:textId="77777777" w:rsidR="00A107E5" w:rsidRPr="00A107E5" w:rsidRDefault="00A107E5" w:rsidP="00A107E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A107E5">
              <w:rPr>
                <w:color w:val="000000"/>
                <w:kern w:val="14"/>
                <w:lang w:val="en-GB" w:eastAsia="fr-FR"/>
              </w:rPr>
              <w:t>Annex</w:t>
            </w:r>
          </w:p>
        </w:tc>
        <w:tc>
          <w:tcPr>
            <w:tcW w:w="533" w:type="dxa"/>
            <w:gridSpan w:val="2"/>
            <w:shd w:val="clear" w:color="auto" w:fill="auto"/>
            <w:vAlign w:val="bottom"/>
          </w:tcPr>
          <w:p w14:paraId="6C775545" w14:textId="77777777" w:rsidR="00A107E5" w:rsidRPr="00A107E5" w:rsidRDefault="00A107E5" w:rsidP="00A107E5">
            <w:pPr>
              <w:tabs>
                <w:tab w:val="left" w:pos="1620"/>
              </w:tabs>
              <w:suppressAutoHyphens/>
              <w:spacing w:after="120" w:line="240" w:lineRule="exact"/>
              <w:jc w:val="right"/>
              <w:rPr>
                <w:color w:val="000000"/>
                <w:spacing w:val="4"/>
                <w:w w:val="103"/>
                <w:kern w:val="14"/>
                <w:lang w:val="en-GB" w:eastAsia="fr-FR"/>
              </w:rPr>
            </w:pPr>
          </w:p>
        </w:tc>
      </w:tr>
      <w:tr w:rsidR="00A107E5" w:rsidRPr="00A107E5" w14:paraId="61543705" w14:textId="77777777" w:rsidTr="007A2AD5">
        <w:tc>
          <w:tcPr>
            <w:tcW w:w="9369" w:type="dxa"/>
            <w:gridSpan w:val="2"/>
            <w:shd w:val="clear" w:color="auto" w:fill="auto"/>
          </w:tcPr>
          <w:p w14:paraId="170E4AE7" w14:textId="68B1FB64" w:rsidR="00A107E5" w:rsidRPr="00A107E5" w:rsidRDefault="00A107E5" w:rsidP="0091094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5670"/>
                <w:tab w:val="right" w:leader="dot" w:pos="9360"/>
              </w:tabs>
              <w:suppressAutoHyphens/>
              <w:spacing w:after="120" w:line="240" w:lineRule="exact"/>
              <w:ind w:left="1296"/>
              <w:rPr>
                <w:color w:val="000000"/>
                <w:spacing w:val="60"/>
                <w:w w:val="103"/>
                <w:kern w:val="14"/>
                <w:sz w:val="17"/>
                <w:lang w:val="en-GB" w:eastAsia="fr-FR"/>
              </w:rPr>
            </w:pPr>
            <w:r w:rsidRPr="00A107E5">
              <w:rPr>
                <w:color w:val="000000"/>
                <w:kern w:val="14"/>
                <w:lang w:val="en-GB" w:eastAsia="fr-FR"/>
              </w:rPr>
              <w:t xml:space="preserve">Results and resources framework for </w:t>
            </w:r>
            <w:r w:rsidR="0091094F">
              <w:rPr>
                <w:color w:val="000000"/>
                <w:kern w:val="14"/>
                <w:lang w:val="en-GB" w:eastAsia="fr-FR"/>
              </w:rPr>
              <w:t>Eritrea</w:t>
            </w:r>
            <w:r w:rsidRPr="00A107E5">
              <w:rPr>
                <w:color w:val="000000"/>
                <w:kern w:val="14"/>
                <w:lang w:val="en-GB" w:eastAsia="fr-FR"/>
              </w:rPr>
              <w:t xml:space="preserve"> (202</w:t>
            </w:r>
            <w:r w:rsidR="0091094F">
              <w:rPr>
                <w:color w:val="000000"/>
                <w:kern w:val="14"/>
                <w:lang w:val="en-GB" w:eastAsia="fr-FR"/>
              </w:rPr>
              <w:t>2</w:t>
            </w:r>
            <w:r w:rsidRPr="00A107E5">
              <w:rPr>
                <w:color w:val="000000"/>
                <w:kern w:val="14"/>
                <w:lang w:val="en-GB" w:eastAsia="fr-FR"/>
              </w:rPr>
              <w:t>-202</w:t>
            </w:r>
            <w:r w:rsidR="0091094F">
              <w:rPr>
                <w:color w:val="000000"/>
                <w:kern w:val="14"/>
                <w:lang w:val="en-GB" w:eastAsia="fr-FR"/>
              </w:rPr>
              <w:t>6</w:t>
            </w:r>
            <w:r w:rsidRPr="00A107E5">
              <w:rPr>
                <w:color w:val="000000"/>
                <w:kern w:val="14"/>
                <w:lang w:val="en-GB" w:eastAsia="fr-FR"/>
              </w:rPr>
              <w:t>)</w:t>
            </w:r>
            <w:r w:rsidRPr="00A107E5">
              <w:rPr>
                <w:color w:val="000000"/>
                <w:sz w:val="24"/>
                <w:szCs w:val="24"/>
                <w:lang w:val="en-GB" w:eastAsia="fr-FR"/>
              </w:rPr>
              <w:tab/>
            </w:r>
          </w:p>
        </w:tc>
        <w:tc>
          <w:tcPr>
            <w:tcW w:w="533" w:type="dxa"/>
            <w:gridSpan w:val="2"/>
            <w:shd w:val="clear" w:color="auto" w:fill="auto"/>
            <w:vAlign w:val="bottom"/>
          </w:tcPr>
          <w:p w14:paraId="1A5C4874" w14:textId="7A19673B" w:rsidR="00A107E5" w:rsidRPr="00A107E5" w:rsidRDefault="00D87CDC" w:rsidP="00A107E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4862749E" w14:textId="5EBF3FF8" w:rsidR="001308DA" w:rsidRPr="001308DA" w:rsidRDefault="001308DA" w:rsidP="001308DA">
      <w:pPr>
        <w:rPr>
          <w:lang w:val="en-GB"/>
        </w:rPr>
      </w:pPr>
      <w:r w:rsidRPr="003C26C1">
        <w:br w:type="page"/>
      </w:r>
    </w:p>
    <w:p w14:paraId="2440D3D7" w14:textId="4F1FAEA0" w:rsidR="00A918A7" w:rsidRPr="00745957" w:rsidRDefault="007C2934" w:rsidP="00745957">
      <w:pPr>
        <w:pStyle w:val="Heading2"/>
        <w:numPr>
          <w:ilvl w:val="0"/>
          <w:numId w:val="33"/>
        </w:numPr>
        <w:tabs>
          <w:tab w:val="left" w:pos="1710"/>
        </w:tabs>
        <w:spacing w:after="200"/>
        <w:ind w:left="1260" w:right="1195" w:hanging="360"/>
        <w:jc w:val="both"/>
        <w:rPr>
          <w:rFonts w:ascii="Times New Roman" w:hAnsi="Times New Roman"/>
          <w:bCs/>
          <w:color w:val="000000"/>
          <w:sz w:val="24"/>
          <w:szCs w:val="24"/>
        </w:rPr>
      </w:pPr>
      <w:r w:rsidRPr="00745957">
        <w:rPr>
          <w:rFonts w:ascii="Times New Roman" w:hAnsi="Times New Roman"/>
          <w:bCs/>
          <w:color w:val="000000"/>
          <w:sz w:val="24"/>
          <w:szCs w:val="24"/>
        </w:rPr>
        <w:lastRenderedPageBreak/>
        <w:t xml:space="preserve">UNDP </w:t>
      </w:r>
      <w:r w:rsidR="00363EED" w:rsidRPr="00745957">
        <w:rPr>
          <w:rFonts w:ascii="Times New Roman" w:hAnsi="Times New Roman"/>
          <w:bCs/>
          <w:color w:val="000000"/>
          <w:sz w:val="24"/>
          <w:szCs w:val="24"/>
        </w:rPr>
        <w:t>within the</w:t>
      </w:r>
      <w:r w:rsidRPr="00745957">
        <w:rPr>
          <w:rFonts w:ascii="Times New Roman" w:hAnsi="Times New Roman"/>
          <w:bCs/>
          <w:color w:val="000000"/>
          <w:sz w:val="24"/>
          <w:szCs w:val="24"/>
        </w:rPr>
        <w:t xml:space="preserve"> </w:t>
      </w:r>
      <w:r w:rsidR="00745957" w:rsidRPr="00A107E5">
        <w:rPr>
          <w:rFonts w:ascii="Times New Roman" w:hAnsi="Times New Roman"/>
          <w:color w:val="000000"/>
          <w:kern w:val="14"/>
          <w:sz w:val="24"/>
          <w:szCs w:val="24"/>
          <w:lang w:val="en-GB" w:eastAsia="fr-FR"/>
        </w:rPr>
        <w:t>United Nations Sustainable Development Cooperation Framework</w:t>
      </w:r>
    </w:p>
    <w:p w14:paraId="461EC2B9" w14:textId="3BBD83F7" w:rsidR="003E4EA4" w:rsidRDefault="00D74C6C" w:rsidP="0091094F">
      <w:pPr>
        <w:numPr>
          <w:ilvl w:val="0"/>
          <w:numId w:val="18"/>
        </w:numPr>
        <w:tabs>
          <w:tab w:val="left" w:pos="1710"/>
        </w:tabs>
        <w:spacing w:after="120"/>
        <w:ind w:left="1260" w:right="1195" w:firstLine="0"/>
        <w:jc w:val="both"/>
      </w:pPr>
      <w:r>
        <w:t xml:space="preserve">In 1991 </w:t>
      </w:r>
      <w:r w:rsidR="00D6147C" w:rsidRPr="00D6147C">
        <w:t>Eritrea emerged from nearly 30 years of armed struggle for independence from Ethiopia</w:t>
      </w:r>
      <w:r>
        <w:t>; its independence</w:t>
      </w:r>
      <w:r w:rsidR="00396A3E">
        <w:t xml:space="preserve"> was</w:t>
      </w:r>
      <w:r w:rsidR="00D6147C" w:rsidRPr="00D6147C">
        <w:t xml:space="preserve"> formalized in </w:t>
      </w:r>
      <w:r>
        <w:t>a</w:t>
      </w:r>
      <w:r w:rsidRPr="00D6147C">
        <w:t xml:space="preserve"> </w:t>
      </w:r>
      <w:r w:rsidR="00D6147C" w:rsidRPr="00D6147C">
        <w:t>1993 referendum.</w:t>
      </w:r>
      <w:r w:rsidR="003E4EA4">
        <w:t xml:space="preserve"> </w:t>
      </w:r>
      <w:r w:rsidR="00ED23E8">
        <w:t>The country</w:t>
      </w:r>
      <w:r w:rsidR="00D6147C" w:rsidRPr="00D6147C">
        <w:t xml:space="preserve"> enjoyed a short period of state consolidation and development before plunging into a border war with Ethiopia </w:t>
      </w:r>
      <w:r>
        <w:t xml:space="preserve">that lasted </w:t>
      </w:r>
      <w:r w:rsidR="00D6147C" w:rsidRPr="00D6147C">
        <w:t>from May</w:t>
      </w:r>
      <w:r>
        <w:t xml:space="preserve"> </w:t>
      </w:r>
      <w:r w:rsidR="00D6147C" w:rsidRPr="00D6147C">
        <w:t xml:space="preserve">1998 to </w:t>
      </w:r>
      <w:r w:rsidR="00FF07CC" w:rsidRPr="00D6147C">
        <w:t>June</w:t>
      </w:r>
      <w:r w:rsidR="003D7D6C">
        <w:t xml:space="preserve"> </w:t>
      </w:r>
      <w:r w:rsidR="00D6147C" w:rsidRPr="00D6147C">
        <w:t xml:space="preserve">2000. Even after the formal end of the war through the Algiers Peace Agreement, </w:t>
      </w:r>
      <w:r w:rsidR="008F4885">
        <w:t>Eritrea</w:t>
      </w:r>
      <w:r w:rsidR="00F747B4">
        <w:t xml:space="preserve"> experienced</w:t>
      </w:r>
      <w:r w:rsidR="006C48FF">
        <w:t xml:space="preserve"> </w:t>
      </w:r>
      <w:r w:rsidR="00D6147C" w:rsidRPr="00D6147C">
        <w:t>a tense 18-year period</w:t>
      </w:r>
      <w:r w:rsidR="003E4EA4">
        <w:t xml:space="preserve">, </w:t>
      </w:r>
      <w:r w:rsidR="00D6147C" w:rsidRPr="00D6147C">
        <w:t xml:space="preserve">described as a time of </w:t>
      </w:r>
      <w:r w:rsidR="00D6147C" w:rsidRPr="00D74C6C">
        <w:t>‘</w:t>
      </w:r>
      <w:r w:rsidR="00D6147C" w:rsidRPr="00145533">
        <w:t>no war, no peace</w:t>
      </w:r>
      <w:r w:rsidR="00D6147C" w:rsidRPr="00D74C6C">
        <w:t>’</w:t>
      </w:r>
      <w:r>
        <w:t xml:space="preserve">, </w:t>
      </w:r>
      <w:r w:rsidR="00D85111">
        <w:t xml:space="preserve">in a period of imposed </w:t>
      </w:r>
      <w:r w:rsidR="00D6147C" w:rsidRPr="00D6147C">
        <w:t>international sanctions</w:t>
      </w:r>
      <w:r w:rsidR="008F4885">
        <w:t>.</w:t>
      </w:r>
      <w:r w:rsidR="008F4885" w:rsidRPr="008F4885">
        <w:t xml:space="preserve"> </w:t>
      </w:r>
      <w:r w:rsidR="009123B2">
        <w:t>These events delayed</w:t>
      </w:r>
      <w:r w:rsidR="008F4885">
        <w:t xml:space="preserve"> </w:t>
      </w:r>
      <w:r w:rsidR="009123B2">
        <w:t>the</w:t>
      </w:r>
      <w:r w:rsidR="009123B2" w:rsidRPr="00997EE1">
        <w:t xml:space="preserve"> </w:t>
      </w:r>
      <w:r w:rsidR="008F4885" w:rsidRPr="00997EE1">
        <w:t>process of nation-building</w:t>
      </w:r>
      <w:r w:rsidR="008F4885">
        <w:t>.</w:t>
      </w:r>
      <w:r w:rsidR="00D6147C" w:rsidRPr="00D6147C">
        <w:t xml:space="preserve"> </w:t>
      </w:r>
    </w:p>
    <w:p w14:paraId="01B6A641" w14:textId="20C32462" w:rsidR="00C866BE" w:rsidRDefault="00C866BE" w:rsidP="0091094F">
      <w:pPr>
        <w:numPr>
          <w:ilvl w:val="0"/>
          <w:numId w:val="18"/>
        </w:numPr>
        <w:tabs>
          <w:tab w:val="left" w:pos="1710"/>
        </w:tabs>
        <w:spacing w:after="120"/>
        <w:ind w:left="1260" w:right="1195" w:firstLine="0"/>
        <w:jc w:val="both"/>
      </w:pPr>
      <w:r>
        <w:t>T</w:t>
      </w:r>
      <w:r w:rsidR="00997EE1" w:rsidRPr="00997EE1">
        <w:t xml:space="preserve">he socioeconomic and political challenges </w:t>
      </w:r>
      <w:r>
        <w:t xml:space="preserve">were </w:t>
      </w:r>
      <w:r w:rsidRPr="00997EE1">
        <w:t xml:space="preserve">aggravated </w:t>
      </w:r>
      <w:r w:rsidR="00997EE1" w:rsidRPr="00997EE1">
        <w:t>as focus shifted away from the pursuit of a sustainable development agenda to security and sovereignty concerns</w:t>
      </w:r>
      <w:r w:rsidR="00ED23E8">
        <w:t>.</w:t>
      </w:r>
      <w:r w:rsidR="003E4EA4">
        <w:t xml:space="preserve"> </w:t>
      </w:r>
      <w:r w:rsidR="004B7001">
        <w:t xml:space="preserve">Within this historical context, Eritrea is pursuing its </w:t>
      </w:r>
      <w:r w:rsidR="00F747B4">
        <w:t>current</w:t>
      </w:r>
      <w:r w:rsidR="00D6147C" w:rsidRPr="00D6147C">
        <w:t xml:space="preserve"> </w:t>
      </w:r>
      <w:r w:rsidR="00F747B4">
        <w:t>n</w:t>
      </w:r>
      <w:r w:rsidR="00D6147C" w:rsidRPr="00D6147C">
        <w:t>ational priorities</w:t>
      </w:r>
      <w:r w:rsidR="00D74C6C">
        <w:t>,</w:t>
      </w:r>
      <w:r w:rsidR="00D6147C" w:rsidRPr="00D6147C">
        <w:t xml:space="preserve"> </w:t>
      </w:r>
      <w:r w:rsidR="00F747B4">
        <w:t xml:space="preserve">which </w:t>
      </w:r>
      <w:r w:rsidR="00D6147C" w:rsidRPr="00D6147C">
        <w:t xml:space="preserve">include </w:t>
      </w:r>
      <w:r w:rsidR="00D6147C" w:rsidRPr="00145533">
        <w:t>reducing poverty, ensuring food security, addressing environmental degradation,</w:t>
      </w:r>
      <w:r w:rsidR="00164BA4" w:rsidRPr="00145533">
        <w:t xml:space="preserve"> </w:t>
      </w:r>
      <w:r w:rsidR="00D6147C" w:rsidRPr="00145533">
        <w:t xml:space="preserve">strengthening disaster risk management, conserving biodiversity, enhancing capacity for competent public service delivery, </w:t>
      </w:r>
      <w:r w:rsidR="00D74C6C">
        <w:t xml:space="preserve">empowering </w:t>
      </w:r>
      <w:r w:rsidR="00D6147C" w:rsidRPr="00145533">
        <w:t>women and mobilizing required resources</w:t>
      </w:r>
      <w:r w:rsidR="00D6147C" w:rsidRPr="00D6147C">
        <w:t xml:space="preserve">. </w:t>
      </w:r>
      <w:r w:rsidR="00E55555">
        <w:t xml:space="preserve">Responding to these national priorities is critical </w:t>
      </w:r>
      <w:r w:rsidR="00E55555" w:rsidRPr="00D6147C">
        <w:t>for the achievement of the S</w:t>
      </w:r>
      <w:r w:rsidR="00D74C6C">
        <w:t>ustainable Development Goals</w:t>
      </w:r>
      <w:r w:rsidR="00E55555">
        <w:t>.</w:t>
      </w:r>
    </w:p>
    <w:p w14:paraId="6DBE4042" w14:textId="26FFCBF7" w:rsidR="00F005CD" w:rsidRDefault="00ED23E8" w:rsidP="0091094F">
      <w:pPr>
        <w:numPr>
          <w:ilvl w:val="0"/>
          <w:numId w:val="18"/>
        </w:numPr>
        <w:tabs>
          <w:tab w:val="left" w:pos="1710"/>
        </w:tabs>
        <w:spacing w:after="120"/>
        <w:ind w:left="1260" w:right="1195" w:firstLine="0"/>
        <w:jc w:val="both"/>
      </w:pPr>
      <w:r>
        <w:t>A</w:t>
      </w:r>
      <w:r w:rsidR="004B7001">
        <w:t xml:space="preserve">chieving </w:t>
      </w:r>
      <w:r w:rsidR="00BB0200">
        <w:t>the</w:t>
      </w:r>
      <w:r w:rsidR="004B7001">
        <w:t xml:space="preserve"> priorities </w:t>
      </w:r>
      <w:r w:rsidR="00BB0200">
        <w:t>requires sustained economic growth. However, b</w:t>
      </w:r>
      <w:r w:rsidR="00BB0200" w:rsidRPr="00D6147C">
        <w:t xml:space="preserve">etween </w:t>
      </w:r>
      <w:r w:rsidR="00D6147C" w:rsidRPr="00D6147C">
        <w:t xml:space="preserve">2000 and 2020, </w:t>
      </w:r>
      <w:r w:rsidR="009123B2">
        <w:t>gross domestic product</w:t>
      </w:r>
      <w:r w:rsidR="00D6147C" w:rsidRPr="00FB2C5C">
        <w:t xml:space="preserve"> </w:t>
      </w:r>
      <w:r w:rsidR="00921E16">
        <w:t xml:space="preserve">growth rates </w:t>
      </w:r>
      <w:r w:rsidR="00F747B4">
        <w:t xml:space="preserve">averaged </w:t>
      </w:r>
      <w:r w:rsidR="00921E16">
        <w:t xml:space="preserve">about </w:t>
      </w:r>
      <w:r w:rsidR="00F747B4">
        <w:t>4.93 per</w:t>
      </w:r>
      <w:r w:rsidR="00D74C6C">
        <w:t xml:space="preserve"> </w:t>
      </w:r>
      <w:r w:rsidR="00F747B4">
        <w:t>cent</w:t>
      </w:r>
      <w:r w:rsidR="00F747B4">
        <w:rPr>
          <w:rStyle w:val="FootnoteReference"/>
        </w:rPr>
        <w:footnoteReference w:id="2"/>
      </w:r>
      <w:r w:rsidR="00F305AF" w:rsidRPr="00F305AF">
        <w:t xml:space="preserve"> </w:t>
      </w:r>
      <w:r w:rsidR="00F305AF">
        <w:t xml:space="preserve">with a record low of </w:t>
      </w:r>
      <w:r w:rsidR="002131C8">
        <w:t>–</w:t>
      </w:r>
      <w:r w:rsidR="00F305AF">
        <w:t>9.17</w:t>
      </w:r>
      <w:r w:rsidR="00D74C6C">
        <w:t xml:space="preserve"> per cent</w:t>
      </w:r>
      <w:r w:rsidR="00F305AF">
        <w:t xml:space="preserve"> in 2008</w:t>
      </w:r>
      <w:r w:rsidR="00F005CD">
        <w:t xml:space="preserve">. The </w:t>
      </w:r>
      <w:r w:rsidR="00F305AF">
        <w:t>highest rate</w:t>
      </w:r>
      <w:r w:rsidR="00D74C6C">
        <w:t>s</w:t>
      </w:r>
      <w:r w:rsidR="00F305AF">
        <w:t xml:space="preserve"> </w:t>
      </w:r>
      <w:r w:rsidR="00D74C6C">
        <w:t xml:space="preserve">were </w:t>
      </w:r>
      <w:r w:rsidR="00F305AF">
        <w:t xml:space="preserve">recorded in 2001 </w:t>
      </w:r>
      <w:r w:rsidR="00D74C6C">
        <w:t xml:space="preserve">(8.76 per cent) </w:t>
      </w:r>
      <w:r w:rsidR="00F305AF">
        <w:t xml:space="preserve">and 2011 </w:t>
      </w:r>
      <w:r w:rsidR="00D74C6C">
        <w:t>(</w:t>
      </w:r>
      <w:r w:rsidR="00F305AF">
        <w:t>8.68</w:t>
      </w:r>
      <w:r w:rsidR="00D74C6C">
        <w:t xml:space="preserve"> per cent</w:t>
      </w:r>
      <w:r w:rsidR="009123B2">
        <w:t>)</w:t>
      </w:r>
      <w:r w:rsidR="00D74C6C">
        <w:t>.</w:t>
      </w:r>
      <w:r w:rsidR="00F305AF">
        <w:rPr>
          <w:rStyle w:val="FootnoteReference"/>
        </w:rPr>
        <w:footnoteReference w:id="3"/>
      </w:r>
      <w:r w:rsidR="00F747B4">
        <w:t xml:space="preserve"> </w:t>
      </w:r>
      <w:r w:rsidR="005533B5">
        <w:t>The</w:t>
      </w:r>
      <w:r w:rsidR="00F747B4">
        <w:t xml:space="preserve"> country registered a growth rate of 3.8</w:t>
      </w:r>
      <w:r w:rsidR="00D74C6C">
        <w:t xml:space="preserve"> per cent</w:t>
      </w:r>
      <w:r w:rsidR="00F747B4">
        <w:t xml:space="preserve"> in 2019</w:t>
      </w:r>
      <w:r w:rsidR="00E15068">
        <w:t xml:space="preserve">, </w:t>
      </w:r>
      <w:r w:rsidR="00D74C6C">
        <w:t xml:space="preserve">which </w:t>
      </w:r>
      <w:r w:rsidR="00F747B4">
        <w:t>dropped to 0.6</w:t>
      </w:r>
      <w:r w:rsidR="00D74C6C">
        <w:t xml:space="preserve"> per cent</w:t>
      </w:r>
      <w:r w:rsidR="00F747B4">
        <w:t xml:space="preserve"> in 2020</w:t>
      </w:r>
      <w:r w:rsidR="00D74C6C">
        <w:t xml:space="preserve">, but there is </w:t>
      </w:r>
      <w:r w:rsidR="00F305AF">
        <w:t>a positive</w:t>
      </w:r>
      <w:r w:rsidR="00F747B4">
        <w:t xml:space="preserve"> </w:t>
      </w:r>
      <w:r w:rsidR="005533B5">
        <w:t>projection of 5.7</w:t>
      </w:r>
      <w:r w:rsidR="009123B2">
        <w:t xml:space="preserve"> per cent</w:t>
      </w:r>
      <w:r w:rsidR="005533B5">
        <w:t xml:space="preserve"> </w:t>
      </w:r>
      <w:r w:rsidR="00F747B4">
        <w:t>for</w:t>
      </w:r>
      <w:r w:rsidR="00F005CD">
        <w:t xml:space="preserve"> 2021</w:t>
      </w:r>
      <w:r w:rsidR="00D74C6C">
        <w:t>.</w:t>
      </w:r>
      <w:r w:rsidR="00F747B4">
        <w:rPr>
          <w:rStyle w:val="FootnoteReference"/>
        </w:rPr>
        <w:footnoteReference w:id="4"/>
      </w:r>
      <w:r w:rsidR="00D6147C" w:rsidRPr="00D6147C">
        <w:t xml:space="preserve"> </w:t>
      </w:r>
      <w:r w:rsidR="00CB253A">
        <w:t>About</w:t>
      </w:r>
      <w:r w:rsidR="00CB253A" w:rsidRPr="00D6147C">
        <w:t xml:space="preserve"> 58</w:t>
      </w:r>
      <w:r w:rsidR="00D74C6C">
        <w:t xml:space="preserve"> per cent</w:t>
      </w:r>
      <w:r w:rsidR="00CB253A" w:rsidRPr="00D6147C">
        <w:t xml:space="preserve"> of the population is currently living below the poverty line</w:t>
      </w:r>
      <w:r w:rsidR="00CB253A">
        <w:t>. T</w:t>
      </w:r>
      <w:r w:rsidR="00CB253A" w:rsidRPr="00D6147C">
        <w:t xml:space="preserve">he poverty </w:t>
      </w:r>
      <w:r w:rsidR="00CB253A">
        <w:t xml:space="preserve">is </w:t>
      </w:r>
      <w:r w:rsidR="00CB253A" w:rsidRPr="00DB0D54">
        <w:t>accentuated</w:t>
      </w:r>
      <w:r w:rsidR="00CB253A" w:rsidRPr="00D6147C">
        <w:t xml:space="preserve"> </w:t>
      </w:r>
      <w:r w:rsidR="00203E6A">
        <w:t>by the fact</w:t>
      </w:r>
      <w:r w:rsidR="00CB253A">
        <w:t xml:space="preserve"> that</w:t>
      </w:r>
      <w:r w:rsidR="00CB253A" w:rsidRPr="00D6147C">
        <w:t xml:space="preserve"> 65</w:t>
      </w:r>
      <w:r w:rsidR="00203E6A">
        <w:t xml:space="preserve"> per cent</w:t>
      </w:r>
      <w:r w:rsidR="00CB253A" w:rsidRPr="00D6147C">
        <w:t xml:space="preserve"> of the population liv</w:t>
      </w:r>
      <w:r w:rsidR="00CB253A">
        <w:t>e</w:t>
      </w:r>
      <w:r w:rsidR="00203E6A">
        <w:t>s</w:t>
      </w:r>
      <w:r w:rsidR="00CB253A" w:rsidRPr="00D6147C">
        <w:t xml:space="preserve"> in rural areas and depend</w:t>
      </w:r>
      <w:r w:rsidR="00203E6A">
        <w:t>s</w:t>
      </w:r>
      <w:r w:rsidR="00CB253A" w:rsidRPr="00D6147C">
        <w:t xml:space="preserve"> predominantly </w:t>
      </w:r>
      <w:r w:rsidR="00CB253A">
        <w:t xml:space="preserve">on </w:t>
      </w:r>
      <w:r w:rsidR="00CB253A" w:rsidRPr="00D6147C">
        <w:t>rainfed agriculture for livelihood.</w:t>
      </w:r>
    </w:p>
    <w:p w14:paraId="2EB65936" w14:textId="7C2A0E94" w:rsidR="006D17CE" w:rsidRDefault="00ED23E8" w:rsidP="0091094F">
      <w:pPr>
        <w:numPr>
          <w:ilvl w:val="0"/>
          <w:numId w:val="18"/>
        </w:numPr>
        <w:tabs>
          <w:tab w:val="left" w:pos="1710"/>
        </w:tabs>
        <w:spacing w:after="120"/>
        <w:ind w:left="1260" w:right="1195" w:firstLine="0"/>
        <w:jc w:val="both"/>
      </w:pPr>
      <w:r>
        <w:t>T</w:t>
      </w:r>
      <w:r w:rsidR="00D6147C" w:rsidRPr="00D6147C">
        <w:t>he country is ranked 180 out of 189 countries in the 2020 Human Development Report</w:t>
      </w:r>
      <w:r w:rsidR="00203E6A">
        <w:t>,</w:t>
      </w:r>
      <w:r w:rsidR="00D6147C" w:rsidRPr="00D6147C">
        <w:rPr>
          <w:vertAlign w:val="superscript"/>
        </w:rPr>
        <w:footnoteReference w:id="5"/>
      </w:r>
      <w:r w:rsidR="00D6147C" w:rsidRPr="00D6147C">
        <w:t xml:space="preserve"> with a </w:t>
      </w:r>
      <w:r w:rsidR="00203E6A">
        <w:t>Human Development Index</w:t>
      </w:r>
      <w:r w:rsidR="00D6147C" w:rsidRPr="00D6147C">
        <w:t xml:space="preserve"> score of 0.459</w:t>
      </w:r>
      <w:r w:rsidR="00203E6A">
        <w:t>. It</w:t>
      </w:r>
      <w:r w:rsidR="00D6147C" w:rsidRPr="00D6147C">
        <w:t xml:space="preserve"> is off-track to </w:t>
      </w:r>
      <w:r w:rsidR="00203E6A">
        <w:t>achieve</w:t>
      </w:r>
      <w:r w:rsidR="00203E6A" w:rsidRPr="00D6147C">
        <w:t xml:space="preserve"> </w:t>
      </w:r>
      <w:r w:rsidR="00D6147C" w:rsidRPr="00D6147C">
        <w:t xml:space="preserve">the </w:t>
      </w:r>
      <w:r w:rsidR="00203E6A">
        <w:t>Goal</w:t>
      </w:r>
      <w:r w:rsidR="00D6147C" w:rsidRPr="00D6147C">
        <w:t xml:space="preserve">s by 2030. </w:t>
      </w:r>
      <w:r w:rsidR="00203E6A">
        <w:t>The g</w:t>
      </w:r>
      <w:r w:rsidR="006D17CE" w:rsidRPr="006D17CE">
        <w:t xml:space="preserve">ender </w:t>
      </w:r>
      <w:r w:rsidR="00062003">
        <w:t>e</w:t>
      </w:r>
      <w:r w:rsidR="006D17CE" w:rsidRPr="006D17CE">
        <w:t xml:space="preserve">quality </w:t>
      </w:r>
      <w:r w:rsidR="006D17CE">
        <w:t>score is low</w:t>
      </w:r>
      <w:r w:rsidR="00203E6A">
        <w:t>,</w:t>
      </w:r>
      <w:r w:rsidR="006D17CE">
        <w:t xml:space="preserve"> at </w:t>
      </w:r>
      <w:r w:rsidR="006D17CE" w:rsidRPr="006D17CE">
        <w:t>34.7</w:t>
      </w:r>
      <w:r w:rsidR="00F53F90">
        <w:t>,</w:t>
      </w:r>
      <w:r w:rsidR="00F53F90">
        <w:rPr>
          <w:rStyle w:val="FootnoteReference"/>
        </w:rPr>
        <w:footnoteReference w:id="6"/>
      </w:r>
      <w:r w:rsidR="006D17CE" w:rsidRPr="006D17CE">
        <w:t xml:space="preserve"> </w:t>
      </w:r>
      <w:r w:rsidR="00CB253A">
        <w:t>and exemplified by a high maternal mortality ratio of 480 per 100,000 live births.</w:t>
      </w:r>
      <w:r w:rsidR="00F53F90">
        <w:rPr>
          <w:rStyle w:val="FootnoteReference"/>
        </w:rPr>
        <w:footnoteReference w:id="7"/>
      </w:r>
      <w:r w:rsidR="00CB253A">
        <w:t xml:space="preserve"> </w:t>
      </w:r>
      <w:r w:rsidR="00F53F90">
        <w:t>R</w:t>
      </w:r>
      <w:r w:rsidR="00096576" w:rsidRPr="00D6147C">
        <w:t>elations with Ethiopia</w:t>
      </w:r>
      <w:r w:rsidR="00F53F90">
        <w:t xml:space="preserve"> began to thaw in July 2018</w:t>
      </w:r>
      <w:r w:rsidR="00C46FB4">
        <w:t>,</w:t>
      </w:r>
      <w:r w:rsidR="00096576" w:rsidRPr="00D6147C">
        <w:t xml:space="preserve"> following the signing of the</w:t>
      </w:r>
      <w:r w:rsidR="00096576" w:rsidRPr="00096576">
        <w:rPr>
          <w:lang w:val="x-none"/>
        </w:rPr>
        <w:t xml:space="preserve"> Joint Declaration of Peace and Friendship</w:t>
      </w:r>
      <w:r w:rsidR="00096576" w:rsidRPr="00D6147C">
        <w:rPr>
          <w:vertAlign w:val="superscript"/>
          <w:lang w:val="x-none"/>
        </w:rPr>
        <w:footnoteReference w:id="8"/>
      </w:r>
      <w:r w:rsidR="00096576" w:rsidRPr="00D6147C">
        <w:t xml:space="preserve"> </w:t>
      </w:r>
      <w:r w:rsidR="003937B4">
        <w:t>and subsequent</w:t>
      </w:r>
      <w:r w:rsidR="00096576" w:rsidRPr="00D6147C">
        <w:t xml:space="preserve"> lifting of international sanctions</w:t>
      </w:r>
      <w:r w:rsidR="00F53F90">
        <w:t>. This</w:t>
      </w:r>
      <w:r w:rsidR="00096576" w:rsidRPr="00D6147C">
        <w:t xml:space="preserve"> raised the prospect that Eritrea </w:t>
      </w:r>
      <w:r w:rsidR="00096576">
        <w:t>could</w:t>
      </w:r>
      <w:r w:rsidR="00096576" w:rsidRPr="00D6147C">
        <w:t xml:space="preserve"> once again resume its quest for sustainable peace and development.</w:t>
      </w:r>
    </w:p>
    <w:p w14:paraId="571600B6" w14:textId="11E790EE" w:rsidR="00093533" w:rsidRDefault="00D6147C" w:rsidP="0091094F">
      <w:pPr>
        <w:numPr>
          <w:ilvl w:val="0"/>
          <w:numId w:val="18"/>
        </w:numPr>
        <w:tabs>
          <w:tab w:val="left" w:pos="1710"/>
        </w:tabs>
        <w:spacing w:after="120"/>
        <w:ind w:left="1260" w:right="1195" w:firstLine="0"/>
        <w:jc w:val="both"/>
      </w:pPr>
      <w:r w:rsidRPr="00D6147C">
        <w:t xml:space="preserve">The improved relations with Ethiopia </w:t>
      </w:r>
      <w:r w:rsidR="00F53F90">
        <w:t xml:space="preserve">also </w:t>
      </w:r>
      <w:r w:rsidRPr="00D6147C">
        <w:t>provide an unprecedented opportunity for regional integration</w:t>
      </w:r>
      <w:r w:rsidR="005533B5">
        <w:t xml:space="preserve">, </w:t>
      </w:r>
      <w:r w:rsidRPr="00D6147C">
        <w:t>investment</w:t>
      </w:r>
      <w:r w:rsidR="005533B5">
        <w:t xml:space="preserve"> and </w:t>
      </w:r>
      <w:r w:rsidR="00ED23E8" w:rsidRPr="00D6147C">
        <w:t>trade</w:t>
      </w:r>
      <w:r w:rsidR="005533B5">
        <w:t>.</w:t>
      </w:r>
      <w:r w:rsidR="00093533">
        <w:t xml:space="preserve"> </w:t>
      </w:r>
      <w:r w:rsidR="00F53F90">
        <w:t>However, w</w:t>
      </w:r>
      <w:r w:rsidR="00997EE1" w:rsidRPr="00997EE1">
        <w:t>hile Eritrea forg</w:t>
      </w:r>
      <w:r w:rsidR="00F53F90">
        <w:t>es</w:t>
      </w:r>
      <w:r w:rsidR="00997EE1" w:rsidRPr="00997EE1">
        <w:t xml:space="preserve"> ahead </w:t>
      </w:r>
      <w:r w:rsidR="00203E6A">
        <w:t>to</w:t>
      </w:r>
      <w:r w:rsidR="00203E6A" w:rsidRPr="00997EE1">
        <w:t xml:space="preserve"> </w:t>
      </w:r>
      <w:r w:rsidR="00997EE1" w:rsidRPr="00997EE1">
        <w:t>improv</w:t>
      </w:r>
      <w:r w:rsidR="00203E6A">
        <w:t>e</w:t>
      </w:r>
      <w:r w:rsidR="00997EE1" w:rsidRPr="00997EE1">
        <w:t xml:space="preserve"> ties with Ethiopia and other countries in the region, events</w:t>
      </w:r>
      <w:r w:rsidR="00203E6A">
        <w:t xml:space="preserve"> </w:t>
      </w:r>
      <w:r w:rsidR="00997EE1" w:rsidRPr="00997EE1">
        <w:t>in Ethiopia</w:t>
      </w:r>
      <w:r w:rsidR="00203E6A">
        <w:t xml:space="preserve"> </w:t>
      </w:r>
      <w:r w:rsidR="00203E6A" w:rsidRPr="00997EE1">
        <w:t>have implications for Eritrea’s stated interest in improv</w:t>
      </w:r>
      <w:r w:rsidR="00203E6A">
        <w:t>ing</w:t>
      </w:r>
      <w:r w:rsidR="00203E6A" w:rsidRPr="00997EE1">
        <w:t xml:space="preserve"> </w:t>
      </w:r>
      <w:r w:rsidR="00F53F90">
        <w:t xml:space="preserve">regional </w:t>
      </w:r>
      <w:r w:rsidR="00203E6A" w:rsidRPr="00997EE1">
        <w:t>peace, security, trade and integration.</w:t>
      </w:r>
      <w:r w:rsidR="00203E6A">
        <w:t xml:space="preserve"> These events</w:t>
      </w:r>
      <w:r w:rsidR="00997EE1" w:rsidRPr="00997EE1">
        <w:t xml:space="preserve"> includ</w:t>
      </w:r>
      <w:r w:rsidR="00203E6A">
        <w:t>e</w:t>
      </w:r>
      <w:r w:rsidR="00997EE1" w:rsidRPr="00997EE1">
        <w:t xml:space="preserve"> the conflict in Tigray</w:t>
      </w:r>
      <w:r w:rsidR="00093533">
        <w:t>,</w:t>
      </w:r>
      <w:r w:rsidR="00997EE1" w:rsidRPr="00997EE1">
        <w:t xml:space="preserve"> the border tension between Ethiopia and Sudan</w:t>
      </w:r>
      <w:r w:rsidR="00093533">
        <w:t>,</w:t>
      </w:r>
      <w:r w:rsidR="00997EE1" w:rsidRPr="00997EE1">
        <w:t xml:space="preserve"> and the unresolved dispute on the use of the Nile waters </w:t>
      </w:r>
      <w:r w:rsidR="00FF7A20">
        <w:t>among</w:t>
      </w:r>
      <w:r w:rsidR="00997EE1" w:rsidRPr="00997EE1">
        <w:t xml:space="preserve"> Ethiopia</w:t>
      </w:r>
      <w:r w:rsidR="007561A2">
        <w:t>,</w:t>
      </w:r>
      <w:r w:rsidR="00997EE1" w:rsidRPr="00997EE1">
        <w:t xml:space="preserve"> Sudan and Egypt</w:t>
      </w:r>
      <w:r w:rsidR="00203E6A">
        <w:t>.</w:t>
      </w:r>
      <w:r w:rsidR="00997EE1" w:rsidRPr="00997EE1">
        <w:t xml:space="preserve"> </w:t>
      </w:r>
    </w:p>
    <w:p w14:paraId="786C8E1E" w14:textId="4324868D" w:rsidR="00022523" w:rsidRDefault="001D1CB3" w:rsidP="0091094F">
      <w:pPr>
        <w:numPr>
          <w:ilvl w:val="0"/>
          <w:numId w:val="18"/>
        </w:numPr>
        <w:tabs>
          <w:tab w:val="left" w:pos="1710"/>
        </w:tabs>
        <w:spacing w:after="120"/>
        <w:ind w:left="1260" w:right="1195" w:firstLine="0"/>
        <w:jc w:val="both"/>
      </w:pPr>
      <w:r w:rsidRPr="00210A49">
        <w:t>Furthermore,</w:t>
      </w:r>
      <w:r>
        <w:t xml:space="preserve"> </w:t>
      </w:r>
      <w:r w:rsidR="00997EE1" w:rsidRPr="00997EE1">
        <w:t xml:space="preserve">allegations of involvement </w:t>
      </w:r>
      <w:r w:rsidR="00F53F90">
        <w:t xml:space="preserve">by Eritrea </w:t>
      </w:r>
      <w:r w:rsidR="00997EE1" w:rsidRPr="00997EE1">
        <w:t xml:space="preserve">in </w:t>
      </w:r>
      <w:r w:rsidR="00093533">
        <w:t xml:space="preserve">the </w:t>
      </w:r>
      <w:r w:rsidR="00997EE1" w:rsidRPr="00997EE1">
        <w:t xml:space="preserve">Tigray </w:t>
      </w:r>
      <w:r w:rsidR="00093533">
        <w:t xml:space="preserve">conflict </w:t>
      </w:r>
      <w:r w:rsidR="00997EE1" w:rsidRPr="00997EE1">
        <w:t xml:space="preserve">could have implications for </w:t>
      </w:r>
      <w:r w:rsidR="00203E6A">
        <w:t xml:space="preserve">its </w:t>
      </w:r>
      <w:r w:rsidRPr="00997EE1">
        <w:t>international re-engagement</w:t>
      </w:r>
      <w:r w:rsidR="00F53F90">
        <w:t xml:space="preserve"> and</w:t>
      </w:r>
      <w:r w:rsidRPr="00997EE1">
        <w:t xml:space="preserve"> </w:t>
      </w:r>
      <w:r w:rsidR="00997EE1" w:rsidRPr="00997EE1">
        <w:t xml:space="preserve">partnership building and </w:t>
      </w:r>
      <w:r w:rsidR="00203E6A">
        <w:t xml:space="preserve">the </w:t>
      </w:r>
      <w:r w:rsidR="00997EE1" w:rsidRPr="00997EE1">
        <w:t>f</w:t>
      </w:r>
      <w:r w:rsidR="00093533">
        <w:t xml:space="preserve">inancing </w:t>
      </w:r>
      <w:r w:rsidR="00997EE1" w:rsidRPr="00997EE1">
        <w:t xml:space="preserve">environment for </w:t>
      </w:r>
      <w:r w:rsidR="00203E6A">
        <w:t>the Goals</w:t>
      </w:r>
      <w:r w:rsidR="00997EE1">
        <w:t>.</w:t>
      </w:r>
      <w:r w:rsidR="001A140C">
        <w:t xml:space="preserve"> </w:t>
      </w:r>
      <w:r w:rsidR="0011396D">
        <w:t>Though</w:t>
      </w:r>
      <w:r>
        <w:t xml:space="preserve"> </w:t>
      </w:r>
      <w:r w:rsidR="00D6147C" w:rsidRPr="00D6147C">
        <w:t>the</w:t>
      </w:r>
      <w:r>
        <w:t>re are</w:t>
      </w:r>
      <w:r w:rsidR="00D6147C" w:rsidRPr="00D6147C">
        <w:t xml:space="preserve"> opportunities </w:t>
      </w:r>
      <w:r>
        <w:t xml:space="preserve">within </w:t>
      </w:r>
      <w:r w:rsidR="00D6147C" w:rsidRPr="00D6147C">
        <w:t xml:space="preserve">the emerging context, Eritrea faces daunting systemic challenges that </w:t>
      </w:r>
      <w:r w:rsidR="00203E6A">
        <w:t>impede</w:t>
      </w:r>
      <w:r w:rsidR="00203E6A" w:rsidRPr="00D6147C">
        <w:t xml:space="preserve"> </w:t>
      </w:r>
      <w:r w:rsidR="00D6147C" w:rsidRPr="00D6147C">
        <w:t xml:space="preserve">its development pathway. These </w:t>
      </w:r>
      <w:r w:rsidR="00203E6A">
        <w:t>include the</w:t>
      </w:r>
      <w:r w:rsidR="00074E81">
        <w:t xml:space="preserve"> </w:t>
      </w:r>
      <w:r w:rsidRPr="00D6147C">
        <w:t xml:space="preserve">limited capacity </w:t>
      </w:r>
      <w:r w:rsidR="00D6147C" w:rsidRPr="00D6147C">
        <w:t xml:space="preserve">of institutions to </w:t>
      </w:r>
      <w:r w:rsidR="005F2136">
        <w:t>fulfil their mandates</w:t>
      </w:r>
      <w:r w:rsidR="00203E6A">
        <w:t xml:space="preserve"> and lagging f</w:t>
      </w:r>
      <w:r w:rsidR="00D6147C" w:rsidRPr="00D6147C">
        <w:t>ormulation and implementation of policies and regulations</w:t>
      </w:r>
      <w:r w:rsidR="00303E55">
        <w:t>.</w:t>
      </w:r>
      <w:r w:rsidR="00D6147C" w:rsidRPr="00D6147C">
        <w:t xml:space="preserve"> </w:t>
      </w:r>
      <w:r w:rsidR="005F2136">
        <w:t>The</w:t>
      </w:r>
      <w:r w:rsidR="00D6147C" w:rsidRPr="00D6147C">
        <w:t xml:space="preserve"> </w:t>
      </w:r>
      <w:r w:rsidR="00F53F90">
        <w:t>coronavirus</w:t>
      </w:r>
      <w:r w:rsidR="00D6147C" w:rsidRPr="00D6147C">
        <w:t xml:space="preserve"> pandemic </w:t>
      </w:r>
      <w:r w:rsidR="00F53F90">
        <w:t xml:space="preserve">(COVID-19) </w:t>
      </w:r>
      <w:r w:rsidR="00203E6A">
        <w:t xml:space="preserve">has </w:t>
      </w:r>
      <w:r w:rsidR="00203E6A">
        <w:lastRenderedPageBreak/>
        <w:t>had</w:t>
      </w:r>
      <w:r w:rsidR="00203E6A" w:rsidRPr="00D6147C">
        <w:t xml:space="preserve"> </w:t>
      </w:r>
      <w:r w:rsidR="00D6147C" w:rsidRPr="00D6147C">
        <w:t>severe</w:t>
      </w:r>
      <w:r w:rsidR="00022523">
        <w:t xml:space="preserve"> </w:t>
      </w:r>
      <w:r w:rsidR="00A96663">
        <w:t>socioeconomic</w:t>
      </w:r>
      <w:r w:rsidR="00D6147C" w:rsidRPr="00D6147C">
        <w:t xml:space="preserve"> impact</w:t>
      </w:r>
      <w:r w:rsidR="005F2136">
        <w:t>s</w:t>
      </w:r>
      <w:r w:rsidR="00F53F90">
        <w:t>,</w:t>
      </w:r>
      <w:r w:rsidR="00BE1AE5">
        <w:t xml:space="preserve"> especially </w:t>
      </w:r>
      <w:r w:rsidR="002F127B">
        <w:t>i</w:t>
      </w:r>
      <w:r w:rsidR="00BE1AE5">
        <w:t>n the informal sector</w:t>
      </w:r>
      <w:r w:rsidR="00203E6A">
        <w:t>. It</w:t>
      </w:r>
      <w:r w:rsidR="00BE1AE5">
        <w:t xml:space="preserve"> </w:t>
      </w:r>
      <w:r w:rsidR="00D6147C" w:rsidRPr="00D6147C">
        <w:t>ha</w:t>
      </w:r>
      <w:r w:rsidR="005F2136">
        <w:t>s</w:t>
      </w:r>
      <w:r w:rsidR="00D6147C" w:rsidRPr="00D6147C">
        <w:t xml:space="preserve"> </w:t>
      </w:r>
      <w:r w:rsidR="0060793E">
        <w:t xml:space="preserve">stressed social safety </w:t>
      </w:r>
      <w:r w:rsidR="00CB0770">
        <w:t xml:space="preserve">nets and </w:t>
      </w:r>
      <w:r w:rsidR="00D6147C" w:rsidRPr="00D6147C">
        <w:t xml:space="preserve">added to </w:t>
      </w:r>
      <w:r w:rsidR="00203E6A">
        <w:t xml:space="preserve">the </w:t>
      </w:r>
      <w:r w:rsidR="00D6147C" w:rsidRPr="00D6147C">
        <w:t>complex</w:t>
      </w:r>
      <w:r w:rsidR="00203E6A">
        <w:t>ity</w:t>
      </w:r>
      <w:r w:rsidR="00D6147C" w:rsidRPr="00D6147C">
        <w:t xml:space="preserve"> of </w:t>
      </w:r>
      <w:r w:rsidR="00914DD8">
        <w:t xml:space="preserve">the country’s </w:t>
      </w:r>
      <w:r w:rsidR="00D6147C" w:rsidRPr="00D6147C">
        <w:t>development challenges</w:t>
      </w:r>
      <w:r w:rsidR="007561A2">
        <w:t>, namely</w:t>
      </w:r>
      <w:r w:rsidR="005F2136">
        <w:t>:</w:t>
      </w:r>
      <w:r w:rsidR="00997EE1">
        <w:t xml:space="preserve"> </w:t>
      </w:r>
    </w:p>
    <w:p w14:paraId="57756912" w14:textId="093D6172" w:rsidR="000F6154" w:rsidRPr="00914DD8" w:rsidRDefault="008E3CAB" w:rsidP="0091094F">
      <w:pPr>
        <w:numPr>
          <w:ilvl w:val="0"/>
          <w:numId w:val="19"/>
        </w:numPr>
        <w:tabs>
          <w:tab w:val="left" w:pos="1710"/>
        </w:tabs>
        <w:spacing w:after="120"/>
        <w:ind w:left="1260" w:right="1195" w:firstLine="0"/>
        <w:jc w:val="both"/>
      </w:pPr>
      <w:r w:rsidRPr="00914DD8">
        <w:rPr>
          <w:b/>
          <w:bCs/>
        </w:rPr>
        <w:t>L</w:t>
      </w:r>
      <w:r w:rsidR="00D6147C" w:rsidRPr="00577947">
        <w:rPr>
          <w:b/>
          <w:bCs/>
        </w:rPr>
        <w:t xml:space="preserve">ack of requisite </w:t>
      </w:r>
      <w:r w:rsidR="00FB6CA5" w:rsidRPr="00577947">
        <w:rPr>
          <w:b/>
          <w:bCs/>
        </w:rPr>
        <w:t>i</w:t>
      </w:r>
      <w:r w:rsidR="00D6147C" w:rsidRPr="00577947">
        <w:rPr>
          <w:b/>
          <w:bCs/>
        </w:rPr>
        <w:t xml:space="preserve">nstitutions </w:t>
      </w:r>
      <w:r w:rsidR="008A2350" w:rsidRPr="00577947">
        <w:rPr>
          <w:b/>
          <w:bCs/>
        </w:rPr>
        <w:t xml:space="preserve">with </w:t>
      </w:r>
      <w:r w:rsidR="00F53F90" w:rsidRPr="00914DD8">
        <w:rPr>
          <w:b/>
          <w:bCs/>
        </w:rPr>
        <w:t xml:space="preserve">the </w:t>
      </w:r>
      <w:r w:rsidR="00D6147C" w:rsidRPr="00914DD8">
        <w:rPr>
          <w:b/>
          <w:bCs/>
        </w:rPr>
        <w:t xml:space="preserve">capacities to lead and sustain development </w:t>
      </w:r>
      <w:r w:rsidR="00D6147C" w:rsidRPr="00914DD8">
        <w:t>in the medium to long</w:t>
      </w:r>
      <w:r w:rsidR="00203E6A" w:rsidRPr="00914DD8">
        <w:t xml:space="preserve"> </w:t>
      </w:r>
      <w:r w:rsidR="00D6147C" w:rsidRPr="00914DD8">
        <w:t xml:space="preserve">term. </w:t>
      </w:r>
    </w:p>
    <w:p w14:paraId="4AF336C0" w14:textId="3911AA34" w:rsidR="00D6147C" w:rsidRPr="00914DD8" w:rsidRDefault="00203E6A" w:rsidP="0091094F">
      <w:pPr>
        <w:numPr>
          <w:ilvl w:val="0"/>
          <w:numId w:val="19"/>
        </w:numPr>
        <w:tabs>
          <w:tab w:val="left" w:pos="1710"/>
        </w:tabs>
        <w:spacing w:after="120"/>
        <w:ind w:left="1260" w:right="1195" w:firstLine="0"/>
        <w:jc w:val="both"/>
      </w:pPr>
      <w:r w:rsidRPr="00145533">
        <w:rPr>
          <w:b/>
          <w:bCs/>
        </w:rPr>
        <w:t>E</w:t>
      </w:r>
      <w:r w:rsidR="00D6147C" w:rsidRPr="00914DD8">
        <w:rPr>
          <w:b/>
          <w:bCs/>
        </w:rPr>
        <w:t>nvironmental degradation and climate change</w:t>
      </w:r>
      <w:r w:rsidR="00F53F90" w:rsidRPr="00914DD8">
        <w:rPr>
          <w:b/>
          <w:bCs/>
        </w:rPr>
        <w:t xml:space="preserve">, </w:t>
      </w:r>
      <w:r w:rsidR="00F53F90" w:rsidRPr="00145533">
        <w:t>which</w:t>
      </w:r>
      <w:r w:rsidR="00D6147C" w:rsidRPr="00914DD8">
        <w:t xml:space="preserve"> </w:t>
      </w:r>
      <w:r w:rsidR="005F2136" w:rsidRPr="00577947">
        <w:t>have</w:t>
      </w:r>
      <w:r w:rsidR="00D6147C" w:rsidRPr="00577947">
        <w:t xml:space="preserve"> </w:t>
      </w:r>
      <w:r w:rsidR="005F2136" w:rsidRPr="00577947">
        <w:t>undermined</w:t>
      </w:r>
      <w:r w:rsidR="00D6147C" w:rsidRPr="00577947">
        <w:t xml:space="preserve"> ecosystem </w:t>
      </w:r>
      <w:r w:rsidR="00212613" w:rsidRPr="00577947">
        <w:t xml:space="preserve">resilience, </w:t>
      </w:r>
      <w:r w:rsidRPr="00914DD8">
        <w:t>hampering</w:t>
      </w:r>
      <w:r w:rsidR="00212613" w:rsidRPr="00914DD8">
        <w:t xml:space="preserve"> </w:t>
      </w:r>
      <w:r w:rsidR="00FB6CA5" w:rsidRPr="00914DD8">
        <w:t xml:space="preserve">food security and </w:t>
      </w:r>
      <w:r w:rsidR="00212613" w:rsidRPr="00914DD8">
        <w:t xml:space="preserve">livelihoods </w:t>
      </w:r>
      <w:r w:rsidRPr="00914DD8">
        <w:t xml:space="preserve">among </w:t>
      </w:r>
      <w:r w:rsidR="00212613" w:rsidRPr="00914DD8">
        <w:t xml:space="preserve">households and </w:t>
      </w:r>
      <w:r w:rsidR="00D0724A" w:rsidRPr="00914DD8">
        <w:t>communities</w:t>
      </w:r>
      <w:r w:rsidRPr="00914DD8">
        <w:t xml:space="preserve"> dependent on natural resources</w:t>
      </w:r>
      <w:r w:rsidR="00D6147C" w:rsidRPr="00914DD8">
        <w:t>.</w:t>
      </w:r>
      <w:r w:rsidR="00FB6CA5" w:rsidRPr="00914DD8">
        <w:t xml:space="preserve"> </w:t>
      </w:r>
      <w:r w:rsidR="00D449F1" w:rsidRPr="00914DD8">
        <w:t>U</w:t>
      </w:r>
      <w:r w:rsidR="00D6147C" w:rsidRPr="00914DD8">
        <w:t xml:space="preserve">npredictable weather </w:t>
      </w:r>
      <w:r w:rsidR="00212613" w:rsidRPr="00914DD8">
        <w:t>hamper</w:t>
      </w:r>
      <w:r w:rsidR="007561A2" w:rsidRPr="00914DD8">
        <w:t>s</w:t>
      </w:r>
      <w:r w:rsidR="00212613" w:rsidRPr="00914DD8">
        <w:t xml:space="preserve"> the ability of </w:t>
      </w:r>
      <w:r w:rsidR="00D6147C" w:rsidRPr="00914DD8">
        <w:t>ecosystem</w:t>
      </w:r>
      <w:r w:rsidR="00212613" w:rsidRPr="00914DD8">
        <w:t xml:space="preserve">s to </w:t>
      </w:r>
      <w:r w:rsidR="005F2136" w:rsidRPr="00914DD8">
        <w:t xml:space="preserve">support </w:t>
      </w:r>
      <w:r w:rsidR="00212613" w:rsidRPr="00914DD8">
        <w:t>resilient and sustainable livelihoods</w:t>
      </w:r>
      <w:r w:rsidR="00473580" w:rsidRPr="00914DD8">
        <w:t>. It also</w:t>
      </w:r>
      <w:r w:rsidR="00D6147C" w:rsidRPr="00914DD8">
        <w:t xml:space="preserve"> </w:t>
      </w:r>
      <w:r w:rsidR="00212613" w:rsidRPr="00914DD8">
        <w:t>contribute</w:t>
      </w:r>
      <w:r w:rsidR="00473580" w:rsidRPr="00914DD8">
        <w:t>s</w:t>
      </w:r>
      <w:r w:rsidR="00212613" w:rsidRPr="00914DD8">
        <w:t xml:space="preserve"> to</w:t>
      </w:r>
      <w:r w:rsidR="00D6147C" w:rsidRPr="00914DD8">
        <w:t xml:space="preserve"> water scarcity, land degradation, natural hazards and disasters, </w:t>
      </w:r>
      <w:r w:rsidR="00362298" w:rsidRPr="00914DD8">
        <w:t xml:space="preserve">exacerbating </w:t>
      </w:r>
      <w:r w:rsidR="00D6147C" w:rsidRPr="00914DD8">
        <w:t>human vulnerabilities</w:t>
      </w:r>
      <w:r w:rsidR="00362298" w:rsidRPr="00914DD8">
        <w:t xml:space="preserve"> and</w:t>
      </w:r>
      <w:r w:rsidR="00D6147C" w:rsidRPr="00914DD8">
        <w:t xml:space="preserve"> social, economic and gender disparities.</w:t>
      </w:r>
      <w:r w:rsidR="00D6147C" w:rsidRPr="00914DD8">
        <w:rPr>
          <w:lang w:val="x-none"/>
        </w:rPr>
        <w:t xml:space="preserve"> </w:t>
      </w:r>
    </w:p>
    <w:p w14:paraId="1816941A" w14:textId="13FFED79" w:rsidR="00801AE6" w:rsidRDefault="00D6147C" w:rsidP="0091094F">
      <w:pPr>
        <w:numPr>
          <w:ilvl w:val="0"/>
          <w:numId w:val="19"/>
        </w:numPr>
        <w:tabs>
          <w:tab w:val="left" w:pos="1710"/>
        </w:tabs>
        <w:spacing w:after="120"/>
        <w:ind w:left="1260" w:right="1195" w:firstLine="0"/>
        <w:jc w:val="both"/>
      </w:pPr>
      <w:r w:rsidRPr="00145533">
        <w:rPr>
          <w:b/>
          <w:bCs/>
        </w:rPr>
        <w:t>Lack of</w:t>
      </w:r>
      <w:r w:rsidRPr="00D6147C">
        <w:t xml:space="preserve"> </w:t>
      </w:r>
      <w:r w:rsidRPr="00D6147C">
        <w:rPr>
          <w:b/>
          <w:bCs/>
        </w:rPr>
        <w:t>inclusive</w:t>
      </w:r>
      <w:r w:rsidR="00473580">
        <w:rPr>
          <w:b/>
          <w:bCs/>
        </w:rPr>
        <w:t>,</w:t>
      </w:r>
      <w:r w:rsidRPr="00D6147C">
        <w:rPr>
          <w:b/>
          <w:bCs/>
        </w:rPr>
        <w:t xml:space="preserve"> diversified </w:t>
      </w:r>
      <w:r w:rsidR="00473580">
        <w:rPr>
          <w:b/>
          <w:bCs/>
        </w:rPr>
        <w:t xml:space="preserve">and sustainable </w:t>
      </w:r>
      <w:r w:rsidRPr="00D6147C">
        <w:rPr>
          <w:b/>
          <w:bCs/>
        </w:rPr>
        <w:t>economic growth</w:t>
      </w:r>
      <w:r w:rsidR="005F2136">
        <w:rPr>
          <w:b/>
          <w:bCs/>
        </w:rPr>
        <w:t xml:space="preserve">. </w:t>
      </w:r>
      <w:r w:rsidR="00473580">
        <w:t>The</w:t>
      </w:r>
      <w:r w:rsidR="00037E32">
        <w:t xml:space="preserve"> macroeconomic outlook has been constrained by </w:t>
      </w:r>
      <w:r w:rsidR="000B4CEE" w:rsidRPr="00D449F1">
        <w:t xml:space="preserve">a </w:t>
      </w:r>
      <w:r w:rsidR="00037E32" w:rsidRPr="00D449F1">
        <w:t xml:space="preserve">tight </w:t>
      </w:r>
      <w:r w:rsidRPr="00D449F1">
        <w:t>fiscal s</w:t>
      </w:r>
      <w:r w:rsidR="00037E32" w:rsidRPr="00D449F1">
        <w:t>pace</w:t>
      </w:r>
      <w:r w:rsidR="00473580">
        <w:t xml:space="preserve">, worsened </w:t>
      </w:r>
      <w:r w:rsidRPr="00D6147C">
        <w:t xml:space="preserve">by </w:t>
      </w:r>
      <w:r w:rsidR="00FB6CA5">
        <w:t>limited development assistance</w:t>
      </w:r>
      <w:r w:rsidRPr="00DB6A2F">
        <w:t xml:space="preserve"> and</w:t>
      </w:r>
      <w:r w:rsidRPr="00D6147C">
        <w:t xml:space="preserve"> </w:t>
      </w:r>
      <w:r w:rsidR="00473580">
        <w:t>foreign direct investment.</w:t>
      </w:r>
      <w:r w:rsidR="00FB6CA5" w:rsidRPr="00D6147C">
        <w:rPr>
          <w:vertAlign w:val="superscript"/>
        </w:rPr>
        <w:footnoteReference w:id="9"/>
      </w:r>
      <w:r w:rsidR="00801AE6">
        <w:rPr>
          <w:vertAlign w:val="superscript"/>
        </w:rPr>
        <w:t xml:space="preserve"> </w:t>
      </w:r>
      <w:r w:rsidRPr="00D6147C">
        <w:t>The economy has relied on the monetization of debt</w:t>
      </w:r>
      <w:r w:rsidR="00473580">
        <w:t>,</w:t>
      </w:r>
      <w:r w:rsidRPr="00D6147C">
        <w:t xml:space="preserve"> contributing to </w:t>
      </w:r>
      <w:r w:rsidRPr="00D449F1">
        <w:t>significant debt overhang</w:t>
      </w:r>
      <w:r w:rsidRPr="00D6147C">
        <w:t xml:space="preserve"> and inflationary pressures. The estimated debt</w:t>
      </w:r>
      <w:r w:rsidR="00473580">
        <w:t>-</w:t>
      </w:r>
      <w:r w:rsidRPr="00D6147C">
        <w:t>to</w:t>
      </w:r>
      <w:r w:rsidR="00473580">
        <w:t>-</w:t>
      </w:r>
      <w:r w:rsidR="00D449F1">
        <w:t>gross domestic product</w:t>
      </w:r>
      <w:r w:rsidRPr="00D6147C">
        <w:t xml:space="preserve"> ratio is about 267</w:t>
      </w:r>
      <w:r w:rsidR="00473580">
        <w:t xml:space="preserve"> per cent</w:t>
      </w:r>
      <w:r w:rsidRPr="00D6147C">
        <w:t xml:space="preserve">, making Eritrea one of the most heavily indebted countries. </w:t>
      </w:r>
    </w:p>
    <w:p w14:paraId="5784A8FA" w14:textId="7AD9D5AB" w:rsidR="00D6147C" w:rsidRDefault="00D6147C" w:rsidP="0091094F">
      <w:pPr>
        <w:tabs>
          <w:tab w:val="left" w:pos="1710"/>
        </w:tabs>
        <w:spacing w:after="120"/>
        <w:ind w:left="1260" w:right="1195"/>
        <w:jc w:val="both"/>
      </w:pPr>
      <w:r w:rsidRPr="00D6147C">
        <w:t xml:space="preserve">Eritrea </w:t>
      </w:r>
      <w:r w:rsidR="007561A2">
        <w:t xml:space="preserve">also </w:t>
      </w:r>
      <w:r w:rsidRPr="00D6147C">
        <w:t xml:space="preserve">faces supply-side constraints due to dependence on </w:t>
      </w:r>
      <w:r w:rsidR="00D449F1">
        <w:t xml:space="preserve">exports of </w:t>
      </w:r>
      <w:r w:rsidR="00473580">
        <w:t xml:space="preserve">a </w:t>
      </w:r>
      <w:r w:rsidRPr="00D6147C">
        <w:t>few commodit</w:t>
      </w:r>
      <w:r w:rsidR="00D449F1">
        <w:t>ies</w:t>
      </w:r>
      <w:r w:rsidRPr="00D6147C">
        <w:t xml:space="preserve"> and agricultural raw materials</w:t>
      </w:r>
      <w:r w:rsidR="00D449F1">
        <w:t>, which</w:t>
      </w:r>
      <w:r w:rsidRPr="00D6147C">
        <w:t xml:space="preserve"> are susceptible to external shocks.</w:t>
      </w:r>
      <w:r w:rsidR="00801AE6">
        <w:t xml:space="preserve"> </w:t>
      </w:r>
      <w:r w:rsidRPr="00D6147C">
        <w:t>While the national unemployment rate stands at 5.1</w:t>
      </w:r>
      <w:r w:rsidR="00473580">
        <w:t xml:space="preserve"> per cent</w:t>
      </w:r>
      <w:r w:rsidR="00D449F1">
        <w:t>,</w:t>
      </w:r>
      <w:r w:rsidR="00D449F1">
        <w:rPr>
          <w:rStyle w:val="FootnoteReference"/>
        </w:rPr>
        <w:footnoteReference w:id="10"/>
      </w:r>
      <w:r w:rsidRPr="00D6147C">
        <w:t xml:space="preserve"> </w:t>
      </w:r>
      <w:r w:rsidRPr="00577947">
        <w:t>close to 57.4</w:t>
      </w:r>
      <w:r w:rsidR="00473580" w:rsidRPr="00577947">
        <w:t xml:space="preserve"> per cent</w:t>
      </w:r>
      <w:r w:rsidR="00473580">
        <w:t xml:space="preserve"> of the population has</w:t>
      </w:r>
      <w:r w:rsidRPr="00D6147C">
        <w:t xml:space="preserve"> </w:t>
      </w:r>
      <w:r w:rsidRPr="00145533">
        <w:t>vulnerable employment</w:t>
      </w:r>
      <w:r w:rsidR="00473580">
        <w:t>, and</w:t>
      </w:r>
      <w:r w:rsidRPr="00D6147C">
        <w:t xml:space="preserve"> </w:t>
      </w:r>
      <w:r w:rsidR="007561A2">
        <w:t xml:space="preserve">the </w:t>
      </w:r>
      <w:r w:rsidRPr="00D6147C">
        <w:t>informal economy account</w:t>
      </w:r>
      <w:r w:rsidR="00473580">
        <w:t>s</w:t>
      </w:r>
      <w:r w:rsidRPr="00D6147C">
        <w:t xml:space="preserve"> for 58.2</w:t>
      </w:r>
      <w:r w:rsidR="00473580">
        <w:t xml:space="preserve"> per cent</w:t>
      </w:r>
      <w:r w:rsidRPr="00D6147C">
        <w:t xml:space="preserve"> of total employment. </w:t>
      </w:r>
      <w:r w:rsidR="00473580">
        <w:t>Y</w:t>
      </w:r>
      <w:r w:rsidRPr="00D6147C">
        <w:t>outh unemployment</w:t>
      </w:r>
      <w:r w:rsidR="00ED23E8">
        <w:t>, at 8.8</w:t>
      </w:r>
      <w:r w:rsidR="00473580">
        <w:t xml:space="preserve"> per cent</w:t>
      </w:r>
      <w:r w:rsidR="00ED23E8">
        <w:t>,</w:t>
      </w:r>
      <w:r w:rsidRPr="00D6147C">
        <w:t xml:space="preserve"> is </w:t>
      </w:r>
      <w:r w:rsidR="00473580">
        <w:t>above</w:t>
      </w:r>
      <w:r w:rsidRPr="00D6147C">
        <w:t xml:space="preserve"> the national average. </w:t>
      </w:r>
    </w:p>
    <w:p w14:paraId="17535EF5" w14:textId="5944C69D" w:rsidR="00D6147C" w:rsidRPr="00D6147C" w:rsidRDefault="00D449F1" w:rsidP="0091094F">
      <w:pPr>
        <w:numPr>
          <w:ilvl w:val="0"/>
          <w:numId w:val="19"/>
        </w:numPr>
        <w:tabs>
          <w:tab w:val="left" w:pos="1710"/>
        </w:tabs>
        <w:spacing w:after="120"/>
        <w:ind w:left="1260" w:right="1195" w:firstLine="0"/>
        <w:jc w:val="both"/>
      </w:pPr>
      <w:r>
        <w:rPr>
          <w:b/>
          <w:bCs/>
        </w:rPr>
        <w:t xml:space="preserve">The </w:t>
      </w:r>
      <w:r w:rsidR="0027643A" w:rsidRPr="00145533">
        <w:rPr>
          <w:b/>
          <w:bCs/>
        </w:rPr>
        <w:t>commendable strategy of self-reliance</w:t>
      </w:r>
      <w:r w:rsidR="0027643A">
        <w:rPr>
          <w:b/>
          <w:bCs/>
        </w:rPr>
        <w:t xml:space="preserve">, </w:t>
      </w:r>
      <w:r w:rsidR="0027643A" w:rsidRPr="00145533">
        <w:t>which</w:t>
      </w:r>
      <w:r w:rsidR="0027643A">
        <w:rPr>
          <w:b/>
          <w:bCs/>
        </w:rPr>
        <w:t xml:space="preserve"> </w:t>
      </w:r>
      <w:r w:rsidR="0027643A" w:rsidRPr="00145533">
        <w:t xml:space="preserve">heavily influences </w:t>
      </w:r>
      <w:r w:rsidR="0027643A">
        <w:t xml:space="preserve">the </w:t>
      </w:r>
      <w:r w:rsidR="00D6147C" w:rsidRPr="00145533">
        <w:t>Eritrea approach to external development support and engagement with development partners</w:t>
      </w:r>
      <w:r w:rsidR="007561A2">
        <w:t>,</w:t>
      </w:r>
      <w:r w:rsidR="00D6147C" w:rsidRPr="00D6147C">
        <w:t xml:space="preserve"> </w:t>
      </w:r>
      <w:r w:rsidR="00B26DCC">
        <w:t xml:space="preserve">and </w:t>
      </w:r>
      <w:r w:rsidR="00D6147C" w:rsidRPr="00D6147C">
        <w:t xml:space="preserve">which took root during the independence struggle and subsequent period of isolation. </w:t>
      </w:r>
      <w:r w:rsidR="00BF6386" w:rsidRPr="00D6147C">
        <w:t>This</w:t>
      </w:r>
      <w:r w:rsidR="00D6147C" w:rsidRPr="00D6147C">
        <w:t xml:space="preserve"> </w:t>
      </w:r>
      <w:r w:rsidR="00473580">
        <w:t xml:space="preserve">history </w:t>
      </w:r>
      <w:r w:rsidR="0077311C">
        <w:t>underpin</w:t>
      </w:r>
      <w:r w:rsidR="00EC4DD8">
        <w:t>s</w:t>
      </w:r>
      <w:r w:rsidR="00BF6386">
        <w:t xml:space="preserve"> </w:t>
      </w:r>
      <w:r w:rsidR="00473580">
        <w:t>its</w:t>
      </w:r>
      <w:r w:rsidR="00D6147C" w:rsidRPr="00D6147C">
        <w:t xml:space="preserve"> hesitancy </w:t>
      </w:r>
      <w:r w:rsidR="00473580">
        <w:t>in</w:t>
      </w:r>
      <w:r w:rsidR="00D6147C" w:rsidRPr="00D6147C">
        <w:t xml:space="preserve"> accepting partners and development support</w:t>
      </w:r>
      <w:r w:rsidR="00473580">
        <w:t xml:space="preserve">, making </w:t>
      </w:r>
      <w:r w:rsidR="00541CBB">
        <w:t>the</w:t>
      </w:r>
      <w:r w:rsidR="00D6147C" w:rsidRPr="00D6147C">
        <w:t xml:space="preserve"> </w:t>
      </w:r>
      <w:r w:rsidR="00473580">
        <w:t>country</w:t>
      </w:r>
      <w:r w:rsidR="00D6147C" w:rsidRPr="00D6147C">
        <w:t xml:space="preserve"> particularly susceptible to oscillating relations with development partners. The challenge for UNDP remains how to continue a healthy dialogue and build trust with the </w:t>
      </w:r>
      <w:r w:rsidR="00594FF2">
        <w:t>G</w:t>
      </w:r>
      <w:r w:rsidR="00D6147C" w:rsidRPr="00D6147C">
        <w:t xml:space="preserve">overnment </w:t>
      </w:r>
      <w:r w:rsidR="003D7D6C" w:rsidRPr="00D6147C">
        <w:t>to</w:t>
      </w:r>
      <w:r w:rsidR="00D6147C" w:rsidRPr="00D6147C">
        <w:t xml:space="preserve"> ensure sufficient support </w:t>
      </w:r>
      <w:r w:rsidR="00C93A3F">
        <w:t>for</w:t>
      </w:r>
      <w:r w:rsidR="00D6147C" w:rsidRPr="00D6147C">
        <w:t xml:space="preserve"> the </w:t>
      </w:r>
      <w:r w:rsidR="00473580">
        <w:t>Goals</w:t>
      </w:r>
      <w:r w:rsidR="00473580" w:rsidRPr="00D6147C">
        <w:t xml:space="preserve"> </w:t>
      </w:r>
      <w:r w:rsidR="00D6147C" w:rsidRPr="00D6147C">
        <w:t>in a manner that respects Eritrea</w:t>
      </w:r>
      <w:r>
        <w:t>n</w:t>
      </w:r>
      <w:r w:rsidR="00D6147C" w:rsidRPr="00D6147C">
        <w:t xml:space="preserve"> dignity and aspirations.  </w:t>
      </w:r>
    </w:p>
    <w:p w14:paraId="50EBAD61" w14:textId="184541A2" w:rsidR="00D6147C" w:rsidRPr="001149E3" w:rsidRDefault="00D6147C" w:rsidP="0091094F">
      <w:pPr>
        <w:numPr>
          <w:ilvl w:val="0"/>
          <w:numId w:val="19"/>
        </w:numPr>
        <w:tabs>
          <w:tab w:val="left" w:pos="1710"/>
        </w:tabs>
        <w:spacing w:after="120"/>
        <w:ind w:left="1260" w:right="1195" w:firstLine="0"/>
        <w:jc w:val="both"/>
      </w:pPr>
      <w:r w:rsidRPr="00145533">
        <w:rPr>
          <w:b/>
          <w:bCs/>
        </w:rPr>
        <w:t xml:space="preserve">The </w:t>
      </w:r>
      <w:r w:rsidR="0027643A" w:rsidRPr="00145533">
        <w:rPr>
          <w:b/>
          <w:bCs/>
        </w:rPr>
        <w:t xml:space="preserve">critical </w:t>
      </w:r>
      <w:r w:rsidRPr="00145533">
        <w:rPr>
          <w:b/>
          <w:bCs/>
        </w:rPr>
        <w:t xml:space="preserve">need for </w:t>
      </w:r>
      <w:r w:rsidRPr="00D6147C">
        <w:rPr>
          <w:b/>
          <w:bCs/>
        </w:rPr>
        <w:t>relevant</w:t>
      </w:r>
      <w:r w:rsidR="00B76AB3">
        <w:rPr>
          <w:b/>
          <w:bCs/>
        </w:rPr>
        <w:t>,</w:t>
      </w:r>
      <w:r w:rsidRPr="00D6147C">
        <w:rPr>
          <w:b/>
          <w:bCs/>
        </w:rPr>
        <w:t xml:space="preserve"> </w:t>
      </w:r>
      <w:r w:rsidR="00D449F1">
        <w:rPr>
          <w:b/>
          <w:bCs/>
        </w:rPr>
        <w:t>current</w:t>
      </w:r>
      <w:r w:rsidRPr="00D6147C">
        <w:rPr>
          <w:b/>
          <w:bCs/>
        </w:rPr>
        <w:t xml:space="preserve"> data to inform policy</w:t>
      </w:r>
      <w:r w:rsidR="00145533">
        <w:rPr>
          <w:b/>
          <w:bCs/>
        </w:rPr>
        <w:t>-</w:t>
      </w:r>
      <w:r w:rsidRPr="00D6147C">
        <w:rPr>
          <w:b/>
          <w:bCs/>
        </w:rPr>
        <w:t xml:space="preserve"> and decision</w:t>
      </w:r>
      <w:r w:rsidR="00473580">
        <w:rPr>
          <w:b/>
          <w:bCs/>
        </w:rPr>
        <w:t>-</w:t>
      </w:r>
      <w:r w:rsidRPr="00D6147C">
        <w:rPr>
          <w:b/>
          <w:bCs/>
        </w:rPr>
        <w:t>making</w:t>
      </w:r>
      <w:r w:rsidRPr="00D6147C">
        <w:t xml:space="preserve">. The lack of </w:t>
      </w:r>
      <w:r w:rsidR="00473580">
        <w:t>high-</w:t>
      </w:r>
      <w:r w:rsidRPr="00D6147C">
        <w:t xml:space="preserve">quality </w:t>
      </w:r>
      <w:r w:rsidR="00D14565">
        <w:t>sex</w:t>
      </w:r>
      <w:r w:rsidR="00473580">
        <w:t>-</w:t>
      </w:r>
      <w:r w:rsidR="00BF6386" w:rsidRPr="00145533">
        <w:t>disaggregated</w:t>
      </w:r>
      <w:r w:rsidR="00BF6386" w:rsidRPr="00D6147C">
        <w:t xml:space="preserve"> </w:t>
      </w:r>
      <w:r w:rsidRPr="00D6147C">
        <w:t xml:space="preserve">data continues to affect the monitoring and reporting of the </w:t>
      </w:r>
      <w:r w:rsidR="00473580">
        <w:t>Goals</w:t>
      </w:r>
      <w:r w:rsidRPr="00D6147C">
        <w:t xml:space="preserve">. Due to repurposing and reprioritization </w:t>
      </w:r>
      <w:r w:rsidR="00D85111">
        <w:t xml:space="preserve">of programme funds </w:t>
      </w:r>
      <w:r w:rsidR="00EC4DD8">
        <w:t>prompted by</w:t>
      </w:r>
      <w:r w:rsidRPr="00D6147C">
        <w:t xml:space="preserve"> </w:t>
      </w:r>
      <w:r w:rsidR="00EC4DD8">
        <w:t>COVID</w:t>
      </w:r>
      <w:r w:rsidRPr="00D6147C">
        <w:t xml:space="preserve">-19, there was a shortfall in implementation of </w:t>
      </w:r>
      <w:r w:rsidR="00473580">
        <w:t xml:space="preserve">the </w:t>
      </w:r>
      <w:r w:rsidR="00353B39">
        <w:t>big data agenda</w:t>
      </w:r>
      <w:r w:rsidRPr="00D6147C">
        <w:rPr>
          <w:vertAlign w:val="superscript"/>
        </w:rPr>
        <w:footnoteReference w:id="11"/>
      </w:r>
      <w:r w:rsidRPr="00D6147C">
        <w:t xml:space="preserve"> in the previous programme cycle. </w:t>
      </w:r>
      <w:r w:rsidRPr="00D6147C">
        <w:rPr>
          <w:bCs/>
          <w:lang w:val="x-none"/>
        </w:rPr>
        <w:t xml:space="preserve">The planned </w:t>
      </w:r>
      <w:r w:rsidR="00473580">
        <w:rPr>
          <w:bCs/>
        </w:rPr>
        <w:t xml:space="preserve">update of the </w:t>
      </w:r>
      <w:r w:rsidRPr="00D6147C">
        <w:rPr>
          <w:bCs/>
          <w:lang w:val="x-none"/>
        </w:rPr>
        <w:t xml:space="preserve">Eritrea Population and Health Survey </w:t>
      </w:r>
      <w:r w:rsidR="00C93A3F">
        <w:rPr>
          <w:bCs/>
        </w:rPr>
        <w:t>was</w:t>
      </w:r>
      <w:r w:rsidRPr="00D6147C">
        <w:rPr>
          <w:bCs/>
          <w:lang w:val="x-none"/>
        </w:rPr>
        <w:t xml:space="preserve"> </w:t>
      </w:r>
      <w:r w:rsidR="00541CBB">
        <w:rPr>
          <w:bCs/>
        </w:rPr>
        <w:t>deferred</w:t>
      </w:r>
      <w:r w:rsidRPr="00D6147C">
        <w:rPr>
          <w:bCs/>
          <w:lang w:val="x-none"/>
        </w:rPr>
        <w:t xml:space="preserve">. The last </w:t>
      </w:r>
      <w:r w:rsidR="00473580">
        <w:rPr>
          <w:bCs/>
        </w:rPr>
        <w:t>one</w:t>
      </w:r>
      <w:r w:rsidR="00473580" w:rsidRPr="00D6147C">
        <w:rPr>
          <w:bCs/>
          <w:lang w:val="x-none"/>
        </w:rPr>
        <w:t xml:space="preserve"> </w:t>
      </w:r>
      <w:r w:rsidRPr="00D6147C">
        <w:rPr>
          <w:bCs/>
          <w:lang w:val="x-none"/>
        </w:rPr>
        <w:t xml:space="preserve">was produced in 2010 with UNDP support and is the only </w:t>
      </w:r>
      <w:r w:rsidR="0077311C" w:rsidRPr="00D6147C">
        <w:rPr>
          <w:bCs/>
          <w:lang w:val="x-none"/>
        </w:rPr>
        <w:t>government</w:t>
      </w:r>
      <w:r w:rsidR="00473580">
        <w:rPr>
          <w:bCs/>
        </w:rPr>
        <w:t>-</w:t>
      </w:r>
      <w:r w:rsidRPr="00D6147C">
        <w:rPr>
          <w:bCs/>
          <w:lang w:val="x-none"/>
        </w:rPr>
        <w:t>recognized reference available for development planning.</w:t>
      </w:r>
      <w:r w:rsidRPr="00D6147C">
        <w:rPr>
          <w:bCs/>
        </w:rPr>
        <w:t xml:space="preserve"> </w:t>
      </w:r>
    </w:p>
    <w:p w14:paraId="18C1180A" w14:textId="71FE3009" w:rsidR="005E5F79" w:rsidRDefault="00906433" w:rsidP="0091094F">
      <w:pPr>
        <w:numPr>
          <w:ilvl w:val="0"/>
          <w:numId w:val="18"/>
        </w:numPr>
        <w:tabs>
          <w:tab w:val="left" w:pos="1710"/>
        </w:tabs>
        <w:spacing w:after="120"/>
        <w:ind w:left="1260" w:right="1195" w:firstLine="0"/>
        <w:jc w:val="both"/>
      </w:pPr>
      <w:r>
        <w:t>E</w:t>
      </w:r>
      <w:r w:rsidR="00781251" w:rsidRPr="00997EE1">
        <w:t xml:space="preserve">nhancing the capacities of key institutions </w:t>
      </w:r>
      <w:r w:rsidR="00EC4DD8">
        <w:t xml:space="preserve">to </w:t>
      </w:r>
      <w:r w:rsidR="00781251">
        <w:t>address the</w:t>
      </w:r>
      <w:r>
        <w:t>se</w:t>
      </w:r>
      <w:r w:rsidR="00781251">
        <w:t xml:space="preserve"> challenges will </w:t>
      </w:r>
      <w:r w:rsidR="00781251" w:rsidRPr="00997EE1">
        <w:t>have a catalytic impact on the country’s ability to ensure service delivery and reali</w:t>
      </w:r>
      <w:r>
        <w:t>z</w:t>
      </w:r>
      <w:r w:rsidR="00781251" w:rsidRPr="00997EE1">
        <w:t>e its national vision</w:t>
      </w:r>
      <w:r w:rsidR="00BF6386">
        <w:t>.</w:t>
      </w:r>
      <w:r w:rsidR="005E5F79">
        <w:t xml:space="preserve"> </w:t>
      </w:r>
      <w:r w:rsidR="00012F75">
        <w:t>I</w:t>
      </w:r>
      <w:r w:rsidR="00E15068" w:rsidRPr="00D6147C">
        <w:t xml:space="preserve">n the context of the </w:t>
      </w:r>
      <w:r w:rsidR="00E15068" w:rsidRPr="00145533">
        <w:t>United Nations Sustainable Development Cooperation Framework (UNSDCF 2022-</w:t>
      </w:r>
      <w:r w:rsidRPr="00145533">
        <w:t>20</w:t>
      </w:r>
      <w:r w:rsidR="00E15068" w:rsidRPr="00145533">
        <w:t>26</w:t>
      </w:r>
      <w:r w:rsidR="0027643A">
        <w:t>)</w:t>
      </w:r>
      <w:r w:rsidR="00012F75" w:rsidRPr="00145533">
        <w:t>,</w:t>
      </w:r>
      <w:r w:rsidR="00E15068" w:rsidRPr="00906433">
        <w:t xml:space="preserve"> </w:t>
      </w:r>
      <w:r w:rsidR="00012F75" w:rsidRPr="00D6147C">
        <w:t xml:space="preserve">UNDP </w:t>
      </w:r>
      <w:r w:rsidR="00E15068" w:rsidRPr="00D6147C">
        <w:t xml:space="preserve">is strategically positioned to offer policy, operational and programme support </w:t>
      </w:r>
      <w:r w:rsidR="00D449F1">
        <w:t>for</w:t>
      </w:r>
      <w:r w:rsidR="00D449F1" w:rsidRPr="00D6147C">
        <w:t xml:space="preserve"> </w:t>
      </w:r>
      <w:r w:rsidR="00E15068" w:rsidRPr="00D6147C">
        <w:t xml:space="preserve">nation-building, targeting priority areas jointly identified with the </w:t>
      </w:r>
      <w:r w:rsidR="00594FF2">
        <w:t>G</w:t>
      </w:r>
      <w:r w:rsidR="00E15068" w:rsidRPr="00D6147C">
        <w:t>overnment</w:t>
      </w:r>
      <w:r>
        <w:t xml:space="preserve">: </w:t>
      </w:r>
      <w:r w:rsidR="00E15068" w:rsidRPr="00145533">
        <w:t xml:space="preserve">Pillar </w:t>
      </w:r>
      <w:r w:rsidR="008870D9">
        <w:t>I</w:t>
      </w:r>
      <w:r>
        <w:t>,</w:t>
      </w:r>
      <w:r w:rsidR="00E15068" w:rsidRPr="00D6147C">
        <w:t xml:space="preserve"> on </w:t>
      </w:r>
      <w:r w:rsidR="00E15068" w:rsidRPr="00145533">
        <w:t xml:space="preserve">human development and well-being, </w:t>
      </w:r>
      <w:r w:rsidR="00E15068" w:rsidRPr="00906433">
        <w:t xml:space="preserve">and </w:t>
      </w:r>
      <w:r w:rsidR="00E15068" w:rsidRPr="00145533">
        <w:t xml:space="preserve">Pillar </w:t>
      </w:r>
      <w:r w:rsidR="008870D9">
        <w:t>II</w:t>
      </w:r>
      <w:r>
        <w:t>,</w:t>
      </w:r>
      <w:r w:rsidR="00E15068" w:rsidRPr="00906433">
        <w:t xml:space="preserve"> on </w:t>
      </w:r>
      <w:r>
        <w:t xml:space="preserve">an </w:t>
      </w:r>
      <w:r w:rsidR="00E15068" w:rsidRPr="00145533">
        <w:t>inclusive, diversified</w:t>
      </w:r>
      <w:r w:rsidR="00855A77" w:rsidRPr="00145533">
        <w:t>, green</w:t>
      </w:r>
      <w:r w:rsidR="00E15068" w:rsidRPr="00145533">
        <w:t xml:space="preserve"> and climate</w:t>
      </w:r>
      <w:r>
        <w:t>-</w:t>
      </w:r>
      <w:r w:rsidR="00E15068" w:rsidRPr="00145533">
        <w:t>resilient economy</w:t>
      </w:r>
      <w:r w:rsidR="00E15068" w:rsidRPr="00D6147C">
        <w:t xml:space="preserve">. </w:t>
      </w:r>
      <w:r w:rsidR="00B92A8E">
        <w:t xml:space="preserve">Of the four outcomes in the </w:t>
      </w:r>
      <w:r w:rsidR="007B79DA">
        <w:t>UNSDCF</w:t>
      </w:r>
      <w:r w:rsidR="00B92A8E">
        <w:t xml:space="preserve"> </w:t>
      </w:r>
      <w:r>
        <w:t xml:space="preserve">the </w:t>
      </w:r>
      <w:r w:rsidR="00B92A8E">
        <w:t xml:space="preserve">UNDP </w:t>
      </w:r>
      <w:r>
        <w:t xml:space="preserve">country programme </w:t>
      </w:r>
      <w:r w:rsidR="00B92A8E">
        <w:t xml:space="preserve">will </w:t>
      </w:r>
      <w:r w:rsidR="001145D5">
        <w:t>prioritize</w:t>
      </w:r>
      <w:r w:rsidR="00B92A8E">
        <w:t xml:space="preserve"> three outcomes</w:t>
      </w:r>
      <w:r>
        <w:t>,</w:t>
      </w:r>
      <w:r w:rsidR="00B92A8E">
        <w:t xml:space="preserve"> one </w:t>
      </w:r>
      <w:r w:rsidR="00E6372F">
        <w:t>under</w:t>
      </w:r>
      <w:r w:rsidR="00B92A8E">
        <w:t xml:space="preserve"> Pillar </w:t>
      </w:r>
      <w:r w:rsidR="008870D9">
        <w:t xml:space="preserve">I </w:t>
      </w:r>
      <w:r w:rsidR="00B92A8E">
        <w:t xml:space="preserve">and two </w:t>
      </w:r>
      <w:r w:rsidR="00E6372F">
        <w:t>under</w:t>
      </w:r>
      <w:r w:rsidR="00B92A8E">
        <w:t xml:space="preserve"> Pillar </w:t>
      </w:r>
      <w:r w:rsidR="008870D9">
        <w:t>II</w:t>
      </w:r>
      <w:r w:rsidR="001145D5">
        <w:t xml:space="preserve">. </w:t>
      </w:r>
    </w:p>
    <w:p w14:paraId="38931B1F" w14:textId="7ADC7591" w:rsidR="00DA7B35" w:rsidRDefault="00E15068" w:rsidP="0091094F">
      <w:pPr>
        <w:numPr>
          <w:ilvl w:val="0"/>
          <w:numId w:val="18"/>
        </w:numPr>
        <w:tabs>
          <w:tab w:val="left" w:pos="1710"/>
        </w:tabs>
        <w:spacing w:after="120"/>
        <w:ind w:left="1260" w:right="1195" w:firstLine="0"/>
        <w:jc w:val="both"/>
      </w:pPr>
      <w:r w:rsidRPr="00D6147C">
        <w:t>The priority areas are also aligned with the UNDP Strategic Plan (20</w:t>
      </w:r>
      <w:r>
        <w:t>17</w:t>
      </w:r>
      <w:r w:rsidRPr="00D6147C">
        <w:t>-</w:t>
      </w:r>
      <w:r w:rsidR="00906433">
        <w:t>20</w:t>
      </w:r>
      <w:r w:rsidRPr="00D6147C">
        <w:t>2</w:t>
      </w:r>
      <w:r>
        <w:t>1</w:t>
      </w:r>
      <w:r w:rsidRPr="00D6147C">
        <w:t>)</w:t>
      </w:r>
      <w:r w:rsidR="00906433">
        <w:t>,</w:t>
      </w:r>
      <w:r w:rsidRPr="00D6147C">
        <w:rPr>
          <w:vertAlign w:val="superscript"/>
        </w:rPr>
        <w:footnoteReference w:id="12"/>
      </w:r>
      <w:r w:rsidR="002B16FE">
        <w:t xml:space="preserve"> </w:t>
      </w:r>
      <w:r w:rsidR="00012F75">
        <w:t xml:space="preserve">the </w:t>
      </w:r>
      <w:r w:rsidRPr="00D6147C">
        <w:t>Africa Agenda 2063</w:t>
      </w:r>
      <w:r w:rsidR="002B16FE">
        <w:t>,</w:t>
      </w:r>
      <w:r w:rsidRPr="00D6147C">
        <w:t xml:space="preserve"> Agenda 2030</w:t>
      </w:r>
      <w:r w:rsidR="002B16FE">
        <w:t xml:space="preserve">, the </w:t>
      </w:r>
      <w:r w:rsidR="00350FCD">
        <w:t>UNDP Gender Strategy 2018-</w:t>
      </w:r>
      <w:r w:rsidR="00906433">
        <w:t>20</w:t>
      </w:r>
      <w:r w:rsidR="00350FCD">
        <w:t xml:space="preserve">21 and the </w:t>
      </w:r>
      <w:r w:rsidR="002B16FE">
        <w:t xml:space="preserve">renewed </w:t>
      </w:r>
      <w:r w:rsidR="002B16FE">
        <w:lastRenderedPageBreak/>
        <w:t>UNDP Africa Offer</w:t>
      </w:r>
      <w:r w:rsidR="00906433">
        <w:t>, which</w:t>
      </w:r>
      <w:r w:rsidR="002B16FE">
        <w:t xml:space="preserve"> prioritiz</w:t>
      </w:r>
      <w:r w:rsidR="00906433">
        <w:t xml:space="preserve">es </w:t>
      </w:r>
      <w:r w:rsidR="002B16FE">
        <w:t>six impact areas</w:t>
      </w:r>
      <w:r w:rsidR="002B16FE">
        <w:rPr>
          <w:rStyle w:val="FootnoteReference"/>
        </w:rPr>
        <w:footnoteReference w:id="13"/>
      </w:r>
      <w:r w:rsidR="002B16FE">
        <w:t xml:space="preserve"> </w:t>
      </w:r>
      <w:r w:rsidR="004B77EB">
        <w:t>and</w:t>
      </w:r>
      <w:r w:rsidR="002B16FE">
        <w:t xml:space="preserve"> </w:t>
      </w:r>
      <w:r w:rsidR="00E21019">
        <w:t>six</w:t>
      </w:r>
      <w:r w:rsidR="002B16FE">
        <w:t xml:space="preserve"> associated critical foundational </w:t>
      </w:r>
      <w:r w:rsidR="004B77EB">
        <w:t>enablers</w:t>
      </w:r>
      <w:r w:rsidR="00906433">
        <w:t>.</w:t>
      </w:r>
      <w:r w:rsidR="004B77EB">
        <w:rPr>
          <w:rStyle w:val="FootnoteReference"/>
        </w:rPr>
        <w:footnoteReference w:id="14"/>
      </w:r>
      <w:r w:rsidR="00DA7B35">
        <w:t xml:space="preserve"> </w:t>
      </w:r>
      <w:r w:rsidR="00D6147C" w:rsidRPr="00D6147C">
        <w:t xml:space="preserve">UNDP will </w:t>
      </w:r>
      <w:r w:rsidR="00EF4BD5">
        <w:t>exploit</w:t>
      </w:r>
      <w:r w:rsidR="00EF4BD5" w:rsidRPr="00D6147C">
        <w:t xml:space="preserve"> </w:t>
      </w:r>
      <w:r w:rsidR="00D6147C" w:rsidRPr="00D6147C">
        <w:t xml:space="preserve">its comparative advantage and its integrator role as the leading development agency to support implementation of the </w:t>
      </w:r>
      <w:bookmarkStart w:id="0" w:name="_Hlk70088897"/>
      <w:r w:rsidR="00D6147C" w:rsidRPr="008870D9">
        <w:t>UNSDCF</w:t>
      </w:r>
      <w:bookmarkEnd w:id="0"/>
      <w:r w:rsidR="00D6147C" w:rsidRPr="00D6147C">
        <w:t xml:space="preserve">. </w:t>
      </w:r>
    </w:p>
    <w:p w14:paraId="22753A8A" w14:textId="04572885" w:rsidR="00D6147C" w:rsidRPr="00D6147C" w:rsidRDefault="00D6147C" w:rsidP="0091094F">
      <w:pPr>
        <w:numPr>
          <w:ilvl w:val="0"/>
          <w:numId w:val="18"/>
        </w:numPr>
        <w:tabs>
          <w:tab w:val="left" w:pos="1710"/>
        </w:tabs>
        <w:spacing w:after="120"/>
        <w:ind w:left="1260" w:right="1195" w:firstLine="0"/>
        <w:jc w:val="both"/>
      </w:pPr>
      <w:r w:rsidRPr="00D6147C">
        <w:t xml:space="preserve">Specifically, the </w:t>
      </w:r>
      <w:r w:rsidR="00906433">
        <w:t>country office</w:t>
      </w:r>
      <w:r w:rsidR="00906433" w:rsidRPr="00D6147C">
        <w:t xml:space="preserve"> </w:t>
      </w:r>
      <w:r w:rsidRPr="00D6147C">
        <w:t>will harness UNDP corporate tools and instruments</w:t>
      </w:r>
      <w:r w:rsidR="00906433">
        <w:t xml:space="preserve"> — among others</w:t>
      </w:r>
      <w:r w:rsidRPr="00D6147C">
        <w:t xml:space="preserve">, the </w:t>
      </w:r>
      <w:r w:rsidR="009B420F" w:rsidRPr="009B420F">
        <w:t>UNDP Africa Promise</w:t>
      </w:r>
      <w:r w:rsidR="00DA7B35">
        <w:t>, the renewed</w:t>
      </w:r>
      <w:r w:rsidRPr="00D6147C">
        <w:t xml:space="preserve"> COVID </w:t>
      </w:r>
      <w:r w:rsidR="00DA7B35">
        <w:t xml:space="preserve">Response </w:t>
      </w:r>
      <w:r w:rsidRPr="00D6147C">
        <w:t xml:space="preserve">2.0, the Global Policy Network and the </w:t>
      </w:r>
      <w:r w:rsidR="00906433">
        <w:t>r</w:t>
      </w:r>
      <w:r w:rsidRPr="00D6147C">
        <w:t xml:space="preserve">egional </w:t>
      </w:r>
      <w:r w:rsidR="00906433">
        <w:t>t</w:t>
      </w:r>
      <w:r w:rsidR="00DA7B35">
        <w:t xml:space="preserve">hematic </w:t>
      </w:r>
      <w:r w:rsidR="00906433">
        <w:t>h</w:t>
      </w:r>
      <w:r w:rsidRPr="00D6147C">
        <w:t xml:space="preserve">ubs </w:t>
      </w:r>
      <w:r w:rsidR="00906433">
        <w:t xml:space="preserve">— </w:t>
      </w:r>
      <w:r w:rsidRPr="00841F69">
        <w:t xml:space="preserve">to </w:t>
      </w:r>
      <w:r w:rsidR="00E951DA">
        <w:t xml:space="preserve">work with partners </w:t>
      </w:r>
      <w:r w:rsidRPr="00841F69">
        <w:t>in providing tangible development solutions.</w:t>
      </w:r>
      <w:r w:rsidRPr="00D6147C">
        <w:t xml:space="preserve"> </w:t>
      </w:r>
      <w:r w:rsidR="009B04FB">
        <w:t xml:space="preserve">The </w:t>
      </w:r>
      <w:r w:rsidR="00906433">
        <w:t xml:space="preserve">country office </w:t>
      </w:r>
      <w:r w:rsidR="009B04FB">
        <w:t xml:space="preserve">will </w:t>
      </w:r>
      <w:r w:rsidR="00DA7B35">
        <w:t xml:space="preserve">also </w:t>
      </w:r>
      <w:r w:rsidR="00C307F6" w:rsidRPr="00D6147C">
        <w:t>support mainstreaming</w:t>
      </w:r>
      <w:r w:rsidR="009B04FB" w:rsidRPr="00D6147C">
        <w:t xml:space="preserve">, localization and financing of </w:t>
      </w:r>
      <w:r w:rsidR="00906433">
        <w:t>the Goals;</w:t>
      </w:r>
      <w:r w:rsidR="009B04FB" w:rsidRPr="00D6147C">
        <w:t xml:space="preserve"> invest in data and statistics for tracking, monitoring and reporting development results</w:t>
      </w:r>
      <w:r w:rsidR="00906433">
        <w:t>;</w:t>
      </w:r>
      <w:r w:rsidR="009B04FB" w:rsidRPr="00D6147C">
        <w:t xml:space="preserve"> and establish support platforms </w:t>
      </w:r>
      <w:r w:rsidR="00906433">
        <w:t>to</w:t>
      </w:r>
      <w:r w:rsidR="00906433" w:rsidRPr="00D6147C">
        <w:t xml:space="preserve"> </w:t>
      </w:r>
      <w:r w:rsidR="009B04FB" w:rsidRPr="00D6147C">
        <w:t>accelerat</w:t>
      </w:r>
      <w:r w:rsidR="00906433">
        <w:t>e</w:t>
      </w:r>
      <w:r w:rsidR="00DA7B35" w:rsidRPr="00DA7B35">
        <w:t xml:space="preserve"> </w:t>
      </w:r>
      <w:r w:rsidR="00DA7B35">
        <w:t>implementation</w:t>
      </w:r>
      <w:r w:rsidR="00906433">
        <w:t xml:space="preserve"> of the Goals</w:t>
      </w:r>
      <w:r w:rsidR="009B04FB" w:rsidRPr="00D6147C">
        <w:t xml:space="preserve">. This will draw on </w:t>
      </w:r>
      <w:r w:rsidR="00425903">
        <w:t>collaboration with</w:t>
      </w:r>
      <w:r w:rsidR="009B04FB" w:rsidRPr="00D6147C">
        <w:t xml:space="preserve"> </w:t>
      </w:r>
      <w:r w:rsidR="00425903">
        <w:t>United Nations</w:t>
      </w:r>
      <w:r w:rsidR="00425903" w:rsidRPr="00D6147C">
        <w:t xml:space="preserve"> </w:t>
      </w:r>
      <w:r w:rsidR="008870D9">
        <w:t>organizations</w:t>
      </w:r>
      <w:r w:rsidR="008870D9" w:rsidRPr="00D6147C">
        <w:t xml:space="preserve"> </w:t>
      </w:r>
      <w:r w:rsidR="00425903">
        <w:t xml:space="preserve">through </w:t>
      </w:r>
      <w:r w:rsidR="009B04FB" w:rsidRPr="00145533">
        <w:t>Delivering as One</w:t>
      </w:r>
      <w:r w:rsidR="0081077B" w:rsidRPr="00145533">
        <w:t xml:space="preserve"> and implementation of </w:t>
      </w:r>
      <w:r w:rsidR="00DA7B35" w:rsidRPr="00145533">
        <w:t>global collaborative compacts</w:t>
      </w:r>
      <w:r w:rsidR="009B04FB" w:rsidRPr="00425903">
        <w:t>.</w:t>
      </w:r>
      <w:r w:rsidR="009B04FB" w:rsidRPr="00D6147C">
        <w:t xml:space="preserve">  </w:t>
      </w:r>
    </w:p>
    <w:p w14:paraId="4CE85DED" w14:textId="28361F41" w:rsidR="00D6147C" w:rsidRPr="00D6147C" w:rsidRDefault="00D6147C" w:rsidP="0091094F">
      <w:pPr>
        <w:numPr>
          <w:ilvl w:val="0"/>
          <w:numId w:val="18"/>
        </w:numPr>
        <w:tabs>
          <w:tab w:val="left" w:pos="1710"/>
        </w:tabs>
        <w:spacing w:after="120"/>
        <w:ind w:left="1260" w:right="1195" w:firstLine="0"/>
        <w:jc w:val="both"/>
      </w:pPr>
      <w:r w:rsidRPr="00D6147C">
        <w:t>Building on the experience of the 2017-</w:t>
      </w:r>
      <w:r w:rsidR="0077311C">
        <w:t>20</w:t>
      </w:r>
      <w:r w:rsidRPr="00D6147C">
        <w:t xml:space="preserve">21 </w:t>
      </w:r>
      <w:r w:rsidR="00425903">
        <w:t xml:space="preserve">country programme </w:t>
      </w:r>
      <w:r w:rsidRPr="00D6147C">
        <w:t xml:space="preserve">and the </w:t>
      </w:r>
      <w:r w:rsidR="00E21019">
        <w:t>findings</w:t>
      </w:r>
      <w:r w:rsidR="00E21019" w:rsidRPr="00D6147C">
        <w:t xml:space="preserve"> </w:t>
      </w:r>
      <w:r w:rsidRPr="00D6147C">
        <w:t xml:space="preserve">of </w:t>
      </w:r>
      <w:r w:rsidR="00E21019">
        <w:t>its</w:t>
      </w:r>
      <w:r w:rsidR="00E21019" w:rsidRPr="00D6147C">
        <w:t xml:space="preserve"> </w:t>
      </w:r>
      <w:r w:rsidR="00E21019">
        <w:t xml:space="preserve">terminal </w:t>
      </w:r>
      <w:r w:rsidRPr="00D6147C">
        <w:t>evaluation</w:t>
      </w:r>
      <w:r w:rsidR="00E21019">
        <w:t>,</w:t>
      </w:r>
      <w:r w:rsidRPr="00D6147C">
        <w:t xml:space="preserve"> UNDP will </w:t>
      </w:r>
      <w:r w:rsidR="00E21019">
        <w:t>work</w:t>
      </w:r>
      <w:r w:rsidRPr="00D6147C">
        <w:t xml:space="preserve"> to ensure </w:t>
      </w:r>
      <w:r w:rsidR="00425903">
        <w:t xml:space="preserve">the </w:t>
      </w:r>
      <w:r w:rsidRPr="00D6147C">
        <w:t>relevance, coherence, effectiveness, efficiency</w:t>
      </w:r>
      <w:r w:rsidR="00AF3612">
        <w:t xml:space="preserve"> </w:t>
      </w:r>
      <w:r w:rsidRPr="00D6147C">
        <w:t xml:space="preserve">and sustainability of the country programme. Lessons from the previous programme demonstrate the imperative </w:t>
      </w:r>
      <w:r w:rsidR="00795EEA">
        <w:t xml:space="preserve">of </w:t>
      </w:r>
      <w:r w:rsidRPr="00D6147C">
        <w:t>balanc</w:t>
      </w:r>
      <w:r w:rsidR="00795EEA">
        <w:t>ing</w:t>
      </w:r>
      <w:r w:rsidRPr="00D6147C">
        <w:t xml:space="preserve"> upstream and downstream support, avoiding fragmentation and </w:t>
      </w:r>
      <w:r w:rsidR="00DB0D54">
        <w:t>expansion</w:t>
      </w:r>
      <w:r w:rsidR="00DB0D54" w:rsidRPr="00D6147C">
        <w:t xml:space="preserve"> </w:t>
      </w:r>
      <w:r w:rsidRPr="00D6147C">
        <w:t xml:space="preserve">of interventions, enacting a national </w:t>
      </w:r>
      <w:r w:rsidR="00425903">
        <w:t>monitoring and evaluation</w:t>
      </w:r>
      <w:r w:rsidRPr="00D6147C">
        <w:t xml:space="preserve"> framework, </w:t>
      </w:r>
      <w:r w:rsidR="00425903">
        <w:t xml:space="preserve">and </w:t>
      </w:r>
      <w:r w:rsidRPr="00D6147C">
        <w:t>addressing delays in programme delivery.</w:t>
      </w:r>
    </w:p>
    <w:p w14:paraId="7CE6C8A1" w14:textId="4857B44E" w:rsidR="00D6147C" w:rsidRPr="00520351" w:rsidRDefault="00D6147C" w:rsidP="00745957">
      <w:pPr>
        <w:numPr>
          <w:ilvl w:val="0"/>
          <w:numId w:val="18"/>
        </w:numPr>
        <w:tabs>
          <w:tab w:val="left" w:pos="1710"/>
        </w:tabs>
        <w:spacing w:after="200"/>
        <w:ind w:left="1260" w:right="1195" w:firstLine="0"/>
        <w:jc w:val="both"/>
      </w:pPr>
      <w:r w:rsidRPr="00D6147C">
        <w:t xml:space="preserve">The new </w:t>
      </w:r>
      <w:r w:rsidR="00425903">
        <w:t>country programme</w:t>
      </w:r>
      <w:r w:rsidR="00425903" w:rsidRPr="00D6147C">
        <w:t xml:space="preserve"> </w:t>
      </w:r>
      <w:r w:rsidRPr="00D6147C">
        <w:t xml:space="preserve">also takes </w:t>
      </w:r>
      <w:r w:rsidR="00C93A3F">
        <w:t>in</w:t>
      </w:r>
      <w:r w:rsidRPr="00D6147C">
        <w:t xml:space="preserve">to consideration the long-term socioeconomic impact of COVID-19 as </w:t>
      </w:r>
      <w:r w:rsidR="00EB733B">
        <w:t>out</w:t>
      </w:r>
      <w:r w:rsidRPr="00D6147C">
        <w:t xml:space="preserve">lined in the assessment study </w:t>
      </w:r>
      <w:r w:rsidR="00425903">
        <w:t xml:space="preserve">by the United Nations country team </w:t>
      </w:r>
      <w:r w:rsidRPr="00D6147C">
        <w:t xml:space="preserve">and within the context of </w:t>
      </w:r>
      <w:r w:rsidR="00425903">
        <w:t>‘A</w:t>
      </w:r>
      <w:r w:rsidR="00C93A3F" w:rsidRPr="00425903">
        <w:t xml:space="preserve"> </w:t>
      </w:r>
      <w:r w:rsidRPr="00145533">
        <w:t>UN framework for the immediate socio-economic response to COVID-19</w:t>
      </w:r>
      <w:r w:rsidR="00425903">
        <w:t>’</w:t>
      </w:r>
      <w:r w:rsidR="00425903" w:rsidRPr="00520351">
        <w:t>.</w:t>
      </w:r>
      <w:r w:rsidR="006379E2" w:rsidRPr="00520351">
        <w:rPr>
          <w:vertAlign w:val="superscript"/>
        </w:rPr>
        <w:footnoteReference w:id="15"/>
      </w:r>
      <w:r w:rsidR="00795EEA" w:rsidRPr="00520351">
        <w:rPr>
          <w:vertAlign w:val="superscript"/>
        </w:rPr>
        <w:t xml:space="preserve"> </w:t>
      </w:r>
      <w:r w:rsidR="00E21019" w:rsidRPr="00520351">
        <w:t>In contributing to</w:t>
      </w:r>
      <w:r w:rsidRPr="00520351">
        <w:t xml:space="preserve"> the response and recovery</w:t>
      </w:r>
      <w:r w:rsidR="00425903" w:rsidRPr="00520351">
        <w:t xml:space="preserve">, </w:t>
      </w:r>
      <w:r w:rsidR="00E21019" w:rsidRPr="00520351">
        <w:t xml:space="preserve">UNDP will </w:t>
      </w:r>
      <w:r w:rsidR="00425903" w:rsidRPr="00520351">
        <w:t>aim to</w:t>
      </w:r>
      <w:r w:rsidRPr="00520351">
        <w:t xml:space="preserve"> </w:t>
      </w:r>
      <w:r w:rsidRPr="00145533">
        <w:t>build forward better</w:t>
      </w:r>
      <w:r w:rsidRPr="00520351">
        <w:t xml:space="preserve"> </w:t>
      </w:r>
      <w:r w:rsidR="00520351" w:rsidRPr="00145533">
        <w:t>by</w:t>
      </w:r>
      <w:r w:rsidR="00520351" w:rsidRPr="00520351">
        <w:t xml:space="preserve"> </w:t>
      </w:r>
      <w:r w:rsidR="00520351" w:rsidRPr="00145533">
        <w:t xml:space="preserve">working to broadly </w:t>
      </w:r>
      <w:r w:rsidRPr="00520351">
        <w:t>engag</w:t>
      </w:r>
      <w:r w:rsidR="00520351" w:rsidRPr="00145533">
        <w:t>e</w:t>
      </w:r>
      <w:r w:rsidRPr="00520351">
        <w:t xml:space="preserve"> society and </w:t>
      </w:r>
      <w:r w:rsidR="00520351" w:rsidRPr="00145533">
        <w:t xml:space="preserve">the </w:t>
      </w:r>
      <w:r w:rsidRPr="00520351">
        <w:t>government</w:t>
      </w:r>
      <w:r w:rsidR="00425903" w:rsidRPr="00520351">
        <w:t>. It will</w:t>
      </w:r>
      <w:r w:rsidRPr="00520351">
        <w:t xml:space="preserve"> </w:t>
      </w:r>
      <w:r w:rsidR="00520351" w:rsidRPr="00145533">
        <w:t>implement</w:t>
      </w:r>
      <w:r w:rsidRPr="00520351">
        <w:t xml:space="preserve"> </w:t>
      </w:r>
      <w:r w:rsidR="00425903" w:rsidRPr="00520351">
        <w:t>‘d</w:t>
      </w:r>
      <w:r w:rsidR="006427B3" w:rsidRPr="00145533">
        <w:t xml:space="preserve">igital </w:t>
      </w:r>
      <w:r w:rsidR="004C71C5" w:rsidRPr="00145533">
        <w:t xml:space="preserve">by </w:t>
      </w:r>
      <w:r w:rsidR="00425903" w:rsidRPr="00520351">
        <w:t>d</w:t>
      </w:r>
      <w:r w:rsidR="004C71C5" w:rsidRPr="00145533">
        <w:t>efault</w:t>
      </w:r>
      <w:r w:rsidR="00425903" w:rsidRPr="00520351">
        <w:t>’</w:t>
      </w:r>
      <w:r w:rsidR="00425903" w:rsidRPr="00EF4BD5">
        <w:t xml:space="preserve"> and</w:t>
      </w:r>
      <w:r w:rsidR="006427B3" w:rsidRPr="00520351">
        <w:t xml:space="preserve"> </w:t>
      </w:r>
      <w:r w:rsidR="00520351" w:rsidRPr="00145533">
        <w:t>seek new</w:t>
      </w:r>
      <w:r w:rsidR="00520351" w:rsidRPr="00520351">
        <w:t xml:space="preserve"> </w:t>
      </w:r>
      <w:r w:rsidRPr="00EF4BD5">
        <w:t>solutions</w:t>
      </w:r>
      <w:r w:rsidR="006048DC" w:rsidRPr="00EF4BD5">
        <w:t>,</w:t>
      </w:r>
      <w:r w:rsidRPr="00EF4BD5">
        <w:t xml:space="preserve"> applying the principle of </w:t>
      </w:r>
      <w:r w:rsidR="00CB5D3B" w:rsidRPr="00145533">
        <w:t>l</w:t>
      </w:r>
      <w:r w:rsidRPr="00145533">
        <w:t xml:space="preserve">eave </w:t>
      </w:r>
      <w:r w:rsidR="00CB5D3B" w:rsidRPr="00145533">
        <w:t>n</w:t>
      </w:r>
      <w:r w:rsidRPr="00145533">
        <w:t xml:space="preserve">o </w:t>
      </w:r>
      <w:r w:rsidR="00CB5D3B" w:rsidRPr="00145533">
        <w:t>o</w:t>
      </w:r>
      <w:r w:rsidRPr="00145533">
        <w:t xml:space="preserve">ne </w:t>
      </w:r>
      <w:r w:rsidR="00CB5D3B" w:rsidRPr="00145533">
        <w:t>b</w:t>
      </w:r>
      <w:r w:rsidRPr="00145533">
        <w:t>ehind</w:t>
      </w:r>
      <w:r w:rsidR="0060793E" w:rsidRPr="00520351">
        <w:t xml:space="preserve"> and </w:t>
      </w:r>
      <w:r w:rsidR="0072019D" w:rsidRPr="00EF4BD5">
        <w:t xml:space="preserve">the </w:t>
      </w:r>
      <w:r w:rsidR="0060793E" w:rsidRPr="00EF4BD5">
        <w:t>U</w:t>
      </w:r>
      <w:r w:rsidR="00CB5D3B" w:rsidRPr="00145533">
        <w:t xml:space="preserve">nited </w:t>
      </w:r>
      <w:r w:rsidR="0060793E" w:rsidRPr="00520351">
        <w:t>N</w:t>
      </w:r>
      <w:r w:rsidR="00CB5D3B" w:rsidRPr="00145533">
        <w:t>ations</w:t>
      </w:r>
      <w:r w:rsidR="0060793E" w:rsidRPr="00520351">
        <w:t xml:space="preserve"> Common Guidance on </w:t>
      </w:r>
      <w:r w:rsidR="00CB5D3B" w:rsidRPr="00145533">
        <w:t xml:space="preserve">Helping Build </w:t>
      </w:r>
      <w:r w:rsidR="0060793E" w:rsidRPr="00520351">
        <w:t>Resilien</w:t>
      </w:r>
      <w:r w:rsidR="00CB5D3B" w:rsidRPr="00145533">
        <w:t>t Societies</w:t>
      </w:r>
      <w:r w:rsidR="0072019D" w:rsidRPr="00520351">
        <w:t xml:space="preserve"> to strengthen coherence in resilience-building efforts in support of </w:t>
      </w:r>
      <w:r w:rsidR="00425903" w:rsidRPr="00520351">
        <w:t>g</w:t>
      </w:r>
      <w:r w:rsidR="0072019D" w:rsidRPr="00520351">
        <w:t>overnments' sustainable development objectives.</w:t>
      </w:r>
    </w:p>
    <w:p w14:paraId="2440D3E0" w14:textId="4353E5E9" w:rsidR="004820B0" w:rsidRPr="003C2AAB" w:rsidRDefault="00677F8A" w:rsidP="00745957">
      <w:pPr>
        <w:pStyle w:val="Heading2"/>
        <w:numPr>
          <w:ilvl w:val="0"/>
          <w:numId w:val="33"/>
        </w:numPr>
        <w:tabs>
          <w:tab w:val="left" w:pos="1710"/>
        </w:tabs>
        <w:spacing w:after="200"/>
        <w:ind w:left="1260" w:right="1195" w:hanging="360"/>
        <w:jc w:val="both"/>
        <w:rPr>
          <w:rFonts w:ascii="Times New Roman" w:hAnsi="Times New Roman"/>
          <w:color w:val="000000"/>
          <w:spacing w:val="-3"/>
          <w:sz w:val="20"/>
        </w:rPr>
      </w:pPr>
      <w:r w:rsidRPr="003C2AAB">
        <w:rPr>
          <w:rFonts w:ascii="Times New Roman" w:hAnsi="Times New Roman"/>
          <w:bCs/>
          <w:color w:val="000000"/>
          <w:sz w:val="24"/>
          <w:szCs w:val="24"/>
        </w:rPr>
        <w:t xml:space="preserve">Programme </w:t>
      </w:r>
      <w:r w:rsidR="00745957">
        <w:rPr>
          <w:rFonts w:ascii="Times New Roman" w:hAnsi="Times New Roman"/>
          <w:bCs/>
          <w:color w:val="000000"/>
          <w:sz w:val="24"/>
          <w:szCs w:val="24"/>
        </w:rPr>
        <w:t>p</w:t>
      </w:r>
      <w:r w:rsidRPr="003C2AAB">
        <w:rPr>
          <w:rFonts w:ascii="Times New Roman" w:hAnsi="Times New Roman"/>
          <w:bCs/>
          <w:color w:val="000000"/>
          <w:sz w:val="24"/>
          <w:szCs w:val="24"/>
        </w:rPr>
        <w:t>riorities</w:t>
      </w:r>
      <w:r w:rsidR="002B6341" w:rsidRPr="003C2AAB">
        <w:rPr>
          <w:rFonts w:ascii="Times New Roman" w:hAnsi="Times New Roman"/>
          <w:bCs/>
          <w:color w:val="000000"/>
          <w:sz w:val="24"/>
          <w:szCs w:val="24"/>
        </w:rPr>
        <w:t xml:space="preserve"> </w:t>
      </w:r>
      <w:r w:rsidR="004736BE" w:rsidRPr="003C2AAB">
        <w:rPr>
          <w:rFonts w:ascii="Times New Roman" w:hAnsi="Times New Roman"/>
          <w:bCs/>
          <w:color w:val="000000"/>
          <w:sz w:val="24"/>
          <w:szCs w:val="24"/>
        </w:rPr>
        <w:t xml:space="preserve">and </w:t>
      </w:r>
      <w:r w:rsidR="00745957">
        <w:rPr>
          <w:rFonts w:ascii="Times New Roman" w:hAnsi="Times New Roman"/>
          <w:bCs/>
          <w:color w:val="000000"/>
          <w:sz w:val="24"/>
          <w:szCs w:val="24"/>
        </w:rPr>
        <w:t>p</w:t>
      </w:r>
      <w:r w:rsidR="002B6341" w:rsidRPr="003C2AAB">
        <w:rPr>
          <w:rFonts w:ascii="Times New Roman" w:hAnsi="Times New Roman"/>
          <w:bCs/>
          <w:color w:val="000000"/>
          <w:sz w:val="24"/>
          <w:szCs w:val="24"/>
        </w:rPr>
        <w:t>artnerships</w:t>
      </w:r>
      <w:r w:rsidR="00074DB9" w:rsidRPr="003C2AAB">
        <w:rPr>
          <w:rFonts w:ascii="Times New Roman" w:hAnsi="Times New Roman"/>
          <w:bCs/>
          <w:color w:val="000000"/>
          <w:sz w:val="24"/>
          <w:szCs w:val="24"/>
        </w:rPr>
        <w:t xml:space="preserve"> </w:t>
      </w:r>
    </w:p>
    <w:p w14:paraId="210D779E" w14:textId="60CA35ED" w:rsidR="009C205F" w:rsidRDefault="00E2101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t>T</w:t>
      </w:r>
      <w:r w:rsidR="001959F1" w:rsidRPr="003C2AAB">
        <w:rPr>
          <w:lang w:eastAsia="fr-FR"/>
        </w:rPr>
        <w:t xml:space="preserve">he </w:t>
      </w:r>
      <w:r w:rsidR="00F05237">
        <w:rPr>
          <w:lang w:eastAsia="fr-FR"/>
        </w:rPr>
        <w:t>2022-2026</w:t>
      </w:r>
      <w:r w:rsidR="00BF25CF">
        <w:rPr>
          <w:lang w:eastAsia="fr-FR"/>
        </w:rPr>
        <w:t xml:space="preserve"> </w:t>
      </w:r>
      <w:r w:rsidR="00425903">
        <w:rPr>
          <w:lang w:eastAsia="fr-FR"/>
        </w:rPr>
        <w:t xml:space="preserve">country programme </w:t>
      </w:r>
      <w:r w:rsidR="00225F36">
        <w:rPr>
          <w:lang w:eastAsia="fr-FR"/>
        </w:rPr>
        <w:t>is</w:t>
      </w:r>
      <w:r w:rsidR="005A0BBB" w:rsidRPr="003C2AAB">
        <w:rPr>
          <w:lang w:eastAsia="fr-FR"/>
        </w:rPr>
        <w:t xml:space="preserve"> align</w:t>
      </w:r>
      <w:r w:rsidR="001959F1">
        <w:rPr>
          <w:lang w:eastAsia="fr-FR"/>
        </w:rPr>
        <w:t>ed</w:t>
      </w:r>
      <w:r w:rsidR="005A0BBB" w:rsidRPr="003C2AAB">
        <w:rPr>
          <w:lang w:eastAsia="fr-FR"/>
        </w:rPr>
        <w:t xml:space="preserve"> with the national priorities (2021)</w:t>
      </w:r>
      <w:r w:rsidR="00503414">
        <w:rPr>
          <w:lang w:eastAsia="fr-FR"/>
        </w:rPr>
        <w:t xml:space="preserve">; </w:t>
      </w:r>
      <w:r w:rsidR="00762E4B" w:rsidRPr="003C2AAB">
        <w:rPr>
          <w:lang w:eastAsia="fr-FR"/>
        </w:rPr>
        <w:t xml:space="preserve">guided by the </w:t>
      </w:r>
      <w:r w:rsidR="00B26DCC">
        <w:rPr>
          <w:lang w:eastAsia="fr-FR"/>
        </w:rPr>
        <w:t>s</w:t>
      </w:r>
      <w:r w:rsidR="005A0BBB" w:rsidRPr="00145533">
        <w:rPr>
          <w:lang w:eastAsia="fr-FR"/>
        </w:rPr>
        <w:t xml:space="preserve">ignature </w:t>
      </w:r>
      <w:r w:rsidR="00B26DCC">
        <w:rPr>
          <w:lang w:eastAsia="fr-FR"/>
        </w:rPr>
        <w:t>s</w:t>
      </w:r>
      <w:r w:rsidR="005A0BBB" w:rsidRPr="00145533">
        <w:rPr>
          <w:lang w:eastAsia="fr-FR"/>
        </w:rPr>
        <w:t>olutions</w:t>
      </w:r>
      <w:r w:rsidR="005A0BBB" w:rsidRPr="003C2AAB">
        <w:rPr>
          <w:lang w:eastAsia="fr-FR"/>
        </w:rPr>
        <w:t xml:space="preserve"> in the UNDP Strategic Plan (2018-2021)</w:t>
      </w:r>
      <w:r w:rsidR="00503414">
        <w:rPr>
          <w:lang w:eastAsia="fr-FR"/>
        </w:rPr>
        <w:t xml:space="preserve"> and</w:t>
      </w:r>
      <w:r w:rsidR="00BF25CF">
        <w:rPr>
          <w:lang w:eastAsia="fr-FR"/>
        </w:rPr>
        <w:t xml:space="preserve"> the renewed Africa Offer</w:t>
      </w:r>
      <w:r w:rsidR="00503414">
        <w:rPr>
          <w:lang w:eastAsia="fr-FR"/>
        </w:rPr>
        <w:t>;</w:t>
      </w:r>
      <w:r w:rsidR="005A0BBB" w:rsidRPr="003C2AAB">
        <w:rPr>
          <w:lang w:eastAsia="fr-FR"/>
        </w:rPr>
        <w:t xml:space="preserve"> and committed to the principles of </w:t>
      </w:r>
      <w:r w:rsidR="005A0BBB" w:rsidRPr="00145533">
        <w:rPr>
          <w:lang w:eastAsia="fr-FR"/>
        </w:rPr>
        <w:t>gender equality</w:t>
      </w:r>
      <w:r w:rsidR="005A0BBB" w:rsidRPr="00503414">
        <w:rPr>
          <w:lang w:eastAsia="fr-FR"/>
        </w:rPr>
        <w:t xml:space="preserve">, </w:t>
      </w:r>
      <w:r w:rsidR="005A0BBB" w:rsidRPr="00145533">
        <w:rPr>
          <w:lang w:eastAsia="fr-FR"/>
        </w:rPr>
        <w:t>leave no one behind</w:t>
      </w:r>
      <w:r w:rsidR="005A0BBB" w:rsidRPr="00503414">
        <w:rPr>
          <w:lang w:eastAsia="fr-FR"/>
        </w:rPr>
        <w:t xml:space="preserve"> and </w:t>
      </w:r>
      <w:r w:rsidR="005A0BBB" w:rsidRPr="00145533">
        <w:rPr>
          <w:lang w:eastAsia="fr-FR"/>
        </w:rPr>
        <w:t>reach</w:t>
      </w:r>
      <w:r w:rsidR="00BF25CF" w:rsidRPr="00145533">
        <w:rPr>
          <w:lang w:eastAsia="fr-FR"/>
        </w:rPr>
        <w:t>ing</w:t>
      </w:r>
      <w:r w:rsidR="005A0BBB" w:rsidRPr="00145533">
        <w:rPr>
          <w:lang w:eastAsia="fr-FR"/>
        </w:rPr>
        <w:t xml:space="preserve"> those furthest behind first</w:t>
      </w:r>
      <w:r w:rsidR="001959F1" w:rsidRPr="00503414">
        <w:rPr>
          <w:lang w:eastAsia="fr-FR"/>
        </w:rPr>
        <w:t xml:space="preserve">. </w:t>
      </w:r>
      <w:r>
        <w:rPr>
          <w:lang w:eastAsia="fr-FR"/>
        </w:rPr>
        <w:t>Based on the</w:t>
      </w:r>
      <w:r w:rsidR="002757D6">
        <w:rPr>
          <w:lang w:eastAsia="fr-FR"/>
        </w:rPr>
        <w:t xml:space="preserve"> comparative advantage</w:t>
      </w:r>
      <w:r w:rsidR="00503414">
        <w:rPr>
          <w:lang w:eastAsia="fr-FR"/>
        </w:rPr>
        <w:t xml:space="preserve"> </w:t>
      </w:r>
      <w:r>
        <w:rPr>
          <w:lang w:eastAsia="fr-FR"/>
        </w:rPr>
        <w:t xml:space="preserve">of UNDP </w:t>
      </w:r>
      <w:r w:rsidR="00503414">
        <w:rPr>
          <w:lang w:eastAsia="fr-FR"/>
        </w:rPr>
        <w:t>and</w:t>
      </w:r>
      <w:r w:rsidR="002757D6">
        <w:rPr>
          <w:lang w:eastAsia="fr-FR"/>
        </w:rPr>
        <w:t xml:space="preserve"> the </w:t>
      </w:r>
      <w:r w:rsidR="00B907C9">
        <w:rPr>
          <w:lang w:eastAsia="fr-FR"/>
        </w:rPr>
        <w:t xml:space="preserve">broad </w:t>
      </w:r>
      <w:r w:rsidR="002757D6">
        <w:rPr>
          <w:lang w:eastAsia="fr-FR"/>
        </w:rPr>
        <w:t xml:space="preserve">strengths of the </w:t>
      </w:r>
      <w:r w:rsidR="00503414">
        <w:rPr>
          <w:lang w:eastAsia="fr-FR"/>
        </w:rPr>
        <w:t>United Nations a</w:t>
      </w:r>
      <w:r w:rsidR="002757D6">
        <w:rPr>
          <w:lang w:eastAsia="fr-FR"/>
        </w:rPr>
        <w:t>gencies</w:t>
      </w:r>
      <w:r w:rsidR="009C2BDC">
        <w:rPr>
          <w:lang w:eastAsia="fr-FR"/>
        </w:rPr>
        <w:t>,</w:t>
      </w:r>
      <w:r w:rsidR="002757D6">
        <w:rPr>
          <w:lang w:eastAsia="fr-FR"/>
        </w:rPr>
        <w:t xml:space="preserve"> </w:t>
      </w:r>
      <w:r w:rsidR="00503414">
        <w:rPr>
          <w:lang w:eastAsia="fr-FR"/>
        </w:rPr>
        <w:t xml:space="preserve">and </w:t>
      </w:r>
      <w:r w:rsidR="002757D6">
        <w:rPr>
          <w:lang w:eastAsia="fr-FR"/>
        </w:rPr>
        <w:t>cognizan</w:t>
      </w:r>
      <w:r w:rsidR="00503414">
        <w:rPr>
          <w:lang w:eastAsia="fr-FR"/>
        </w:rPr>
        <w:t>t</w:t>
      </w:r>
      <w:r w:rsidR="002757D6">
        <w:rPr>
          <w:lang w:eastAsia="fr-FR"/>
        </w:rPr>
        <w:t xml:space="preserve"> of the partnerships and donor landscape in Eritrea</w:t>
      </w:r>
      <w:r w:rsidR="005A07A4">
        <w:rPr>
          <w:lang w:eastAsia="fr-FR"/>
        </w:rPr>
        <w:t>,</w:t>
      </w:r>
      <w:r w:rsidR="002757D6">
        <w:rPr>
          <w:lang w:eastAsia="fr-FR"/>
        </w:rPr>
        <w:t xml:space="preserve"> the </w:t>
      </w:r>
      <w:r w:rsidR="00503414">
        <w:rPr>
          <w:lang w:eastAsia="fr-FR"/>
        </w:rPr>
        <w:t xml:space="preserve">country programme </w:t>
      </w:r>
      <w:r w:rsidR="005A0BBB" w:rsidRPr="003C2AAB">
        <w:rPr>
          <w:lang w:eastAsia="fr-FR"/>
        </w:rPr>
        <w:t xml:space="preserve">will support </w:t>
      </w:r>
      <w:r w:rsidR="00B907C9">
        <w:rPr>
          <w:lang w:eastAsia="fr-FR"/>
        </w:rPr>
        <w:t>efforts to</w:t>
      </w:r>
      <w:r w:rsidR="00B907C9" w:rsidRPr="003C2AAB">
        <w:rPr>
          <w:lang w:eastAsia="fr-FR"/>
        </w:rPr>
        <w:t xml:space="preserve"> </w:t>
      </w:r>
      <w:r w:rsidR="005A0BBB" w:rsidRPr="003C2AAB">
        <w:rPr>
          <w:lang w:eastAsia="fr-FR"/>
        </w:rPr>
        <w:t>build strong and resilient governance institutions, structures and systems that deliver more effective, efficient and accountable public services</w:t>
      </w:r>
      <w:r w:rsidR="00B907C9">
        <w:rPr>
          <w:lang w:eastAsia="fr-FR"/>
        </w:rPr>
        <w:t xml:space="preserve">. </w:t>
      </w:r>
    </w:p>
    <w:p w14:paraId="1CC2C10E" w14:textId="5C3123E0" w:rsidR="00BC0124" w:rsidRDefault="00B907C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t>It will aim towards</w:t>
      </w:r>
      <w:r w:rsidR="005A0BBB" w:rsidRPr="003C2AAB">
        <w:rPr>
          <w:lang w:eastAsia="fr-FR"/>
        </w:rPr>
        <w:t xml:space="preserve"> </w:t>
      </w:r>
      <w:r w:rsidR="00762E4B" w:rsidRPr="003C2AAB">
        <w:rPr>
          <w:lang w:eastAsia="fr-FR"/>
        </w:rPr>
        <w:t xml:space="preserve">a </w:t>
      </w:r>
      <w:r w:rsidR="005A0BBB" w:rsidRPr="003C2AAB">
        <w:rPr>
          <w:lang w:eastAsia="fr-FR"/>
        </w:rPr>
        <w:t xml:space="preserve">more inclusive, sustainable and resilient society </w:t>
      </w:r>
      <w:r>
        <w:rPr>
          <w:lang w:eastAsia="fr-FR"/>
        </w:rPr>
        <w:t>that can</w:t>
      </w:r>
      <w:r w:rsidRPr="003C2AAB">
        <w:rPr>
          <w:lang w:eastAsia="fr-FR"/>
        </w:rPr>
        <w:t xml:space="preserve"> </w:t>
      </w:r>
      <w:r w:rsidR="005A0BBB" w:rsidRPr="003C2AAB">
        <w:rPr>
          <w:lang w:eastAsia="fr-FR"/>
        </w:rPr>
        <w:t>cope with climate change, disaster</w:t>
      </w:r>
      <w:r w:rsidR="00503414">
        <w:rPr>
          <w:lang w:eastAsia="fr-FR"/>
        </w:rPr>
        <w:t>s</w:t>
      </w:r>
      <w:r w:rsidR="005A0BBB" w:rsidRPr="003C2AAB">
        <w:rPr>
          <w:lang w:eastAsia="fr-FR"/>
        </w:rPr>
        <w:t xml:space="preserve"> and shocks</w:t>
      </w:r>
      <w:r w:rsidR="00BF25CF">
        <w:rPr>
          <w:lang w:eastAsia="fr-FR"/>
        </w:rPr>
        <w:t>,</w:t>
      </w:r>
      <w:r w:rsidR="009B420F">
        <w:rPr>
          <w:lang w:eastAsia="fr-FR"/>
        </w:rPr>
        <w:t xml:space="preserve"> including </w:t>
      </w:r>
      <w:r w:rsidR="005A0BBB" w:rsidRPr="003C2AAB">
        <w:rPr>
          <w:lang w:eastAsia="fr-FR"/>
        </w:rPr>
        <w:t>COVID</w:t>
      </w:r>
      <w:r w:rsidR="00341053">
        <w:rPr>
          <w:lang w:eastAsia="fr-FR"/>
        </w:rPr>
        <w:t>-1</w:t>
      </w:r>
      <w:r w:rsidR="005A0BBB" w:rsidRPr="003C2AAB">
        <w:rPr>
          <w:lang w:eastAsia="fr-FR"/>
        </w:rPr>
        <w:t>9</w:t>
      </w:r>
      <w:r w:rsidR="009B420F">
        <w:rPr>
          <w:lang w:eastAsia="fr-FR"/>
        </w:rPr>
        <w:t>.</w:t>
      </w:r>
      <w:r w:rsidR="005A0BBB" w:rsidRPr="003C2AAB">
        <w:rPr>
          <w:lang w:eastAsia="fr-FR"/>
        </w:rPr>
        <w:t xml:space="preserve"> </w:t>
      </w:r>
      <w:r w:rsidR="005A0BBB" w:rsidRPr="00F03BF8">
        <w:rPr>
          <w:lang w:eastAsia="fr-FR"/>
        </w:rPr>
        <w:t xml:space="preserve">The </w:t>
      </w:r>
      <w:r w:rsidR="00145533">
        <w:rPr>
          <w:lang w:eastAsia="fr-FR"/>
        </w:rPr>
        <w:t>objective</w:t>
      </w:r>
      <w:r w:rsidR="00F03BF8" w:rsidRPr="00145533">
        <w:rPr>
          <w:lang w:eastAsia="fr-FR"/>
        </w:rPr>
        <w:t xml:space="preserve"> will be to </w:t>
      </w:r>
      <w:r w:rsidR="005A0BBB" w:rsidRPr="00F03BF8">
        <w:rPr>
          <w:lang w:eastAsia="fr-FR"/>
        </w:rPr>
        <w:t>strengthen</w:t>
      </w:r>
      <w:r w:rsidR="00EB27D8" w:rsidRPr="00F03BF8">
        <w:rPr>
          <w:lang w:eastAsia="fr-FR"/>
        </w:rPr>
        <w:t xml:space="preserve"> </w:t>
      </w:r>
      <w:r w:rsidR="005A0BBB" w:rsidRPr="00F03BF8">
        <w:rPr>
          <w:lang w:eastAsia="fr-FR"/>
        </w:rPr>
        <w:t>systems</w:t>
      </w:r>
      <w:r w:rsidR="00DC726D" w:rsidRPr="00F03BF8">
        <w:rPr>
          <w:lang w:eastAsia="fr-FR"/>
        </w:rPr>
        <w:t xml:space="preserve"> </w:t>
      </w:r>
      <w:r w:rsidR="005A0BBB" w:rsidRPr="00F03BF8">
        <w:rPr>
          <w:lang w:eastAsia="fr-FR"/>
        </w:rPr>
        <w:t xml:space="preserve">to </w:t>
      </w:r>
      <w:r w:rsidR="00DC726D" w:rsidRPr="00F03BF8">
        <w:rPr>
          <w:lang w:eastAsia="fr-FR"/>
        </w:rPr>
        <w:t>address the</w:t>
      </w:r>
      <w:r w:rsidR="005A0BBB" w:rsidRPr="00F03BF8">
        <w:rPr>
          <w:lang w:eastAsia="fr-FR"/>
        </w:rPr>
        <w:t xml:space="preserve"> challenges</w:t>
      </w:r>
      <w:r w:rsidR="00503414" w:rsidRPr="00F03BF8">
        <w:rPr>
          <w:lang w:eastAsia="fr-FR"/>
        </w:rPr>
        <w:t>.</w:t>
      </w:r>
      <w:r w:rsidR="00503414">
        <w:rPr>
          <w:lang w:eastAsia="fr-FR"/>
        </w:rPr>
        <w:t xml:space="preserve"> </w:t>
      </w:r>
      <w:r>
        <w:rPr>
          <w:lang w:eastAsia="fr-FR"/>
        </w:rPr>
        <w:t>In working to achieve programme outcomes and outputs, t</w:t>
      </w:r>
      <w:r w:rsidR="00503414">
        <w:rPr>
          <w:lang w:eastAsia="fr-FR"/>
        </w:rPr>
        <w:t>he focus will be on</w:t>
      </w:r>
      <w:r w:rsidR="005A0BBB" w:rsidRPr="009A3517">
        <w:rPr>
          <w:lang w:eastAsia="fr-FR"/>
        </w:rPr>
        <w:t xml:space="preserve"> stronger evidence-based, data-driven programming</w:t>
      </w:r>
      <w:r w:rsidR="00503414">
        <w:rPr>
          <w:lang w:eastAsia="fr-FR"/>
        </w:rPr>
        <w:t xml:space="preserve"> and</w:t>
      </w:r>
      <w:r w:rsidR="005A0BBB" w:rsidRPr="009A3517">
        <w:rPr>
          <w:lang w:eastAsia="fr-FR"/>
        </w:rPr>
        <w:t xml:space="preserve"> integration across the governance, environment, energy and climate </w:t>
      </w:r>
      <w:r w:rsidR="005A0BBB" w:rsidRPr="00022523">
        <w:rPr>
          <w:lang w:eastAsia="fr-FR"/>
        </w:rPr>
        <w:t>change</w:t>
      </w:r>
      <w:r w:rsidR="00795EEA">
        <w:rPr>
          <w:lang w:eastAsia="fr-FR"/>
        </w:rPr>
        <w:t xml:space="preserve"> </w:t>
      </w:r>
      <w:r w:rsidR="00503414">
        <w:rPr>
          <w:lang w:eastAsia="fr-FR"/>
        </w:rPr>
        <w:t>sectors</w:t>
      </w:r>
      <w:r w:rsidR="0095145C" w:rsidRPr="00022523">
        <w:rPr>
          <w:lang w:eastAsia="fr-FR"/>
        </w:rPr>
        <w:t>.</w:t>
      </w:r>
      <w:r w:rsidR="00F05237">
        <w:rPr>
          <w:lang w:eastAsia="fr-FR"/>
        </w:rPr>
        <w:t xml:space="preserve"> </w:t>
      </w:r>
    </w:p>
    <w:p w14:paraId="649F7D16" w14:textId="57030B64" w:rsidR="00BC0124" w:rsidRPr="00B26DCC" w:rsidRDefault="00DC726D"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sidRPr="00022523">
        <w:rPr>
          <w:lang w:eastAsia="fr-FR"/>
        </w:rPr>
        <w:t xml:space="preserve">The programme </w:t>
      </w:r>
      <w:r w:rsidR="00BF67B0">
        <w:rPr>
          <w:lang w:eastAsia="fr-FR"/>
        </w:rPr>
        <w:t xml:space="preserve">will </w:t>
      </w:r>
      <w:r w:rsidR="005A0BBB" w:rsidRPr="00022523">
        <w:rPr>
          <w:lang w:eastAsia="fr-FR"/>
        </w:rPr>
        <w:t>strengthen partnerships with diverse stakeholders</w:t>
      </w:r>
      <w:r w:rsidR="00B907C9">
        <w:rPr>
          <w:lang w:eastAsia="fr-FR"/>
        </w:rPr>
        <w:t xml:space="preserve"> </w:t>
      </w:r>
      <w:r w:rsidR="005A0BBB" w:rsidRPr="00022523">
        <w:rPr>
          <w:lang w:eastAsia="fr-FR"/>
        </w:rPr>
        <w:t xml:space="preserve">across the </w:t>
      </w:r>
      <w:r w:rsidR="00503414">
        <w:rPr>
          <w:lang w:eastAsia="fr-FR"/>
        </w:rPr>
        <w:t>Goals</w:t>
      </w:r>
      <w:r w:rsidR="00B907C9">
        <w:rPr>
          <w:lang w:eastAsia="fr-FR"/>
        </w:rPr>
        <w:t xml:space="preserve">, </w:t>
      </w:r>
      <w:r w:rsidR="005A0BBB" w:rsidRPr="00022523">
        <w:rPr>
          <w:lang w:eastAsia="fr-FR"/>
        </w:rPr>
        <w:t>focus</w:t>
      </w:r>
      <w:r w:rsidR="00B907C9">
        <w:rPr>
          <w:lang w:eastAsia="fr-FR"/>
        </w:rPr>
        <w:t>ing</w:t>
      </w:r>
      <w:r w:rsidR="005A0BBB" w:rsidRPr="00022523">
        <w:rPr>
          <w:lang w:eastAsia="fr-FR"/>
        </w:rPr>
        <w:t xml:space="preserve"> investments in areas that have the potential to accelerate progress across multiple </w:t>
      </w:r>
      <w:r w:rsidR="00503414">
        <w:rPr>
          <w:lang w:eastAsia="fr-FR"/>
        </w:rPr>
        <w:t>Goals</w:t>
      </w:r>
      <w:r w:rsidRPr="00022523">
        <w:rPr>
          <w:lang w:eastAsia="fr-FR"/>
        </w:rPr>
        <w:t>.</w:t>
      </w:r>
      <w:bookmarkStart w:id="1" w:name="_Hlk70365250"/>
      <w:r w:rsidR="00BC0124">
        <w:rPr>
          <w:lang w:eastAsia="fr-FR"/>
        </w:rPr>
        <w:t xml:space="preserve"> </w:t>
      </w:r>
      <w:r w:rsidR="00D94EFA" w:rsidRPr="00022523">
        <w:rPr>
          <w:lang w:eastAsia="fr-FR"/>
        </w:rPr>
        <w:t xml:space="preserve">The programme will support </w:t>
      </w:r>
      <w:r w:rsidR="009B420F" w:rsidRPr="00022523">
        <w:rPr>
          <w:lang w:eastAsia="fr-FR"/>
        </w:rPr>
        <w:t>g</w:t>
      </w:r>
      <w:r w:rsidR="00D94EFA" w:rsidRPr="00022523">
        <w:rPr>
          <w:lang w:eastAsia="fr-FR"/>
        </w:rPr>
        <w:t xml:space="preserve">overnment efforts to promote regional integration, </w:t>
      </w:r>
      <w:r w:rsidR="00EB27D8" w:rsidRPr="003C2AAB">
        <w:rPr>
          <w:lang w:eastAsia="fr-FR"/>
        </w:rPr>
        <w:t xml:space="preserve">brokering knowledge and technology through South-South and </w:t>
      </w:r>
      <w:r w:rsidR="00503414">
        <w:rPr>
          <w:lang w:eastAsia="fr-FR"/>
        </w:rPr>
        <w:t>t</w:t>
      </w:r>
      <w:r w:rsidR="00EB27D8" w:rsidRPr="003C2AAB">
        <w:rPr>
          <w:lang w:eastAsia="fr-FR"/>
        </w:rPr>
        <w:t xml:space="preserve">riangular </w:t>
      </w:r>
      <w:r w:rsidR="00503414">
        <w:rPr>
          <w:lang w:eastAsia="fr-FR"/>
        </w:rPr>
        <w:t>c</w:t>
      </w:r>
      <w:r w:rsidR="00EB27D8" w:rsidRPr="003C2AAB">
        <w:rPr>
          <w:lang w:eastAsia="fr-FR"/>
        </w:rPr>
        <w:t>ooperation</w:t>
      </w:r>
      <w:r w:rsidR="00EB27D8" w:rsidRPr="00022523">
        <w:rPr>
          <w:lang w:eastAsia="fr-FR"/>
        </w:rPr>
        <w:t xml:space="preserve"> </w:t>
      </w:r>
      <w:r w:rsidR="00D94EFA" w:rsidRPr="00022523">
        <w:rPr>
          <w:lang w:eastAsia="fr-FR"/>
        </w:rPr>
        <w:t>to mobilize domestic resources</w:t>
      </w:r>
      <w:r w:rsidR="00B907C9">
        <w:rPr>
          <w:lang w:eastAsia="fr-FR"/>
        </w:rPr>
        <w:t>,</w:t>
      </w:r>
      <w:r w:rsidR="00D94EFA" w:rsidRPr="00022523">
        <w:rPr>
          <w:lang w:eastAsia="fr-FR"/>
        </w:rPr>
        <w:t xml:space="preserve"> </w:t>
      </w:r>
      <w:r w:rsidR="00B907C9">
        <w:rPr>
          <w:lang w:eastAsia="fr-FR"/>
        </w:rPr>
        <w:t>exploit</w:t>
      </w:r>
      <w:r w:rsidR="00B907C9" w:rsidRPr="00022523">
        <w:rPr>
          <w:lang w:eastAsia="fr-FR"/>
        </w:rPr>
        <w:t xml:space="preserve"> </w:t>
      </w:r>
      <w:r w:rsidR="00D94EFA" w:rsidRPr="00022523">
        <w:rPr>
          <w:lang w:eastAsia="fr-FR"/>
        </w:rPr>
        <w:t xml:space="preserve">alternative </w:t>
      </w:r>
      <w:r w:rsidR="00C307F6" w:rsidRPr="00145533">
        <w:t>financing mechanism</w:t>
      </w:r>
      <w:r w:rsidR="00503414">
        <w:t>s</w:t>
      </w:r>
      <w:r w:rsidR="00C307F6" w:rsidRPr="00145533">
        <w:t xml:space="preserve"> and boost </w:t>
      </w:r>
      <w:r w:rsidR="00B26DCC" w:rsidRPr="00145533">
        <w:t xml:space="preserve">new sources of </w:t>
      </w:r>
      <w:r w:rsidR="00C307F6" w:rsidRPr="00145533">
        <w:t>financing (public, private, domestic, international</w:t>
      </w:r>
      <w:r w:rsidR="00B907C9" w:rsidRPr="00B26DCC">
        <w:t>)</w:t>
      </w:r>
      <w:r w:rsidR="00C307F6" w:rsidRPr="00B26DCC">
        <w:rPr>
          <w:lang w:eastAsia="fr-FR"/>
        </w:rPr>
        <w:t xml:space="preserve">. </w:t>
      </w:r>
      <w:bookmarkEnd w:id="1"/>
    </w:p>
    <w:p w14:paraId="148C0D68" w14:textId="7DEFF9BF" w:rsidR="00BE383C" w:rsidRPr="000F6154" w:rsidRDefault="00B907C9" w:rsidP="0091094F">
      <w:pPr>
        <w:widowControl w:val="0"/>
        <w:numPr>
          <w:ilvl w:val="0"/>
          <w:numId w:val="18"/>
        </w:numPr>
        <w:shd w:val="clear" w:color="auto" w:fill="FFFFFF"/>
        <w:tabs>
          <w:tab w:val="left" w:pos="1710"/>
        </w:tabs>
        <w:adjustRightInd w:val="0"/>
        <w:spacing w:after="120"/>
        <w:ind w:left="1260" w:right="1195" w:firstLine="0"/>
        <w:jc w:val="both"/>
        <w:textAlignment w:val="baseline"/>
        <w:rPr>
          <w:lang w:eastAsia="fr-FR"/>
        </w:rPr>
      </w:pPr>
      <w:r>
        <w:rPr>
          <w:lang w:eastAsia="fr-FR"/>
        </w:rPr>
        <w:lastRenderedPageBreak/>
        <w:t>T</w:t>
      </w:r>
      <w:r w:rsidR="009D048A">
        <w:rPr>
          <w:lang w:eastAsia="fr-FR"/>
        </w:rPr>
        <w:t xml:space="preserve">he theory of change </w:t>
      </w:r>
      <w:r>
        <w:rPr>
          <w:lang w:eastAsia="fr-FR"/>
        </w:rPr>
        <w:t xml:space="preserve">of the country programme </w:t>
      </w:r>
      <w:r w:rsidR="009D048A">
        <w:rPr>
          <w:lang w:eastAsia="fr-FR"/>
        </w:rPr>
        <w:t xml:space="preserve">is </w:t>
      </w:r>
      <w:r w:rsidR="00594FF2">
        <w:rPr>
          <w:lang w:eastAsia="fr-FR"/>
        </w:rPr>
        <w:t xml:space="preserve">based </w:t>
      </w:r>
      <w:r w:rsidR="009D048A">
        <w:rPr>
          <w:lang w:eastAsia="fr-FR"/>
        </w:rPr>
        <w:t xml:space="preserve">on the </w:t>
      </w:r>
      <w:r w:rsidR="007A2EFA">
        <w:rPr>
          <w:lang w:eastAsia="fr-FR"/>
        </w:rPr>
        <w:t xml:space="preserve">expectation </w:t>
      </w:r>
      <w:r w:rsidR="009D048A">
        <w:rPr>
          <w:lang w:eastAsia="fr-FR"/>
        </w:rPr>
        <w:t>that b</w:t>
      </w:r>
      <w:r w:rsidR="00AB69FD" w:rsidRPr="009B420F">
        <w:rPr>
          <w:lang w:eastAsia="fr-FR"/>
        </w:rPr>
        <w:t xml:space="preserve">y </w:t>
      </w:r>
      <w:r w:rsidR="009D048A">
        <w:rPr>
          <w:lang w:eastAsia="fr-FR"/>
        </w:rPr>
        <w:t xml:space="preserve">the end of the </w:t>
      </w:r>
      <w:r w:rsidR="00AB69FD" w:rsidRPr="009B420F">
        <w:rPr>
          <w:lang w:eastAsia="fr-FR"/>
        </w:rPr>
        <w:t xml:space="preserve">cycle the people of Eritrea will </w:t>
      </w:r>
      <w:r w:rsidR="007A2EFA">
        <w:rPr>
          <w:lang w:eastAsia="fr-FR"/>
        </w:rPr>
        <w:t>experience</w:t>
      </w:r>
      <w:r w:rsidR="00AB69FD" w:rsidRPr="009B420F">
        <w:rPr>
          <w:lang w:eastAsia="fr-FR"/>
        </w:rPr>
        <w:t xml:space="preserve"> improvement</w:t>
      </w:r>
      <w:r w:rsidR="007C26AA">
        <w:rPr>
          <w:lang w:eastAsia="fr-FR"/>
        </w:rPr>
        <w:t>s</w:t>
      </w:r>
      <w:r w:rsidR="00AB69FD" w:rsidRPr="009B420F">
        <w:rPr>
          <w:lang w:eastAsia="fr-FR"/>
        </w:rPr>
        <w:t xml:space="preserve"> in the delivery of public services, </w:t>
      </w:r>
      <w:r w:rsidR="00DC3B0A">
        <w:rPr>
          <w:lang w:eastAsia="fr-FR"/>
        </w:rPr>
        <w:t xml:space="preserve">a </w:t>
      </w:r>
      <w:r w:rsidR="00AB69FD" w:rsidRPr="009B420F">
        <w:rPr>
          <w:lang w:eastAsia="fr-FR"/>
        </w:rPr>
        <w:t xml:space="preserve">more inclusive society and </w:t>
      </w:r>
      <w:r w:rsidR="007A2EFA">
        <w:rPr>
          <w:lang w:eastAsia="fr-FR"/>
        </w:rPr>
        <w:t>greater</w:t>
      </w:r>
      <w:r w:rsidR="00AB69FD" w:rsidRPr="009B420F">
        <w:rPr>
          <w:lang w:eastAsia="fr-FR"/>
        </w:rPr>
        <w:t xml:space="preserve"> resilien</w:t>
      </w:r>
      <w:r w:rsidR="007A2EFA">
        <w:rPr>
          <w:lang w:eastAsia="fr-FR"/>
        </w:rPr>
        <w:t>ce</w:t>
      </w:r>
      <w:r w:rsidR="00AB69FD" w:rsidRPr="009B420F">
        <w:rPr>
          <w:lang w:eastAsia="fr-FR"/>
        </w:rPr>
        <w:t xml:space="preserve"> to the impacts of disasters and climate change</w:t>
      </w:r>
      <w:r w:rsidR="00AB69FD">
        <w:rPr>
          <w:lang w:eastAsia="fr-FR"/>
        </w:rPr>
        <w:t>.</w:t>
      </w:r>
      <w:r w:rsidR="009D048A">
        <w:rPr>
          <w:lang w:eastAsia="fr-FR"/>
        </w:rPr>
        <w:t xml:space="preserve"> This will </w:t>
      </w:r>
      <w:r w:rsidR="00EF4539">
        <w:rPr>
          <w:lang w:eastAsia="fr-FR"/>
        </w:rPr>
        <w:t>lead to</w:t>
      </w:r>
      <w:r w:rsidR="009D048A">
        <w:rPr>
          <w:lang w:eastAsia="fr-FR"/>
        </w:rPr>
        <w:t xml:space="preserve"> improved well</w:t>
      </w:r>
      <w:r w:rsidR="00CB5D3B">
        <w:rPr>
          <w:lang w:eastAsia="fr-FR"/>
        </w:rPr>
        <w:t>-</w:t>
      </w:r>
      <w:r w:rsidR="009D048A">
        <w:rPr>
          <w:lang w:eastAsia="fr-FR"/>
        </w:rPr>
        <w:t xml:space="preserve">being </w:t>
      </w:r>
      <w:r w:rsidR="00594FF2">
        <w:rPr>
          <w:lang w:eastAsia="fr-FR"/>
        </w:rPr>
        <w:t xml:space="preserve">among the citizens </w:t>
      </w:r>
      <w:r w:rsidR="009D048A">
        <w:rPr>
          <w:lang w:eastAsia="fr-FR"/>
        </w:rPr>
        <w:t xml:space="preserve">and an </w:t>
      </w:r>
      <w:r w:rsidR="009D048A" w:rsidRPr="009D048A">
        <w:rPr>
          <w:lang w:eastAsia="fr-FR"/>
        </w:rPr>
        <w:t>inclusive, diversified, green and climate</w:t>
      </w:r>
      <w:r w:rsidR="007A2EFA">
        <w:rPr>
          <w:lang w:eastAsia="fr-FR"/>
        </w:rPr>
        <w:t>-</w:t>
      </w:r>
      <w:r w:rsidR="009D048A" w:rsidRPr="009D048A">
        <w:rPr>
          <w:lang w:eastAsia="fr-FR"/>
        </w:rPr>
        <w:t>resilient economy</w:t>
      </w:r>
      <w:r w:rsidR="009D048A">
        <w:rPr>
          <w:lang w:eastAsia="fr-FR"/>
        </w:rPr>
        <w:t>.</w:t>
      </w:r>
    </w:p>
    <w:p w14:paraId="6FA45833" w14:textId="6C7E79AA" w:rsidR="00DC726D" w:rsidRPr="00E87CEE" w:rsidRDefault="00DC726D" w:rsidP="0091094F">
      <w:pPr>
        <w:pStyle w:val="ListParagraph"/>
        <w:widowControl w:val="0"/>
        <w:tabs>
          <w:tab w:val="left" w:pos="630"/>
          <w:tab w:val="left" w:pos="1710"/>
          <w:tab w:val="left" w:pos="8550"/>
        </w:tabs>
        <w:adjustRightInd w:val="0"/>
        <w:spacing w:after="120"/>
        <w:ind w:left="1260" w:right="1195"/>
        <w:jc w:val="both"/>
        <w:textAlignment w:val="baseline"/>
        <w:rPr>
          <w:b/>
          <w:bCs/>
          <w:lang w:eastAsia="fr-FR"/>
        </w:rPr>
      </w:pPr>
      <w:r w:rsidRPr="00E87CEE">
        <w:rPr>
          <w:b/>
          <w:bCs/>
          <w:lang w:eastAsia="fr-FR"/>
        </w:rPr>
        <w:t xml:space="preserve">Pillar </w:t>
      </w:r>
      <w:r w:rsidR="0027643A">
        <w:rPr>
          <w:b/>
          <w:bCs/>
          <w:lang w:eastAsia="fr-FR"/>
        </w:rPr>
        <w:t>I</w:t>
      </w:r>
      <w:r w:rsidRPr="00E87CEE">
        <w:rPr>
          <w:b/>
          <w:bCs/>
          <w:lang w:eastAsia="fr-FR"/>
        </w:rPr>
        <w:t xml:space="preserve">: Human </w:t>
      </w:r>
      <w:r w:rsidR="0027643A">
        <w:rPr>
          <w:b/>
          <w:bCs/>
          <w:lang w:eastAsia="fr-FR"/>
        </w:rPr>
        <w:t>d</w:t>
      </w:r>
      <w:r w:rsidRPr="00E87CEE">
        <w:rPr>
          <w:b/>
          <w:bCs/>
          <w:lang w:eastAsia="fr-FR"/>
        </w:rPr>
        <w:t xml:space="preserve">evelopment and </w:t>
      </w:r>
      <w:r w:rsidR="0027643A">
        <w:rPr>
          <w:b/>
          <w:bCs/>
          <w:lang w:eastAsia="fr-FR"/>
        </w:rPr>
        <w:t>w</w:t>
      </w:r>
      <w:r w:rsidRPr="00E87CEE">
        <w:rPr>
          <w:b/>
          <w:bCs/>
          <w:lang w:eastAsia="fr-FR"/>
        </w:rPr>
        <w:t>ell</w:t>
      </w:r>
      <w:r w:rsidR="0027643A">
        <w:rPr>
          <w:b/>
          <w:bCs/>
          <w:lang w:eastAsia="fr-FR"/>
        </w:rPr>
        <w:t>-</w:t>
      </w:r>
      <w:r w:rsidRPr="00E87CEE">
        <w:rPr>
          <w:b/>
          <w:bCs/>
          <w:lang w:eastAsia="fr-FR"/>
        </w:rPr>
        <w:t>being</w:t>
      </w:r>
    </w:p>
    <w:p w14:paraId="3EC6ED46" w14:textId="0785CD20" w:rsidR="00482ADC" w:rsidRPr="00E87CEE" w:rsidRDefault="00816064" w:rsidP="0091094F">
      <w:pPr>
        <w:numPr>
          <w:ilvl w:val="0"/>
          <w:numId w:val="18"/>
        </w:numPr>
        <w:tabs>
          <w:tab w:val="left" w:pos="1710"/>
        </w:tabs>
        <w:spacing w:after="120"/>
        <w:ind w:left="1260" w:right="1195" w:firstLine="0"/>
        <w:jc w:val="both"/>
        <w:rPr>
          <w:lang w:eastAsia="fr-FR"/>
        </w:rPr>
      </w:pPr>
      <w:r w:rsidRPr="00816064">
        <w:t>Pillar</w:t>
      </w:r>
      <w:r w:rsidR="007A2EFA">
        <w:t xml:space="preserve"> </w:t>
      </w:r>
      <w:r w:rsidR="0027643A">
        <w:t>I</w:t>
      </w:r>
      <w:r w:rsidR="00E87CEE" w:rsidRPr="00816064">
        <w:t xml:space="preserve"> </w:t>
      </w:r>
      <w:r w:rsidR="00B26DCC">
        <w:t>concentrates</w:t>
      </w:r>
      <w:r w:rsidR="00B26DCC" w:rsidRPr="00816064">
        <w:t xml:space="preserve"> </w:t>
      </w:r>
      <w:r w:rsidR="00482ADC" w:rsidRPr="00816064">
        <w:t xml:space="preserve">on strengthening </w:t>
      </w:r>
      <w:r w:rsidR="008C3E79">
        <w:t xml:space="preserve">inclusive </w:t>
      </w:r>
      <w:r w:rsidR="00482ADC" w:rsidRPr="00816064">
        <w:t>governance</w:t>
      </w:r>
      <w:r w:rsidR="00E87CEE" w:rsidRPr="00816064">
        <w:t xml:space="preserve"> and institutions</w:t>
      </w:r>
      <w:r w:rsidR="00482ADC" w:rsidRPr="00816064">
        <w:t xml:space="preserve"> for development effectiveness and accountability</w:t>
      </w:r>
      <w:r w:rsidR="00801F42">
        <w:t>;</w:t>
      </w:r>
      <w:r w:rsidR="00482ADC" w:rsidRPr="00816064">
        <w:t xml:space="preserve"> improv</w:t>
      </w:r>
      <w:r w:rsidR="00801F42">
        <w:t>ing</w:t>
      </w:r>
      <w:r w:rsidR="00482ADC" w:rsidRPr="00816064">
        <w:t xml:space="preserve"> service provision</w:t>
      </w:r>
      <w:r w:rsidR="00801F42">
        <w:t>,</w:t>
      </w:r>
      <w:r w:rsidR="00482ADC" w:rsidRPr="00816064">
        <w:t xml:space="preserve"> civic participation</w:t>
      </w:r>
      <w:r w:rsidR="00E87CEE" w:rsidRPr="00816064">
        <w:t xml:space="preserve">, </w:t>
      </w:r>
      <w:r w:rsidR="00482ADC" w:rsidRPr="003C2AAB">
        <w:rPr>
          <w:rFonts w:eastAsiaTheme="minorEastAsia"/>
          <w:lang w:eastAsia="en-ZA"/>
        </w:rPr>
        <w:t xml:space="preserve">innovation, </w:t>
      </w:r>
      <w:r w:rsidR="00DC726D" w:rsidRPr="003C2AAB">
        <w:rPr>
          <w:rFonts w:eastAsiaTheme="minorEastAsia"/>
          <w:lang w:eastAsia="en-ZA"/>
        </w:rPr>
        <w:t>g</w:t>
      </w:r>
      <w:r w:rsidR="00482ADC" w:rsidRPr="003C2AAB">
        <w:rPr>
          <w:rFonts w:eastAsiaTheme="minorEastAsia"/>
          <w:lang w:eastAsia="en-ZA"/>
        </w:rPr>
        <w:t xml:space="preserve">ender </w:t>
      </w:r>
      <w:r w:rsidR="00DC726D" w:rsidRPr="003C2AAB">
        <w:rPr>
          <w:rFonts w:eastAsiaTheme="minorEastAsia"/>
          <w:lang w:eastAsia="en-ZA"/>
        </w:rPr>
        <w:t>e</w:t>
      </w:r>
      <w:r w:rsidR="00482ADC" w:rsidRPr="003C2AAB">
        <w:rPr>
          <w:rFonts w:eastAsiaTheme="minorEastAsia"/>
          <w:lang w:eastAsia="en-ZA"/>
        </w:rPr>
        <w:t xml:space="preserve">quality </w:t>
      </w:r>
      <w:r w:rsidR="00801F42">
        <w:rPr>
          <w:rFonts w:eastAsiaTheme="minorEastAsia"/>
          <w:lang w:eastAsia="en-ZA"/>
        </w:rPr>
        <w:t xml:space="preserve">and </w:t>
      </w:r>
      <w:r w:rsidR="00482ADC" w:rsidRPr="003C2AAB">
        <w:rPr>
          <w:rFonts w:eastAsiaTheme="minorEastAsia"/>
          <w:lang w:eastAsia="en-ZA"/>
        </w:rPr>
        <w:t>respect for human rights</w:t>
      </w:r>
      <w:r w:rsidR="00CE20AC">
        <w:rPr>
          <w:rFonts w:eastAsiaTheme="minorEastAsia"/>
          <w:lang w:eastAsia="en-ZA"/>
        </w:rPr>
        <w:t xml:space="preserve"> and the</w:t>
      </w:r>
      <w:r w:rsidR="00482ADC" w:rsidRPr="003C2AAB">
        <w:rPr>
          <w:rFonts w:eastAsiaTheme="minorEastAsia"/>
          <w:lang w:eastAsia="en-ZA"/>
        </w:rPr>
        <w:t xml:space="preserve"> rule of law</w:t>
      </w:r>
      <w:r w:rsidR="00801F42">
        <w:rPr>
          <w:rFonts w:eastAsiaTheme="minorEastAsia"/>
          <w:lang w:eastAsia="en-ZA"/>
        </w:rPr>
        <w:t>;</w:t>
      </w:r>
      <w:r w:rsidR="00482ADC" w:rsidRPr="003C2AAB">
        <w:rPr>
          <w:rFonts w:eastAsiaTheme="minorEastAsia"/>
          <w:lang w:eastAsia="en-ZA"/>
        </w:rPr>
        <w:t xml:space="preserve"> and </w:t>
      </w:r>
      <w:r w:rsidR="00E87CEE" w:rsidRPr="003C2AAB">
        <w:rPr>
          <w:rFonts w:eastAsiaTheme="minorEastAsia"/>
          <w:lang w:eastAsia="en-ZA"/>
        </w:rPr>
        <w:t>consolidatin</w:t>
      </w:r>
      <w:r w:rsidR="00801F42">
        <w:rPr>
          <w:rFonts w:eastAsiaTheme="minorEastAsia"/>
          <w:lang w:eastAsia="en-ZA"/>
        </w:rPr>
        <w:t>g</w:t>
      </w:r>
      <w:r w:rsidR="00E87CEE" w:rsidRPr="003C2AAB">
        <w:rPr>
          <w:rFonts w:eastAsiaTheme="minorEastAsia"/>
          <w:lang w:eastAsia="en-ZA"/>
        </w:rPr>
        <w:t xml:space="preserve"> </w:t>
      </w:r>
      <w:r w:rsidR="00482ADC" w:rsidRPr="003C2AAB">
        <w:rPr>
          <w:rFonts w:eastAsiaTheme="minorEastAsia"/>
          <w:lang w:eastAsia="en-ZA"/>
        </w:rPr>
        <w:t>peace</w:t>
      </w:r>
      <w:r w:rsidR="00482ADC" w:rsidRPr="00816064">
        <w:t xml:space="preserve">. It also </w:t>
      </w:r>
      <w:r w:rsidR="00CE20AC">
        <w:t>addresses</w:t>
      </w:r>
      <w:r w:rsidR="009B420F">
        <w:t xml:space="preserve"> </w:t>
      </w:r>
      <w:r w:rsidR="00482ADC" w:rsidRPr="00816064">
        <w:t>strengthen</w:t>
      </w:r>
      <w:r w:rsidR="009B420F">
        <w:t xml:space="preserve">ing the </w:t>
      </w:r>
      <w:r w:rsidR="003C2AAB">
        <w:t xml:space="preserve">capacity of </w:t>
      </w:r>
      <w:r w:rsidR="00482ADC" w:rsidRPr="00816064">
        <w:t>oversight institutions</w:t>
      </w:r>
      <w:r w:rsidR="003C2AAB">
        <w:t xml:space="preserve"> </w:t>
      </w:r>
      <w:r w:rsidR="00482ADC" w:rsidRPr="00816064">
        <w:t>and systems</w:t>
      </w:r>
      <w:r w:rsidR="00506BE6" w:rsidRPr="00816064">
        <w:t xml:space="preserve"> to fulfil international commitments</w:t>
      </w:r>
      <w:r w:rsidR="003C2AAB" w:rsidRPr="003C2AAB">
        <w:rPr>
          <w:rFonts w:eastAsiaTheme="minorHAnsi"/>
        </w:rPr>
        <w:t xml:space="preserve"> and increas</w:t>
      </w:r>
      <w:r w:rsidR="00CE20AC">
        <w:rPr>
          <w:rFonts w:eastAsiaTheme="minorHAnsi"/>
        </w:rPr>
        <w:t>e</w:t>
      </w:r>
      <w:r w:rsidR="003C2AAB" w:rsidRPr="003C2AAB">
        <w:rPr>
          <w:rFonts w:eastAsiaTheme="minorHAnsi"/>
        </w:rPr>
        <w:t xml:space="preserve"> engagement with the </w:t>
      </w:r>
      <w:r w:rsidR="009B420F">
        <w:rPr>
          <w:rFonts w:eastAsiaTheme="minorHAnsi"/>
        </w:rPr>
        <w:t xml:space="preserve">regional and </w:t>
      </w:r>
      <w:r w:rsidR="003C2AAB" w:rsidRPr="003C2AAB">
        <w:rPr>
          <w:rFonts w:eastAsiaTheme="minorHAnsi"/>
        </w:rPr>
        <w:t xml:space="preserve">international </w:t>
      </w:r>
      <w:r w:rsidR="00CE20AC">
        <w:rPr>
          <w:rFonts w:eastAsiaTheme="minorHAnsi"/>
        </w:rPr>
        <w:t xml:space="preserve">development </w:t>
      </w:r>
      <w:r w:rsidR="003C2AAB" w:rsidRPr="003C2AAB">
        <w:rPr>
          <w:rFonts w:eastAsiaTheme="minorHAnsi"/>
        </w:rPr>
        <w:t>community</w:t>
      </w:r>
      <w:r w:rsidR="009B420F">
        <w:rPr>
          <w:rFonts w:eastAsiaTheme="minorHAnsi"/>
        </w:rPr>
        <w:t xml:space="preserve">. </w:t>
      </w:r>
      <w:r w:rsidR="00CD3EBD" w:rsidRPr="00CD3EBD">
        <w:t xml:space="preserve">The pillar will </w:t>
      </w:r>
      <w:r w:rsidR="00470768">
        <w:t xml:space="preserve">drive transformation in public service delivery </w:t>
      </w:r>
      <w:r w:rsidR="00CE20AC">
        <w:t xml:space="preserve">by </w:t>
      </w:r>
      <w:r w:rsidR="00470768">
        <w:t>targeting key government institutions</w:t>
      </w:r>
      <w:r w:rsidR="00CE20AC">
        <w:t>,</w:t>
      </w:r>
      <w:r w:rsidR="00470768">
        <w:t xml:space="preserve"> benefit</w:t>
      </w:r>
      <w:r w:rsidR="00CE20AC">
        <w:t>ing</w:t>
      </w:r>
      <w:r w:rsidR="00470768">
        <w:t xml:space="preserve"> the </w:t>
      </w:r>
      <w:r w:rsidR="00CD3EBD" w:rsidRPr="00CD3EBD">
        <w:t xml:space="preserve">Eritrean population at large but focusing </w:t>
      </w:r>
      <w:r w:rsidR="00470768">
        <w:t xml:space="preserve">more </w:t>
      </w:r>
      <w:r w:rsidR="00CD3EBD" w:rsidRPr="00CD3EBD">
        <w:t xml:space="preserve">on youth, women and vulnerable groups.   </w:t>
      </w:r>
    </w:p>
    <w:p w14:paraId="708959DD" w14:textId="034B4136" w:rsidR="00482ADC" w:rsidRDefault="007162CE" w:rsidP="0091094F">
      <w:pPr>
        <w:numPr>
          <w:ilvl w:val="0"/>
          <w:numId w:val="18"/>
        </w:numPr>
        <w:tabs>
          <w:tab w:val="left" w:pos="1710"/>
        </w:tabs>
        <w:spacing w:after="120"/>
        <w:ind w:left="1260" w:right="1195" w:firstLine="0"/>
        <w:jc w:val="both"/>
        <w:rPr>
          <w:rFonts w:eastAsiaTheme="minorHAnsi"/>
        </w:rPr>
      </w:pPr>
      <w:r w:rsidRPr="003C2AAB">
        <w:rPr>
          <w:rFonts w:eastAsiaTheme="minorHAnsi"/>
        </w:rPr>
        <w:t xml:space="preserve">UNDP will continue to support the </w:t>
      </w:r>
      <w:r w:rsidR="00594FF2">
        <w:rPr>
          <w:rFonts w:eastAsiaTheme="minorHAnsi"/>
        </w:rPr>
        <w:t>G</w:t>
      </w:r>
      <w:r w:rsidRPr="003C2AAB">
        <w:rPr>
          <w:rFonts w:eastAsiaTheme="minorHAnsi"/>
        </w:rPr>
        <w:t>overnment in its efforts to ensure more effective, transparent</w:t>
      </w:r>
      <w:r w:rsidR="00801F42">
        <w:rPr>
          <w:rFonts w:eastAsiaTheme="minorHAnsi"/>
        </w:rPr>
        <w:t xml:space="preserve"> and</w:t>
      </w:r>
      <w:r w:rsidRPr="003C2AAB">
        <w:rPr>
          <w:rFonts w:eastAsiaTheme="minorHAnsi"/>
        </w:rPr>
        <w:t xml:space="preserve"> accountable governance for </w:t>
      </w:r>
      <w:r w:rsidR="00801F42">
        <w:rPr>
          <w:rFonts w:eastAsiaTheme="minorHAnsi"/>
        </w:rPr>
        <w:t xml:space="preserve">all </w:t>
      </w:r>
      <w:r w:rsidRPr="003C2AAB">
        <w:rPr>
          <w:rFonts w:eastAsiaTheme="minorHAnsi"/>
        </w:rPr>
        <w:t>Eritreans</w:t>
      </w:r>
      <w:r w:rsidR="00CE20AC">
        <w:rPr>
          <w:rFonts w:eastAsiaTheme="minorHAnsi"/>
        </w:rPr>
        <w:t>. It</w:t>
      </w:r>
      <w:r w:rsidRPr="003C2AAB">
        <w:rPr>
          <w:rFonts w:eastAsiaTheme="minorHAnsi"/>
        </w:rPr>
        <w:t xml:space="preserve"> will collaborate with </w:t>
      </w:r>
      <w:r w:rsidR="00CF1FCA">
        <w:rPr>
          <w:rFonts w:eastAsiaTheme="minorHAnsi"/>
        </w:rPr>
        <w:t xml:space="preserve">national </w:t>
      </w:r>
      <w:r w:rsidR="00DD563E">
        <w:rPr>
          <w:rFonts w:eastAsiaTheme="minorHAnsi"/>
        </w:rPr>
        <w:t xml:space="preserve">and </w:t>
      </w:r>
      <w:r w:rsidR="00CF1FCA">
        <w:rPr>
          <w:rFonts w:eastAsiaTheme="minorHAnsi"/>
        </w:rPr>
        <w:t xml:space="preserve">local </w:t>
      </w:r>
      <w:r w:rsidR="009B420F">
        <w:rPr>
          <w:rFonts w:eastAsiaTheme="minorHAnsi"/>
        </w:rPr>
        <w:t>g</w:t>
      </w:r>
      <w:r w:rsidRPr="003C2AAB">
        <w:rPr>
          <w:rFonts w:eastAsiaTheme="minorHAnsi"/>
        </w:rPr>
        <w:t>overnment</w:t>
      </w:r>
      <w:r w:rsidR="00CE20AC">
        <w:rPr>
          <w:rFonts w:eastAsiaTheme="minorHAnsi"/>
        </w:rPr>
        <w:t>s</w:t>
      </w:r>
      <w:r w:rsidRPr="003C2AAB">
        <w:rPr>
          <w:rFonts w:eastAsiaTheme="minorHAnsi"/>
        </w:rPr>
        <w:t xml:space="preserve"> </w:t>
      </w:r>
      <w:r w:rsidR="000E12F7">
        <w:rPr>
          <w:rFonts w:eastAsiaTheme="minorHAnsi"/>
        </w:rPr>
        <w:t>to</w:t>
      </w:r>
      <w:r w:rsidR="008C3E79">
        <w:rPr>
          <w:rFonts w:eastAsiaTheme="minorHAnsi"/>
        </w:rPr>
        <w:t xml:space="preserve"> link</w:t>
      </w:r>
      <w:r w:rsidRPr="003C2AAB">
        <w:rPr>
          <w:rFonts w:eastAsiaTheme="minorHAnsi"/>
        </w:rPr>
        <w:t xml:space="preserve"> implementation of policies and ensure greater ownership and sustainability of interventions.</w:t>
      </w:r>
      <w:r w:rsidR="003C2AAB" w:rsidRPr="003C2AAB">
        <w:rPr>
          <w:rFonts w:eastAsiaTheme="minorHAnsi"/>
        </w:rPr>
        <w:t xml:space="preserve"> </w:t>
      </w:r>
      <w:r w:rsidRPr="003C2AAB">
        <w:rPr>
          <w:rFonts w:eastAsiaTheme="minorHAnsi"/>
        </w:rPr>
        <w:t xml:space="preserve">The </w:t>
      </w:r>
      <w:r w:rsidR="00CE20AC">
        <w:rPr>
          <w:rFonts w:eastAsiaTheme="minorHAnsi"/>
        </w:rPr>
        <w:t xml:space="preserve">country programme </w:t>
      </w:r>
      <w:r w:rsidRPr="003C2AAB">
        <w:rPr>
          <w:rFonts w:eastAsiaTheme="minorHAnsi"/>
        </w:rPr>
        <w:t>prioritize</w:t>
      </w:r>
      <w:r w:rsidR="00E320CE">
        <w:rPr>
          <w:rFonts w:eastAsiaTheme="minorHAnsi"/>
        </w:rPr>
        <w:t>s</w:t>
      </w:r>
      <w:r w:rsidRPr="003C2AAB">
        <w:rPr>
          <w:rFonts w:eastAsiaTheme="minorHAnsi"/>
        </w:rPr>
        <w:t xml:space="preserve"> </w:t>
      </w:r>
      <w:r w:rsidRPr="009E72C9">
        <w:rPr>
          <w:rFonts w:eastAsiaTheme="minorHAnsi"/>
        </w:rPr>
        <w:t>enablers</w:t>
      </w:r>
      <w:r w:rsidRPr="003C2AAB">
        <w:rPr>
          <w:rFonts w:eastAsiaTheme="minorHAnsi"/>
        </w:rPr>
        <w:t xml:space="preserve"> for successful implementation of interventions, </w:t>
      </w:r>
      <w:r w:rsidR="00DD563E">
        <w:rPr>
          <w:rFonts w:eastAsiaTheme="minorHAnsi"/>
        </w:rPr>
        <w:t>including deploying digital solutions</w:t>
      </w:r>
      <w:r w:rsidR="00CF1FCA">
        <w:rPr>
          <w:rFonts w:eastAsiaTheme="minorHAnsi"/>
        </w:rPr>
        <w:t>,</w:t>
      </w:r>
      <w:r w:rsidR="00DD563E">
        <w:rPr>
          <w:rFonts w:eastAsiaTheme="minorHAnsi"/>
        </w:rPr>
        <w:t xml:space="preserve"> </w:t>
      </w:r>
      <w:r w:rsidRPr="003C2AAB">
        <w:rPr>
          <w:rFonts w:eastAsiaTheme="minorHAnsi"/>
        </w:rPr>
        <w:t xml:space="preserve">mainly </w:t>
      </w:r>
      <w:r w:rsidR="00CE20AC">
        <w:rPr>
          <w:rFonts w:eastAsiaTheme="minorHAnsi"/>
        </w:rPr>
        <w:t xml:space="preserve">by </w:t>
      </w:r>
      <w:r w:rsidR="00AE6F4C">
        <w:rPr>
          <w:rFonts w:eastAsiaTheme="minorHAnsi"/>
        </w:rPr>
        <w:t>strengthening</w:t>
      </w:r>
      <w:r w:rsidR="00AE6F4C" w:rsidRPr="003C2AAB">
        <w:rPr>
          <w:rFonts w:eastAsiaTheme="minorHAnsi"/>
        </w:rPr>
        <w:t xml:space="preserve"> </w:t>
      </w:r>
      <w:r w:rsidRPr="003C2AAB">
        <w:rPr>
          <w:rFonts w:eastAsiaTheme="minorHAnsi"/>
        </w:rPr>
        <w:t xml:space="preserve">the capacity of </w:t>
      </w:r>
      <w:r w:rsidR="009F1C72">
        <w:rPr>
          <w:rFonts w:eastAsiaTheme="minorHAnsi"/>
        </w:rPr>
        <w:t>selected institutions</w:t>
      </w:r>
      <w:r w:rsidR="00CE20AC">
        <w:rPr>
          <w:rFonts w:eastAsiaTheme="minorHAnsi"/>
        </w:rPr>
        <w:t>.</w:t>
      </w:r>
      <w:r w:rsidR="005362AC">
        <w:rPr>
          <w:rStyle w:val="FootnoteReference"/>
          <w:rFonts w:eastAsiaTheme="minorHAnsi"/>
        </w:rPr>
        <w:footnoteReference w:id="16"/>
      </w:r>
    </w:p>
    <w:p w14:paraId="39A679D7" w14:textId="6CD3147B" w:rsidR="00A410C3" w:rsidRDefault="00482ADC" w:rsidP="0091094F">
      <w:pPr>
        <w:numPr>
          <w:ilvl w:val="0"/>
          <w:numId w:val="18"/>
        </w:numPr>
        <w:tabs>
          <w:tab w:val="left" w:pos="1710"/>
        </w:tabs>
        <w:spacing w:after="120"/>
        <w:ind w:left="1260" w:right="1195" w:firstLine="0"/>
        <w:jc w:val="both"/>
        <w:rPr>
          <w:lang w:eastAsia="fr-FR"/>
        </w:rPr>
      </w:pPr>
      <w:r w:rsidRPr="00482ADC">
        <w:t xml:space="preserve">The programme will support </w:t>
      </w:r>
      <w:r w:rsidR="003C49D6">
        <w:t xml:space="preserve">development of </w:t>
      </w:r>
      <w:r w:rsidRPr="00482ADC">
        <w:t>national statistical capacity</w:t>
      </w:r>
      <w:r w:rsidR="008B7B34">
        <w:t xml:space="preserve"> to improve data management</w:t>
      </w:r>
      <w:r w:rsidR="00A410C3">
        <w:t>. T</w:t>
      </w:r>
      <w:r w:rsidR="007214F1">
        <w:t xml:space="preserve">his includes </w:t>
      </w:r>
      <w:r w:rsidR="00DF7D05">
        <w:t xml:space="preserve">making use of </w:t>
      </w:r>
      <w:r w:rsidR="00FB3345">
        <w:t xml:space="preserve">new </w:t>
      </w:r>
      <w:r w:rsidRPr="00482ADC">
        <w:t>methods for data generation</w:t>
      </w:r>
      <w:r w:rsidR="000335C1">
        <w:t xml:space="preserve"> </w:t>
      </w:r>
      <w:r w:rsidR="000335C1" w:rsidRPr="00DF7D05">
        <w:t>(</w:t>
      </w:r>
      <w:r w:rsidR="005E5F79" w:rsidRPr="00045610">
        <w:t>disaggregated</w:t>
      </w:r>
      <w:r w:rsidR="000335C1" w:rsidRPr="00045610">
        <w:t xml:space="preserve"> by sex,</w:t>
      </w:r>
      <w:r w:rsidR="00046D35" w:rsidRPr="00045610">
        <w:t xml:space="preserve"> </w:t>
      </w:r>
      <w:r w:rsidR="000335C1" w:rsidRPr="00045610">
        <w:t>gender, age, disability</w:t>
      </w:r>
      <w:r w:rsidR="000335C1" w:rsidRPr="00DF7D05">
        <w:t>)</w:t>
      </w:r>
      <w:r w:rsidR="00FB3345" w:rsidRPr="00DF7D05">
        <w:t>,</w:t>
      </w:r>
      <w:r w:rsidR="00FB3345">
        <w:t xml:space="preserve"> including </w:t>
      </w:r>
      <w:r w:rsidR="00DF7D05">
        <w:t>‘b</w:t>
      </w:r>
      <w:r w:rsidR="00FB3345">
        <w:t xml:space="preserve">ig </w:t>
      </w:r>
      <w:r w:rsidR="00DF7D05">
        <w:t>d</w:t>
      </w:r>
      <w:r w:rsidR="00FB3345">
        <w:t>ata</w:t>
      </w:r>
      <w:r w:rsidR="00DF7D05">
        <w:t>’. The programme will</w:t>
      </w:r>
      <w:r w:rsidR="008B7B34">
        <w:t xml:space="preserve"> </w:t>
      </w:r>
      <w:r w:rsidR="008B7B34" w:rsidRPr="009A3517">
        <w:t>promot</w:t>
      </w:r>
      <w:r w:rsidR="00DF7D05">
        <w:t>e</w:t>
      </w:r>
      <w:r w:rsidR="008B7B34" w:rsidRPr="009A3517">
        <w:t xml:space="preserve"> the establishment of </w:t>
      </w:r>
      <w:r w:rsidR="00DF7D05">
        <w:t>a c</w:t>
      </w:r>
      <w:r w:rsidR="008B7B34" w:rsidRPr="009A3517">
        <w:t xml:space="preserve">ivil </w:t>
      </w:r>
      <w:r w:rsidR="00DF7D05">
        <w:t>r</w:t>
      </w:r>
      <w:r w:rsidR="008B7B34" w:rsidRPr="009A3517">
        <w:t xml:space="preserve">egistration </w:t>
      </w:r>
      <w:r w:rsidR="00DF7D05">
        <w:t>s</w:t>
      </w:r>
      <w:r w:rsidR="008B7B34" w:rsidRPr="009A3517">
        <w:t>ystem</w:t>
      </w:r>
      <w:r w:rsidR="008B7B34">
        <w:t xml:space="preserve"> </w:t>
      </w:r>
      <w:r w:rsidR="00DF7D05">
        <w:t>and</w:t>
      </w:r>
      <w:r w:rsidR="008B7B34" w:rsidRPr="009A3517">
        <w:t xml:space="preserve"> </w:t>
      </w:r>
      <w:r w:rsidR="005E5F79">
        <w:t>gender</w:t>
      </w:r>
      <w:r w:rsidR="00DF7D05">
        <w:t>-</w:t>
      </w:r>
      <w:r w:rsidR="005E5F79">
        <w:t xml:space="preserve">sensitive </w:t>
      </w:r>
      <w:r w:rsidR="00DF7D05">
        <w:t>e</w:t>
      </w:r>
      <w:r w:rsidR="008B7B34" w:rsidRPr="009A3517">
        <w:t xml:space="preserve">conomic </w:t>
      </w:r>
      <w:r w:rsidR="00DF7D05">
        <w:t>i</w:t>
      </w:r>
      <w:r w:rsidR="008B7B34" w:rsidRPr="009A3517">
        <w:t xml:space="preserve">ndicators and </w:t>
      </w:r>
      <w:r w:rsidR="00DF7D05">
        <w:t>n</w:t>
      </w:r>
      <w:r w:rsidR="008B7B34" w:rsidRPr="009A3517">
        <w:t xml:space="preserve">ational </w:t>
      </w:r>
      <w:r w:rsidR="00DF7D05">
        <w:t>a</w:t>
      </w:r>
      <w:r w:rsidR="008B7B34" w:rsidRPr="009A3517">
        <w:t>ccounts</w:t>
      </w:r>
      <w:r w:rsidR="00DF7D05">
        <w:t>. It will work to</w:t>
      </w:r>
      <w:r w:rsidRPr="00482ADC">
        <w:t xml:space="preserve"> strengthen capacities to adapt the indicator framework </w:t>
      </w:r>
      <w:r w:rsidR="00DF7D05">
        <w:t xml:space="preserve">of the Sustainable Development Goals </w:t>
      </w:r>
      <w:r w:rsidRPr="00482ADC">
        <w:t xml:space="preserve">to the national context. </w:t>
      </w:r>
      <w:r w:rsidR="008B7B34" w:rsidRPr="009A3517">
        <w:t xml:space="preserve">This will be complemented by </w:t>
      </w:r>
      <w:r w:rsidR="003C49D6">
        <w:t>efforts to</w:t>
      </w:r>
      <w:r w:rsidR="008B7B34" w:rsidRPr="009A3517">
        <w:t xml:space="preserve"> improv</w:t>
      </w:r>
      <w:r w:rsidR="003C49D6">
        <w:t>e</w:t>
      </w:r>
      <w:r w:rsidR="008B7B34" w:rsidRPr="009A3517">
        <w:t xml:space="preserve"> citizen access to data </w:t>
      </w:r>
      <w:r w:rsidR="003C49D6">
        <w:t xml:space="preserve">for </w:t>
      </w:r>
      <w:r w:rsidR="008B7B34" w:rsidRPr="009A3517">
        <w:t xml:space="preserve">feedback and learning. </w:t>
      </w:r>
    </w:p>
    <w:p w14:paraId="3C0ACC50" w14:textId="395A2B22" w:rsidR="009F2B45" w:rsidRDefault="00482ADC" w:rsidP="0091094F">
      <w:pPr>
        <w:numPr>
          <w:ilvl w:val="0"/>
          <w:numId w:val="18"/>
        </w:numPr>
        <w:tabs>
          <w:tab w:val="left" w:pos="1710"/>
        </w:tabs>
        <w:spacing w:after="120"/>
        <w:ind w:left="1260" w:right="1195" w:firstLine="0"/>
        <w:jc w:val="both"/>
      </w:pPr>
      <w:bookmarkStart w:id="2" w:name="_Hlk70365290"/>
      <w:r w:rsidRPr="00482ADC">
        <w:t xml:space="preserve">UNDP will work with </w:t>
      </w:r>
      <w:r w:rsidR="003C2AAB">
        <w:t>U</w:t>
      </w:r>
      <w:r w:rsidR="006F6127">
        <w:t xml:space="preserve">nited </w:t>
      </w:r>
      <w:r w:rsidR="003C2AAB">
        <w:t>N</w:t>
      </w:r>
      <w:r w:rsidR="006F6127">
        <w:t>ations organizations</w:t>
      </w:r>
      <w:r w:rsidRPr="00482ADC">
        <w:t xml:space="preserve"> and </w:t>
      </w:r>
      <w:r w:rsidR="007162CE">
        <w:t xml:space="preserve">other </w:t>
      </w:r>
      <w:r w:rsidRPr="00482ADC">
        <w:t>development partners to address data gaps</w:t>
      </w:r>
      <w:r w:rsidR="00AE6F4C">
        <w:t xml:space="preserve"> </w:t>
      </w:r>
      <w:r w:rsidR="003C49D6">
        <w:t>crucial</w:t>
      </w:r>
      <w:r w:rsidR="003C49D6" w:rsidRPr="00482ADC">
        <w:t xml:space="preserve"> </w:t>
      </w:r>
      <w:r w:rsidRPr="00482ADC">
        <w:t xml:space="preserve">for national development </w:t>
      </w:r>
      <w:r w:rsidRPr="009A3517">
        <w:t>plan</w:t>
      </w:r>
      <w:r w:rsidR="007162CE" w:rsidRPr="009A3517">
        <w:t>ning</w:t>
      </w:r>
      <w:r w:rsidRPr="009A3517">
        <w:t>.</w:t>
      </w:r>
      <w:r w:rsidR="00A410C3">
        <w:t xml:space="preserve"> </w:t>
      </w:r>
      <w:bookmarkEnd w:id="2"/>
      <w:r w:rsidRPr="00022523">
        <w:t xml:space="preserve">UNDP will </w:t>
      </w:r>
      <w:r w:rsidR="00F04881" w:rsidRPr="00022523">
        <w:t xml:space="preserve">promote inclusive </w:t>
      </w:r>
      <w:r w:rsidRPr="00022523">
        <w:t xml:space="preserve">access to </w:t>
      </w:r>
      <w:r w:rsidR="00F04881" w:rsidRPr="00022523">
        <w:t xml:space="preserve">timely and effective </w:t>
      </w:r>
      <w:r w:rsidRPr="00022523">
        <w:t xml:space="preserve">justice through </w:t>
      </w:r>
      <w:r w:rsidR="00E320CE">
        <w:t>support to</w:t>
      </w:r>
      <w:r w:rsidRPr="00022523">
        <w:t xml:space="preserve"> e-justice</w:t>
      </w:r>
      <w:r w:rsidR="001B2A00" w:rsidRPr="00022523">
        <w:t xml:space="preserve"> system</w:t>
      </w:r>
      <w:r w:rsidR="00E320CE">
        <w:t>s</w:t>
      </w:r>
      <w:r w:rsidRPr="00022523">
        <w:t xml:space="preserve">, community </w:t>
      </w:r>
      <w:r w:rsidR="003C2AAB" w:rsidRPr="00022523">
        <w:t>c</w:t>
      </w:r>
      <w:r w:rsidRPr="00022523">
        <w:t>ourts</w:t>
      </w:r>
      <w:r w:rsidR="00F04881" w:rsidRPr="00022523">
        <w:t xml:space="preserve"> and </w:t>
      </w:r>
      <w:r w:rsidRPr="00022523">
        <w:t>paralegal services</w:t>
      </w:r>
      <w:r w:rsidR="00F04881" w:rsidRPr="00022523">
        <w:t xml:space="preserve">. </w:t>
      </w:r>
      <w:r w:rsidR="00EF46C5">
        <w:t>More</w:t>
      </w:r>
      <w:r w:rsidR="00EF46C5" w:rsidRPr="00022523">
        <w:t xml:space="preserve"> </w:t>
      </w:r>
      <w:r w:rsidR="00D94EFA" w:rsidRPr="00022523">
        <w:t xml:space="preserve">emphasis will be </w:t>
      </w:r>
      <w:r w:rsidR="00EF46C5">
        <w:t>given to</w:t>
      </w:r>
      <w:r w:rsidR="00D94EFA" w:rsidRPr="00022523">
        <w:t xml:space="preserve"> strengthening the technical and financial capabilities of the office of the Attorney General and </w:t>
      </w:r>
      <w:r w:rsidR="00CF1FCA">
        <w:t xml:space="preserve">law </w:t>
      </w:r>
      <w:r w:rsidR="00D94EFA" w:rsidRPr="00022523">
        <w:t xml:space="preserve">enforcement institutions to improve transparency and accountability. </w:t>
      </w:r>
    </w:p>
    <w:p w14:paraId="3C194769" w14:textId="606CF575" w:rsidR="00482ADC" w:rsidRPr="00022523" w:rsidRDefault="00482ADC" w:rsidP="0091094F">
      <w:pPr>
        <w:numPr>
          <w:ilvl w:val="0"/>
          <w:numId w:val="18"/>
        </w:numPr>
        <w:tabs>
          <w:tab w:val="left" w:pos="1710"/>
        </w:tabs>
        <w:spacing w:after="120"/>
        <w:ind w:left="1260" w:right="1195" w:firstLine="0"/>
        <w:jc w:val="both"/>
      </w:pPr>
      <w:r w:rsidRPr="00022523">
        <w:t xml:space="preserve">UNDP </w:t>
      </w:r>
      <w:r w:rsidR="00F04881" w:rsidRPr="00022523">
        <w:t xml:space="preserve">will continue </w:t>
      </w:r>
      <w:r w:rsidR="00882E63" w:rsidRPr="00022523">
        <w:t xml:space="preserve">to </w:t>
      </w:r>
      <w:r w:rsidRPr="00022523">
        <w:t>support</w:t>
      </w:r>
      <w:r w:rsidR="00F04881" w:rsidRPr="00022523">
        <w:t xml:space="preserve"> </w:t>
      </w:r>
      <w:r w:rsidR="00234BB8">
        <w:t xml:space="preserve">national efforts to </w:t>
      </w:r>
      <w:r w:rsidR="006F6127">
        <w:t xml:space="preserve">implement </w:t>
      </w:r>
      <w:r w:rsidR="00234BB8">
        <w:t>the</w:t>
      </w:r>
      <w:r w:rsidR="00234BB8" w:rsidRPr="00234BB8">
        <w:t xml:space="preserve"> Convention on the Elimination of All Forms of Discrimination against Women</w:t>
      </w:r>
      <w:r w:rsidR="00234BB8">
        <w:t xml:space="preserve"> </w:t>
      </w:r>
      <w:r w:rsidR="00CB2CE8">
        <w:t xml:space="preserve">(CEDAW) </w:t>
      </w:r>
      <w:r w:rsidR="00234BB8">
        <w:t xml:space="preserve">and </w:t>
      </w:r>
      <w:r w:rsidRPr="00022523">
        <w:t>prepar</w:t>
      </w:r>
      <w:r w:rsidR="006F6127">
        <w:t>e</w:t>
      </w:r>
      <w:r w:rsidR="00F04881" w:rsidRPr="00022523">
        <w:t xml:space="preserve"> the </w:t>
      </w:r>
      <w:r w:rsidRPr="00022523">
        <w:t>Universal Periodic Review</w:t>
      </w:r>
      <w:r w:rsidR="00F04881" w:rsidRPr="00022523">
        <w:t xml:space="preserve"> </w:t>
      </w:r>
      <w:r w:rsidR="006F6127">
        <w:t>r</w:t>
      </w:r>
      <w:r w:rsidR="00F04881" w:rsidRPr="00022523">
        <w:t>eport</w:t>
      </w:r>
      <w:r w:rsidRPr="00022523">
        <w:t xml:space="preserve">, </w:t>
      </w:r>
      <w:r w:rsidR="00CB2CE8">
        <w:t xml:space="preserve">including </w:t>
      </w:r>
      <w:r w:rsidR="00D85111">
        <w:t>by</w:t>
      </w:r>
      <w:r w:rsidR="006F6127">
        <w:t xml:space="preserve"> </w:t>
      </w:r>
      <w:r w:rsidRPr="00022523">
        <w:t>develop</w:t>
      </w:r>
      <w:r w:rsidR="00D85111">
        <w:t>ing</w:t>
      </w:r>
      <w:r w:rsidRPr="00022523">
        <w:t xml:space="preserve"> implementation plan</w:t>
      </w:r>
      <w:r w:rsidR="004555FC">
        <w:t>s</w:t>
      </w:r>
      <w:r w:rsidRPr="00022523">
        <w:t xml:space="preserve"> and </w:t>
      </w:r>
      <w:r w:rsidR="00D94EFA" w:rsidRPr="00022523">
        <w:t>strengthen</w:t>
      </w:r>
      <w:r w:rsidR="00D85111">
        <w:t>ing</w:t>
      </w:r>
      <w:r w:rsidR="00D94EFA" w:rsidRPr="00022523">
        <w:t xml:space="preserve"> </w:t>
      </w:r>
      <w:r w:rsidRPr="00022523">
        <w:t xml:space="preserve">coordination. These are important anchors to advance human rights. </w:t>
      </w:r>
      <w:r w:rsidR="000335C1">
        <w:t xml:space="preserve">In line with </w:t>
      </w:r>
      <w:r w:rsidR="003C49D6">
        <w:t xml:space="preserve">the </w:t>
      </w:r>
      <w:r w:rsidR="000335C1">
        <w:t>Gender Equality Strategy (2018-2021</w:t>
      </w:r>
      <w:r w:rsidR="006F6127">
        <w:t>,</w:t>
      </w:r>
      <w:r w:rsidR="009F2B45">
        <w:t xml:space="preserve"> and</w:t>
      </w:r>
      <w:r w:rsidR="006F6127">
        <w:t xml:space="preserve"> its</w:t>
      </w:r>
      <w:r w:rsidR="009F2B45">
        <w:t xml:space="preserve"> successor</w:t>
      </w:r>
      <w:r w:rsidR="000335C1">
        <w:t xml:space="preserve">), </w:t>
      </w:r>
      <w:r w:rsidRPr="00022523">
        <w:t xml:space="preserve">UNDP will support the </w:t>
      </w:r>
      <w:r w:rsidR="00594FF2">
        <w:t>G</w:t>
      </w:r>
      <w:r w:rsidRPr="00022523">
        <w:t>overnment to produce baseline data on gender, designat</w:t>
      </w:r>
      <w:r w:rsidR="006F6127">
        <w:t>e</w:t>
      </w:r>
      <w:r w:rsidR="00CF1FCA">
        <w:t xml:space="preserve"> and train</w:t>
      </w:r>
      <w:r w:rsidRPr="00022523">
        <w:t xml:space="preserve"> gender focal points in </w:t>
      </w:r>
      <w:r w:rsidR="00882E63" w:rsidRPr="00022523">
        <w:t>g</w:t>
      </w:r>
      <w:r w:rsidRPr="00022523">
        <w:t xml:space="preserve">overnment </w:t>
      </w:r>
      <w:r w:rsidR="00882E63" w:rsidRPr="00022523">
        <w:t>o</w:t>
      </w:r>
      <w:r w:rsidRPr="00022523">
        <w:t>ffices, and advoca</w:t>
      </w:r>
      <w:r w:rsidR="006F6127">
        <w:t>te for</w:t>
      </w:r>
      <w:r w:rsidR="00416220" w:rsidRPr="00022523">
        <w:t xml:space="preserve"> </w:t>
      </w:r>
      <w:r w:rsidRPr="00022523">
        <w:t xml:space="preserve">gender </w:t>
      </w:r>
      <w:r w:rsidR="00416220" w:rsidRPr="00022523">
        <w:t xml:space="preserve">equality </w:t>
      </w:r>
      <w:r w:rsidRPr="00022523">
        <w:t xml:space="preserve">and mainstreaming. </w:t>
      </w:r>
    </w:p>
    <w:p w14:paraId="2771081E" w14:textId="2EAD972D" w:rsidR="00B01504" w:rsidRDefault="00D94EFA" w:rsidP="0091094F">
      <w:pPr>
        <w:numPr>
          <w:ilvl w:val="0"/>
          <w:numId w:val="18"/>
        </w:numPr>
        <w:tabs>
          <w:tab w:val="left" w:pos="1710"/>
        </w:tabs>
        <w:spacing w:after="120"/>
        <w:ind w:left="1260" w:right="1195" w:firstLine="0"/>
        <w:jc w:val="both"/>
      </w:pPr>
      <w:r w:rsidRPr="009F2B45">
        <w:rPr>
          <w:rFonts w:eastAsiaTheme="minorHAnsi"/>
        </w:rPr>
        <w:t xml:space="preserve">UNDP </w:t>
      </w:r>
      <w:r w:rsidR="004D4A1C" w:rsidRPr="009F2B45">
        <w:rPr>
          <w:rFonts w:eastAsiaTheme="minorHAnsi"/>
        </w:rPr>
        <w:t xml:space="preserve">will contribute to </w:t>
      </w:r>
      <w:r w:rsidR="00AA68DE">
        <w:rPr>
          <w:rFonts w:eastAsiaTheme="minorHAnsi"/>
        </w:rPr>
        <w:t xml:space="preserve">the </w:t>
      </w:r>
      <w:r w:rsidR="00EE5D13" w:rsidRPr="009F2B45">
        <w:rPr>
          <w:rFonts w:eastAsiaTheme="minorHAnsi"/>
        </w:rPr>
        <w:t xml:space="preserve">Eritrea </w:t>
      </w:r>
      <w:r w:rsidR="004D4A1C" w:rsidRPr="009F2B45">
        <w:rPr>
          <w:rFonts w:eastAsiaTheme="minorHAnsi"/>
        </w:rPr>
        <w:t xml:space="preserve">regional integration agenda through </w:t>
      </w:r>
      <w:r w:rsidRPr="009F2B45">
        <w:rPr>
          <w:rFonts w:eastAsiaTheme="minorHAnsi"/>
        </w:rPr>
        <w:t>trade facilitation</w:t>
      </w:r>
      <w:r w:rsidR="004D4A1C" w:rsidRPr="009F2B45">
        <w:rPr>
          <w:rFonts w:eastAsiaTheme="minorHAnsi"/>
        </w:rPr>
        <w:t>, logistics</w:t>
      </w:r>
      <w:r w:rsidR="00182FBF" w:rsidRPr="009F2B45">
        <w:rPr>
          <w:rFonts w:eastAsiaTheme="minorHAnsi"/>
        </w:rPr>
        <w:t xml:space="preserve"> support</w:t>
      </w:r>
      <w:r w:rsidR="004D4A1C" w:rsidRPr="009F2B45">
        <w:rPr>
          <w:rFonts w:eastAsiaTheme="minorHAnsi"/>
        </w:rPr>
        <w:t xml:space="preserve"> and capacity</w:t>
      </w:r>
      <w:r w:rsidR="006F6127">
        <w:rPr>
          <w:rFonts w:eastAsiaTheme="minorHAnsi"/>
        </w:rPr>
        <w:t>-</w:t>
      </w:r>
      <w:r w:rsidR="004D4A1C" w:rsidRPr="009F2B45">
        <w:rPr>
          <w:rFonts w:eastAsiaTheme="minorHAnsi"/>
        </w:rPr>
        <w:t xml:space="preserve">building </w:t>
      </w:r>
      <w:r w:rsidR="00CF1FCA" w:rsidRPr="009F2B45">
        <w:rPr>
          <w:rFonts w:eastAsiaTheme="minorHAnsi"/>
        </w:rPr>
        <w:t>to</w:t>
      </w:r>
      <w:r w:rsidR="00482ADC" w:rsidRPr="009F2B45">
        <w:rPr>
          <w:rFonts w:eastAsiaTheme="minorHAnsi"/>
        </w:rPr>
        <w:t xml:space="preserve"> </w:t>
      </w:r>
      <w:r w:rsidR="00482ADC" w:rsidRPr="00022523">
        <w:t>maximize efficiency</w:t>
      </w:r>
      <w:r w:rsidR="00EE5D13" w:rsidRPr="00022523">
        <w:t xml:space="preserve"> and competitiveness</w:t>
      </w:r>
      <w:r w:rsidR="00482ADC" w:rsidRPr="00022523">
        <w:t xml:space="preserve"> in customs clearance and improve the quality of international trade data</w:t>
      </w:r>
      <w:r w:rsidR="004D4A1C" w:rsidRPr="00022523">
        <w:t>.</w:t>
      </w:r>
      <w:r w:rsidR="00AC135F" w:rsidRPr="00022523">
        <w:t xml:space="preserve"> </w:t>
      </w:r>
      <w:bookmarkStart w:id="3" w:name="_Hlk70365324"/>
      <w:r w:rsidR="00482ADC" w:rsidRPr="00022523">
        <w:t xml:space="preserve">UNDP will </w:t>
      </w:r>
      <w:r w:rsidR="00EE5D13" w:rsidRPr="00022523">
        <w:t xml:space="preserve">partner with </w:t>
      </w:r>
      <w:r w:rsidR="006F6127">
        <w:t>the International Organization for Migration</w:t>
      </w:r>
      <w:r w:rsidR="00EE5D13" w:rsidRPr="00022523">
        <w:t xml:space="preserve"> </w:t>
      </w:r>
      <w:r w:rsidR="00045610">
        <w:t xml:space="preserve">(IOM) </w:t>
      </w:r>
      <w:r w:rsidR="00EE5D13" w:rsidRPr="00022523">
        <w:t>to support the development</w:t>
      </w:r>
      <w:r w:rsidR="00A36F70" w:rsidRPr="00022523">
        <w:t xml:space="preserve"> of</w:t>
      </w:r>
      <w:r w:rsidR="00EE5D13" w:rsidRPr="00022523">
        <w:t xml:space="preserve"> a </w:t>
      </w:r>
      <w:r w:rsidR="006F6127">
        <w:t>d</w:t>
      </w:r>
      <w:r w:rsidR="00EE5D13" w:rsidRPr="00022523">
        <w:t xml:space="preserve">iaspora </w:t>
      </w:r>
      <w:r w:rsidR="006F6127">
        <w:t>p</w:t>
      </w:r>
      <w:r w:rsidR="00A36F70" w:rsidRPr="00022523">
        <w:t>olicy/</w:t>
      </w:r>
      <w:r w:rsidR="006F6127">
        <w:t>s</w:t>
      </w:r>
      <w:r w:rsidR="00EE5D13" w:rsidRPr="00022523">
        <w:t xml:space="preserve">trategy </w:t>
      </w:r>
      <w:r w:rsidR="00B01504">
        <w:t xml:space="preserve">and </w:t>
      </w:r>
      <w:r w:rsidR="00B01504" w:rsidRPr="00022523">
        <w:t>a policy framework on diaspora investments, bonds and remittances</w:t>
      </w:r>
      <w:r w:rsidR="00B01504">
        <w:t xml:space="preserve">. </w:t>
      </w:r>
      <w:r w:rsidR="00B01504" w:rsidRPr="00022523">
        <w:t xml:space="preserve">This will </w:t>
      </w:r>
      <w:r w:rsidR="00B01504">
        <w:t>harness</w:t>
      </w:r>
      <w:r w:rsidR="00B01504" w:rsidRPr="00022523">
        <w:t xml:space="preserve"> </w:t>
      </w:r>
      <w:r w:rsidR="00737085">
        <w:t xml:space="preserve">the </w:t>
      </w:r>
      <w:r w:rsidR="00B01504" w:rsidRPr="00022523">
        <w:t xml:space="preserve">knowledge of Eritrean professionals </w:t>
      </w:r>
      <w:r w:rsidR="00737085">
        <w:t>around the world</w:t>
      </w:r>
      <w:r w:rsidR="00B01504" w:rsidRPr="00022523">
        <w:t xml:space="preserve"> to strengthen capacities in ministries and </w:t>
      </w:r>
      <w:r w:rsidR="00CF5A33">
        <w:t>public</w:t>
      </w:r>
      <w:r w:rsidR="00B01504" w:rsidRPr="00022523">
        <w:t xml:space="preserve"> institutions</w:t>
      </w:r>
      <w:r w:rsidR="00CF5A33">
        <w:t xml:space="preserve">, including </w:t>
      </w:r>
      <w:r w:rsidR="00B01504" w:rsidRPr="00022523">
        <w:t>mobilization of financial resources for development.</w:t>
      </w:r>
    </w:p>
    <w:bookmarkEnd w:id="3"/>
    <w:p w14:paraId="79CA1AC1" w14:textId="77777777" w:rsidR="00E536CE" w:rsidRDefault="00E536CE">
      <w:pPr>
        <w:rPr>
          <w:rFonts w:eastAsiaTheme="minorHAnsi"/>
          <w:b/>
          <w:bCs/>
          <w:color w:val="000000"/>
          <w:lang w:val="en-GB"/>
        </w:rPr>
      </w:pPr>
      <w:r>
        <w:rPr>
          <w:rFonts w:eastAsiaTheme="minorHAnsi"/>
          <w:b/>
          <w:bCs/>
          <w:color w:val="000000"/>
          <w:lang w:val="en-GB"/>
        </w:rPr>
        <w:br w:type="page"/>
      </w:r>
    </w:p>
    <w:p w14:paraId="37DDFCFB" w14:textId="7491006C" w:rsidR="00506BE6" w:rsidRPr="009A3517" w:rsidRDefault="00506BE6" w:rsidP="0091094F">
      <w:pPr>
        <w:tabs>
          <w:tab w:val="left" w:pos="1710"/>
        </w:tabs>
        <w:spacing w:after="120"/>
        <w:ind w:left="1260" w:right="1195"/>
        <w:rPr>
          <w:rFonts w:eastAsiaTheme="minorHAnsi"/>
          <w:b/>
          <w:bCs/>
          <w:color w:val="000000"/>
          <w:lang w:val="en-GB"/>
        </w:rPr>
      </w:pPr>
      <w:r w:rsidRPr="009A3517">
        <w:rPr>
          <w:rFonts w:eastAsiaTheme="minorHAnsi"/>
          <w:b/>
          <w:bCs/>
          <w:color w:val="000000"/>
          <w:lang w:val="en-GB"/>
        </w:rPr>
        <w:lastRenderedPageBreak/>
        <w:t>Pillar</w:t>
      </w:r>
      <w:r w:rsidR="00567CE3" w:rsidRPr="009A3517">
        <w:rPr>
          <w:rFonts w:eastAsiaTheme="minorHAnsi"/>
          <w:b/>
          <w:bCs/>
          <w:color w:val="000000"/>
          <w:lang w:val="en-GB"/>
        </w:rPr>
        <w:t xml:space="preserve"> </w:t>
      </w:r>
      <w:r w:rsidR="0027643A">
        <w:rPr>
          <w:rFonts w:eastAsiaTheme="minorHAnsi"/>
          <w:b/>
          <w:bCs/>
          <w:color w:val="000000"/>
          <w:lang w:val="en-GB"/>
        </w:rPr>
        <w:t>II</w:t>
      </w:r>
      <w:r w:rsidRPr="009A3517">
        <w:rPr>
          <w:rFonts w:eastAsiaTheme="minorHAnsi"/>
          <w:b/>
          <w:bCs/>
          <w:color w:val="000000"/>
          <w:lang w:val="en-GB"/>
        </w:rPr>
        <w:t xml:space="preserve">: Inclusive, </w:t>
      </w:r>
      <w:r w:rsidR="0027643A">
        <w:rPr>
          <w:rFonts w:eastAsiaTheme="minorHAnsi"/>
          <w:b/>
          <w:bCs/>
          <w:color w:val="000000"/>
          <w:lang w:val="en-GB"/>
        </w:rPr>
        <w:t>d</w:t>
      </w:r>
      <w:r w:rsidRPr="009A3517">
        <w:rPr>
          <w:rFonts w:eastAsiaTheme="minorHAnsi"/>
          <w:b/>
          <w:bCs/>
          <w:color w:val="000000"/>
          <w:lang w:val="en-GB"/>
        </w:rPr>
        <w:t>iversified</w:t>
      </w:r>
      <w:r w:rsidR="00855A77">
        <w:rPr>
          <w:rFonts w:eastAsiaTheme="minorHAnsi"/>
          <w:b/>
          <w:bCs/>
          <w:color w:val="000000"/>
          <w:lang w:val="en-GB"/>
        </w:rPr>
        <w:t xml:space="preserve">, </w:t>
      </w:r>
      <w:r w:rsidR="0027643A">
        <w:rPr>
          <w:rFonts w:eastAsiaTheme="minorHAnsi"/>
          <w:b/>
          <w:bCs/>
          <w:color w:val="000000"/>
          <w:lang w:val="en-GB"/>
        </w:rPr>
        <w:t>g</w:t>
      </w:r>
      <w:r w:rsidR="00855A77">
        <w:rPr>
          <w:rFonts w:eastAsiaTheme="minorHAnsi"/>
          <w:b/>
          <w:bCs/>
          <w:color w:val="000000"/>
          <w:lang w:val="en-GB"/>
        </w:rPr>
        <w:t>reen</w:t>
      </w:r>
      <w:r w:rsidRPr="009A3517">
        <w:rPr>
          <w:rFonts w:eastAsiaTheme="minorHAnsi"/>
          <w:b/>
          <w:bCs/>
          <w:color w:val="000000"/>
          <w:lang w:val="en-GB"/>
        </w:rPr>
        <w:t xml:space="preserve"> and </w:t>
      </w:r>
      <w:r w:rsidR="0027643A">
        <w:rPr>
          <w:rFonts w:eastAsiaTheme="minorHAnsi"/>
          <w:b/>
          <w:bCs/>
          <w:color w:val="000000"/>
          <w:lang w:val="en-GB"/>
        </w:rPr>
        <w:t>c</w:t>
      </w:r>
      <w:r w:rsidRPr="009A3517">
        <w:rPr>
          <w:rFonts w:eastAsiaTheme="minorHAnsi"/>
          <w:b/>
          <w:bCs/>
          <w:color w:val="000000"/>
          <w:lang w:val="en-GB"/>
        </w:rPr>
        <w:t>limate</w:t>
      </w:r>
      <w:r w:rsidR="0027643A">
        <w:rPr>
          <w:rFonts w:eastAsiaTheme="minorHAnsi"/>
          <w:b/>
          <w:bCs/>
          <w:color w:val="000000"/>
          <w:lang w:val="en-GB"/>
        </w:rPr>
        <w:t>-r</w:t>
      </w:r>
      <w:r w:rsidRPr="009A3517">
        <w:rPr>
          <w:rFonts w:eastAsiaTheme="minorHAnsi"/>
          <w:b/>
          <w:bCs/>
          <w:color w:val="000000"/>
          <w:lang w:val="en-GB"/>
        </w:rPr>
        <w:t xml:space="preserve">esilient </w:t>
      </w:r>
      <w:r w:rsidR="0027643A">
        <w:rPr>
          <w:rFonts w:eastAsiaTheme="minorHAnsi"/>
          <w:b/>
          <w:bCs/>
          <w:color w:val="000000"/>
          <w:lang w:val="en-GB"/>
        </w:rPr>
        <w:t>e</w:t>
      </w:r>
      <w:r w:rsidRPr="009A3517">
        <w:rPr>
          <w:rFonts w:eastAsiaTheme="minorHAnsi"/>
          <w:b/>
          <w:bCs/>
          <w:color w:val="000000"/>
          <w:lang w:val="en-GB"/>
        </w:rPr>
        <w:t xml:space="preserve">conomy </w:t>
      </w:r>
    </w:p>
    <w:p w14:paraId="7BE26CFD" w14:textId="25B9D9A6" w:rsidR="00526B1B" w:rsidRDefault="00A76A23" w:rsidP="0091094F">
      <w:pPr>
        <w:numPr>
          <w:ilvl w:val="0"/>
          <w:numId w:val="18"/>
        </w:numPr>
        <w:tabs>
          <w:tab w:val="left" w:pos="1710"/>
        </w:tabs>
        <w:spacing w:after="120"/>
        <w:ind w:left="1260" w:right="1195" w:firstLine="0"/>
        <w:jc w:val="both"/>
        <w:rPr>
          <w:rFonts w:eastAsiaTheme="minorHAnsi"/>
          <w:color w:val="000000"/>
          <w:lang w:val="en-GB"/>
        </w:rPr>
      </w:pPr>
      <w:r w:rsidRPr="00182FBF">
        <w:rPr>
          <w:rFonts w:eastAsiaTheme="minorHAnsi"/>
          <w:color w:val="000000"/>
          <w:lang w:val="en-GB"/>
        </w:rPr>
        <w:t xml:space="preserve">UNDP’s contribution </w:t>
      </w:r>
      <w:r w:rsidR="00182FBF">
        <w:rPr>
          <w:rFonts w:eastAsiaTheme="minorHAnsi"/>
          <w:color w:val="000000"/>
          <w:lang w:val="en-GB"/>
        </w:rPr>
        <w:t xml:space="preserve">in </w:t>
      </w:r>
      <w:r w:rsidR="006F6127">
        <w:rPr>
          <w:rFonts w:eastAsiaTheme="minorHAnsi"/>
          <w:color w:val="000000"/>
          <w:lang w:val="en-GB"/>
        </w:rPr>
        <w:t>P</w:t>
      </w:r>
      <w:r w:rsidR="00182FBF">
        <w:rPr>
          <w:rFonts w:eastAsiaTheme="minorHAnsi"/>
          <w:color w:val="000000"/>
          <w:lang w:val="en-GB"/>
        </w:rPr>
        <w:t>illar</w:t>
      </w:r>
      <w:r w:rsidR="006F6127">
        <w:rPr>
          <w:rFonts w:eastAsiaTheme="minorHAnsi"/>
          <w:color w:val="000000"/>
          <w:lang w:val="en-GB"/>
        </w:rPr>
        <w:t xml:space="preserve"> </w:t>
      </w:r>
      <w:r w:rsidR="0027643A">
        <w:rPr>
          <w:rFonts w:eastAsiaTheme="minorHAnsi"/>
          <w:color w:val="000000"/>
          <w:lang w:val="en-GB"/>
        </w:rPr>
        <w:t>II</w:t>
      </w:r>
      <w:r w:rsidR="00182FBF">
        <w:rPr>
          <w:rFonts w:eastAsiaTheme="minorHAnsi"/>
          <w:color w:val="000000"/>
          <w:lang w:val="en-GB"/>
        </w:rPr>
        <w:t xml:space="preserve"> </w:t>
      </w:r>
      <w:r w:rsidRPr="00182FBF">
        <w:rPr>
          <w:rFonts w:eastAsiaTheme="minorHAnsi"/>
          <w:color w:val="000000"/>
          <w:lang w:val="en-GB"/>
        </w:rPr>
        <w:t xml:space="preserve">will be </w:t>
      </w:r>
      <w:r w:rsidR="006F6127">
        <w:rPr>
          <w:rFonts w:eastAsiaTheme="minorHAnsi"/>
          <w:color w:val="000000"/>
          <w:lang w:val="en-GB"/>
        </w:rPr>
        <w:t xml:space="preserve">to help </w:t>
      </w:r>
      <w:r w:rsidRPr="00182FBF">
        <w:rPr>
          <w:rFonts w:eastAsiaTheme="minorHAnsi"/>
          <w:color w:val="000000"/>
          <w:lang w:val="en-GB"/>
        </w:rPr>
        <w:t>strengthen public sector institutions for inclusive</w:t>
      </w:r>
      <w:r w:rsidR="00526B1B">
        <w:rPr>
          <w:rFonts w:eastAsiaTheme="minorHAnsi"/>
          <w:color w:val="000000"/>
          <w:lang w:val="en-GB"/>
        </w:rPr>
        <w:t>,</w:t>
      </w:r>
      <w:r w:rsidRPr="00182FBF">
        <w:rPr>
          <w:rFonts w:eastAsiaTheme="minorHAnsi"/>
          <w:color w:val="000000"/>
          <w:lang w:val="en-GB"/>
        </w:rPr>
        <w:t xml:space="preserve"> diversified </w:t>
      </w:r>
      <w:r w:rsidR="00526B1B" w:rsidRPr="00182FBF">
        <w:rPr>
          <w:rFonts w:eastAsiaTheme="minorHAnsi"/>
          <w:color w:val="000000"/>
          <w:lang w:val="en-GB"/>
        </w:rPr>
        <w:t xml:space="preserve">and </w:t>
      </w:r>
      <w:r w:rsidR="00526B1B">
        <w:rPr>
          <w:rFonts w:eastAsiaTheme="minorHAnsi"/>
          <w:color w:val="000000"/>
          <w:lang w:val="en-GB"/>
        </w:rPr>
        <w:t xml:space="preserve">green </w:t>
      </w:r>
      <w:r w:rsidRPr="00182FBF">
        <w:rPr>
          <w:rFonts w:eastAsiaTheme="minorHAnsi"/>
          <w:color w:val="000000"/>
          <w:lang w:val="en-GB"/>
        </w:rPr>
        <w:t xml:space="preserve">growth that is </w:t>
      </w:r>
      <w:r w:rsidR="006F6127">
        <w:rPr>
          <w:rFonts w:eastAsiaTheme="minorHAnsi"/>
          <w:color w:val="000000"/>
          <w:lang w:val="en-GB"/>
        </w:rPr>
        <w:t xml:space="preserve">responsive to </w:t>
      </w:r>
      <w:r w:rsidRPr="00182FBF">
        <w:rPr>
          <w:rFonts w:eastAsiaTheme="minorHAnsi"/>
          <w:color w:val="000000"/>
          <w:lang w:val="en-GB"/>
        </w:rPr>
        <w:t xml:space="preserve">climate change. </w:t>
      </w:r>
      <w:r w:rsidR="006F6127">
        <w:rPr>
          <w:rFonts w:eastAsiaTheme="minorHAnsi"/>
          <w:color w:val="000000"/>
          <w:lang w:val="en-GB"/>
        </w:rPr>
        <w:t>It</w:t>
      </w:r>
      <w:r w:rsidR="006F6127" w:rsidRPr="00182FBF">
        <w:rPr>
          <w:rFonts w:eastAsiaTheme="minorHAnsi"/>
          <w:color w:val="000000"/>
          <w:lang w:val="en-GB"/>
        </w:rPr>
        <w:t xml:space="preserve"> </w:t>
      </w:r>
      <w:r w:rsidRPr="00DB6A2F">
        <w:rPr>
          <w:rFonts w:eastAsiaTheme="minorHAnsi"/>
          <w:color w:val="000000"/>
          <w:lang w:val="en-GB"/>
        </w:rPr>
        <w:t>will</w:t>
      </w:r>
      <w:r w:rsidR="006F6127">
        <w:rPr>
          <w:rFonts w:eastAsiaTheme="minorHAnsi"/>
          <w:color w:val="000000"/>
          <w:lang w:val="en-GB"/>
        </w:rPr>
        <w:t xml:space="preserve"> help</w:t>
      </w:r>
      <w:r w:rsidR="00B5105F" w:rsidRPr="00DB6A2F">
        <w:rPr>
          <w:rFonts w:eastAsiaTheme="minorHAnsi"/>
          <w:color w:val="000000"/>
          <w:lang w:val="en-GB"/>
        </w:rPr>
        <w:t xml:space="preserve"> </w:t>
      </w:r>
      <w:r w:rsidR="00506BE6" w:rsidRPr="00DB6A2F">
        <w:rPr>
          <w:rFonts w:eastAsiaTheme="minorHAnsi"/>
          <w:color w:val="000000"/>
          <w:lang w:val="en-GB"/>
        </w:rPr>
        <w:t xml:space="preserve">public sector institutions </w:t>
      </w:r>
      <w:r w:rsidR="006F6127">
        <w:rPr>
          <w:rFonts w:eastAsiaTheme="minorHAnsi"/>
          <w:color w:val="000000"/>
          <w:lang w:val="en-GB"/>
        </w:rPr>
        <w:t xml:space="preserve">in </w:t>
      </w:r>
      <w:r w:rsidR="00506BE6" w:rsidRPr="00DB6A2F">
        <w:rPr>
          <w:rFonts w:eastAsiaTheme="minorHAnsi"/>
          <w:color w:val="000000"/>
          <w:lang w:val="en-GB"/>
        </w:rPr>
        <w:t>develop</w:t>
      </w:r>
      <w:r w:rsidR="006F6127">
        <w:rPr>
          <w:rFonts w:eastAsiaTheme="minorHAnsi"/>
          <w:color w:val="000000"/>
          <w:lang w:val="en-GB"/>
        </w:rPr>
        <w:t>ing</w:t>
      </w:r>
      <w:r w:rsidR="00506BE6" w:rsidRPr="00DB6A2F">
        <w:rPr>
          <w:rFonts w:eastAsiaTheme="minorHAnsi"/>
          <w:color w:val="000000"/>
          <w:lang w:val="en-GB"/>
        </w:rPr>
        <w:t xml:space="preserve"> </w:t>
      </w:r>
      <w:r w:rsidR="00506BE6" w:rsidRPr="00182FBF">
        <w:rPr>
          <w:rFonts w:eastAsiaTheme="minorHAnsi"/>
          <w:color w:val="000000"/>
          <w:lang w:val="en-GB"/>
        </w:rPr>
        <w:t>investment policies and strategies to support micro, small and medium</w:t>
      </w:r>
      <w:r w:rsidR="006F6127">
        <w:rPr>
          <w:rFonts w:eastAsiaTheme="minorHAnsi"/>
          <w:color w:val="000000"/>
          <w:lang w:val="en-GB"/>
        </w:rPr>
        <w:t>-</w:t>
      </w:r>
      <w:r w:rsidR="00506BE6" w:rsidRPr="00182FBF">
        <w:rPr>
          <w:rFonts w:eastAsiaTheme="minorHAnsi"/>
          <w:color w:val="000000"/>
          <w:lang w:val="en-GB"/>
        </w:rPr>
        <w:t>scale enterprises</w:t>
      </w:r>
      <w:r w:rsidR="00B8019A">
        <w:rPr>
          <w:rFonts w:eastAsiaTheme="minorHAnsi"/>
          <w:color w:val="000000"/>
          <w:lang w:val="en-GB"/>
        </w:rPr>
        <w:t xml:space="preserve"> (</w:t>
      </w:r>
      <w:r w:rsidR="00B8019A" w:rsidRPr="00E24A54">
        <w:rPr>
          <w:rFonts w:eastAsiaTheme="minorHAnsi"/>
          <w:color w:val="000000"/>
          <w:lang w:val="en-GB"/>
        </w:rPr>
        <w:t>MSMEs)</w:t>
      </w:r>
      <w:r w:rsidR="009A1AFC" w:rsidRPr="00E24A54">
        <w:rPr>
          <w:rFonts w:eastAsiaTheme="minorHAnsi"/>
          <w:color w:val="000000"/>
          <w:lang w:val="en-GB"/>
        </w:rPr>
        <w:t>,</w:t>
      </w:r>
      <w:r w:rsidR="009A1AFC" w:rsidRPr="00182FBF">
        <w:rPr>
          <w:rFonts w:eastAsiaTheme="minorHAnsi"/>
          <w:color w:val="000000"/>
          <w:lang w:val="en-GB"/>
        </w:rPr>
        <w:t xml:space="preserve"> and within the context of green recovery from COVID-19</w:t>
      </w:r>
      <w:r w:rsidRPr="00182FBF">
        <w:rPr>
          <w:rFonts w:eastAsiaTheme="minorHAnsi"/>
          <w:color w:val="000000"/>
          <w:lang w:val="en-GB"/>
        </w:rPr>
        <w:t>.</w:t>
      </w:r>
      <w:r w:rsidR="00506BE6" w:rsidRPr="00182FBF">
        <w:rPr>
          <w:rFonts w:eastAsiaTheme="minorHAnsi"/>
          <w:color w:val="000000"/>
          <w:lang w:val="en-GB"/>
        </w:rPr>
        <w:t xml:space="preserve"> </w:t>
      </w:r>
      <w:r w:rsidR="00420E40">
        <w:rPr>
          <w:rFonts w:eastAsiaTheme="minorHAnsi"/>
          <w:color w:val="000000"/>
          <w:lang w:val="en-GB"/>
        </w:rPr>
        <w:t>The</w:t>
      </w:r>
      <w:r w:rsidRPr="00182FBF">
        <w:rPr>
          <w:rFonts w:eastAsiaTheme="minorHAnsi"/>
          <w:color w:val="000000"/>
          <w:lang w:val="en-GB"/>
        </w:rPr>
        <w:t xml:space="preserve"> interventions will </w:t>
      </w:r>
      <w:r w:rsidR="00293E9E" w:rsidRPr="00420E40">
        <w:rPr>
          <w:rFonts w:eastAsiaTheme="minorHAnsi"/>
          <w:color w:val="000000"/>
          <w:lang w:val="en-GB"/>
        </w:rPr>
        <w:t xml:space="preserve">also </w:t>
      </w:r>
      <w:r w:rsidRPr="00420E40">
        <w:rPr>
          <w:rFonts w:eastAsiaTheme="minorHAnsi"/>
          <w:color w:val="000000"/>
          <w:lang w:val="en-GB"/>
        </w:rPr>
        <w:t>ensure that</w:t>
      </w:r>
      <w:r w:rsidR="00506BE6" w:rsidRPr="00420E40">
        <w:rPr>
          <w:rFonts w:eastAsiaTheme="minorHAnsi"/>
          <w:color w:val="000000"/>
          <w:lang w:val="en-GB"/>
        </w:rPr>
        <w:t xml:space="preserve"> people</w:t>
      </w:r>
      <w:r w:rsidRPr="00420E40">
        <w:rPr>
          <w:rFonts w:eastAsiaTheme="minorHAnsi"/>
          <w:color w:val="000000"/>
          <w:lang w:val="en-GB"/>
        </w:rPr>
        <w:t xml:space="preserve"> have the capacity</w:t>
      </w:r>
      <w:r w:rsidR="009A0482" w:rsidRPr="00420E40">
        <w:rPr>
          <w:rFonts w:eastAsiaTheme="minorHAnsi"/>
          <w:color w:val="000000"/>
          <w:lang w:val="en-GB"/>
        </w:rPr>
        <w:t xml:space="preserve"> </w:t>
      </w:r>
      <w:r w:rsidR="00506BE6" w:rsidRPr="00420E40">
        <w:rPr>
          <w:rFonts w:eastAsiaTheme="minorHAnsi"/>
          <w:color w:val="000000"/>
          <w:lang w:val="en-GB"/>
        </w:rPr>
        <w:t>to adopt technologies and practices that support economic growth and livelihoods</w:t>
      </w:r>
      <w:r w:rsidR="00AE66BB">
        <w:rPr>
          <w:rFonts w:eastAsiaTheme="minorHAnsi"/>
          <w:color w:val="000000"/>
          <w:lang w:val="en-GB"/>
        </w:rPr>
        <w:t xml:space="preserve"> at local and national level</w:t>
      </w:r>
      <w:r w:rsidR="006F6127">
        <w:rPr>
          <w:rFonts w:eastAsiaTheme="minorHAnsi"/>
          <w:color w:val="000000"/>
          <w:lang w:val="en-GB"/>
        </w:rPr>
        <w:t>s</w:t>
      </w:r>
      <w:r w:rsidRPr="00182FBF">
        <w:rPr>
          <w:rFonts w:eastAsiaTheme="minorHAnsi"/>
          <w:color w:val="000000"/>
          <w:lang w:val="en-GB"/>
        </w:rPr>
        <w:t>.</w:t>
      </w:r>
      <w:r w:rsidR="00506BE6" w:rsidRPr="00182FBF">
        <w:rPr>
          <w:rFonts w:eastAsiaTheme="minorHAnsi"/>
          <w:color w:val="000000"/>
          <w:lang w:val="en-GB"/>
        </w:rPr>
        <w:t xml:space="preserve"> </w:t>
      </w:r>
    </w:p>
    <w:p w14:paraId="09F0F273" w14:textId="77E6EFDE" w:rsidR="0079114B" w:rsidRPr="00526B1B" w:rsidRDefault="00F8269D" w:rsidP="0091094F">
      <w:pPr>
        <w:numPr>
          <w:ilvl w:val="0"/>
          <w:numId w:val="18"/>
        </w:numPr>
        <w:tabs>
          <w:tab w:val="left" w:pos="1710"/>
        </w:tabs>
        <w:spacing w:after="120"/>
        <w:ind w:left="1260" w:right="1195" w:firstLine="0"/>
        <w:jc w:val="both"/>
        <w:rPr>
          <w:rFonts w:eastAsiaTheme="minorHAnsi"/>
          <w:color w:val="000000"/>
          <w:lang w:val="en-GB"/>
        </w:rPr>
      </w:pPr>
      <w:r w:rsidRPr="00526B1B">
        <w:rPr>
          <w:rFonts w:eastAsiaTheme="minorHAnsi"/>
          <w:color w:val="000000"/>
          <w:lang w:val="en-GB"/>
        </w:rPr>
        <w:t xml:space="preserve">Such support will </w:t>
      </w:r>
      <w:r w:rsidR="006F6127">
        <w:rPr>
          <w:rFonts w:eastAsiaTheme="minorHAnsi"/>
          <w:color w:val="000000"/>
          <w:lang w:val="en-GB"/>
        </w:rPr>
        <w:t>aid</w:t>
      </w:r>
      <w:r w:rsidRPr="00526B1B">
        <w:rPr>
          <w:rFonts w:eastAsiaTheme="minorHAnsi"/>
          <w:color w:val="000000"/>
          <w:lang w:val="en-GB"/>
        </w:rPr>
        <w:t xml:space="preserve"> the identification of robust value chain</w:t>
      </w:r>
      <w:r w:rsidR="00FE1C81">
        <w:rPr>
          <w:rFonts w:eastAsiaTheme="minorHAnsi"/>
          <w:color w:val="000000"/>
          <w:lang w:val="en-GB"/>
        </w:rPr>
        <w:t>s</w:t>
      </w:r>
      <w:r w:rsidRPr="00526B1B">
        <w:rPr>
          <w:rFonts w:eastAsiaTheme="minorHAnsi"/>
          <w:color w:val="000000"/>
          <w:lang w:val="en-GB"/>
        </w:rPr>
        <w:t xml:space="preserve"> and market access for </w:t>
      </w:r>
      <w:r w:rsidR="00691371">
        <w:rPr>
          <w:rFonts w:eastAsiaTheme="minorHAnsi"/>
          <w:color w:val="000000"/>
          <w:lang w:val="en-GB"/>
        </w:rPr>
        <w:t>MSMEs</w:t>
      </w:r>
      <w:r w:rsidRPr="00526B1B">
        <w:rPr>
          <w:rFonts w:eastAsiaTheme="minorHAnsi"/>
          <w:color w:val="000000"/>
          <w:lang w:val="en-GB"/>
        </w:rPr>
        <w:t>.</w:t>
      </w:r>
      <w:r w:rsidR="00526B1B" w:rsidRPr="00526B1B">
        <w:rPr>
          <w:rFonts w:eastAsiaTheme="minorHAnsi"/>
          <w:color w:val="000000"/>
          <w:lang w:val="en-GB"/>
        </w:rPr>
        <w:t xml:space="preserve"> </w:t>
      </w:r>
      <w:r w:rsidR="00737085" w:rsidRPr="00737085">
        <w:rPr>
          <w:rFonts w:eastAsiaTheme="minorHAnsi"/>
          <w:color w:val="000000"/>
          <w:lang w:val="en-GB"/>
        </w:rPr>
        <w:t>W</w:t>
      </w:r>
      <w:r w:rsidR="00737085" w:rsidRPr="00DD52CE">
        <w:rPr>
          <w:rFonts w:eastAsiaTheme="minorHAnsi"/>
          <w:color w:val="000000"/>
          <w:lang w:val="en-GB"/>
        </w:rPr>
        <w:t xml:space="preserve">ith </w:t>
      </w:r>
      <w:r w:rsidR="00691371">
        <w:rPr>
          <w:rFonts w:eastAsiaTheme="minorHAnsi"/>
          <w:color w:val="000000"/>
          <w:lang w:val="en-GB"/>
        </w:rPr>
        <w:t xml:space="preserve">the </w:t>
      </w:r>
      <w:r w:rsidR="00737085" w:rsidRPr="00DD52CE">
        <w:rPr>
          <w:rFonts w:eastAsiaTheme="minorHAnsi"/>
          <w:color w:val="000000"/>
          <w:lang w:val="en-GB"/>
        </w:rPr>
        <w:t xml:space="preserve">goal of </w:t>
      </w:r>
      <w:r w:rsidR="006F6127" w:rsidRPr="00DD52CE">
        <w:rPr>
          <w:rFonts w:eastAsiaTheme="minorHAnsi"/>
          <w:color w:val="000000"/>
          <w:lang w:val="en-GB"/>
        </w:rPr>
        <w:t>i</w:t>
      </w:r>
      <w:r w:rsidR="00A76A23" w:rsidRPr="00737085">
        <w:rPr>
          <w:rFonts w:eastAsiaTheme="minorHAnsi"/>
          <w:color w:val="000000"/>
          <w:lang w:val="en-GB"/>
        </w:rPr>
        <w:t>nclusive and diversified growth</w:t>
      </w:r>
      <w:r w:rsidR="00737085" w:rsidRPr="00045610">
        <w:rPr>
          <w:rFonts w:eastAsiaTheme="minorHAnsi"/>
          <w:color w:val="000000"/>
          <w:lang w:val="en-GB"/>
        </w:rPr>
        <w:t xml:space="preserve">, UNDP will work to </w:t>
      </w:r>
      <w:r w:rsidR="00506BE6" w:rsidRPr="00737085">
        <w:rPr>
          <w:rFonts w:eastAsiaTheme="minorHAnsi"/>
          <w:color w:val="000000"/>
          <w:lang w:val="en-GB"/>
        </w:rPr>
        <w:t>enabl</w:t>
      </w:r>
      <w:r w:rsidR="00737085" w:rsidRPr="00045610">
        <w:rPr>
          <w:rFonts w:eastAsiaTheme="minorHAnsi"/>
          <w:color w:val="000000"/>
          <w:lang w:val="en-GB"/>
        </w:rPr>
        <w:t>e rural</w:t>
      </w:r>
      <w:r w:rsidR="00506BE6" w:rsidRPr="00737085">
        <w:rPr>
          <w:rFonts w:eastAsiaTheme="minorHAnsi"/>
          <w:color w:val="000000"/>
          <w:lang w:val="en-GB"/>
        </w:rPr>
        <w:t xml:space="preserve"> men and women</w:t>
      </w:r>
      <w:r w:rsidR="001B2A00" w:rsidRPr="00737085">
        <w:rPr>
          <w:rFonts w:eastAsiaTheme="minorHAnsi"/>
          <w:color w:val="000000"/>
          <w:lang w:val="en-GB"/>
        </w:rPr>
        <w:t xml:space="preserve"> of all ages</w:t>
      </w:r>
      <w:r w:rsidR="00506BE6" w:rsidRPr="00737085">
        <w:rPr>
          <w:rFonts w:eastAsiaTheme="minorHAnsi"/>
          <w:color w:val="000000"/>
          <w:lang w:val="en-GB"/>
        </w:rPr>
        <w:t xml:space="preserve"> to </w:t>
      </w:r>
      <w:r w:rsidRPr="00737085">
        <w:rPr>
          <w:rFonts w:eastAsiaTheme="minorHAnsi"/>
          <w:color w:val="000000"/>
          <w:lang w:val="en-GB"/>
        </w:rPr>
        <w:t>equitably access</w:t>
      </w:r>
      <w:r w:rsidR="006F6127" w:rsidRPr="00737085">
        <w:rPr>
          <w:rFonts w:eastAsiaTheme="minorHAnsi"/>
          <w:color w:val="000000"/>
          <w:lang w:val="en-GB"/>
        </w:rPr>
        <w:t xml:space="preserve"> and</w:t>
      </w:r>
      <w:r w:rsidRPr="00737085">
        <w:rPr>
          <w:rFonts w:eastAsiaTheme="minorHAnsi"/>
          <w:color w:val="000000"/>
          <w:lang w:val="en-GB"/>
        </w:rPr>
        <w:t xml:space="preserve"> sustainably </w:t>
      </w:r>
      <w:r w:rsidR="00506BE6" w:rsidRPr="00737085">
        <w:rPr>
          <w:rFonts w:eastAsiaTheme="minorHAnsi"/>
          <w:color w:val="000000"/>
          <w:lang w:val="en-GB"/>
        </w:rPr>
        <w:t xml:space="preserve">utilize natural resources </w:t>
      </w:r>
      <w:r w:rsidR="00737085" w:rsidRPr="00045610">
        <w:rPr>
          <w:rFonts w:eastAsiaTheme="minorHAnsi"/>
          <w:color w:val="000000"/>
          <w:lang w:val="en-GB"/>
        </w:rPr>
        <w:t>to</w:t>
      </w:r>
      <w:r w:rsidRPr="00737085">
        <w:rPr>
          <w:rFonts w:eastAsiaTheme="minorHAnsi"/>
          <w:color w:val="000000"/>
          <w:lang w:val="en-GB"/>
        </w:rPr>
        <w:t xml:space="preserve"> </w:t>
      </w:r>
      <w:r w:rsidR="00506BE6" w:rsidRPr="00DD52CE">
        <w:rPr>
          <w:rFonts w:eastAsiaTheme="minorHAnsi"/>
          <w:color w:val="000000"/>
          <w:lang w:val="en-GB"/>
        </w:rPr>
        <w:t>improve</w:t>
      </w:r>
      <w:r w:rsidRPr="00737085">
        <w:rPr>
          <w:rFonts w:eastAsiaTheme="minorHAnsi"/>
          <w:color w:val="000000"/>
          <w:lang w:val="en-GB"/>
        </w:rPr>
        <w:t xml:space="preserve"> their</w:t>
      </w:r>
      <w:r w:rsidR="00506BE6" w:rsidRPr="00737085">
        <w:rPr>
          <w:rFonts w:eastAsiaTheme="minorHAnsi"/>
          <w:color w:val="000000"/>
          <w:lang w:val="en-GB"/>
        </w:rPr>
        <w:t xml:space="preserve"> livelihoods</w:t>
      </w:r>
      <w:r w:rsidR="00CF1FCA" w:rsidRPr="00737085">
        <w:rPr>
          <w:rFonts w:eastAsiaTheme="minorHAnsi"/>
          <w:color w:val="000000"/>
          <w:lang w:val="en-GB"/>
        </w:rPr>
        <w:t>.</w:t>
      </w:r>
      <w:r w:rsidR="00CF1FCA" w:rsidRPr="00526B1B">
        <w:rPr>
          <w:rFonts w:eastAsiaTheme="minorHAnsi"/>
          <w:color w:val="000000"/>
          <w:lang w:val="en-GB"/>
        </w:rPr>
        <w:t xml:space="preserve"> </w:t>
      </w:r>
      <w:r w:rsidR="007D6361">
        <w:rPr>
          <w:rFonts w:eastAsiaTheme="minorHAnsi"/>
          <w:color w:val="000000"/>
          <w:lang w:val="en-GB"/>
        </w:rPr>
        <w:t>Protecting</w:t>
      </w:r>
      <w:r w:rsidRPr="00526B1B">
        <w:rPr>
          <w:rFonts w:eastAsiaTheme="minorHAnsi"/>
          <w:color w:val="000000"/>
          <w:lang w:val="en-GB"/>
        </w:rPr>
        <w:t xml:space="preserve"> </w:t>
      </w:r>
      <w:r w:rsidR="00B8019A">
        <w:rPr>
          <w:rFonts w:eastAsiaTheme="minorHAnsi"/>
          <w:color w:val="000000"/>
          <w:lang w:val="en-GB"/>
        </w:rPr>
        <w:t xml:space="preserve">natural </w:t>
      </w:r>
      <w:r w:rsidRPr="00526B1B">
        <w:rPr>
          <w:rFonts w:eastAsiaTheme="minorHAnsi"/>
          <w:color w:val="000000"/>
          <w:lang w:val="en-GB"/>
        </w:rPr>
        <w:t xml:space="preserve">resources </w:t>
      </w:r>
      <w:r w:rsidR="00A76A23" w:rsidRPr="00526B1B">
        <w:rPr>
          <w:rFonts w:eastAsiaTheme="minorHAnsi"/>
          <w:color w:val="000000"/>
          <w:lang w:val="en-GB"/>
        </w:rPr>
        <w:t xml:space="preserve">will be a </w:t>
      </w:r>
      <w:r w:rsidR="007D6361">
        <w:rPr>
          <w:rFonts w:eastAsiaTheme="minorHAnsi"/>
          <w:color w:val="000000"/>
          <w:lang w:val="en-GB"/>
        </w:rPr>
        <w:t>crucial</w:t>
      </w:r>
      <w:r w:rsidR="007D6361" w:rsidRPr="00526B1B">
        <w:rPr>
          <w:rFonts w:eastAsiaTheme="minorHAnsi"/>
          <w:color w:val="000000"/>
          <w:lang w:val="en-GB"/>
        </w:rPr>
        <w:t xml:space="preserve"> </w:t>
      </w:r>
      <w:r w:rsidR="006F6127">
        <w:rPr>
          <w:rFonts w:eastAsiaTheme="minorHAnsi"/>
          <w:color w:val="000000"/>
          <w:lang w:val="en-GB"/>
        </w:rPr>
        <w:t>element</w:t>
      </w:r>
      <w:r w:rsidR="006F6127" w:rsidRPr="00526B1B">
        <w:rPr>
          <w:rFonts w:eastAsiaTheme="minorHAnsi"/>
          <w:color w:val="000000"/>
          <w:lang w:val="en-GB"/>
        </w:rPr>
        <w:t xml:space="preserve"> </w:t>
      </w:r>
      <w:r w:rsidR="00A76A23" w:rsidRPr="00526B1B">
        <w:rPr>
          <w:rFonts w:eastAsiaTheme="minorHAnsi"/>
          <w:color w:val="000000"/>
          <w:lang w:val="en-GB"/>
        </w:rPr>
        <w:t>of this pillar.</w:t>
      </w:r>
      <w:r w:rsidR="00B5105F" w:rsidRPr="00526B1B">
        <w:rPr>
          <w:rFonts w:eastAsiaTheme="minorHAnsi"/>
          <w:color w:val="000000"/>
          <w:lang w:val="en-GB"/>
        </w:rPr>
        <w:t xml:space="preserve"> </w:t>
      </w:r>
      <w:r w:rsidR="0091545E" w:rsidRPr="00526B1B">
        <w:rPr>
          <w:rFonts w:eastAsiaTheme="minorHAnsi"/>
          <w:color w:val="000000"/>
          <w:lang w:val="en-GB"/>
        </w:rPr>
        <w:t xml:space="preserve">UNDP will provide policy and programmatic support </w:t>
      </w:r>
      <w:r w:rsidR="006F6127">
        <w:rPr>
          <w:rFonts w:eastAsiaTheme="minorHAnsi"/>
          <w:color w:val="000000"/>
          <w:lang w:val="en-GB"/>
        </w:rPr>
        <w:t>for</w:t>
      </w:r>
      <w:r w:rsidR="006F6127" w:rsidRPr="00526B1B">
        <w:rPr>
          <w:rFonts w:eastAsiaTheme="minorHAnsi"/>
          <w:color w:val="000000"/>
          <w:lang w:val="en-GB"/>
        </w:rPr>
        <w:t xml:space="preserve"> </w:t>
      </w:r>
      <w:r w:rsidR="0091545E" w:rsidRPr="00526B1B">
        <w:rPr>
          <w:rFonts w:eastAsiaTheme="minorHAnsi"/>
          <w:color w:val="000000"/>
          <w:lang w:val="en-GB"/>
        </w:rPr>
        <w:t>i</w:t>
      </w:r>
      <w:r w:rsidR="00506BE6" w:rsidRPr="00526B1B">
        <w:rPr>
          <w:rFonts w:eastAsiaTheme="minorHAnsi"/>
          <w:color w:val="000000"/>
          <w:lang w:val="en-GB"/>
        </w:rPr>
        <w:t>mprov</w:t>
      </w:r>
      <w:r w:rsidR="006F6127">
        <w:rPr>
          <w:rFonts w:eastAsiaTheme="minorHAnsi"/>
          <w:color w:val="000000"/>
          <w:lang w:val="en-GB"/>
        </w:rPr>
        <w:t>ing</w:t>
      </w:r>
      <w:r w:rsidR="00506BE6" w:rsidRPr="00526B1B">
        <w:rPr>
          <w:rFonts w:eastAsiaTheme="minorHAnsi"/>
          <w:color w:val="000000"/>
          <w:lang w:val="en-GB"/>
        </w:rPr>
        <w:t xml:space="preserve"> access to equitable, affordable</w:t>
      </w:r>
      <w:r w:rsidR="006F6127">
        <w:rPr>
          <w:rFonts w:eastAsiaTheme="minorHAnsi"/>
          <w:color w:val="000000"/>
          <w:lang w:val="en-GB"/>
        </w:rPr>
        <w:t xml:space="preserve"> and</w:t>
      </w:r>
      <w:r w:rsidR="00506BE6" w:rsidRPr="00526B1B">
        <w:rPr>
          <w:rFonts w:eastAsiaTheme="minorHAnsi"/>
          <w:color w:val="000000"/>
          <w:lang w:val="en-GB"/>
        </w:rPr>
        <w:t xml:space="preserve"> efficient renewable and clean energy</w:t>
      </w:r>
      <w:r w:rsidR="00FE1C81">
        <w:rPr>
          <w:rFonts w:eastAsiaTheme="minorHAnsi"/>
          <w:color w:val="000000"/>
          <w:lang w:val="en-GB"/>
        </w:rPr>
        <w:t>,</w:t>
      </w:r>
      <w:r w:rsidR="001C2E09" w:rsidRPr="00526B1B">
        <w:rPr>
          <w:rFonts w:eastAsiaTheme="minorHAnsi"/>
          <w:color w:val="000000"/>
          <w:lang w:val="en-GB"/>
        </w:rPr>
        <w:t xml:space="preserve"> </w:t>
      </w:r>
      <w:r w:rsidR="006F6127">
        <w:rPr>
          <w:rFonts w:eastAsiaTheme="minorHAnsi"/>
          <w:color w:val="000000"/>
          <w:lang w:val="en-GB"/>
        </w:rPr>
        <w:t>enabling</w:t>
      </w:r>
      <w:r w:rsidR="00506BE6" w:rsidRPr="00526B1B">
        <w:rPr>
          <w:rFonts w:eastAsiaTheme="minorHAnsi"/>
          <w:color w:val="000000"/>
          <w:lang w:val="en-GB"/>
        </w:rPr>
        <w:t xml:space="preserve"> communities to respond and adapt to risks and shocks</w:t>
      </w:r>
      <w:r w:rsidR="006F6127">
        <w:rPr>
          <w:rFonts w:eastAsiaTheme="minorHAnsi"/>
          <w:color w:val="000000"/>
          <w:lang w:val="en-GB"/>
        </w:rPr>
        <w:t xml:space="preserve"> induced by climate change</w:t>
      </w:r>
      <w:r w:rsidR="00506BE6" w:rsidRPr="00526B1B">
        <w:rPr>
          <w:rFonts w:eastAsiaTheme="minorHAnsi"/>
          <w:color w:val="000000"/>
          <w:lang w:val="en-GB"/>
        </w:rPr>
        <w:t>.</w:t>
      </w:r>
      <w:r w:rsidR="00293E9E" w:rsidRPr="00526B1B">
        <w:rPr>
          <w:rFonts w:eastAsiaTheme="minorHAnsi"/>
          <w:color w:val="000000"/>
          <w:lang w:val="en-GB"/>
        </w:rPr>
        <w:t xml:space="preserve">  </w:t>
      </w:r>
    </w:p>
    <w:p w14:paraId="15D1125D" w14:textId="61FF3F04" w:rsidR="00FE1C81" w:rsidRDefault="00DD52CE" w:rsidP="0091094F">
      <w:pPr>
        <w:numPr>
          <w:ilvl w:val="0"/>
          <w:numId w:val="18"/>
        </w:numPr>
        <w:tabs>
          <w:tab w:val="left" w:pos="1710"/>
        </w:tabs>
        <w:spacing w:after="120"/>
        <w:ind w:left="1260" w:right="1195" w:firstLine="0"/>
        <w:jc w:val="both"/>
        <w:rPr>
          <w:rFonts w:eastAsiaTheme="minorHAnsi"/>
          <w:color w:val="000000"/>
          <w:lang w:val="en-GB"/>
        </w:rPr>
      </w:pPr>
      <w:r>
        <w:rPr>
          <w:rFonts w:eastAsiaTheme="minorHAnsi"/>
          <w:color w:val="000000"/>
          <w:lang w:val="en-GB"/>
        </w:rPr>
        <w:t>Collaborating</w:t>
      </w:r>
      <w:r w:rsidR="00506BE6" w:rsidRPr="001C2E09">
        <w:rPr>
          <w:rFonts w:eastAsiaTheme="minorHAnsi"/>
          <w:color w:val="000000"/>
          <w:lang w:val="en-GB"/>
        </w:rPr>
        <w:t xml:space="preserve"> with </w:t>
      </w:r>
      <w:r w:rsidR="006F6127">
        <w:rPr>
          <w:rFonts w:eastAsiaTheme="minorHAnsi"/>
          <w:color w:val="000000"/>
          <w:lang w:val="en-GB"/>
        </w:rPr>
        <w:t>United Nations</w:t>
      </w:r>
      <w:r w:rsidR="00506BE6" w:rsidRPr="001C2E09">
        <w:rPr>
          <w:rFonts w:eastAsiaTheme="minorHAnsi"/>
          <w:color w:val="000000"/>
          <w:lang w:val="en-GB"/>
        </w:rPr>
        <w:t xml:space="preserve"> and other development </w:t>
      </w:r>
      <w:r w:rsidR="006F6127">
        <w:rPr>
          <w:rFonts w:eastAsiaTheme="minorHAnsi"/>
          <w:color w:val="000000"/>
          <w:lang w:val="en-GB"/>
        </w:rPr>
        <w:t>entities</w:t>
      </w:r>
      <w:r w:rsidR="005318F1">
        <w:rPr>
          <w:rFonts w:eastAsiaTheme="minorHAnsi"/>
          <w:color w:val="000000"/>
          <w:lang w:val="en-GB"/>
        </w:rPr>
        <w:t>,</w:t>
      </w:r>
      <w:r w:rsidR="00506BE6" w:rsidRPr="001C2E09">
        <w:rPr>
          <w:rFonts w:eastAsiaTheme="minorHAnsi"/>
          <w:color w:val="000000"/>
          <w:lang w:val="en-GB"/>
        </w:rPr>
        <w:t xml:space="preserve"> </w:t>
      </w:r>
      <w:r w:rsidR="005318F1" w:rsidRPr="001C2E09">
        <w:rPr>
          <w:rFonts w:eastAsiaTheme="minorHAnsi"/>
          <w:color w:val="000000"/>
          <w:lang w:val="en-GB"/>
        </w:rPr>
        <w:t xml:space="preserve">UNDP </w:t>
      </w:r>
      <w:r w:rsidR="00506BE6" w:rsidRPr="001C2E09">
        <w:rPr>
          <w:rFonts w:eastAsiaTheme="minorHAnsi"/>
          <w:color w:val="000000"/>
          <w:lang w:val="en-GB"/>
        </w:rPr>
        <w:t>will work to remove barriers and provide support to build robust</w:t>
      </w:r>
      <w:r w:rsidR="001C2E09" w:rsidRPr="001C2E09">
        <w:rPr>
          <w:rFonts w:eastAsiaTheme="minorHAnsi"/>
          <w:color w:val="000000"/>
          <w:lang w:val="en-GB"/>
        </w:rPr>
        <w:t xml:space="preserve">, diversified </w:t>
      </w:r>
      <w:r w:rsidR="006F6127">
        <w:rPr>
          <w:rFonts w:eastAsiaTheme="minorHAnsi"/>
          <w:color w:val="000000"/>
          <w:lang w:val="en-GB"/>
        </w:rPr>
        <w:t>and</w:t>
      </w:r>
      <w:r w:rsidR="006F6127" w:rsidRPr="001C2E09">
        <w:rPr>
          <w:rFonts w:eastAsiaTheme="minorHAnsi"/>
          <w:color w:val="000000"/>
          <w:lang w:val="en-GB"/>
        </w:rPr>
        <w:t xml:space="preserve"> </w:t>
      </w:r>
      <w:r w:rsidR="00506BE6" w:rsidRPr="001C2E09">
        <w:rPr>
          <w:rFonts w:eastAsiaTheme="minorHAnsi"/>
          <w:color w:val="000000"/>
          <w:lang w:val="en-GB"/>
        </w:rPr>
        <w:t>integrated value chain</w:t>
      </w:r>
      <w:r w:rsidR="00F8269D">
        <w:rPr>
          <w:rFonts w:eastAsiaTheme="minorHAnsi"/>
          <w:color w:val="000000"/>
          <w:lang w:val="en-GB"/>
        </w:rPr>
        <w:t>s</w:t>
      </w:r>
      <w:r w:rsidR="00506BE6" w:rsidRPr="001C2E09">
        <w:rPr>
          <w:rFonts w:eastAsiaTheme="minorHAnsi"/>
          <w:color w:val="000000"/>
          <w:lang w:val="en-GB"/>
        </w:rPr>
        <w:t xml:space="preserve"> in agriculture</w:t>
      </w:r>
      <w:r w:rsidR="00F8269D">
        <w:rPr>
          <w:rFonts w:eastAsiaTheme="minorHAnsi"/>
          <w:color w:val="000000"/>
          <w:lang w:val="en-GB"/>
        </w:rPr>
        <w:t>,</w:t>
      </w:r>
      <w:r w:rsidR="00506BE6" w:rsidRPr="001C2E09">
        <w:rPr>
          <w:rFonts w:eastAsiaTheme="minorHAnsi"/>
          <w:color w:val="000000"/>
          <w:lang w:val="en-GB"/>
        </w:rPr>
        <w:t xml:space="preserve"> focusing on </w:t>
      </w:r>
      <w:r w:rsidR="00B8019A">
        <w:rPr>
          <w:rFonts w:eastAsiaTheme="minorHAnsi"/>
          <w:color w:val="000000"/>
          <w:lang w:val="en-GB"/>
        </w:rPr>
        <w:t>MSMEs</w:t>
      </w:r>
      <w:r w:rsidR="00C94B56">
        <w:rPr>
          <w:rFonts w:eastAsiaTheme="minorHAnsi"/>
          <w:color w:val="000000"/>
          <w:lang w:val="en-GB"/>
        </w:rPr>
        <w:t>, especially</w:t>
      </w:r>
      <w:r w:rsidR="00506BE6" w:rsidRPr="001C2E09">
        <w:rPr>
          <w:rFonts w:eastAsiaTheme="minorHAnsi"/>
          <w:color w:val="000000"/>
          <w:lang w:val="en-GB"/>
        </w:rPr>
        <w:t xml:space="preserve"> </w:t>
      </w:r>
      <w:r>
        <w:rPr>
          <w:rFonts w:eastAsiaTheme="minorHAnsi"/>
          <w:color w:val="000000"/>
          <w:lang w:val="en-GB"/>
        </w:rPr>
        <w:t xml:space="preserve">those </w:t>
      </w:r>
      <w:r w:rsidR="00506BE6" w:rsidRPr="001C2E09">
        <w:rPr>
          <w:rFonts w:eastAsiaTheme="minorHAnsi"/>
          <w:color w:val="000000"/>
          <w:lang w:val="en-GB"/>
        </w:rPr>
        <w:t>involving youth</w:t>
      </w:r>
      <w:r w:rsidR="00AC1551">
        <w:rPr>
          <w:rFonts w:eastAsiaTheme="minorHAnsi"/>
          <w:color w:val="000000"/>
          <w:lang w:val="en-GB"/>
        </w:rPr>
        <w:t xml:space="preserve"> </w:t>
      </w:r>
      <w:r w:rsidR="00506BE6" w:rsidRPr="001C2E09">
        <w:rPr>
          <w:rFonts w:eastAsiaTheme="minorHAnsi"/>
          <w:color w:val="000000"/>
          <w:lang w:val="en-GB"/>
        </w:rPr>
        <w:t>and women.</w:t>
      </w:r>
      <w:r w:rsidR="001C2E09" w:rsidRPr="001C2E09">
        <w:rPr>
          <w:rFonts w:eastAsiaTheme="minorHAnsi"/>
          <w:color w:val="000000"/>
          <w:lang w:val="en-GB"/>
        </w:rPr>
        <w:t xml:space="preserve"> </w:t>
      </w:r>
      <w:r w:rsidR="00124E30" w:rsidRPr="00124E30">
        <w:rPr>
          <w:rFonts w:eastAsiaTheme="minorHAnsi"/>
          <w:color w:val="000000"/>
          <w:lang w:val="en-GB"/>
        </w:rPr>
        <w:t>Improv</w:t>
      </w:r>
      <w:r w:rsidR="00C94B56">
        <w:rPr>
          <w:rFonts w:eastAsiaTheme="minorHAnsi"/>
          <w:color w:val="000000"/>
          <w:lang w:val="en-GB"/>
        </w:rPr>
        <w:t>ing</w:t>
      </w:r>
      <w:r w:rsidR="00124E30" w:rsidRPr="00124E30">
        <w:rPr>
          <w:rFonts w:eastAsiaTheme="minorHAnsi"/>
          <w:color w:val="000000"/>
          <w:lang w:val="en-GB"/>
        </w:rPr>
        <w:t xml:space="preserve"> agricultural value chain</w:t>
      </w:r>
      <w:r w:rsidR="00804D6F">
        <w:rPr>
          <w:rFonts w:eastAsiaTheme="minorHAnsi"/>
          <w:color w:val="000000"/>
          <w:lang w:val="en-GB"/>
        </w:rPr>
        <w:t>s</w:t>
      </w:r>
      <w:r w:rsidR="00124E30" w:rsidRPr="00124E30">
        <w:rPr>
          <w:rFonts w:eastAsiaTheme="minorHAnsi"/>
          <w:color w:val="000000"/>
          <w:lang w:val="en-GB"/>
        </w:rPr>
        <w:t xml:space="preserve"> will </w:t>
      </w:r>
      <w:r w:rsidR="00C94B56">
        <w:rPr>
          <w:rFonts w:eastAsiaTheme="minorHAnsi"/>
          <w:color w:val="000000"/>
          <w:lang w:val="en-GB"/>
        </w:rPr>
        <w:t>lead to better</w:t>
      </w:r>
      <w:r w:rsidR="00124E30" w:rsidRPr="00124E30">
        <w:rPr>
          <w:rFonts w:eastAsiaTheme="minorHAnsi"/>
          <w:color w:val="000000"/>
          <w:lang w:val="en-GB"/>
        </w:rPr>
        <w:t xml:space="preserve"> market linkage</w:t>
      </w:r>
      <w:r w:rsidR="00FE1C81">
        <w:rPr>
          <w:rFonts w:eastAsiaTheme="minorHAnsi"/>
          <w:color w:val="000000"/>
          <w:lang w:val="en-GB"/>
        </w:rPr>
        <w:t>s</w:t>
      </w:r>
      <w:r w:rsidR="00124E30" w:rsidRPr="00124E30">
        <w:rPr>
          <w:rFonts w:eastAsiaTheme="minorHAnsi"/>
          <w:color w:val="000000"/>
          <w:lang w:val="en-GB"/>
        </w:rPr>
        <w:t xml:space="preserve"> for farmers. </w:t>
      </w:r>
      <w:r w:rsidR="00C94B56">
        <w:rPr>
          <w:rFonts w:eastAsiaTheme="minorHAnsi"/>
          <w:color w:val="000000"/>
          <w:lang w:val="en-GB"/>
        </w:rPr>
        <w:t>S</w:t>
      </w:r>
      <w:r w:rsidR="00124E30" w:rsidRPr="00124E30">
        <w:rPr>
          <w:rFonts w:eastAsiaTheme="minorHAnsi"/>
          <w:color w:val="000000"/>
          <w:lang w:val="en-GB"/>
        </w:rPr>
        <w:t xml:space="preserve">mallholder farmers and the agriculture sector </w:t>
      </w:r>
      <w:r w:rsidR="00C94B56">
        <w:rPr>
          <w:rFonts w:eastAsiaTheme="minorHAnsi"/>
          <w:color w:val="000000"/>
          <w:lang w:val="en-GB"/>
        </w:rPr>
        <w:t xml:space="preserve">as a whole </w:t>
      </w:r>
      <w:r w:rsidR="00124E30" w:rsidRPr="00124E30">
        <w:rPr>
          <w:rFonts w:eastAsiaTheme="minorHAnsi"/>
          <w:color w:val="000000"/>
          <w:lang w:val="en-GB"/>
        </w:rPr>
        <w:t xml:space="preserve">will benefit from the virtuous circle </w:t>
      </w:r>
      <w:r w:rsidR="00C94B56">
        <w:rPr>
          <w:rFonts w:eastAsiaTheme="minorHAnsi"/>
          <w:color w:val="000000"/>
          <w:lang w:val="en-GB"/>
        </w:rPr>
        <w:t>of</w:t>
      </w:r>
      <w:r w:rsidR="00C94B56" w:rsidRPr="00124E30">
        <w:rPr>
          <w:rFonts w:eastAsiaTheme="minorHAnsi"/>
          <w:color w:val="000000"/>
          <w:lang w:val="en-GB"/>
        </w:rPr>
        <w:t xml:space="preserve"> </w:t>
      </w:r>
      <w:r w:rsidR="00124E30" w:rsidRPr="00124E30">
        <w:rPr>
          <w:rFonts w:eastAsiaTheme="minorHAnsi"/>
          <w:color w:val="000000"/>
          <w:lang w:val="en-GB"/>
        </w:rPr>
        <w:t>improvements in value chain</w:t>
      </w:r>
      <w:r w:rsidR="00FE1C81">
        <w:rPr>
          <w:rFonts w:eastAsiaTheme="minorHAnsi"/>
          <w:color w:val="000000"/>
          <w:lang w:val="en-GB"/>
        </w:rPr>
        <w:t>s</w:t>
      </w:r>
      <w:r w:rsidR="00124E30" w:rsidRPr="00124E30">
        <w:rPr>
          <w:rFonts w:eastAsiaTheme="minorHAnsi"/>
          <w:color w:val="000000"/>
          <w:lang w:val="en-GB"/>
        </w:rPr>
        <w:t xml:space="preserve"> and productivity.</w:t>
      </w:r>
      <w:r w:rsidR="00124E30" w:rsidRPr="001C2E09">
        <w:rPr>
          <w:rFonts w:eastAsiaTheme="minorHAnsi"/>
          <w:color w:val="000000"/>
          <w:lang w:val="en-GB"/>
        </w:rPr>
        <w:t xml:space="preserve"> </w:t>
      </w:r>
    </w:p>
    <w:p w14:paraId="691CB87B" w14:textId="136B877C" w:rsidR="000B33A7" w:rsidRDefault="009718DB" w:rsidP="0091094F">
      <w:pPr>
        <w:numPr>
          <w:ilvl w:val="0"/>
          <w:numId w:val="18"/>
        </w:numPr>
        <w:tabs>
          <w:tab w:val="left" w:pos="1710"/>
        </w:tabs>
        <w:spacing w:after="120"/>
        <w:ind w:left="1260" w:right="1195" w:firstLine="0"/>
        <w:jc w:val="both"/>
        <w:rPr>
          <w:rFonts w:eastAsiaTheme="minorHAnsi"/>
          <w:color w:val="000000"/>
          <w:lang w:val="en-GB"/>
        </w:rPr>
      </w:pPr>
      <w:bookmarkStart w:id="4" w:name="_Hlk70365384"/>
      <w:r>
        <w:rPr>
          <w:rFonts w:eastAsiaTheme="minorHAnsi"/>
          <w:color w:val="000000"/>
          <w:lang w:val="en-GB"/>
        </w:rPr>
        <w:t>Partnering</w:t>
      </w:r>
      <w:r w:rsidR="001C2E09" w:rsidRPr="00FE1C81">
        <w:rPr>
          <w:rFonts w:eastAsiaTheme="minorHAnsi"/>
          <w:color w:val="000000"/>
          <w:lang w:val="en-GB"/>
        </w:rPr>
        <w:t xml:space="preserve"> with</w:t>
      </w:r>
      <w:r w:rsidR="00506BE6" w:rsidRPr="00FE1C81">
        <w:rPr>
          <w:rFonts w:eastAsiaTheme="minorHAnsi"/>
          <w:color w:val="000000"/>
          <w:lang w:val="en-GB"/>
        </w:rPr>
        <w:t xml:space="preserve"> </w:t>
      </w:r>
      <w:r w:rsidR="00C94B56">
        <w:rPr>
          <w:rFonts w:eastAsiaTheme="minorHAnsi"/>
          <w:color w:val="000000"/>
          <w:lang w:val="en-GB"/>
        </w:rPr>
        <w:t>civil society organizations</w:t>
      </w:r>
      <w:r w:rsidR="00506BE6" w:rsidRPr="00FE1C81">
        <w:rPr>
          <w:rFonts w:eastAsiaTheme="minorHAnsi"/>
          <w:color w:val="000000"/>
          <w:lang w:val="en-GB"/>
        </w:rPr>
        <w:t xml:space="preserve">, </w:t>
      </w:r>
      <w:r w:rsidR="0079114B" w:rsidRPr="00FE1C81">
        <w:rPr>
          <w:rFonts w:eastAsiaTheme="minorHAnsi"/>
          <w:color w:val="000000"/>
          <w:lang w:val="en-GB"/>
        </w:rPr>
        <w:t xml:space="preserve">relevant </w:t>
      </w:r>
      <w:r w:rsidR="00C94B56">
        <w:rPr>
          <w:rFonts w:eastAsiaTheme="minorHAnsi"/>
          <w:color w:val="000000"/>
          <w:lang w:val="en-GB"/>
        </w:rPr>
        <w:t>United Nations entities</w:t>
      </w:r>
      <w:r w:rsidR="001B2A00" w:rsidRPr="00FE1C81">
        <w:rPr>
          <w:rFonts w:eastAsiaTheme="minorHAnsi"/>
          <w:color w:val="000000"/>
          <w:lang w:val="en-GB"/>
        </w:rPr>
        <w:t xml:space="preserve">, </w:t>
      </w:r>
      <w:r w:rsidR="00C94B56">
        <w:rPr>
          <w:rFonts w:eastAsiaTheme="minorHAnsi"/>
          <w:color w:val="000000"/>
          <w:lang w:val="en-GB"/>
        </w:rPr>
        <w:t xml:space="preserve">the </w:t>
      </w:r>
      <w:r>
        <w:rPr>
          <w:rFonts w:eastAsiaTheme="minorHAnsi"/>
          <w:color w:val="000000"/>
          <w:lang w:val="en-GB"/>
        </w:rPr>
        <w:t>p</w:t>
      </w:r>
      <w:r w:rsidR="00506BE6" w:rsidRPr="00FE1C81">
        <w:rPr>
          <w:rFonts w:eastAsiaTheme="minorHAnsi"/>
          <w:color w:val="000000"/>
          <w:lang w:val="en-GB"/>
        </w:rPr>
        <w:t xml:space="preserve">rivate </w:t>
      </w:r>
      <w:r>
        <w:rPr>
          <w:rFonts w:eastAsiaTheme="minorHAnsi"/>
          <w:color w:val="000000"/>
          <w:lang w:val="en-GB"/>
        </w:rPr>
        <w:t>s</w:t>
      </w:r>
      <w:r w:rsidR="00506BE6" w:rsidRPr="00FE1C81">
        <w:rPr>
          <w:rFonts w:eastAsiaTheme="minorHAnsi"/>
          <w:color w:val="000000"/>
          <w:lang w:val="en-GB"/>
        </w:rPr>
        <w:t>ector</w:t>
      </w:r>
      <w:r w:rsidR="001B2A00" w:rsidRPr="00FE1C81">
        <w:rPr>
          <w:rFonts w:eastAsiaTheme="minorHAnsi"/>
          <w:color w:val="000000"/>
          <w:lang w:val="en-GB"/>
        </w:rPr>
        <w:t xml:space="preserve"> and financial institutions</w:t>
      </w:r>
      <w:r w:rsidR="001C2E09" w:rsidRPr="00FE1C81">
        <w:rPr>
          <w:rFonts w:eastAsiaTheme="minorHAnsi"/>
          <w:color w:val="000000"/>
          <w:lang w:val="en-GB"/>
        </w:rPr>
        <w:t xml:space="preserve">, UNDP </w:t>
      </w:r>
      <w:r w:rsidR="00506BE6" w:rsidRPr="00FE1C81">
        <w:rPr>
          <w:rFonts w:eastAsiaTheme="minorHAnsi"/>
          <w:color w:val="000000"/>
          <w:lang w:val="en-GB"/>
        </w:rPr>
        <w:t>will support young entrepreneurs to build and diversify their enterprises</w:t>
      </w:r>
      <w:r w:rsidR="00E24A54">
        <w:rPr>
          <w:rFonts w:eastAsiaTheme="minorHAnsi"/>
          <w:color w:val="000000"/>
          <w:lang w:val="en-GB"/>
        </w:rPr>
        <w:t xml:space="preserve"> and</w:t>
      </w:r>
      <w:r w:rsidR="00506BE6" w:rsidRPr="00FE1C81">
        <w:rPr>
          <w:rFonts w:eastAsiaTheme="minorHAnsi"/>
          <w:color w:val="000000"/>
          <w:lang w:val="en-GB"/>
        </w:rPr>
        <w:t xml:space="preserve"> adopt </w:t>
      </w:r>
      <w:r w:rsidR="00082866">
        <w:rPr>
          <w:rFonts w:eastAsiaTheme="minorHAnsi"/>
          <w:color w:val="000000"/>
          <w:lang w:val="en-GB"/>
        </w:rPr>
        <w:t>new</w:t>
      </w:r>
      <w:r w:rsidR="00082866" w:rsidRPr="00FE1C81">
        <w:rPr>
          <w:rFonts w:eastAsiaTheme="minorHAnsi"/>
          <w:color w:val="000000"/>
          <w:lang w:val="en-GB"/>
        </w:rPr>
        <w:t xml:space="preserve"> </w:t>
      </w:r>
      <w:r w:rsidR="00506BE6" w:rsidRPr="00FE1C81">
        <w:rPr>
          <w:rFonts w:eastAsiaTheme="minorHAnsi"/>
          <w:color w:val="000000"/>
          <w:lang w:val="en-GB"/>
        </w:rPr>
        <w:t>and inclusive business models</w:t>
      </w:r>
      <w:r w:rsidR="00E24A54">
        <w:rPr>
          <w:rFonts w:eastAsiaTheme="minorHAnsi"/>
          <w:color w:val="000000"/>
          <w:lang w:val="en-GB"/>
        </w:rPr>
        <w:t>. It will also</w:t>
      </w:r>
      <w:r w:rsidR="00C94B56">
        <w:rPr>
          <w:rFonts w:eastAsiaTheme="minorHAnsi"/>
          <w:color w:val="000000"/>
          <w:lang w:val="en-GB"/>
        </w:rPr>
        <w:t xml:space="preserve"> </w:t>
      </w:r>
      <w:r w:rsidR="00506BE6" w:rsidRPr="00FE1C81">
        <w:rPr>
          <w:rFonts w:eastAsiaTheme="minorHAnsi"/>
          <w:color w:val="000000"/>
          <w:lang w:val="en-GB"/>
        </w:rPr>
        <w:t xml:space="preserve">facilitate the creation of more productive </w:t>
      </w:r>
      <w:r w:rsidR="0079114B" w:rsidRPr="00FE1C81">
        <w:rPr>
          <w:rFonts w:eastAsiaTheme="minorHAnsi"/>
          <w:color w:val="000000"/>
          <w:lang w:val="en-GB"/>
        </w:rPr>
        <w:t xml:space="preserve">green </w:t>
      </w:r>
      <w:r w:rsidR="00506BE6" w:rsidRPr="00FE1C81">
        <w:rPr>
          <w:rFonts w:eastAsiaTheme="minorHAnsi"/>
          <w:color w:val="000000"/>
          <w:lang w:val="en-GB"/>
        </w:rPr>
        <w:t>jobs for women and youth</w:t>
      </w:r>
      <w:r w:rsidR="0098796F" w:rsidRPr="00FE1C81">
        <w:rPr>
          <w:rFonts w:eastAsiaTheme="minorHAnsi"/>
          <w:color w:val="000000"/>
          <w:lang w:val="en-GB"/>
        </w:rPr>
        <w:t xml:space="preserve"> in formal and informal business</w:t>
      </w:r>
      <w:r w:rsidR="0079114B" w:rsidRPr="00FE1C81">
        <w:rPr>
          <w:rFonts w:eastAsiaTheme="minorHAnsi"/>
          <w:color w:val="000000"/>
          <w:lang w:val="en-GB"/>
        </w:rPr>
        <w:t>es</w:t>
      </w:r>
      <w:r w:rsidR="0098796F" w:rsidRPr="00FE1C81">
        <w:rPr>
          <w:rFonts w:eastAsiaTheme="minorHAnsi"/>
          <w:color w:val="000000"/>
          <w:lang w:val="en-GB"/>
        </w:rPr>
        <w:t xml:space="preserve">. UNDP will </w:t>
      </w:r>
      <w:r w:rsidR="00506BE6" w:rsidRPr="00FE1C81">
        <w:rPr>
          <w:rFonts w:eastAsiaTheme="minorHAnsi"/>
          <w:color w:val="000000"/>
          <w:lang w:val="en-GB"/>
        </w:rPr>
        <w:t xml:space="preserve">foster </w:t>
      </w:r>
      <w:r w:rsidR="001C2E09" w:rsidRPr="00FE1C81">
        <w:rPr>
          <w:rFonts w:eastAsiaTheme="minorHAnsi"/>
          <w:color w:val="000000"/>
          <w:lang w:val="en-GB"/>
        </w:rPr>
        <w:t xml:space="preserve">establishment of </w:t>
      </w:r>
      <w:r w:rsidR="00506BE6" w:rsidRPr="00FE1C81">
        <w:rPr>
          <w:rFonts w:eastAsiaTheme="minorHAnsi"/>
          <w:color w:val="000000"/>
          <w:lang w:val="en-GB"/>
        </w:rPr>
        <w:t xml:space="preserve">platforms </w:t>
      </w:r>
      <w:r w:rsidR="00C94B56">
        <w:rPr>
          <w:rFonts w:eastAsiaTheme="minorHAnsi"/>
          <w:color w:val="000000"/>
          <w:lang w:val="en-GB"/>
        </w:rPr>
        <w:t>to</w:t>
      </w:r>
      <w:r w:rsidR="00C94B56" w:rsidRPr="00FE1C81">
        <w:rPr>
          <w:rFonts w:eastAsiaTheme="minorHAnsi"/>
          <w:color w:val="000000"/>
          <w:lang w:val="en-GB"/>
        </w:rPr>
        <w:t xml:space="preserve"> </w:t>
      </w:r>
      <w:r w:rsidR="00C94B56">
        <w:rPr>
          <w:rFonts w:eastAsiaTheme="minorHAnsi"/>
          <w:color w:val="000000"/>
          <w:lang w:val="en-GB"/>
        </w:rPr>
        <w:t>help</w:t>
      </w:r>
      <w:r w:rsidR="0098796F" w:rsidRPr="00FE1C81">
        <w:rPr>
          <w:rFonts w:eastAsiaTheme="minorHAnsi"/>
          <w:color w:val="000000"/>
          <w:lang w:val="en-GB"/>
        </w:rPr>
        <w:t xml:space="preserve"> </w:t>
      </w:r>
      <w:r w:rsidR="00506BE6" w:rsidRPr="00FE1C81">
        <w:rPr>
          <w:rFonts w:eastAsiaTheme="minorHAnsi"/>
          <w:color w:val="000000"/>
          <w:lang w:val="en-GB"/>
        </w:rPr>
        <w:t xml:space="preserve">young women and men </w:t>
      </w:r>
      <w:r w:rsidR="0098796F" w:rsidRPr="00FE1C81">
        <w:rPr>
          <w:rFonts w:eastAsiaTheme="minorHAnsi"/>
          <w:color w:val="000000"/>
          <w:lang w:val="en-GB"/>
        </w:rPr>
        <w:t xml:space="preserve">to </w:t>
      </w:r>
      <w:r w:rsidR="00C94B56">
        <w:rPr>
          <w:rFonts w:eastAsiaTheme="minorHAnsi"/>
          <w:color w:val="000000"/>
          <w:lang w:val="en-GB"/>
        </w:rPr>
        <w:t>improve their</w:t>
      </w:r>
      <w:r w:rsidR="0098796F" w:rsidRPr="00FE1C81">
        <w:rPr>
          <w:rFonts w:eastAsiaTheme="minorHAnsi"/>
          <w:color w:val="000000"/>
          <w:lang w:val="en-GB"/>
        </w:rPr>
        <w:t xml:space="preserve"> </w:t>
      </w:r>
      <w:r w:rsidR="00AE66BB" w:rsidRPr="00AE66BB">
        <w:rPr>
          <w:rFonts w:eastAsiaTheme="minorHAnsi"/>
          <w:color w:val="000000"/>
          <w:lang w:val="en-GB"/>
        </w:rPr>
        <w:t>vocational, business and financial literacy</w:t>
      </w:r>
      <w:r w:rsidR="00506BE6" w:rsidRPr="00FE1C81">
        <w:rPr>
          <w:rFonts w:eastAsiaTheme="minorHAnsi"/>
          <w:color w:val="000000"/>
          <w:lang w:val="en-GB"/>
        </w:rPr>
        <w:t xml:space="preserve">. </w:t>
      </w:r>
    </w:p>
    <w:bookmarkEnd w:id="4"/>
    <w:p w14:paraId="430628A2" w14:textId="78900F23" w:rsidR="00E11DE7" w:rsidRDefault="00506BE6" w:rsidP="0091094F">
      <w:pPr>
        <w:numPr>
          <w:ilvl w:val="0"/>
          <w:numId w:val="18"/>
        </w:numPr>
        <w:tabs>
          <w:tab w:val="left" w:pos="1710"/>
        </w:tabs>
        <w:spacing w:after="120"/>
        <w:ind w:left="1260" w:right="1195" w:firstLine="0"/>
        <w:jc w:val="both"/>
        <w:rPr>
          <w:rFonts w:eastAsiaTheme="minorHAnsi"/>
          <w:color w:val="000000"/>
          <w:lang w:val="en-GB"/>
        </w:rPr>
      </w:pPr>
      <w:r w:rsidRPr="000B33A7">
        <w:rPr>
          <w:rFonts w:eastAsiaTheme="minorHAnsi"/>
          <w:color w:val="000000"/>
          <w:lang w:val="en-GB"/>
        </w:rPr>
        <w:t xml:space="preserve">UNDP will support </w:t>
      </w:r>
      <w:r w:rsidR="00C94B56">
        <w:rPr>
          <w:rFonts w:eastAsiaTheme="minorHAnsi"/>
          <w:color w:val="000000"/>
          <w:lang w:val="en-GB"/>
        </w:rPr>
        <w:t xml:space="preserve">the </w:t>
      </w:r>
      <w:r w:rsidR="00594FF2">
        <w:rPr>
          <w:rFonts w:eastAsiaTheme="minorHAnsi"/>
          <w:color w:val="000000"/>
          <w:lang w:val="en-GB"/>
        </w:rPr>
        <w:t>G</w:t>
      </w:r>
      <w:r w:rsidRPr="000B33A7">
        <w:rPr>
          <w:rFonts w:eastAsiaTheme="minorHAnsi"/>
          <w:color w:val="000000"/>
          <w:lang w:val="en-GB"/>
        </w:rPr>
        <w:t xml:space="preserve">overnment and communities </w:t>
      </w:r>
      <w:r w:rsidR="00C94B56">
        <w:rPr>
          <w:rFonts w:eastAsiaTheme="minorHAnsi"/>
          <w:color w:val="000000"/>
          <w:lang w:val="en-GB"/>
        </w:rPr>
        <w:t>in</w:t>
      </w:r>
      <w:r w:rsidR="00C94B56" w:rsidRPr="000B33A7">
        <w:rPr>
          <w:rFonts w:eastAsiaTheme="minorHAnsi"/>
          <w:color w:val="000000"/>
          <w:lang w:val="en-GB"/>
        </w:rPr>
        <w:t xml:space="preserve"> </w:t>
      </w:r>
      <w:r w:rsidRPr="000B33A7">
        <w:rPr>
          <w:rFonts w:eastAsiaTheme="minorHAnsi"/>
          <w:color w:val="000000"/>
          <w:lang w:val="en-GB"/>
        </w:rPr>
        <w:t>build</w:t>
      </w:r>
      <w:r w:rsidR="00C94B56">
        <w:rPr>
          <w:rFonts w:eastAsiaTheme="minorHAnsi"/>
          <w:color w:val="000000"/>
          <w:lang w:val="en-GB"/>
        </w:rPr>
        <w:t>ing</w:t>
      </w:r>
      <w:r w:rsidRPr="000B33A7">
        <w:rPr>
          <w:rFonts w:eastAsiaTheme="minorHAnsi"/>
          <w:color w:val="000000"/>
          <w:lang w:val="en-GB"/>
        </w:rPr>
        <w:t xml:space="preserve"> resilience </w:t>
      </w:r>
      <w:r w:rsidR="00C94B56">
        <w:rPr>
          <w:rFonts w:eastAsiaTheme="minorHAnsi"/>
          <w:color w:val="000000"/>
          <w:lang w:val="en-GB"/>
        </w:rPr>
        <w:t>to</w:t>
      </w:r>
      <w:r w:rsidRPr="000B33A7">
        <w:rPr>
          <w:rFonts w:eastAsiaTheme="minorHAnsi"/>
          <w:color w:val="000000"/>
          <w:lang w:val="en-GB"/>
        </w:rPr>
        <w:t xml:space="preserve"> shocks and crises induced by</w:t>
      </w:r>
      <w:r w:rsidR="00AE66BB">
        <w:rPr>
          <w:rFonts w:eastAsiaTheme="minorHAnsi"/>
          <w:color w:val="000000"/>
          <w:lang w:val="en-GB"/>
        </w:rPr>
        <w:t xml:space="preserve"> natural</w:t>
      </w:r>
      <w:r w:rsidRPr="000B33A7">
        <w:rPr>
          <w:rFonts w:eastAsiaTheme="minorHAnsi"/>
          <w:color w:val="000000"/>
          <w:lang w:val="en-GB"/>
        </w:rPr>
        <w:t xml:space="preserve"> hazards and </w:t>
      </w:r>
      <w:r w:rsidR="007D6361">
        <w:rPr>
          <w:rFonts w:eastAsiaTheme="minorHAnsi"/>
          <w:color w:val="000000"/>
          <w:lang w:val="en-GB"/>
        </w:rPr>
        <w:t xml:space="preserve">other </w:t>
      </w:r>
      <w:r w:rsidR="00E24A54">
        <w:rPr>
          <w:rFonts w:eastAsiaTheme="minorHAnsi"/>
          <w:color w:val="000000"/>
          <w:lang w:val="en-GB"/>
        </w:rPr>
        <w:t>events</w:t>
      </w:r>
      <w:r w:rsidR="00C94B56">
        <w:rPr>
          <w:rFonts w:eastAsiaTheme="minorHAnsi"/>
          <w:color w:val="000000"/>
          <w:lang w:val="en-GB"/>
        </w:rPr>
        <w:t xml:space="preserve">, such as </w:t>
      </w:r>
      <w:r w:rsidRPr="000B33A7">
        <w:rPr>
          <w:rFonts w:eastAsiaTheme="minorHAnsi"/>
          <w:color w:val="000000"/>
          <w:lang w:val="en-GB"/>
        </w:rPr>
        <w:t xml:space="preserve">droughts, </w:t>
      </w:r>
      <w:r w:rsidR="00C94B56">
        <w:rPr>
          <w:rFonts w:eastAsiaTheme="minorHAnsi"/>
          <w:color w:val="000000"/>
          <w:lang w:val="en-GB"/>
        </w:rPr>
        <w:t>epidemics</w:t>
      </w:r>
      <w:r w:rsidR="00E163D6" w:rsidRPr="000B33A7">
        <w:rPr>
          <w:rFonts w:eastAsiaTheme="minorHAnsi"/>
          <w:color w:val="000000"/>
          <w:lang w:val="en-GB"/>
        </w:rPr>
        <w:t xml:space="preserve">, </w:t>
      </w:r>
      <w:bookmarkStart w:id="5" w:name="_Hlk71033546"/>
      <w:r w:rsidR="008051A3">
        <w:rPr>
          <w:rFonts w:eastAsiaTheme="minorHAnsi"/>
          <w:color w:val="000000"/>
          <w:lang w:val="en-GB"/>
        </w:rPr>
        <w:t xml:space="preserve">conflicts </w:t>
      </w:r>
      <w:r w:rsidRPr="000B33A7">
        <w:rPr>
          <w:rFonts w:eastAsiaTheme="minorHAnsi"/>
          <w:color w:val="000000"/>
          <w:lang w:val="en-GB"/>
        </w:rPr>
        <w:t xml:space="preserve">and economic </w:t>
      </w:r>
      <w:bookmarkEnd w:id="5"/>
      <w:r w:rsidR="0027643A">
        <w:rPr>
          <w:rFonts w:eastAsiaTheme="minorHAnsi"/>
          <w:color w:val="000000"/>
          <w:lang w:val="en-GB"/>
        </w:rPr>
        <w:t>crises</w:t>
      </w:r>
      <w:r w:rsidRPr="000B33A7">
        <w:rPr>
          <w:rFonts w:eastAsiaTheme="minorHAnsi"/>
          <w:color w:val="000000"/>
          <w:lang w:val="en-GB"/>
        </w:rPr>
        <w:t xml:space="preserve">. </w:t>
      </w:r>
      <w:r w:rsidR="007D6361">
        <w:rPr>
          <w:rFonts w:eastAsiaTheme="minorHAnsi"/>
          <w:color w:val="000000"/>
          <w:lang w:val="en-GB"/>
        </w:rPr>
        <w:t>As part of</w:t>
      </w:r>
      <w:r w:rsidR="00B53AF6">
        <w:rPr>
          <w:rFonts w:eastAsiaTheme="minorHAnsi"/>
          <w:color w:val="000000"/>
          <w:lang w:val="en-GB"/>
        </w:rPr>
        <w:t xml:space="preserve"> COVID-19 recovery, UNDP will partner </w:t>
      </w:r>
      <w:r w:rsidR="006D4B24">
        <w:rPr>
          <w:rFonts w:eastAsiaTheme="minorHAnsi"/>
          <w:color w:val="000000"/>
          <w:lang w:val="en-GB"/>
        </w:rPr>
        <w:t xml:space="preserve">with </w:t>
      </w:r>
      <w:r w:rsidR="00C94B56">
        <w:rPr>
          <w:rFonts w:eastAsiaTheme="minorHAnsi"/>
          <w:color w:val="000000"/>
          <w:lang w:val="en-GB"/>
        </w:rPr>
        <w:t xml:space="preserve">the </w:t>
      </w:r>
      <w:r w:rsidR="00B53AF6" w:rsidRPr="00B53AF6">
        <w:rPr>
          <w:rFonts w:eastAsiaTheme="minorHAnsi"/>
          <w:color w:val="000000"/>
          <w:lang w:val="en-GB"/>
        </w:rPr>
        <w:t xml:space="preserve">Government </w:t>
      </w:r>
      <w:r w:rsidR="00B53AF6">
        <w:rPr>
          <w:rFonts w:eastAsiaTheme="minorHAnsi"/>
          <w:color w:val="000000"/>
          <w:lang w:val="en-GB"/>
        </w:rPr>
        <w:t xml:space="preserve">to </w:t>
      </w:r>
      <w:r w:rsidR="00B8019A">
        <w:rPr>
          <w:rFonts w:eastAsiaTheme="minorHAnsi"/>
          <w:color w:val="000000"/>
          <w:lang w:val="en-GB"/>
        </w:rPr>
        <w:t>aid</w:t>
      </w:r>
      <w:r w:rsidR="00B53AF6" w:rsidRPr="00B53AF6">
        <w:rPr>
          <w:rFonts w:eastAsiaTheme="minorHAnsi"/>
          <w:color w:val="000000"/>
          <w:lang w:val="en-GB"/>
        </w:rPr>
        <w:t xml:space="preserve"> in managing these risks by </w:t>
      </w:r>
      <w:r w:rsidR="00B53AF6">
        <w:rPr>
          <w:rFonts w:eastAsiaTheme="minorHAnsi"/>
          <w:color w:val="000000"/>
          <w:lang w:val="en-GB"/>
        </w:rPr>
        <w:t>strengthening</w:t>
      </w:r>
      <w:r w:rsidR="00B53AF6" w:rsidRPr="00B53AF6">
        <w:rPr>
          <w:rFonts w:eastAsiaTheme="minorHAnsi"/>
          <w:color w:val="000000"/>
          <w:lang w:val="en-GB"/>
        </w:rPr>
        <w:t xml:space="preserve"> </w:t>
      </w:r>
      <w:r w:rsidR="00C94B56">
        <w:rPr>
          <w:rFonts w:eastAsiaTheme="minorHAnsi"/>
          <w:color w:val="000000"/>
          <w:lang w:val="en-GB"/>
        </w:rPr>
        <w:t xml:space="preserve">the </w:t>
      </w:r>
      <w:r w:rsidR="00B53AF6" w:rsidRPr="00B53AF6">
        <w:rPr>
          <w:rFonts w:eastAsiaTheme="minorHAnsi"/>
          <w:color w:val="000000"/>
          <w:lang w:val="en-GB"/>
        </w:rPr>
        <w:t xml:space="preserve">social safety net </w:t>
      </w:r>
      <w:r w:rsidR="00C94B56">
        <w:rPr>
          <w:rFonts w:eastAsiaTheme="minorHAnsi"/>
          <w:color w:val="000000"/>
          <w:lang w:val="en-GB"/>
        </w:rPr>
        <w:t xml:space="preserve">to </w:t>
      </w:r>
      <w:r w:rsidR="00B8019A">
        <w:rPr>
          <w:rFonts w:eastAsiaTheme="minorHAnsi"/>
          <w:color w:val="000000"/>
          <w:lang w:val="en-GB"/>
        </w:rPr>
        <w:t>help</w:t>
      </w:r>
      <w:r w:rsidR="00B53AF6" w:rsidRPr="00B53AF6">
        <w:rPr>
          <w:rFonts w:eastAsiaTheme="minorHAnsi"/>
          <w:color w:val="000000"/>
          <w:lang w:val="en-GB"/>
        </w:rPr>
        <w:t xml:space="preserve"> </w:t>
      </w:r>
      <w:r w:rsidR="00091D02">
        <w:rPr>
          <w:rFonts w:eastAsiaTheme="minorHAnsi"/>
          <w:color w:val="000000"/>
          <w:lang w:val="en-GB"/>
        </w:rPr>
        <w:t>people</w:t>
      </w:r>
      <w:r w:rsidR="00B53AF6" w:rsidRPr="00B53AF6">
        <w:rPr>
          <w:rFonts w:eastAsiaTheme="minorHAnsi"/>
          <w:color w:val="000000"/>
          <w:lang w:val="en-GB"/>
        </w:rPr>
        <w:t xml:space="preserve"> to cope with </w:t>
      </w:r>
      <w:r w:rsidR="00616CC0" w:rsidRPr="00616CC0">
        <w:rPr>
          <w:rFonts w:eastAsiaTheme="minorHAnsi"/>
          <w:color w:val="000000"/>
          <w:lang w:val="en-GB"/>
        </w:rPr>
        <w:t>transitory poverty</w:t>
      </w:r>
      <w:r w:rsidR="00B53AF6">
        <w:rPr>
          <w:rFonts w:eastAsiaTheme="minorHAnsi"/>
          <w:color w:val="000000"/>
          <w:lang w:val="en-GB"/>
        </w:rPr>
        <w:t xml:space="preserve">. </w:t>
      </w:r>
    </w:p>
    <w:p w14:paraId="3CE471EE" w14:textId="5C05916B" w:rsidR="00B760EB" w:rsidRDefault="000256BF" w:rsidP="0091094F">
      <w:pPr>
        <w:numPr>
          <w:ilvl w:val="0"/>
          <w:numId w:val="18"/>
        </w:numPr>
        <w:tabs>
          <w:tab w:val="left" w:pos="1710"/>
        </w:tabs>
        <w:spacing w:after="120"/>
        <w:ind w:left="1260" w:right="1195" w:firstLine="0"/>
        <w:jc w:val="both"/>
        <w:rPr>
          <w:rFonts w:eastAsiaTheme="minorHAnsi"/>
          <w:color w:val="000000"/>
          <w:lang w:val="en-GB"/>
        </w:rPr>
      </w:pPr>
      <w:r w:rsidRPr="00E11DE7">
        <w:rPr>
          <w:rFonts w:eastAsiaTheme="minorHAnsi"/>
          <w:color w:val="000000"/>
          <w:lang w:val="en-GB"/>
        </w:rPr>
        <w:t>UNDP</w:t>
      </w:r>
      <w:r w:rsidR="00506BE6" w:rsidRPr="00E11DE7">
        <w:rPr>
          <w:rFonts w:eastAsiaTheme="minorHAnsi"/>
          <w:color w:val="000000"/>
          <w:lang w:val="en-GB"/>
        </w:rPr>
        <w:t xml:space="preserve"> will strengthen national capacities for crisis response</w:t>
      </w:r>
      <w:r w:rsidR="00882E63" w:rsidRPr="00E11DE7">
        <w:rPr>
          <w:rFonts w:eastAsiaTheme="minorHAnsi"/>
          <w:color w:val="000000"/>
          <w:lang w:val="en-GB"/>
        </w:rPr>
        <w:t xml:space="preserve"> and post</w:t>
      </w:r>
      <w:r w:rsidR="00C94B56">
        <w:rPr>
          <w:rFonts w:eastAsiaTheme="minorHAnsi"/>
          <w:color w:val="000000"/>
          <w:lang w:val="en-GB"/>
        </w:rPr>
        <w:t>-</w:t>
      </w:r>
      <w:r w:rsidR="00882E63" w:rsidRPr="00E11DE7">
        <w:rPr>
          <w:rFonts w:eastAsiaTheme="minorHAnsi"/>
          <w:color w:val="000000"/>
          <w:lang w:val="en-GB"/>
        </w:rPr>
        <w:t>crisis recovery</w:t>
      </w:r>
      <w:r w:rsidR="00506BE6" w:rsidRPr="00E11DE7">
        <w:rPr>
          <w:rFonts w:eastAsiaTheme="minorHAnsi"/>
          <w:color w:val="000000"/>
          <w:lang w:val="en-GB"/>
        </w:rPr>
        <w:t xml:space="preserve">, </w:t>
      </w:r>
      <w:r w:rsidR="00FD1C4B" w:rsidRPr="00E11DE7">
        <w:rPr>
          <w:rFonts w:eastAsiaTheme="minorHAnsi"/>
          <w:color w:val="000000"/>
          <w:lang w:val="en-GB"/>
        </w:rPr>
        <w:t>evidence</w:t>
      </w:r>
      <w:r w:rsidR="00091D02">
        <w:rPr>
          <w:rFonts w:eastAsiaTheme="minorHAnsi"/>
          <w:color w:val="000000"/>
          <w:lang w:val="en-GB"/>
        </w:rPr>
        <w:t>-</w:t>
      </w:r>
      <w:r w:rsidR="00FD1C4B" w:rsidRPr="00E11DE7">
        <w:rPr>
          <w:rFonts w:eastAsiaTheme="minorHAnsi"/>
          <w:color w:val="000000"/>
          <w:lang w:val="en-GB"/>
        </w:rPr>
        <w:t xml:space="preserve">based </w:t>
      </w:r>
      <w:r w:rsidR="00506BE6" w:rsidRPr="00E11DE7">
        <w:rPr>
          <w:rFonts w:eastAsiaTheme="minorHAnsi"/>
          <w:color w:val="000000"/>
          <w:lang w:val="en-GB"/>
        </w:rPr>
        <w:t xml:space="preserve">climate change adaptation, early </w:t>
      </w:r>
      <w:r w:rsidR="009638D1" w:rsidRPr="00E11DE7">
        <w:rPr>
          <w:rFonts w:eastAsiaTheme="minorHAnsi"/>
          <w:color w:val="000000"/>
          <w:lang w:val="en-GB"/>
        </w:rPr>
        <w:t>warning,</w:t>
      </w:r>
      <w:r w:rsidR="00506BE6" w:rsidRPr="00E11DE7">
        <w:rPr>
          <w:rFonts w:eastAsiaTheme="minorHAnsi"/>
          <w:color w:val="000000"/>
          <w:lang w:val="en-GB"/>
        </w:rPr>
        <w:t xml:space="preserve"> </w:t>
      </w:r>
      <w:r w:rsidR="00882E63" w:rsidRPr="00E11DE7">
        <w:rPr>
          <w:rFonts w:eastAsiaTheme="minorHAnsi"/>
          <w:color w:val="000000"/>
          <w:lang w:val="en-GB"/>
        </w:rPr>
        <w:t xml:space="preserve">disaster </w:t>
      </w:r>
      <w:r w:rsidR="00506BE6" w:rsidRPr="00E11DE7">
        <w:rPr>
          <w:rFonts w:eastAsiaTheme="minorHAnsi"/>
          <w:color w:val="000000"/>
          <w:lang w:val="en-GB"/>
        </w:rPr>
        <w:t>risk reduction</w:t>
      </w:r>
      <w:r w:rsidR="00AC1551" w:rsidRPr="00E11DE7">
        <w:rPr>
          <w:rFonts w:eastAsiaTheme="minorHAnsi"/>
          <w:color w:val="000000"/>
          <w:lang w:val="en-GB"/>
        </w:rPr>
        <w:t xml:space="preserve"> and social protection</w:t>
      </w:r>
      <w:r w:rsidR="00506BE6" w:rsidRPr="00E11DE7">
        <w:rPr>
          <w:rFonts w:eastAsiaTheme="minorHAnsi"/>
          <w:color w:val="000000"/>
          <w:lang w:val="en-GB"/>
        </w:rPr>
        <w:t>.</w:t>
      </w:r>
      <w:r w:rsidR="0079114B" w:rsidRPr="00E11DE7">
        <w:rPr>
          <w:rFonts w:eastAsiaTheme="minorHAnsi"/>
          <w:color w:val="000000"/>
          <w:lang w:val="en-GB"/>
        </w:rPr>
        <w:t xml:space="preserve"> </w:t>
      </w:r>
      <w:r w:rsidR="00506BE6" w:rsidRPr="00E11DE7">
        <w:rPr>
          <w:rFonts w:eastAsiaTheme="minorHAnsi"/>
          <w:color w:val="000000"/>
          <w:lang w:val="en-GB"/>
        </w:rPr>
        <w:t>UNDP will address</w:t>
      </w:r>
      <w:r w:rsidR="00A02895">
        <w:rPr>
          <w:rFonts w:eastAsiaTheme="minorHAnsi"/>
          <w:color w:val="000000"/>
          <w:lang w:val="en-GB"/>
        </w:rPr>
        <w:t xml:space="preserve"> </w:t>
      </w:r>
      <w:r w:rsidR="00506BE6" w:rsidRPr="00E11DE7">
        <w:rPr>
          <w:rFonts w:eastAsiaTheme="minorHAnsi"/>
          <w:color w:val="000000"/>
          <w:lang w:val="en-GB"/>
        </w:rPr>
        <w:t xml:space="preserve">biodiversity loss </w:t>
      </w:r>
      <w:r w:rsidR="00A02895">
        <w:rPr>
          <w:rFonts w:eastAsiaTheme="minorHAnsi"/>
          <w:color w:val="000000"/>
          <w:lang w:val="en-GB"/>
        </w:rPr>
        <w:t>in a gender-based and sustainable way</w:t>
      </w:r>
      <w:r w:rsidR="00A02895" w:rsidRPr="00E11DE7">
        <w:rPr>
          <w:rFonts w:eastAsiaTheme="minorHAnsi"/>
          <w:color w:val="000000"/>
          <w:lang w:val="en-GB"/>
        </w:rPr>
        <w:t xml:space="preserve"> </w:t>
      </w:r>
      <w:r w:rsidR="00506BE6" w:rsidRPr="00E11DE7">
        <w:rPr>
          <w:rFonts w:eastAsiaTheme="minorHAnsi"/>
          <w:color w:val="000000"/>
          <w:lang w:val="en-GB"/>
        </w:rPr>
        <w:t xml:space="preserve">by tackling market, policy and governance failures that </w:t>
      </w:r>
      <w:r w:rsidR="00A02895">
        <w:rPr>
          <w:rFonts w:eastAsiaTheme="minorHAnsi"/>
          <w:color w:val="000000"/>
          <w:lang w:val="en-GB"/>
        </w:rPr>
        <w:t xml:space="preserve">have </w:t>
      </w:r>
      <w:r w:rsidR="00506BE6" w:rsidRPr="00E11DE7">
        <w:rPr>
          <w:rFonts w:eastAsiaTheme="minorHAnsi"/>
          <w:color w:val="000000"/>
          <w:lang w:val="en-GB"/>
        </w:rPr>
        <w:t>led to ecosystem degradation</w:t>
      </w:r>
      <w:r w:rsidR="001C2E09" w:rsidRPr="00E11DE7">
        <w:rPr>
          <w:rFonts w:eastAsiaTheme="minorHAnsi"/>
          <w:color w:val="000000"/>
          <w:lang w:val="en-GB"/>
        </w:rPr>
        <w:t xml:space="preserve"> and loss of livelihoods. </w:t>
      </w:r>
      <w:bookmarkStart w:id="6" w:name="_Hlk70365408"/>
    </w:p>
    <w:p w14:paraId="1AE71DA6" w14:textId="1F7A7C94" w:rsidR="00BB4EB6" w:rsidRDefault="00930090" w:rsidP="0091094F">
      <w:pPr>
        <w:numPr>
          <w:ilvl w:val="0"/>
          <w:numId w:val="18"/>
        </w:numPr>
        <w:tabs>
          <w:tab w:val="left" w:pos="1710"/>
        </w:tabs>
        <w:spacing w:after="120"/>
        <w:ind w:left="1260" w:right="1195" w:firstLine="0"/>
        <w:jc w:val="both"/>
        <w:rPr>
          <w:rFonts w:eastAsiaTheme="minorHAnsi"/>
          <w:color w:val="000000"/>
          <w:lang w:val="en-GB"/>
        </w:rPr>
      </w:pPr>
      <w:r w:rsidRPr="00B760EB">
        <w:rPr>
          <w:rFonts w:eastAsiaTheme="minorHAnsi"/>
          <w:color w:val="000000"/>
          <w:lang w:val="en-GB"/>
        </w:rPr>
        <w:t>UNDP will collaborate</w:t>
      </w:r>
      <w:r w:rsidR="00506BE6" w:rsidRPr="00B760EB">
        <w:rPr>
          <w:rFonts w:eastAsiaTheme="minorHAnsi"/>
          <w:color w:val="000000"/>
          <w:lang w:val="en-GB"/>
        </w:rPr>
        <w:t xml:space="preserve"> with </w:t>
      </w:r>
      <w:r w:rsidR="00DD52CE">
        <w:rPr>
          <w:rFonts w:eastAsiaTheme="minorHAnsi"/>
          <w:color w:val="000000"/>
          <w:lang w:val="en-GB"/>
        </w:rPr>
        <w:t>the Food and Agriculture Organization of the United Nations (</w:t>
      </w:r>
      <w:r w:rsidR="00506BE6" w:rsidRPr="00B760EB">
        <w:rPr>
          <w:rFonts w:eastAsiaTheme="minorHAnsi"/>
          <w:color w:val="000000"/>
          <w:lang w:val="en-GB"/>
        </w:rPr>
        <w:t>FAO</w:t>
      </w:r>
      <w:r w:rsidR="00DD52CE">
        <w:rPr>
          <w:rFonts w:eastAsiaTheme="minorHAnsi"/>
          <w:color w:val="000000"/>
          <w:lang w:val="en-GB"/>
        </w:rPr>
        <w:t>)</w:t>
      </w:r>
      <w:r w:rsidR="00506BE6" w:rsidRPr="00B760EB">
        <w:rPr>
          <w:rFonts w:eastAsiaTheme="minorHAnsi"/>
          <w:color w:val="000000"/>
          <w:lang w:val="en-GB"/>
        </w:rPr>
        <w:t xml:space="preserve">, </w:t>
      </w:r>
      <w:r w:rsidR="00DD52CE">
        <w:rPr>
          <w:rFonts w:eastAsiaTheme="minorHAnsi"/>
          <w:color w:val="000000"/>
          <w:lang w:val="en-GB"/>
        </w:rPr>
        <w:t>United Nations Environment Programme</w:t>
      </w:r>
      <w:r w:rsidRPr="00B760EB">
        <w:rPr>
          <w:rFonts w:eastAsiaTheme="minorHAnsi"/>
          <w:color w:val="000000"/>
          <w:lang w:val="en-GB"/>
        </w:rPr>
        <w:t xml:space="preserve">, </w:t>
      </w:r>
      <w:r w:rsidR="00DD52CE">
        <w:rPr>
          <w:rFonts w:eastAsiaTheme="minorHAnsi"/>
          <w:color w:val="000000"/>
          <w:lang w:val="en-GB"/>
        </w:rPr>
        <w:t>International Fund for Agricultural Development (</w:t>
      </w:r>
      <w:r w:rsidRPr="00B760EB">
        <w:rPr>
          <w:rFonts w:eastAsiaTheme="minorHAnsi"/>
          <w:color w:val="000000"/>
          <w:lang w:val="en-GB"/>
        </w:rPr>
        <w:t>IFAD</w:t>
      </w:r>
      <w:r w:rsidR="00DD52CE">
        <w:rPr>
          <w:rFonts w:eastAsiaTheme="minorHAnsi"/>
          <w:color w:val="000000"/>
          <w:lang w:val="en-GB"/>
        </w:rPr>
        <w:t>)</w:t>
      </w:r>
      <w:r w:rsidRPr="00B760EB">
        <w:rPr>
          <w:rFonts w:eastAsiaTheme="minorHAnsi"/>
          <w:color w:val="000000"/>
          <w:lang w:val="en-GB"/>
        </w:rPr>
        <w:t xml:space="preserve">, IOM and </w:t>
      </w:r>
      <w:r w:rsidR="00DD52CE">
        <w:rPr>
          <w:rFonts w:eastAsiaTheme="minorHAnsi"/>
          <w:color w:val="000000"/>
          <w:lang w:val="en-GB"/>
        </w:rPr>
        <w:t>the Office for the Coordination of Humanitarian Affairs</w:t>
      </w:r>
      <w:r w:rsidRPr="00B760EB">
        <w:rPr>
          <w:rFonts w:eastAsiaTheme="minorHAnsi"/>
          <w:color w:val="000000"/>
          <w:lang w:val="en-GB"/>
        </w:rPr>
        <w:t>.</w:t>
      </w:r>
      <w:r w:rsidR="00506BE6" w:rsidRPr="00B760EB">
        <w:rPr>
          <w:rFonts w:eastAsiaTheme="minorHAnsi"/>
          <w:color w:val="000000"/>
          <w:lang w:val="en-GB"/>
        </w:rPr>
        <w:t xml:space="preserve"> </w:t>
      </w:r>
      <w:bookmarkStart w:id="7" w:name="_Hlk70365424"/>
      <w:bookmarkEnd w:id="6"/>
      <w:r w:rsidR="00A02895">
        <w:rPr>
          <w:rFonts w:eastAsiaTheme="minorHAnsi"/>
          <w:color w:val="000000"/>
          <w:lang w:val="en-GB"/>
        </w:rPr>
        <w:t>It</w:t>
      </w:r>
      <w:r w:rsidR="00A02895" w:rsidRPr="00B760EB">
        <w:rPr>
          <w:rFonts w:eastAsiaTheme="minorHAnsi"/>
          <w:color w:val="000000"/>
          <w:lang w:val="en-GB"/>
        </w:rPr>
        <w:t xml:space="preserve"> </w:t>
      </w:r>
      <w:r w:rsidR="00506BE6" w:rsidRPr="00B760EB">
        <w:rPr>
          <w:rFonts w:eastAsiaTheme="minorHAnsi"/>
          <w:color w:val="000000"/>
          <w:lang w:val="en-GB"/>
        </w:rPr>
        <w:t xml:space="preserve">will </w:t>
      </w:r>
      <w:r w:rsidR="00FC5E85" w:rsidRPr="00B760EB">
        <w:rPr>
          <w:rFonts w:eastAsiaTheme="minorHAnsi"/>
          <w:color w:val="000000"/>
          <w:lang w:val="en-GB"/>
        </w:rPr>
        <w:t xml:space="preserve">also </w:t>
      </w:r>
      <w:r w:rsidR="00506BE6" w:rsidRPr="00B760EB">
        <w:rPr>
          <w:rFonts w:eastAsiaTheme="minorHAnsi"/>
          <w:color w:val="000000"/>
          <w:lang w:val="en-GB"/>
        </w:rPr>
        <w:t xml:space="preserve">strengthen its partnership </w:t>
      </w:r>
      <w:r w:rsidR="00F407BE" w:rsidRPr="00B760EB">
        <w:rPr>
          <w:rFonts w:eastAsiaTheme="minorHAnsi"/>
          <w:color w:val="000000"/>
          <w:lang w:val="en-GB"/>
        </w:rPr>
        <w:t xml:space="preserve">with </w:t>
      </w:r>
      <w:r w:rsidR="00A02895">
        <w:rPr>
          <w:rFonts w:eastAsiaTheme="minorHAnsi"/>
          <w:color w:val="000000"/>
          <w:lang w:val="en-GB"/>
        </w:rPr>
        <w:t>the Global Environment Facility and Green Climate Fund</w:t>
      </w:r>
      <w:r w:rsidR="00506BE6" w:rsidRPr="00B760EB">
        <w:rPr>
          <w:rFonts w:eastAsiaTheme="minorHAnsi"/>
          <w:color w:val="000000"/>
          <w:lang w:val="en-GB"/>
        </w:rPr>
        <w:t>, the Poverty-Environment Initiative and the United Nations Collaborative Programme on Reducing Emissions from Deforestation and Forest Degradation in Developing Countries.</w:t>
      </w:r>
      <w:r w:rsidR="00EC0E52" w:rsidRPr="00B760EB">
        <w:rPr>
          <w:rFonts w:eastAsiaTheme="minorHAnsi"/>
          <w:color w:val="000000"/>
          <w:lang w:val="en-GB"/>
        </w:rPr>
        <w:t xml:space="preserve"> </w:t>
      </w:r>
      <w:bookmarkEnd w:id="7"/>
      <w:r w:rsidR="00506BE6" w:rsidRPr="00B760EB">
        <w:rPr>
          <w:rFonts w:eastAsiaTheme="minorHAnsi"/>
          <w:color w:val="000000"/>
          <w:lang w:val="en-GB"/>
        </w:rPr>
        <w:t xml:space="preserve">UNDP will advocate for </w:t>
      </w:r>
      <w:r w:rsidR="00982C2F" w:rsidRPr="00B760EB">
        <w:rPr>
          <w:rFonts w:eastAsiaTheme="minorHAnsi"/>
          <w:color w:val="000000"/>
          <w:lang w:val="en-GB"/>
        </w:rPr>
        <w:t>gender</w:t>
      </w:r>
      <w:r w:rsidR="007D6361">
        <w:rPr>
          <w:rFonts w:eastAsiaTheme="minorHAnsi"/>
          <w:color w:val="000000"/>
          <w:lang w:val="en-GB"/>
        </w:rPr>
        <w:t>-</w:t>
      </w:r>
      <w:r w:rsidR="00982C2F" w:rsidRPr="00B760EB">
        <w:rPr>
          <w:rFonts w:eastAsiaTheme="minorHAnsi"/>
          <w:color w:val="000000"/>
          <w:lang w:val="en-GB"/>
        </w:rPr>
        <w:t xml:space="preserve">responsive, </w:t>
      </w:r>
      <w:r w:rsidR="00506BE6" w:rsidRPr="00B760EB">
        <w:rPr>
          <w:rFonts w:eastAsiaTheme="minorHAnsi"/>
          <w:color w:val="000000"/>
          <w:lang w:val="en-GB"/>
        </w:rPr>
        <w:t>pro-poor economic growth and environmental sustainability in all economic policies, planning systems and institutions</w:t>
      </w:r>
      <w:r w:rsidR="00B72081" w:rsidRPr="00B760EB">
        <w:rPr>
          <w:rFonts w:eastAsiaTheme="minorHAnsi"/>
          <w:color w:val="000000"/>
          <w:lang w:val="en-GB"/>
        </w:rPr>
        <w:t xml:space="preserve"> for managing natural resources and maintaining ecosystems</w:t>
      </w:r>
      <w:r w:rsidR="00506BE6" w:rsidRPr="00B760EB">
        <w:rPr>
          <w:rFonts w:eastAsiaTheme="minorHAnsi"/>
          <w:color w:val="000000"/>
          <w:lang w:val="en-GB"/>
        </w:rPr>
        <w:t>.</w:t>
      </w:r>
      <w:r w:rsidR="004965B5" w:rsidRPr="00B760EB">
        <w:rPr>
          <w:rFonts w:eastAsiaTheme="minorHAnsi"/>
          <w:color w:val="000000"/>
          <w:lang w:val="en-GB"/>
        </w:rPr>
        <w:t xml:space="preserve"> </w:t>
      </w:r>
    </w:p>
    <w:p w14:paraId="68B1AAC8" w14:textId="7ABB40DA" w:rsidR="00506BE6" w:rsidRPr="00BB4EB6" w:rsidRDefault="00506BE6" w:rsidP="00433431">
      <w:pPr>
        <w:numPr>
          <w:ilvl w:val="0"/>
          <w:numId w:val="18"/>
        </w:numPr>
        <w:tabs>
          <w:tab w:val="left" w:pos="1710"/>
        </w:tabs>
        <w:spacing w:after="200"/>
        <w:ind w:left="1260" w:right="1195" w:firstLine="0"/>
        <w:jc w:val="both"/>
        <w:rPr>
          <w:rFonts w:eastAsiaTheme="minorHAnsi"/>
          <w:color w:val="000000"/>
          <w:lang w:val="en-GB"/>
        </w:rPr>
      </w:pPr>
      <w:r w:rsidRPr="00BB4EB6">
        <w:rPr>
          <w:rFonts w:eastAsiaTheme="minorHAnsi"/>
          <w:color w:val="000000"/>
          <w:lang w:val="en-GB"/>
        </w:rPr>
        <w:t xml:space="preserve">UNDP will promote access to clean and affordable energy </w:t>
      </w:r>
      <w:r w:rsidR="00A93B13">
        <w:rPr>
          <w:rFonts w:eastAsiaTheme="minorHAnsi"/>
          <w:color w:val="000000"/>
          <w:lang w:val="en-GB"/>
        </w:rPr>
        <w:t>by</w:t>
      </w:r>
      <w:r w:rsidR="00A93B13" w:rsidRPr="00BB4EB6">
        <w:rPr>
          <w:rFonts w:eastAsiaTheme="minorHAnsi"/>
          <w:color w:val="000000"/>
          <w:lang w:val="en-GB"/>
        </w:rPr>
        <w:t xml:space="preserve"> </w:t>
      </w:r>
      <w:r w:rsidRPr="00BB4EB6">
        <w:rPr>
          <w:rFonts w:eastAsiaTheme="minorHAnsi"/>
          <w:color w:val="000000"/>
          <w:lang w:val="en-GB"/>
        </w:rPr>
        <w:t xml:space="preserve">rural and poor urban </w:t>
      </w:r>
      <w:r w:rsidR="00A93B13">
        <w:rPr>
          <w:rFonts w:eastAsiaTheme="minorHAnsi"/>
          <w:color w:val="000000"/>
          <w:lang w:val="en-GB"/>
        </w:rPr>
        <w:t>people</w:t>
      </w:r>
      <w:r w:rsidR="00A93B13" w:rsidRPr="00BB4EB6">
        <w:rPr>
          <w:rFonts w:eastAsiaTheme="minorHAnsi"/>
          <w:color w:val="000000"/>
          <w:lang w:val="en-GB"/>
        </w:rPr>
        <w:t xml:space="preserve"> </w:t>
      </w:r>
      <w:r w:rsidRPr="00BB4EB6">
        <w:rPr>
          <w:rFonts w:eastAsiaTheme="minorHAnsi"/>
          <w:color w:val="000000"/>
          <w:lang w:val="en-GB"/>
        </w:rPr>
        <w:t>for sustainable development</w:t>
      </w:r>
      <w:r w:rsidR="00982C2F" w:rsidRPr="00BB4EB6">
        <w:rPr>
          <w:rFonts w:eastAsiaTheme="minorHAnsi"/>
          <w:color w:val="000000"/>
          <w:lang w:val="en-GB"/>
        </w:rPr>
        <w:t xml:space="preserve"> </w:t>
      </w:r>
      <w:r w:rsidRPr="00BB4EB6">
        <w:rPr>
          <w:rFonts w:eastAsiaTheme="minorHAnsi"/>
          <w:color w:val="000000"/>
          <w:lang w:val="en-GB"/>
        </w:rPr>
        <w:t>that is responsive to the</w:t>
      </w:r>
      <w:r w:rsidR="00A93B13">
        <w:rPr>
          <w:rFonts w:eastAsiaTheme="minorHAnsi"/>
          <w:color w:val="000000"/>
          <w:lang w:val="en-GB"/>
        </w:rPr>
        <w:t>ir</w:t>
      </w:r>
      <w:r w:rsidRPr="00BB4EB6">
        <w:rPr>
          <w:rFonts w:eastAsiaTheme="minorHAnsi"/>
          <w:color w:val="000000"/>
          <w:lang w:val="en-GB"/>
        </w:rPr>
        <w:t xml:space="preserve"> needs</w:t>
      </w:r>
      <w:r w:rsidR="00A93B13">
        <w:rPr>
          <w:rFonts w:eastAsiaTheme="minorHAnsi"/>
          <w:color w:val="000000"/>
          <w:lang w:val="en-GB"/>
        </w:rPr>
        <w:t>, consistent with</w:t>
      </w:r>
      <w:r w:rsidRPr="00BB4EB6">
        <w:rPr>
          <w:rFonts w:eastAsiaTheme="minorHAnsi"/>
          <w:color w:val="000000"/>
          <w:lang w:val="en-GB"/>
        </w:rPr>
        <w:t xml:space="preserve"> </w:t>
      </w:r>
      <w:r w:rsidR="00A02895">
        <w:rPr>
          <w:rFonts w:eastAsiaTheme="minorHAnsi"/>
          <w:color w:val="000000"/>
          <w:lang w:val="en-GB"/>
        </w:rPr>
        <w:t>Goal</w:t>
      </w:r>
      <w:r w:rsidR="009B50D8" w:rsidRPr="00BB4EB6">
        <w:rPr>
          <w:rFonts w:eastAsiaTheme="minorHAnsi"/>
          <w:color w:val="000000"/>
          <w:lang w:val="en-GB"/>
        </w:rPr>
        <w:t xml:space="preserve"> 7 </w:t>
      </w:r>
      <w:r w:rsidRPr="00BB4EB6">
        <w:rPr>
          <w:rFonts w:eastAsiaTheme="minorHAnsi"/>
          <w:color w:val="000000"/>
          <w:lang w:val="en-GB"/>
        </w:rPr>
        <w:t>aspirations.</w:t>
      </w:r>
      <w:r w:rsidR="00BB4EB6">
        <w:rPr>
          <w:rFonts w:eastAsiaTheme="minorHAnsi"/>
          <w:color w:val="000000"/>
          <w:lang w:val="en-GB"/>
        </w:rPr>
        <w:t xml:space="preserve"> </w:t>
      </w:r>
      <w:r w:rsidRPr="00BB4EB6">
        <w:rPr>
          <w:rFonts w:eastAsiaTheme="minorHAnsi"/>
          <w:color w:val="000000"/>
          <w:lang w:val="en-GB"/>
        </w:rPr>
        <w:t xml:space="preserve">UNDP will </w:t>
      </w:r>
      <w:r w:rsidR="00982C2F" w:rsidRPr="00BB4EB6">
        <w:rPr>
          <w:rFonts w:eastAsiaTheme="minorHAnsi"/>
          <w:color w:val="000000"/>
          <w:lang w:val="en-GB"/>
        </w:rPr>
        <w:t xml:space="preserve">also </w:t>
      </w:r>
      <w:r w:rsidRPr="00BB4EB6">
        <w:rPr>
          <w:rFonts w:eastAsiaTheme="minorHAnsi"/>
          <w:color w:val="000000"/>
          <w:lang w:val="en-GB"/>
        </w:rPr>
        <w:t>support promot</w:t>
      </w:r>
      <w:r w:rsidR="00982C2F" w:rsidRPr="00BB4EB6">
        <w:rPr>
          <w:rFonts w:eastAsiaTheme="minorHAnsi"/>
          <w:color w:val="000000"/>
          <w:lang w:val="en-GB"/>
        </w:rPr>
        <w:t xml:space="preserve">ion of </w:t>
      </w:r>
      <w:r w:rsidRPr="00BB4EB6">
        <w:rPr>
          <w:rFonts w:eastAsiaTheme="minorHAnsi"/>
          <w:color w:val="000000"/>
          <w:lang w:val="en-GB"/>
        </w:rPr>
        <w:t>innovation</w:t>
      </w:r>
      <w:r w:rsidR="00FC5E85" w:rsidRPr="00BB4EB6">
        <w:rPr>
          <w:rFonts w:eastAsiaTheme="minorHAnsi"/>
          <w:color w:val="000000"/>
          <w:lang w:val="en-GB"/>
        </w:rPr>
        <w:t>s</w:t>
      </w:r>
      <w:r w:rsidRPr="00BB4EB6">
        <w:rPr>
          <w:rFonts w:eastAsiaTheme="minorHAnsi"/>
          <w:color w:val="000000"/>
          <w:lang w:val="en-GB"/>
        </w:rPr>
        <w:t xml:space="preserve"> in renewable, clean and affordable energy</w:t>
      </w:r>
      <w:r w:rsidR="00982C2F" w:rsidRPr="00BB4EB6">
        <w:rPr>
          <w:rFonts w:eastAsiaTheme="minorHAnsi"/>
          <w:color w:val="000000"/>
          <w:lang w:val="en-GB"/>
        </w:rPr>
        <w:t xml:space="preserve"> for economic and social development.</w:t>
      </w:r>
      <w:r w:rsidR="000B33A7" w:rsidRPr="00BB4EB6">
        <w:rPr>
          <w:rFonts w:eastAsiaTheme="minorHAnsi"/>
          <w:color w:val="000000"/>
          <w:lang w:val="en-GB"/>
        </w:rPr>
        <w:t xml:space="preserve"> </w:t>
      </w:r>
      <w:r w:rsidRPr="00BB4EB6">
        <w:rPr>
          <w:rFonts w:eastAsiaTheme="minorHAnsi"/>
          <w:color w:val="000000"/>
          <w:lang w:val="en-GB"/>
        </w:rPr>
        <w:t xml:space="preserve">In delivering this solution, UNDP will work closely with relevant </w:t>
      </w:r>
      <w:r w:rsidR="00A02895">
        <w:rPr>
          <w:rFonts w:eastAsiaTheme="minorHAnsi"/>
          <w:color w:val="000000"/>
          <w:lang w:val="en-GB"/>
        </w:rPr>
        <w:t>United Nations entities</w:t>
      </w:r>
      <w:r w:rsidRPr="00BB4EB6">
        <w:rPr>
          <w:rFonts w:eastAsiaTheme="minorHAnsi"/>
          <w:color w:val="000000"/>
          <w:lang w:val="en-GB"/>
        </w:rPr>
        <w:t xml:space="preserve"> under the UN</w:t>
      </w:r>
      <w:r w:rsidR="00FF7A20">
        <w:rPr>
          <w:rFonts w:eastAsiaTheme="minorHAnsi"/>
          <w:color w:val="000000"/>
          <w:lang w:val="en-GB"/>
        </w:rPr>
        <w:t xml:space="preserve"> e</w:t>
      </w:r>
      <w:r w:rsidRPr="00BB4EB6">
        <w:rPr>
          <w:rFonts w:eastAsiaTheme="minorHAnsi"/>
          <w:color w:val="000000"/>
          <w:lang w:val="en-GB"/>
        </w:rPr>
        <w:t xml:space="preserve">nergy framework and the Sustainable Energy for All initiative. The transition to efficient, clean and affordable </w:t>
      </w:r>
      <w:r w:rsidRPr="00BB4EB6">
        <w:rPr>
          <w:rFonts w:eastAsiaTheme="minorHAnsi"/>
          <w:color w:val="000000"/>
          <w:lang w:val="en-GB"/>
        </w:rPr>
        <w:lastRenderedPageBreak/>
        <w:t>energy will also help the country to reduce consumption of biomass and diesel fuels</w:t>
      </w:r>
      <w:r w:rsidR="004965B5" w:rsidRPr="00BB4EB6">
        <w:rPr>
          <w:rFonts w:eastAsiaTheme="minorHAnsi"/>
          <w:color w:val="000000"/>
          <w:lang w:val="en-GB"/>
        </w:rPr>
        <w:t>,</w:t>
      </w:r>
      <w:r w:rsidRPr="00BB4EB6">
        <w:rPr>
          <w:rFonts w:eastAsiaTheme="minorHAnsi"/>
          <w:color w:val="000000"/>
          <w:lang w:val="en-GB"/>
        </w:rPr>
        <w:t xml:space="preserve"> thereby reducing the </w:t>
      </w:r>
      <w:r w:rsidR="00795044">
        <w:rPr>
          <w:rFonts w:eastAsiaTheme="minorHAnsi"/>
          <w:color w:val="000000"/>
          <w:lang w:val="en-GB"/>
        </w:rPr>
        <w:t xml:space="preserve">harmful </w:t>
      </w:r>
      <w:r w:rsidRPr="00BB4EB6">
        <w:rPr>
          <w:rFonts w:eastAsiaTheme="minorHAnsi"/>
          <w:color w:val="000000"/>
          <w:lang w:val="en-GB"/>
        </w:rPr>
        <w:t>impacts of indoor and outdoor air pollution, particularly for women and children.</w:t>
      </w:r>
    </w:p>
    <w:p w14:paraId="2440D3F7" w14:textId="337055DB" w:rsidR="0063402B" w:rsidRPr="00FB2C5C" w:rsidRDefault="0063402B" w:rsidP="00433431">
      <w:pPr>
        <w:pStyle w:val="Heading1"/>
        <w:numPr>
          <w:ilvl w:val="0"/>
          <w:numId w:val="33"/>
        </w:numPr>
        <w:tabs>
          <w:tab w:val="left" w:pos="1710"/>
          <w:tab w:val="left" w:pos="1800"/>
        </w:tabs>
        <w:spacing w:after="200"/>
        <w:ind w:left="1260" w:right="1195" w:hanging="450"/>
        <w:jc w:val="both"/>
        <w:rPr>
          <w:rFonts w:ascii="Times New Roman" w:hAnsi="Times New Roman"/>
          <w:color w:val="000000"/>
          <w:sz w:val="24"/>
          <w:szCs w:val="24"/>
        </w:rPr>
      </w:pPr>
      <w:r w:rsidRPr="00FB2C5C">
        <w:rPr>
          <w:rFonts w:ascii="Times New Roman" w:hAnsi="Times New Roman"/>
          <w:color w:val="000000"/>
          <w:sz w:val="24"/>
          <w:szCs w:val="24"/>
          <w:lang w:val="en-US"/>
        </w:rPr>
        <w:t xml:space="preserve">Programme and </w:t>
      </w:r>
      <w:r w:rsidR="00433431">
        <w:rPr>
          <w:rFonts w:ascii="Times New Roman" w:hAnsi="Times New Roman"/>
          <w:color w:val="000000"/>
          <w:sz w:val="24"/>
          <w:szCs w:val="24"/>
          <w:lang w:val="en-US"/>
        </w:rPr>
        <w:t>r</w:t>
      </w:r>
      <w:r w:rsidRPr="00FB2C5C">
        <w:rPr>
          <w:rFonts w:ascii="Times New Roman" w:hAnsi="Times New Roman"/>
          <w:color w:val="000000"/>
          <w:sz w:val="24"/>
          <w:szCs w:val="24"/>
          <w:lang w:val="en-US"/>
        </w:rPr>
        <w:t>isk</w:t>
      </w:r>
      <w:r w:rsidR="00AC1BE7" w:rsidRPr="00FB2C5C">
        <w:rPr>
          <w:rFonts w:ascii="Times New Roman" w:hAnsi="Times New Roman"/>
          <w:color w:val="000000"/>
          <w:sz w:val="24"/>
          <w:szCs w:val="24"/>
          <w:lang w:val="en-US"/>
        </w:rPr>
        <w:t xml:space="preserve"> </w:t>
      </w:r>
      <w:r w:rsidR="00433431">
        <w:rPr>
          <w:rFonts w:ascii="Times New Roman" w:hAnsi="Times New Roman"/>
          <w:color w:val="000000"/>
          <w:sz w:val="24"/>
          <w:szCs w:val="24"/>
          <w:lang w:val="en-US"/>
        </w:rPr>
        <w:t>m</w:t>
      </w:r>
      <w:r w:rsidR="001C6C08" w:rsidRPr="00FB2C5C">
        <w:rPr>
          <w:rFonts w:ascii="Times New Roman" w:hAnsi="Times New Roman"/>
          <w:color w:val="000000"/>
          <w:sz w:val="24"/>
          <w:szCs w:val="24"/>
          <w:lang w:val="en-US"/>
        </w:rPr>
        <w:t>anagement</w:t>
      </w:r>
      <w:r w:rsidRPr="00FB2C5C">
        <w:rPr>
          <w:rFonts w:ascii="Times New Roman" w:hAnsi="Times New Roman"/>
          <w:color w:val="000000"/>
          <w:sz w:val="24"/>
          <w:szCs w:val="24"/>
        </w:rPr>
        <w:t xml:space="preserve"> </w:t>
      </w:r>
    </w:p>
    <w:p w14:paraId="5D71084A" w14:textId="60507548" w:rsidR="001075BF" w:rsidRPr="00EC0E52" w:rsidRDefault="001075BF" w:rsidP="0091094F">
      <w:pPr>
        <w:numPr>
          <w:ilvl w:val="0"/>
          <w:numId w:val="18"/>
        </w:numPr>
        <w:tabs>
          <w:tab w:val="left" w:pos="1710"/>
        </w:tabs>
        <w:spacing w:after="120"/>
        <w:ind w:left="1260" w:right="1195" w:firstLine="0"/>
        <w:jc w:val="both"/>
        <w:rPr>
          <w:bCs/>
        </w:rPr>
      </w:pPr>
      <w:r w:rsidRPr="00EC0E52">
        <w:rPr>
          <w:bCs/>
        </w:rPr>
        <w:t xml:space="preserve">This </w:t>
      </w:r>
      <w:r w:rsidR="00795044">
        <w:rPr>
          <w:bCs/>
        </w:rPr>
        <w:t>country programme document</w:t>
      </w:r>
      <w:r w:rsidR="00795044" w:rsidRPr="00EC0E52">
        <w:rPr>
          <w:bCs/>
        </w:rPr>
        <w:t xml:space="preserve"> </w:t>
      </w:r>
      <w:r w:rsidRPr="00EC0E52">
        <w:rPr>
          <w:bCs/>
        </w:rPr>
        <w:t xml:space="preserve">outlines UNDP’s contributions to national results and serves as the primary unit of accountability to the Executive Board </w:t>
      </w:r>
      <w:r w:rsidRPr="00972AEA">
        <w:rPr>
          <w:bCs/>
        </w:rPr>
        <w:t>for results alignment and resources assigned to the programme at country level</w:t>
      </w:r>
      <w:r w:rsidRPr="00F65610">
        <w:rPr>
          <w:bCs/>
        </w:rPr>
        <w:t>. Accountabili</w:t>
      </w:r>
      <w:r w:rsidR="00A55865" w:rsidRPr="00882B2B">
        <w:rPr>
          <w:bCs/>
        </w:rPr>
        <w:t xml:space="preserve">ty for </w:t>
      </w:r>
      <w:r w:rsidRPr="00882B2B">
        <w:rPr>
          <w:bCs/>
        </w:rPr>
        <w:t>managers at the country, regional a</w:t>
      </w:r>
      <w:r w:rsidRPr="00972AEA">
        <w:rPr>
          <w:bCs/>
        </w:rPr>
        <w:t>nd headquarter levels with respect to country programmes is prescribed in the organization’s Programme and Operations Policies and Procedures and Internal Control Framework.</w:t>
      </w:r>
    </w:p>
    <w:p w14:paraId="46827771" w14:textId="138FB702" w:rsidR="001025AB" w:rsidRDefault="001075BF" w:rsidP="0091094F">
      <w:pPr>
        <w:numPr>
          <w:ilvl w:val="0"/>
          <w:numId w:val="18"/>
        </w:numPr>
        <w:tabs>
          <w:tab w:val="left" w:pos="1710"/>
        </w:tabs>
        <w:spacing w:after="120"/>
        <w:ind w:left="1260" w:right="1195" w:firstLine="0"/>
        <w:jc w:val="both"/>
        <w:rPr>
          <w:bCs/>
        </w:rPr>
      </w:pPr>
      <w:r w:rsidRPr="001025AB">
        <w:rPr>
          <w:bCs/>
        </w:rPr>
        <w:t xml:space="preserve">The programme will be nationally executed. If necessary, national execution may be replaced by direct execution for part or all of the programme to enable response to </w:t>
      </w:r>
      <w:r w:rsidRPr="001025AB">
        <w:rPr>
          <w:bCs/>
          <w:i/>
          <w:iCs/>
        </w:rPr>
        <w:t>force majeure</w:t>
      </w:r>
      <w:r w:rsidRPr="001025AB">
        <w:rPr>
          <w:bCs/>
        </w:rPr>
        <w:t xml:space="preserve">. </w:t>
      </w:r>
      <w:r w:rsidR="00795044">
        <w:rPr>
          <w:bCs/>
        </w:rPr>
        <w:t>The h</w:t>
      </w:r>
      <w:r w:rsidR="00EC0E52" w:rsidRPr="001025AB">
        <w:rPr>
          <w:bCs/>
        </w:rPr>
        <w:t>armonized</w:t>
      </w:r>
      <w:r w:rsidRPr="001025AB">
        <w:rPr>
          <w:bCs/>
        </w:rPr>
        <w:t xml:space="preserve"> </w:t>
      </w:r>
      <w:r w:rsidR="00795044">
        <w:rPr>
          <w:bCs/>
        </w:rPr>
        <w:t>a</w:t>
      </w:r>
      <w:r w:rsidRPr="001025AB">
        <w:rPr>
          <w:bCs/>
        </w:rPr>
        <w:t xml:space="preserve">pproach to </w:t>
      </w:r>
      <w:r w:rsidR="00795044">
        <w:rPr>
          <w:bCs/>
        </w:rPr>
        <w:t>c</w:t>
      </w:r>
      <w:r w:rsidRPr="001025AB">
        <w:rPr>
          <w:bCs/>
        </w:rPr>
        <w:t xml:space="preserve">ash </w:t>
      </w:r>
      <w:r w:rsidR="00795044">
        <w:rPr>
          <w:bCs/>
        </w:rPr>
        <w:t>t</w:t>
      </w:r>
      <w:r w:rsidRPr="001025AB">
        <w:rPr>
          <w:bCs/>
        </w:rPr>
        <w:t>ransfers will be used in coordinat</w:t>
      </w:r>
      <w:r w:rsidR="00795044">
        <w:rPr>
          <w:bCs/>
        </w:rPr>
        <w:t>ion</w:t>
      </w:r>
      <w:r w:rsidRPr="001025AB">
        <w:rPr>
          <w:bCs/>
        </w:rPr>
        <w:t xml:space="preserve"> with other </w:t>
      </w:r>
      <w:r w:rsidR="00795044">
        <w:rPr>
          <w:bCs/>
        </w:rPr>
        <w:t>United Nations organizations</w:t>
      </w:r>
      <w:r w:rsidRPr="001025AB">
        <w:rPr>
          <w:bCs/>
        </w:rPr>
        <w:t xml:space="preserve"> to manage financial risks. </w:t>
      </w:r>
      <w:r w:rsidRPr="00972AEA">
        <w:rPr>
          <w:bCs/>
        </w:rPr>
        <w:t>Cost definitions and classifications for programme and development effectiveness will be charged to the concerned projects</w:t>
      </w:r>
      <w:r w:rsidRPr="00F65610">
        <w:rPr>
          <w:bCs/>
        </w:rPr>
        <w:t>.</w:t>
      </w:r>
      <w:r w:rsidR="00527798" w:rsidRPr="001025AB">
        <w:rPr>
          <w:bCs/>
        </w:rPr>
        <w:t xml:space="preserve"> New implementing partners will be assessed for their capacity to execute projects</w:t>
      </w:r>
      <w:r w:rsidR="00795044">
        <w:rPr>
          <w:bCs/>
        </w:rPr>
        <w:t>,</w:t>
      </w:r>
      <w:r w:rsidR="00527798" w:rsidRPr="001025AB">
        <w:rPr>
          <w:bCs/>
        </w:rPr>
        <w:t xml:space="preserve"> </w:t>
      </w:r>
      <w:r w:rsidR="00795044">
        <w:rPr>
          <w:bCs/>
        </w:rPr>
        <w:t>which</w:t>
      </w:r>
      <w:r w:rsidR="00527798" w:rsidRPr="001025AB">
        <w:rPr>
          <w:bCs/>
        </w:rPr>
        <w:t xml:space="preserve"> will inform cash transfer modality.</w:t>
      </w:r>
      <w:r w:rsidR="001025AB" w:rsidRPr="001025AB">
        <w:rPr>
          <w:bCs/>
        </w:rPr>
        <w:t xml:space="preserve"> </w:t>
      </w:r>
      <w:r w:rsidR="00FE7AD4" w:rsidRPr="001025AB">
        <w:rPr>
          <w:bCs/>
        </w:rPr>
        <w:t>Identified r</w:t>
      </w:r>
      <w:r w:rsidR="00E61052" w:rsidRPr="001025AB">
        <w:rPr>
          <w:bCs/>
        </w:rPr>
        <w:t xml:space="preserve">isks will be </w:t>
      </w:r>
      <w:r w:rsidR="001B1090" w:rsidRPr="001025AB">
        <w:rPr>
          <w:bCs/>
        </w:rPr>
        <w:t xml:space="preserve">mitigated </w:t>
      </w:r>
      <w:r w:rsidR="00FE7AD4" w:rsidRPr="001025AB">
        <w:rPr>
          <w:bCs/>
        </w:rPr>
        <w:t>through</w:t>
      </w:r>
      <w:r w:rsidR="00E61052" w:rsidRPr="001025AB">
        <w:rPr>
          <w:bCs/>
        </w:rPr>
        <w:t xml:space="preserve"> </w:t>
      </w:r>
      <w:r w:rsidR="00795044">
        <w:rPr>
          <w:bCs/>
        </w:rPr>
        <w:t>training</w:t>
      </w:r>
      <w:r w:rsidR="00EF4F91" w:rsidRPr="001025AB">
        <w:rPr>
          <w:bCs/>
        </w:rPr>
        <w:t xml:space="preserve"> and implementation of robust assurance measures</w:t>
      </w:r>
      <w:r w:rsidR="00527798" w:rsidRPr="001025AB">
        <w:rPr>
          <w:bCs/>
        </w:rPr>
        <w:t xml:space="preserve"> such as </w:t>
      </w:r>
      <w:r w:rsidR="00EF4F91" w:rsidRPr="001025AB">
        <w:rPr>
          <w:bCs/>
        </w:rPr>
        <w:t>spot checks, field visit</w:t>
      </w:r>
      <w:r w:rsidR="00795044">
        <w:rPr>
          <w:bCs/>
        </w:rPr>
        <w:t>s</w:t>
      </w:r>
      <w:r w:rsidR="00EF4F91" w:rsidRPr="001025AB">
        <w:rPr>
          <w:bCs/>
        </w:rPr>
        <w:t xml:space="preserve"> and joint </w:t>
      </w:r>
      <w:r w:rsidR="000C21A7" w:rsidRPr="001025AB">
        <w:rPr>
          <w:bCs/>
        </w:rPr>
        <w:t>monitoring.</w:t>
      </w:r>
      <w:r w:rsidR="00517AC7" w:rsidRPr="001025AB">
        <w:rPr>
          <w:bCs/>
        </w:rPr>
        <w:t xml:space="preserve"> </w:t>
      </w:r>
    </w:p>
    <w:p w14:paraId="52BBFC66" w14:textId="1048A349" w:rsidR="00A9266A" w:rsidRPr="0074775A" w:rsidRDefault="00FE7AD4" w:rsidP="0091094F">
      <w:pPr>
        <w:numPr>
          <w:ilvl w:val="0"/>
          <w:numId w:val="18"/>
        </w:numPr>
        <w:tabs>
          <w:tab w:val="left" w:pos="1710"/>
        </w:tabs>
        <w:spacing w:after="120"/>
        <w:ind w:left="1260" w:right="1195" w:firstLine="0"/>
        <w:jc w:val="both"/>
        <w:rPr>
          <w:bCs/>
        </w:rPr>
      </w:pPr>
      <w:r w:rsidRPr="001025AB">
        <w:rPr>
          <w:bCs/>
        </w:rPr>
        <w:t>F</w:t>
      </w:r>
      <w:r w:rsidR="00517AC7" w:rsidRPr="001025AB">
        <w:rPr>
          <w:bCs/>
        </w:rPr>
        <w:t xml:space="preserve">rom the </w:t>
      </w:r>
      <w:r w:rsidR="00795044">
        <w:rPr>
          <w:bCs/>
        </w:rPr>
        <w:t xml:space="preserve">2019 </w:t>
      </w:r>
      <w:r w:rsidR="00517AC7" w:rsidRPr="001025AB">
        <w:rPr>
          <w:bCs/>
        </w:rPr>
        <w:t xml:space="preserve">audit </w:t>
      </w:r>
      <w:r w:rsidR="00795044">
        <w:rPr>
          <w:bCs/>
        </w:rPr>
        <w:t>by the Office of Audit and Investigation</w:t>
      </w:r>
      <w:r w:rsidR="00517AC7" w:rsidRPr="001025AB">
        <w:rPr>
          <w:bCs/>
        </w:rPr>
        <w:t xml:space="preserve"> and the 2017-2021</w:t>
      </w:r>
      <w:r w:rsidR="00795044">
        <w:rPr>
          <w:bCs/>
        </w:rPr>
        <w:t xml:space="preserve"> country programme</w:t>
      </w:r>
      <w:r w:rsidR="00517AC7" w:rsidRPr="001025AB">
        <w:rPr>
          <w:bCs/>
        </w:rPr>
        <w:t xml:space="preserve"> terminal evaluation, potential risks </w:t>
      </w:r>
      <w:r w:rsidR="00795044">
        <w:rPr>
          <w:bCs/>
        </w:rPr>
        <w:t xml:space="preserve">were identified </w:t>
      </w:r>
      <w:r w:rsidR="00517AC7" w:rsidRPr="001025AB">
        <w:rPr>
          <w:bCs/>
        </w:rPr>
        <w:t>that could pose a threat to the smooth implementation of the programme</w:t>
      </w:r>
      <w:r w:rsidR="00795044">
        <w:rPr>
          <w:bCs/>
        </w:rPr>
        <w:t>. They</w:t>
      </w:r>
      <w:r w:rsidR="00517AC7" w:rsidRPr="001025AB">
        <w:rPr>
          <w:bCs/>
        </w:rPr>
        <w:t xml:space="preserve"> include </w:t>
      </w:r>
      <w:r w:rsidR="00517AC7" w:rsidRPr="00045610">
        <w:rPr>
          <w:bCs/>
        </w:rPr>
        <w:t>(</w:t>
      </w:r>
      <w:r w:rsidR="0074775A">
        <w:rPr>
          <w:bCs/>
        </w:rPr>
        <w:t>a</w:t>
      </w:r>
      <w:r w:rsidR="00517AC7" w:rsidRPr="00045610">
        <w:rPr>
          <w:bCs/>
        </w:rPr>
        <w:t>) limited absorptive capacity of national institutions and human capacity to deliver on results, (</w:t>
      </w:r>
      <w:r w:rsidR="0074775A">
        <w:rPr>
          <w:bCs/>
        </w:rPr>
        <w:t>b</w:t>
      </w:r>
      <w:r w:rsidR="00517AC7" w:rsidRPr="00045610">
        <w:rPr>
          <w:bCs/>
        </w:rPr>
        <w:t>) changing government priorities and institution</w:t>
      </w:r>
      <w:r w:rsidRPr="00045610">
        <w:rPr>
          <w:bCs/>
        </w:rPr>
        <w:t xml:space="preserve">al arrangements </w:t>
      </w:r>
      <w:r w:rsidR="00517AC7" w:rsidRPr="00045610">
        <w:rPr>
          <w:bCs/>
        </w:rPr>
        <w:t xml:space="preserve">in the </w:t>
      </w:r>
      <w:r w:rsidR="0074775A">
        <w:rPr>
          <w:bCs/>
        </w:rPr>
        <w:t>course</w:t>
      </w:r>
      <w:r w:rsidR="0074775A" w:rsidRPr="00045610">
        <w:rPr>
          <w:bCs/>
        </w:rPr>
        <w:t xml:space="preserve"> </w:t>
      </w:r>
      <w:r w:rsidR="00517AC7" w:rsidRPr="00045610">
        <w:rPr>
          <w:bCs/>
        </w:rPr>
        <w:t>of implementation, (</w:t>
      </w:r>
      <w:r w:rsidR="0074775A">
        <w:rPr>
          <w:bCs/>
        </w:rPr>
        <w:t>c</w:t>
      </w:r>
      <w:r w:rsidR="00517AC7" w:rsidRPr="00045610">
        <w:rPr>
          <w:bCs/>
        </w:rPr>
        <w:t>) limited access to resources</w:t>
      </w:r>
      <w:r w:rsidR="0074775A">
        <w:rPr>
          <w:bCs/>
        </w:rPr>
        <w:t>,</w:t>
      </w:r>
      <w:r w:rsidR="00517AC7" w:rsidRPr="00045610">
        <w:rPr>
          <w:bCs/>
        </w:rPr>
        <w:t xml:space="preserve"> (</w:t>
      </w:r>
      <w:r w:rsidR="0074775A">
        <w:rPr>
          <w:bCs/>
        </w:rPr>
        <w:t>d</w:t>
      </w:r>
      <w:r w:rsidR="00517AC7" w:rsidRPr="00045610">
        <w:rPr>
          <w:bCs/>
        </w:rPr>
        <w:t>) regional conflict and (</w:t>
      </w:r>
      <w:r w:rsidR="0074775A">
        <w:rPr>
          <w:bCs/>
        </w:rPr>
        <w:t>e</w:t>
      </w:r>
      <w:r w:rsidR="00517AC7" w:rsidRPr="00045610">
        <w:rPr>
          <w:bCs/>
        </w:rPr>
        <w:t>) ongoing restriction</w:t>
      </w:r>
      <w:r w:rsidRPr="00045610">
        <w:rPr>
          <w:bCs/>
        </w:rPr>
        <w:t>s due to</w:t>
      </w:r>
      <w:r w:rsidR="00517AC7" w:rsidRPr="00045610">
        <w:rPr>
          <w:bCs/>
        </w:rPr>
        <w:t xml:space="preserve"> COVID-19</w:t>
      </w:r>
      <w:r w:rsidR="00517AC7" w:rsidRPr="00795044">
        <w:rPr>
          <w:bCs/>
        </w:rPr>
        <w:t>.</w:t>
      </w:r>
      <w:r w:rsidR="0023539E" w:rsidRPr="0074775A">
        <w:rPr>
          <w:bCs/>
        </w:rPr>
        <w:t xml:space="preserve"> </w:t>
      </w:r>
    </w:p>
    <w:p w14:paraId="3E9B2343" w14:textId="2620CB31" w:rsidR="0082052A" w:rsidRPr="0082052A" w:rsidRDefault="0023539E" w:rsidP="0091094F">
      <w:pPr>
        <w:numPr>
          <w:ilvl w:val="0"/>
          <w:numId w:val="18"/>
        </w:numPr>
        <w:tabs>
          <w:tab w:val="left" w:pos="1710"/>
        </w:tabs>
        <w:spacing w:after="120"/>
        <w:ind w:left="1260" w:right="1195" w:firstLine="0"/>
        <w:jc w:val="both"/>
        <w:rPr>
          <w:bCs/>
        </w:rPr>
      </w:pPr>
      <w:r w:rsidRPr="001025AB">
        <w:rPr>
          <w:bCs/>
        </w:rPr>
        <w:t xml:space="preserve">The </w:t>
      </w:r>
      <w:r w:rsidR="0074775A">
        <w:rPr>
          <w:bCs/>
        </w:rPr>
        <w:t>country office</w:t>
      </w:r>
      <w:r w:rsidR="0074775A" w:rsidRPr="001025AB">
        <w:rPr>
          <w:bCs/>
        </w:rPr>
        <w:t xml:space="preserve"> </w:t>
      </w:r>
      <w:r w:rsidRPr="001025AB">
        <w:rPr>
          <w:bCs/>
        </w:rPr>
        <w:t xml:space="preserve">will </w:t>
      </w:r>
      <w:r w:rsidR="0074775A">
        <w:rPr>
          <w:bCs/>
        </w:rPr>
        <w:t>work</w:t>
      </w:r>
      <w:r w:rsidRPr="001025AB">
        <w:rPr>
          <w:bCs/>
        </w:rPr>
        <w:t xml:space="preserve"> </w:t>
      </w:r>
      <w:r w:rsidR="00AF0C67" w:rsidRPr="001025AB">
        <w:rPr>
          <w:bCs/>
        </w:rPr>
        <w:t>to strengthen</w:t>
      </w:r>
      <w:r w:rsidR="00C35845" w:rsidRPr="001025AB">
        <w:rPr>
          <w:bCs/>
        </w:rPr>
        <w:t xml:space="preserve"> enterprise risk management including </w:t>
      </w:r>
      <w:r w:rsidR="0074775A">
        <w:rPr>
          <w:bCs/>
        </w:rPr>
        <w:t xml:space="preserve">through </w:t>
      </w:r>
      <w:r w:rsidR="00F65610">
        <w:rPr>
          <w:bCs/>
        </w:rPr>
        <w:t xml:space="preserve">conducting </w:t>
      </w:r>
      <w:r w:rsidR="00C35845" w:rsidRPr="001025AB">
        <w:rPr>
          <w:bCs/>
        </w:rPr>
        <w:t>social and environment</w:t>
      </w:r>
      <w:r w:rsidR="0074775A">
        <w:rPr>
          <w:bCs/>
        </w:rPr>
        <w:t>al</w:t>
      </w:r>
      <w:r w:rsidR="00C35845" w:rsidRPr="001025AB">
        <w:rPr>
          <w:bCs/>
        </w:rPr>
        <w:t xml:space="preserve"> impact assessments </w:t>
      </w:r>
      <w:r w:rsidR="00226B8E" w:rsidRPr="001025AB">
        <w:rPr>
          <w:bCs/>
        </w:rPr>
        <w:t xml:space="preserve">for </w:t>
      </w:r>
      <w:r w:rsidR="00C35845" w:rsidRPr="001025AB">
        <w:rPr>
          <w:bCs/>
        </w:rPr>
        <w:t xml:space="preserve">all projects, </w:t>
      </w:r>
      <w:r w:rsidR="00226B8E" w:rsidRPr="001025AB">
        <w:rPr>
          <w:bCs/>
        </w:rPr>
        <w:t>strengthen</w:t>
      </w:r>
      <w:r w:rsidR="00B0177A">
        <w:rPr>
          <w:bCs/>
        </w:rPr>
        <w:t xml:space="preserve">ing </w:t>
      </w:r>
      <w:r w:rsidR="00AF0C67" w:rsidRPr="001025AB">
        <w:rPr>
          <w:bCs/>
        </w:rPr>
        <w:t>capacities</w:t>
      </w:r>
      <w:r w:rsidR="00B0177A">
        <w:rPr>
          <w:bCs/>
        </w:rPr>
        <w:t xml:space="preserve"> (of both people and institutions)</w:t>
      </w:r>
      <w:r w:rsidR="00E11903" w:rsidRPr="001025AB">
        <w:rPr>
          <w:bCs/>
        </w:rPr>
        <w:t xml:space="preserve">, </w:t>
      </w:r>
      <w:r w:rsidR="007D6361">
        <w:rPr>
          <w:bCs/>
        </w:rPr>
        <w:t xml:space="preserve">and </w:t>
      </w:r>
      <w:r w:rsidR="00B0177A">
        <w:rPr>
          <w:bCs/>
        </w:rPr>
        <w:t>seeking</w:t>
      </w:r>
      <w:r w:rsidR="00B0177A" w:rsidRPr="001025AB">
        <w:rPr>
          <w:bCs/>
        </w:rPr>
        <w:t xml:space="preserve"> </w:t>
      </w:r>
      <w:r w:rsidR="00B0177A">
        <w:rPr>
          <w:bCs/>
        </w:rPr>
        <w:t>new</w:t>
      </w:r>
      <w:r w:rsidR="00B0177A" w:rsidRPr="001025AB">
        <w:rPr>
          <w:bCs/>
        </w:rPr>
        <w:t xml:space="preserve"> </w:t>
      </w:r>
      <w:r w:rsidR="00E11903" w:rsidRPr="001025AB">
        <w:rPr>
          <w:bCs/>
        </w:rPr>
        <w:t>financing sources</w:t>
      </w:r>
      <w:r w:rsidR="00AF0C67" w:rsidRPr="001025AB">
        <w:rPr>
          <w:bCs/>
        </w:rPr>
        <w:t xml:space="preserve"> and </w:t>
      </w:r>
      <w:r w:rsidRPr="001025AB">
        <w:rPr>
          <w:bCs/>
        </w:rPr>
        <w:t>pr</w:t>
      </w:r>
      <w:r w:rsidR="00CA6A42" w:rsidRPr="001025AB">
        <w:rPr>
          <w:bCs/>
        </w:rPr>
        <w:t>o</w:t>
      </w:r>
      <w:r w:rsidRPr="001025AB">
        <w:rPr>
          <w:bCs/>
        </w:rPr>
        <w:t>gramm</w:t>
      </w:r>
      <w:r w:rsidR="00B64D58">
        <w:rPr>
          <w:bCs/>
        </w:rPr>
        <w:t>ing</w:t>
      </w:r>
      <w:r w:rsidRPr="001025AB">
        <w:rPr>
          <w:bCs/>
        </w:rPr>
        <w:t xml:space="preserve"> in new areas such as social protection</w:t>
      </w:r>
      <w:r w:rsidR="00877F15" w:rsidRPr="001025AB">
        <w:rPr>
          <w:bCs/>
        </w:rPr>
        <w:t xml:space="preserve"> and </w:t>
      </w:r>
      <w:r w:rsidRPr="001025AB">
        <w:rPr>
          <w:bCs/>
        </w:rPr>
        <w:t>regional integration</w:t>
      </w:r>
      <w:r w:rsidR="00E11903" w:rsidRPr="001025AB">
        <w:rPr>
          <w:bCs/>
        </w:rPr>
        <w:t>.</w:t>
      </w:r>
      <w:r w:rsidR="00517AC7" w:rsidRPr="001025AB">
        <w:rPr>
          <w:bCs/>
        </w:rPr>
        <w:t xml:space="preserve"> </w:t>
      </w:r>
      <w:r w:rsidR="00BB140A" w:rsidRPr="001025AB">
        <w:rPr>
          <w:bCs/>
        </w:rPr>
        <w:t>Though h</w:t>
      </w:r>
      <w:r w:rsidR="00226B8E" w:rsidRPr="001025AB">
        <w:rPr>
          <w:bCs/>
        </w:rPr>
        <w:t xml:space="preserve">ampered by </w:t>
      </w:r>
      <w:r w:rsidR="00BB140A" w:rsidRPr="001025AB">
        <w:rPr>
          <w:bCs/>
        </w:rPr>
        <w:t xml:space="preserve">limited internet penetration in </w:t>
      </w:r>
      <w:r w:rsidR="007D6361">
        <w:rPr>
          <w:bCs/>
        </w:rPr>
        <w:t>Eritrea</w:t>
      </w:r>
      <w:r w:rsidR="00BB140A" w:rsidRPr="001025AB">
        <w:rPr>
          <w:bCs/>
        </w:rPr>
        <w:t xml:space="preserve"> and the </w:t>
      </w:r>
      <w:r w:rsidR="00226B8E" w:rsidRPr="001025AB">
        <w:rPr>
          <w:bCs/>
        </w:rPr>
        <w:t>digital</w:t>
      </w:r>
      <w:r w:rsidR="00B64D58">
        <w:rPr>
          <w:bCs/>
        </w:rPr>
        <w:t xml:space="preserve"> focus of</w:t>
      </w:r>
      <w:r w:rsidR="00BB140A" w:rsidRPr="001025AB">
        <w:rPr>
          <w:bCs/>
        </w:rPr>
        <w:t xml:space="preserve"> service delivery</w:t>
      </w:r>
      <w:r w:rsidR="00226B8E" w:rsidRPr="001025AB">
        <w:rPr>
          <w:bCs/>
        </w:rPr>
        <w:t xml:space="preserve"> </w:t>
      </w:r>
      <w:r w:rsidR="00BB140A" w:rsidRPr="001025AB">
        <w:rPr>
          <w:bCs/>
        </w:rPr>
        <w:t xml:space="preserve">platforms, </w:t>
      </w:r>
      <w:r w:rsidR="00226B8E" w:rsidRPr="001025AB">
        <w:rPr>
          <w:bCs/>
        </w:rPr>
        <w:t xml:space="preserve">the </w:t>
      </w:r>
      <w:r w:rsidR="00B64D58">
        <w:rPr>
          <w:bCs/>
        </w:rPr>
        <w:t>country office</w:t>
      </w:r>
      <w:r w:rsidR="00B64D58" w:rsidRPr="001025AB">
        <w:rPr>
          <w:bCs/>
        </w:rPr>
        <w:t xml:space="preserve"> </w:t>
      </w:r>
      <w:r w:rsidR="00226B8E" w:rsidRPr="001025AB">
        <w:rPr>
          <w:bCs/>
        </w:rPr>
        <w:t xml:space="preserve">will strive to </w:t>
      </w:r>
      <w:r w:rsidR="00B64D58">
        <w:rPr>
          <w:bCs/>
        </w:rPr>
        <w:t>implement</w:t>
      </w:r>
      <w:r w:rsidR="00B64D58" w:rsidRPr="001025AB">
        <w:rPr>
          <w:bCs/>
        </w:rPr>
        <w:t xml:space="preserve"> </w:t>
      </w:r>
      <w:r w:rsidR="00226B8E" w:rsidRPr="001025AB">
        <w:rPr>
          <w:bCs/>
        </w:rPr>
        <w:t xml:space="preserve">the </w:t>
      </w:r>
      <w:r w:rsidR="00691371">
        <w:rPr>
          <w:bCs/>
        </w:rPr>
        <w:t>d</w:t>
      </w:r>
      <w:r w:rsidR="00BB140A" w:rsidRPr="00045610">
        <w:rPr>
          <w:bCs/>
        </w:rPr>
        <w:t xml:space="preserve">igital by </w:t>
      </w:r>
      <w:r w:rsidR="00691371">
        <w:rPr>
          <w:bCs/>
        </w:rPr>
        <w:t>d</w:t>
      </w:r>
      <w:r w:rsidR="00BB140A" w:rsidRPr="00045610">
        <w:rPr>
          <w:bCs/>
        </w:rPr>
        <w:t>efault</w:t>
      </w:r>
      <w:r w:rsidR="00BB140A" w:rsidRPr="001025AB">
        <w:rPr>
          <w:bCs/>
          <w:i/>
          <w:iCs/>
        </w:rPr>
        <w:t xml:space="preserve"> </w:t>
      </w:r>
      <w:r w:rsidR="00BB140A" w:rsidRPr="001025AB">
        <w:rPr>
          <w:bCs/>
        </w:rPr>
        <w:t>tools to enhance service delivery</w:t>
      </w:r>
      <w:r w:rsidR="00BB140A" w:rsidRPr="001025AB">
        <w:rPr>
          <w:bCs/>
          <w:i/>
          <w:iCs/>
        </w:rPr>
        <w:t xml:space="preserve">. </w:t>
      </w:r>
    </w:p>
    <w:p w14:paraId="04A5BCAC" w14:textId="326DA369" w:rsidR="00966A8E" w:rsidRDefault="00D15CFF" w:rsidP="0091094F">
      <w:pPr>
        <w:numPr>
          <w:ilvl w:val="0"/>
          <w:numId w:val="18"/>
        </w:numPr>
        <w:tabs>
          <w:tab w:val="left" w:pos="1710"/>
        </w:tabs>
        <w:spacing w:after="120"/>
        <w:ind w:left="1260" w:right="1195" w:firstLine="0"/>
        <w:jc w:val="both"/>
        <w:rPr>
          <w:bCs/>
        </w:rPr>
      </w:pPr>
      <w:r w:rsidRPr="00FF5256">
        <w:rPr>
          <w:bCs/>
        </w:rPr>
        <w:t xml:space="preserve">The </w:t>
      </w:r>
      <w:r w:rsidR="0082052A" w:rsidRPr="00F65610">
        <w:rPr>
          <w:bCs/>
        </w:rPr>
        <w:t>SCF</w:t>
      </w:r>
      <w:r w:rsidR="00FF5256" w:rsidRPr="00F65610">
        <w:rPr>
          <w:bCs/>
        </w:rPr>
        <w:t>-</w:t>
      </w:r>
      <w:r w:rsidR="00B8019A">
        <w:rPr>
          <w:bCs/>
        </w:rPr>
        <w:t>country programme</w:t>
      </w:r>
      <w:r w:rsidR="00B8019A" w:rsidRPr="00FF5256">
        <w:rPr>
          <w:bCs/>
        </w:rPr>
        <w:t xml:space="preserve"> </w:t>
      </w:r>
      <w:r w:rsidRPr="00FF5256">
        <w:rPr>
          <w:bCs/>
        </w:rPr>
        <w:t xml:space="preserve">Partnerships and Communications Action Plan </w:t>
      </w:r>
      <w:r w:rsidR="00E61052" w:rsidRPr="00FF5256">
        <w:rPr>
          <w:bCs/>
        </w:rPr>
        <w:t xml:space="preserve">will </w:t>
      </w:r>
      <w:r w:rsidRPr="00FF5256">
        <w:rPr>
          <w:bCs/>
        </w:rPr>
        <w:t xml:space="preserve">be </w:t>
      </w:r>
      <w:r w:rsidR="00E61052" w:rsidRPr="00FF5256">
        <w:rPr>
          <w:bCs/>
        </w:rPr>
        <w:t>design</w:t>
      </w:r>
      <w:r w:rsidRPr="00FF5256">
        <w:rPr>
          <w:bCs/>
        </w:rPr>
        <w:t>ed</w:t>
      </w:r>
      <w:r w:rsidR="00E163D6" w:rsidRPr="00FF5256">
        <w:rPr>
          <w:bCs/>
        </w:rPr>
        <w:t xml:space="preserve"> </w:t>
      </w:r>
      <w:r w:rsidR="00E61052" w:rsidRPr="00FF5256">
        <w:rPr>
          <w:bCs/>
        </w:rPr>
        <w:t xml:space="preserve">in collaboration with the </w:t>
      </w:r>
      <w:r w:rsidR="00B64D58">
        <w:rPr>
          <w:bCs/>
        </w:rPr>
        <w:t>United Nations country team</w:t>
      </w:r>
      <w:r w:rsidRPr="00FF5256">
        <w:rPr>
          <w:bCs/>
        </w:rPr>
        <w:t xml:space="preserve">, </w:t>
      </w:r>
      <w:r w:rsidR="00B64D58">
        <w:rPr>
          <w:bCs/>
        </w:rPr>
        <w:t>emphasizing</w:t>
      </w:r>
      <w:r w:rsidR="00E61052" w:rsidRPr="00FF5256">
        <w:rPr>
          <w:bCs/>
        </w:rPr>
        <w:t xml:space="preserve"> </w:t>
      </w:r>
      <w:r w:rsidRPr="00FF5256">
        <w:rPr>
          <w:bCs/>
        </w:rPr>
        <w:t xml:space="preserve">results-oriented communication </w:t>
      </w:r>
      <w:r w:rsidR="00B64D58">
        <w:rPr>
          <w:bCs/>
        </w:rPr>
        <w:t>to mobilize</w:t>
      </w:r>
      <w:r w:rsidR="00B64D58" w:rsidRPr="00FF5256">
        <w:rPr>
          <w:bCs/>
        </w:rPr>
        <w:t xml:space="preserve"> </w:t>
      </w:r>
      <w:r w:rsidR="00E61052" w:rsidRPr="00FF5256">
        <w:rPr>
          <w:bCs/>
        </w:rPr>
        <w:t>resource</w:t>
      </w:r>
      <w:r w:rsidR="00B64D58">
        <w:rPr>
          <w:bCs/>
        </w:rPr>
        <w:t>s</w:t>
      </w:r>
      <w:r w:rsidR="00E61052" w:rsidRPr="00FF5256">
        <w:rPr>
          <w:bCs/>
        </w:rPr>
        <w:t xml:space="preserve">. </w:t>
      </w:r>
      <w:r w:rsidR="003B2362" w:rsidRPr="00FF5256">
        <w:rPr>
          <w:bCs/>
        </w:rPr>
        <w:t xml:space="preserve">The </w:t>
      </w:r>
      <w:r w:rsidR="00B64D58">
        <w:rPr>
          <w:bCs/>
        </w:rPr>
        <w:t>country office</w:t>
      </w:r>
      <w:r w:rsidR="00B64D58" w:rsidRPr="00FF5256">
        <w:rPr>
          <w:bCs/>
        </w:rPr>
        <w:t xml:space="preserve"> </w:t>
      </w:r>
      <w:r w:rsidR="003B2362" w:rsidRPr="00FF5256">
        <w:rPr>
          <w:bCs/>
        </w:rPr>
        <w:t xml:space="preserve">will </w:t>
      </w:r>
      <w:r w:rsidR="00B64D58">
        <w:rPr>
          <w:bCs/>
        </w:rPr>
        <w:t>make use of</w:t>
      </w:r>
      <w:r w:rsidR="00B64D58" w:rsidRPr="00FF5256">
        <w:rPr>
          <w:bCs/>
        </w:rPr>
        <w:t xml:space="preserve"> </w:t>
      </w:r>
      <w:r w:rsidR="003B2362" w:rsidRPr="00FF5256">
        <w:rPr>
          <w:bCs/>
        </w:rPr>
        <w:t xml:space="preserve">the capacities of </w:t>
      </w:r>
      <w:r w:rsidR="00B64D58">
        <w:rPr>
          <w:bCs/>
        </w:rPr>
        <w:t>UNDP</w:t>
      </w:r>
      <w:r w:rsidR="00B64D58" w:rsidRPr="00FF5256">
        <w:rPr>
          <w:bCs/>
        </w:rPr>
        <w:t xml:space="preserve"> </w:t>
      </w:r>
      <w:r w:rsidR="003B2362" w:rsidRPr="00FF5256">
        <w:rPr>
          <w:bCs/>
        </w:rPr>
        <w:t xml:space="preserve">regional and </w:t>
      </w:r>
      <w:r w:rsidR="00B64D58">
        <w:rPr>
          <w:bCs/>
        </w:rPr>
        <w:t>headquarters</w:t>
      </w:r>
      <w:r w:rsidR="00B64D58" w:rsidRPr="00FF5256">
        <w:rPr>
          <w:bCs/>
        </w:rPr>
        <w:t xml:space="preserve"> </w:t>
      </w:r>
      <w:r w:rsidR="003B2362" w:rsidRPr="00FF5256">
        <w:rPr>
          <w:bCs/>
        </w:rPr>
        <w:t>bureau</w:t>
      </w:r>
      <w:r w:rsidR="00B64D58">
        <w:rPr>
          <w:bCs/>
        </w:rPr>
        <w:t>x</w:t>
      </w:r>
      <w:r w:rsidR="003B2362" w:rsidRPr="00FF5256">
        <w:rPr>
          <w:bCs/>
        </w:rPr>
        <w:t xml:space="preserve"> and collaborate with </w:t>
      </w:r>
      <w:r w:rsidR="00B64D58">
        <w:rPr>
          <w:bCs/>
        </w:rPr>
        <w:t xml:space="preserve">the </w:t>
      </w:r>
      <w:r w:rsidR="00594FF2">
        <w:rPr>
          <w:bCs/>
        </w:rPr>
        <w:t>G</w:t>
      </w:r>
      <w:r w:rsidR="003B2362" w:rsidRPr="00FF5256">
        <w:rPr>
          <w:bCs/>
        </w:rPr>
        <w:t>overnment to mobilize resources</w:t>
      </w:r>
      <w:r w:rsidR="00FF5256" w:rsidRPr="00FF5256">
        <w:rPr>
          <w:bCs/>
        </w:rPr>
        <w:t xml:space="preserve"> jointly</w:t>
      </w:r>
      <w:r w:rsidR="003B2362" w:rsidRPr="00FF5256">
        <w:rPr>
          <w:bCs/>
        </w:rPr>
        <w:t>.</w:t>
      </w:r>
      <w:r w:rsidR="00FF5256" w:rsidRPr="00FF5256">
        <w:rPr>
          <w:bCs/>
        </w:rPr>
        <w:t xml:space="preserve"> </w:t>
      </w:r>
      <w:r w:rsidR="00B64D58">
        <w:rPr>
          <w:bCs/>
        </w:rPr>
        <w:t>The country office</w:t>
      </w:r>
      <w:r w:rsidR="003B2362" w:rsidRPr="00FF5256">
        <w:rPr>
          <w:bCs/>
        </w:rPr>
        <w:t xml:space="preserve"> </w:t>
      </w:r>
      <w:r w:rsidR="00A50C7B" w:rsidRPr="00FF5256">
        <w:rPr>
          <w:bCs/>
        </w:rPr>
        <w:t xml:space="preserve">will </w:t>
      </w:r>
      <w:r w:rsidRPr="00FF5256">
        <w:rPr>
          <w:bCs/>
        </w:rPr>
        <w:t xml:space="preserve">further </w:t>
      </w:r>
      <w:r w:rsidR="00A50C7B" w:rsidRPr="00FF5256">
        <w:rPr>
          <w:bCs/>
        </w:rPr>
        <w:t xml:space="preserve">explore partnerships with </w:t>
      </w:r>
      <w:r w:rsidR="00B64D58">
        <w:rPr>
          <w:bCs/>
        </w:rPr>
        <w:t>regional and international financial institutions</w:t>
      </w:r>
      <w:r w:rsidR="00966A8E">
        <w:rPr>
          <w:bCs/>
        </w:rPr>
        <w:t xml:space="preserve">, </w:t>
      </w:r>
      <w:r w:rsidR="00B64D58">
        <w:rPr>
          <w:bCs/>
        </w:rPr>
        <w:t xml:space="preserve">the </w:t>
      </w:r>
      <w:r w:rsidR="00966A8E">
        <w:rPr>
          <w:bCs/>
        </w:rPr>
        <w:t xml:space="preserve">private sector, </w:t>
      </w:r>
      <w:r w:rsidR="00A50C7B" w:rsidRPr="00FF5256">
        <w:rPr>
          <w:bCs/>
        </w:rPr>
        <w:t>multilateral</w:t>
      </w:r>
      <w:r w:rsidRPr="00FF5256">
        <w:rPr>
          <w:bCs/>
        </w:rPr>
        <w:t xml:space="preserve"> and bilateral</w:t>
      </w:r>
      <w:r w:rsidR="00A50C7B" w:rsidRPr="00FF5256">
        <w:rPr>
          <w:bCs/>
        </w:rPr>
        <w:t xml:space="preserve"> organizations, funding windows, emerging donors, foundations</w:t>
      </w:r>
      <w:r w:rsidR="00B64D58">
        <w:rPr>
          <w:bCs/>
        </w:rPr>
        <w:t xml:space="preserve"> and</w:t>
      </w:r>
      <w:r w:rsidR="00A50C7B" w:rsidRPr="00FF5256">
        <w:rPr>
          <w:bCs/>
        </w:rPr>
        <w:t xml:space="preserve"> the African Union to expand the programme portfolio.</w:t>
      </w:r>
      <w:r w:rsidR="00E61052" w:rsidRPr="00FF5256">
        <w:rPr>
          <w:bCs/>
        </w:rPr>
        <w:t xml:space="preserve"> </w:t>
      </w:r>
    </w:p>
    <w:p w14:paraId="670C8D8E" w14:textId="1CF9A4AE" w:rsidR="00E61052" w:rsidRPr="00FF5256" w:rsidRDefault="00B64D58" w:rsidP="00EB1313">
      <w:pPr>
        <w:numPr>
          <w:ilvl w:val="0"/>
          <w:numId w:val="18"/>
        </w:numPr>
        <w:tabs>
          <w:tab w:val="left" w:pos="1710"/>
        </w:tabs>
        <w:spacing w:after="200"/>
        <w:ind w:left="1260" w:right="1195" w:firstLine="0"/>
        <w:jc w:val="both"/>
        <w:rPr>
          <w:bCs/>
        </w:rPr>
      </w:pPr>
      <w:r>
        <w:rPr>
          <w:bCs/>
        </w:rPr>
        <w:t>Recognizing</w:t>
      </w:r>
      <w:r w:rsidR="005C1F4B" w:rsidRPr="00FF5256">
        <w:rPr>
          <w:bCs/>
        </w:rPr>
        <w:t xml:space="preserve"> the limited donor landscape in Eritrea, the midterm evaluation of the </w:t>
      </w:r>
      <w:r>
        <w:rPr>
          <w:bCs/>
        </w:rPr>
        <w:t>country programme and</w:t>
      </w:r>
      <w:r w:rsidR="005C1F4B" w:rsidRPr="00FF5256">
        <w:rPr>
          <w:bCs/>
        </w:rPr>
        <w:t xml:space="preserve"> regular tracking of the </w:t>
      </w:r>
      <w:r>
        <w:rPr>
          <w:bCs/>
        </w:rPr>
        <w:t xml:space="preserve">programme’s </w:t>
      </w:r>
      <w:r w:rsidR="005C1F4B" w:rsidRPr="00FF5256">
        <w:rPr>
          <w:bCs/>
        </w:rPr>
        <w:t xml:space="preserve">resource mobilization pipeline will provide evidence for </w:t>
      </w:r>
      <w:r>
        <w:rPr>
          <w:bCs/>
        </w:rPr>
        <w:t>needed</w:t>
      </w:r>
      <w:r w:rsidRPr="00FF5256">
        <w:rPr>
          <w:bCs/>
        </w:rPr>
        <w:t xml:space="preserve"> </w:t>
      </w:r>
      <w:r w:rsidR="00877F15" w:rsidRPr="00FF5256">
        <w:rPr>
          <w:bCs/>
        </w:rPr>
        <w:t>adjustment</w:t>
      </w:r>
      <w:r>
        <w:rPr>
          <w:bCs/>
        </w:rPr>
        <w:t>s</w:t>
      </w:r>
      <w:r w:rsidR="005C1F4B" w:rsidRPr="00FF5256">
        <w:rPr>
          <w:bCs/>
        </w:rPr>
        <w:t xml:space="preserve">. </w:t>
      </w:r>
      <w:r w:rsidR="00E61052" w:rsidRPr="00FF5256">
        <w:rPr>
          <w:bCs/>
        </w:rPr>
        <w:t>Implementation of the office</w:t>
      </w:r>
      <w:r w:rsidR="002910B8" w:rsidRPr="00FF5256">
        <w:rPr>
          <w:bCs/>
        </w:rPr>
        <w:t>’s</w:t>
      </w:r>
      <w:r w:rsidR="00E61052" w:rsidRPr="00FF5256">
        <w:rPr>
          <w:bCs/>
        </w:rPr>
        <w:t xml:space="preserve"> financial sustainability plan will be monitored in line with Executive Board </w:t>
      </w:r>
      <w:r w:rsidR="002910B8" w:rsidRPr="00FF5256">
        <w:rPr>
          <w:bCs/>
        </w:rPr>
        <w:t>D</w:t>
      </w:r>
      <w:r w:rsidR="00E61052" w:rsidRPr="00FF5256">
        <w:rPr>
          <w:bCs/>
        </w:rPr>
        <w:t>ecision 2013/9</w:t>
      </w:r>
      <w:r>
        <w:rPr>
          <w:bCs/>
        </w:rPr>
        <w:t>.</w:t>
      </w:r>
      <w:r w:rsidR="00E61052" w:rsidRPr="00FF5256">
        <w:rPr>
          <w:bCs/>
        </w:rPr>
        <w:t xml:space="preserve"> UN joint programming instruments and UNDP costs incurred in implementing development activities will be charged to the relevant projects.</w:t>
      </w:r>
      <w:r w:rsidR="00451279" w:rsidRPr="00FF5256">
        <w:rPr>
          <w:bCs/>
        </w:rPr>
        <w:t xml:space="preserve"> </w:t>
      </w:r>
    </w:p>
    <w:p w14:paraId="2440D409" w14:textId="65873EE3" w:rsidR="00701B6B" w:rsidRPr="00FB2C5C" w:rsidRDefault="001D42D1" w:rsidP="00EB1313">
      <w:pPr>
        <w:pStyle w:val="Heading1"/>
        <w:numPr>
          <w:ilvl w:val="0"/>
          <w:numId w:val="33"/>
        </w:numPr>
        <w:tabs>
          <w:tab w:val="left" w:pos="1710"/>
          <w:tab w:val="left" w:pos="1800"/>
        </w:tabs>
        <w:spacing w:after="200"/>
        <w:ind w:left="1260" w:right="1195" w:hanging="450"/>
        <w:jc w:val="both"/>
        <w:rPr>
          <w:rFonts w:ascii="Times New Roman" w:hAnsi="Times New Roman"/>
          <w:color w:val="000000"/>
          <w:sz w:val="24"/>
          <w:szCs w:val="24"/>
          <w:lang w:val="en-US"/>
        </w:rPr>
      </w:pPr>
      <w:r w:rsidRPr="00FB2C5C">
        <w:rPr>
          <w:rFonts w:ascii="Times New Roman" w:hAnsi="Times New Roman"/>
          <w:color w:val="000000"/>
          <w:sz w:val="24"/>
          <w:szCs w:val="24"/>
        </w:rPr>
        <w:t xml:space="preserve">Monitoring and </w:t>
      </w:r>
      <w:r w:rsidR="00EB1313">
        <w:rPr>
          <w:rFonts w:ascii="Times New Roman" w:hAnsi="Times New Roman"/>
          <w:color w:val="000000"/>
          <w:sz w:val="24"/>
          <w:szCs w:val="24"/>
          <w:lang w:val="en-US"/>
        </w:rPr>
        <w:t>e</w:t>
      </w:r>
      <w:r w:rsidR="001B3F87" w:rsidRPr="00FB2C5C">
        <w:rPr>
          <w:rFonts w:ascii="Times New Roman" w:hAnsi="Times New Roman"/>
          <w:color w:val="000000"/>
          <w:sz w:val="24"/>
          <w:szCs w:val="24"/>
          <w:lang w:val="en-US"/>
        </w:rPr>
        <w:t>valuation</w:t>
      </w:r>
      <w:r w:rsidR="003B2362" w:rsidRPr="003B2362">
        <w:rPr>
          <w:rFonts w:ascii="Corbel" w:hAnsi="Corbel"/>
          <w:noProof/>
          <w:sz w:val="20"/>
        </w:rPr>
        <w:t xml:space="preserve"> </w:t>
      </w:r>
    </w:p>
    <w:p w14:paraId="2E219A55" w14:textId="00FE2A7C" w:rsidR="00C90D22" w:rsidRDefault="00F96D97" w:rsidP="0091094F">
      <w:pPr>
        <w:numPr>
          <w:ilvl w:val="0"/>
          <w:numId w:val="18"/>
        </w:numPr>
        <w:tabs>
          <w:tab w:val="left" w:pos="1710"/>
        </w:tabs>
        <w:spacing w:after="120"/>
        <w:ind w:left="1260" w:right="1195" w:firstLine="0"/>
        <w:jc w:val="both"/>
        <w:rPr>
          <w:bCs/>
          <w:lang w:val="en-GB"/>
        </w:rPr>
      </w:pPr>
      <w:r w:rsidRPr="00C90D22">
        <w:rPr>
          <w:bCs/>
        </w:rPr>
        <w:t xml:space="preserve">In alignment with the </w:t>
      </w:r>
      <w:r w:rsidR="00A50C7B" w:rsidRPr="007C2593">
        <w:rPr>
          <w:bCs/>
        </w:rPr>
        <w:t>UNSDCF</w:t>
      </w:r>
      <w:r w:rsidRPr="00C90D22">
        <w:rPr>
          <w:bCs/>
        </w:rPr>
        <w:t xml:space="preserve"> </w:t>
      </w:r>
      <w:r w:rsidR="00B64D58">
        <w:rPr>
          <w:bCs/>
        </w:rPr>
        <w:t>monitoring and evaluation</w:t>
      </w:r>
      <w:r w:rsidRPr="00C90D22">
        <w:rPr>
          <w:bCs/>
        </w:rPr>
        <w:t xml:space="preserve"> framework, UNDP will </w:t>
      </w:r>
      <w:r w:rsidR="00B64D58">
        <w:rPr>
          <w:bCs/>
        </w:rPr>
        <w:t xml:space="preserve">make </w:t>
      </w:r>
      <w:r w:rsidRPr="00C90D22">
        <w:rPr>
          <w:bCs/>
        </w:rPr>
        <w:t>invest</w:t>
      </w:r>
      <w:r w:rsidR="00B64D58">
        <w:rPr>
          <w:bCs/>
        </w:rPr>
        <w:t>ments</w:t>
      </w:r>
      <w:r w:rsidR="00A50C7B">
        <w:rPr>
          <w:bCs/>
        </w:rPr>
        <w:t xml:space="preserve"> </w:t>
      </w:r>
      <w:r w:rsidRPr="00C90D22">
        <w:rPr>
          <w:bCs/>
        </w:rPr>
        <w:t xml:space="preserve">to invigorate the contribution of the country programme to </w:t>
      </w:r>
      <w:r w:rsidR="00F145DC">
        <w:rPr>
          <w:bCs/>
        </w:rPr>
        <w:t xml:space="preserve">big data, </w:t>
      </w:r>
      <w:r w:rsidRPr="00C90D22">
        <w:rPr>
          <w:bCs/>
        </w:rPr>
        <w:t xml:space="preserve">national development and </w:t>
      </w:r>
      <w:r w:rsidR="00B64D58">
        <w:rPr>
          <w:bCs/>
        </w:rPr>
        <w:t>the Goals</w:t>
      </w:r>
      <w:r w:rsidRPr="00C90D22">
        <w:rPr>
          <w:bCs/>
        </w:rPr>
        <w:t xml:space="preserve">. </w:t>
      </w:r>
      <w:r w:rsidRPr="00C90D22">
        <w:rPr>
          <w:bCs/>
          <w:lang w:val="en-ZW"/>
        </w:rPr>
        <w:t xml:space="preserve">The Ministry of Finance and National Development </w:t>
      </w:r>
      <w:r w:rsidRPr="00C90D22">
        <w:rPr>
          <w:bCs/>
          <w:lang w:val="en-ZW"/>
        </w:rPr>
        <w:lastRenderedPageBreak/>
        <w:t>(</w:t>
      </w:r>
      <w:r w:rsidR="00690DED">
        <w:rPr>
          <w:bCs/>
          <w:lang w:val="en-ZW"/>
        </w:rPr>
        <w:t>MFND</w:t>
      </w:r>
      <w:r w:rsidRPr="00C90D22">
        <w:rPr>
          <w:bCs/>
          <w:lang w:val="en-ZW"/>
        </w:rPr>
        <w:t xml:space="preserve">) and UNDP will co-lead selected working groups for the outcomes under this programme and </w:t>
      </w:r>
      <w:r w:rsidR="00904B6A">
        <w:rPr>
          <w:bCs/>
          <w:lang w:val="en-ZW"/>
        </w:rPr>
        <w:t xml:space="preserve">will </w:t>
      </w:r>
      <w:r w:rsidRPr="00C90D22">
        <w:rPr>
          <w:bCs/>
          <w:lang w:val="en-ZW"/>
        </w:rPr>
        <w:t>undertake more inclusive and gender</w:t>
      </w:r>
      <w:r w:rsidR="00904B6A">
        <w:rPr>
          <w:bCs/>
          <w:lang w:val="en-ZW"/>
        </w:rPr>
        <w:t>-</w:t>
      </w:r>
      <w:r w:rsidRPr="00C90D22">
        <w:rPr>
          <w:bCs/>
          <w:lang w:val="en-ZW"/>
        </w:rPr>
        <w:t xml:space="preserve">sensitive monitoring, assurance and progress reviews to inform evidence-based </w:t>
      </w:r>
      <w:r w:rsidRPr="00C90D22">
        <w:rPr>
          <w:bCs/>
        </w:rPr>
        <w:t>decision</w:t>
      </w:r>
      <w:r w:rsidR="00904B6A">
        <w:rPr>
          <w:bCs/>
        </w:rPr>
        <w:t>-</w:t>
      </w:r>
      <w:r w:rsidRPr="00C90D22">
        <w:rPr>
          <w:bCs/>
        </w:rPr>
        <w:t>making.</w:t>
      </w:r>
      <w:r w:rsidR="00C90D22">
        <w:rPr>
          <w:bCs/>
        </w:rPr>
        <w:t xml:space="preserve"> </w:t>
      </w:r>
      <w:r w:rsidRPr="00C90D22">
        <w:rPr>
          <w:bCs/>
        </w:rPr>
        <w:t>Considering the paucity</w:t>
      </w:r>
      <w:r w:rsidR="00904B6A">
        <w:rPr>
          <w:bCs/>
        </w:rPr>
        <w:t xml:space="preserve"> of data</w:t>
      </w:r>
      <w:r w:rsidRPr="00C90D22">
        <w:rPr>
          <w:bCs/>
        </w:rPr>
        <w:t xml:space="preserve"> in the country, </w:t>
      </w:r>
      <w:r w:rsidRPr="00C90D22">
        <w:rPr>
          <w:bCs/>
          <w:lang w:val="en-GB"/>
        </w:rPr>
        <w:t xml:space="preserve">UNDP will support </w:t>
      </w:r>
      <w:r w:rsidR="00904B6A">
        <w:rPr>
          <w:bCs/>
          <w:lang w:val="en-GB"/>
        </w:rPr>
        <w:t xml:space="preserve">development of </w:t>
      </w:r>
      <w:r w:rsidRPr="00C90D22">
        <w:rPr>
          <w:bCs/>
          <w:lang w:val="en-GB"/>
        </w:rPr>
        <w:t xml:space="preserve">national capacity and efforts to produce quality country data and studies. </w:t>
      </w:r>
    </w:p>
    <w:p w14:paraId="797BD469" w14:textId="74CDEE25" w:rsidR="00C90D22" w:rsidRPr="00C90D22" w:rsidRDefault="00A93B13" w:rsidP="0091094F">
      <w:pPr>
        <w:numPr>
          <w:ilvl w:val="0"/>
          <w:numId w:val="18"/>
        </w:numPr>
        <w:tabs>
          <w:tab w:val="left" w:pos="1710"/>
        </w:tabs>
        <w:spacing w:after="120"/>
        <w:ind w:left="1260" w:right="1195" w:firstLine="0"/>
        <w:jc w:val="both"/>
        <w:rPr>
          <w:bCs/>
        </w:rPr>
      </w:pPr>
      <w:r>
        <w:rPr>
          <w:bCs/>
          <w:lang w:val="en-GB"/>
        </w:rPr>
        <w:t>Sources of information</w:t>
      </w:r>
      <w:r w:rsidR="00F96D97" w:rsidRPr="00C90D22">
        <w:rPr>
          <w:bCs/>
          <w:lang w:val="en-GB"/>
        </w:rPr>
        <w:t xml:space="preserve"> will include the </w:t>
      </w:r>
      <w:r w:rsidR="00882B2B">
        <w:rPr>
          <w:bCs/>
          <w:lang w:val="en-GB"/>
        </w:rPr>
        <w:t>H</w:t>
      </w:r>
      <w:r w:rsidR="00A55865" w:rsidRPr="00C90D22">
        <w:rPr>
          <w:bCs/>
          <w:lang w:val="en-GB"/>
        </w:rPr>
        <w:t xml:space="preserve">uman </w:t>
      </w:r>
      <w:r w:rsidR="00882B2B">
        <w:rPr>
          <w:bCs/>
          <w:lang w:val="en-GB"/>
        </w:rPr>
        <w:t>D</w:t>
      </w:r>
      <w:r w:rsidR="00A55865" w:rsidRPr="00C90D22">
        <w:rPr>
          <w:bCs/>
          <w:lang w:val="en-GB"/>
        </w:rPr>
        <w:t>evelopment</w:t>
      </w:r>
      <w:r w:rsidR="00A55865">
        <w:rPr>
          <w:bCs/>
          <w:lang w:val="en-GB"/>
        </w:rPr>
        <w:t xml:space="preserve"> </w:t>
      </w:r>
      <w:r w:rsidR="00882B2B">
        <w:rPr>
          <w:bCs/>
          <w:lang w:val="en-GB"/>
        </w:rPr>
        <w:t xml:space="preserve">Report </w:t>
      </w:r>
      <w:r w:rsidR="00356841">
        <w:rPr>
          <w:bCs/>
          <w:lang w:val="en-GB"/>
        </w:rPr>
        <w:t>and</w:t>
      </w:r>
      <w:r w:rsidR="00A55865" w:rsidRPr="00C90D22">
        <w:rPr>
          <w:bCs/>
          <w:lang w:val="en-GB"/>
        </w:rPr>
        <w:t xml:space="preserve"> </w:t>
      </w:r>
      <w:r w:rsidR="00904B6A">
        <w:rPr>
          <w:bCs/>
          <w:lang w:val="en-GB"/>
        </w:rPr>
        <w:t xml:space="preserve">Goals </w:t>
      </w:r>
      <w:r w:rsidR="00A55865">
        <w:rPr>
          <w:bCs/>
          <w:lang w:val="en-GB"/>
        </w:rPr>
        <w:t>r</w:t>
      </w:r>
      <w:r w:rsidR="00A55865" w:rsidRPr="00C90D22">
        <w:rPr>
          <w:bCs/>
          <w:lang w:val="en-GB"/>
        </w:rPr>
        <w:t>eport</w:t>
      </w:r>
      <w:r w:rsidR="00A55865">
        <w:rPr>
          <w:bCs/>
          <w:lang w:val="en-GB"/>
        </w:rPr>
        <w:t>s</w:t>
      </w:r>
      <w:r w:rsidR="00904B6A">
        <w:rPr>
          <w:bCs/>
          <w:lang w:val="en-GB"/>
        </w:rPr>
        <w:t xml:space="preserve">; </w:t>
      </w:r>
      <w:r w:rsidR="00F96D97" w:rsidRPr="00C90D22">
        <w:rPr>
          <w:bCs/>
          <w:lang w:val="en-GB"/>
        </w:rPr>
        <w:t>thematic studies on youth and employment</w:t>
      </w:r>
      <w:r w:rsidR="00904B6A">
        <w:rPr>
          <w:bCs/>
          <w:lang w:val="en-GB"/>
        </w:rPr>
        <w:t xml:space="preserve"> and</w:t>
      </w:r>
      <w:r w:rsidR="00F96D97" w:rsidRPr="00C90D22">
        <w:rPr>
          <w:bCs/>
          <w:lang w:val="en-GB"/>
        </w:rPr>
        <w:t xml:space="preserve"> climatic change adaptation</w:t>
      </w:r>
      <w:r w:rsidR="00904B6A">
        <w:rPr>
          <w:bCs/>
          <w:lang w:val="en-GB"/>
        </w:rPr>
        <w:t>;</w:t>
      </w:r>
      <w:r w:rsidR="00F96D97" w:rsidRPr="00C90D22">
        <w:rPr>
          <w:bCs/>
          <w:lang w:val="en-GB"/>
        </w:rPr>
        <w:t xml:space="preserve"> and establishment of </w:t>
      </w:r>
      <w:r w:rsidR="00904B6A">
        <w:rPr>
          <w:bCs/>
          <w:lang w:val="en-GB"/>
        </w:rPr>
        <w:t xml:space="preserve">monitoring </w:t>
      </w:r>
      <w:r w:rsidR="00F96D97" w:rsidRPr="00C90D22">
        <w:rPr>
          <w:bCs/>
          <w:lang w:val="en-GB"/>
        </w:rPr>
        <w:t xml:space="preserve">baselines for relevant </w:t>
      </w:r>
      <w:r w:rsidR="00904B6A">
        <w:rPr>
          <w:bCs/>
          <w:lang w:val="en-GB"/>
        </w:rPr>
        <w:t>Goals</w:t>
      </w:r>
      <w:r w:rsidR="00F96D97" w:rsidRPr="00C90D22">
        <w:rPr>
          <w:bCs/>
          <w:lang w:val="en-GB"/>
        </w:rPr>
        <w:t xml:space="preserve">. </w:t>
      </w:r>
      <w:r w:rsidR="00F96D97" w:rsidRPr="00C90D22">
        <w:rPr>
          <w:bCs/>
        </w:rPr>
        <w:t xml:space="preserve">UNDP will take an active role in the </w:t>
      </w:r>
      <w:r w:rsidR="00904B6A">
        <w:rPr>
          <w:bCs/>
        </w:rPr>
        <w:t xml:space="preserve">United Nations Monitoring and Evaluation </w:t>
      </w:r>
      <w:r w:rsidR="00F96D97" w:rsidRPr="00C90D22">
        <w:rPr>
          <w:bCs/>
        </w:rPr>
        <w:t xml:space="preserve">Working Group in collaboration </w:t>
      </w:r>
      <w:r w:rsidR="00384089" w:rsidRPr="00C90D22">
        <w:rPr>
          <w:bCs/>
        </w:rPr>
        <w:t>with</w:t>
      </w:r>
      <w:r w:rsidR="00F96D97" w:rsidRPr="00C90D22">
        <w:rPr>
          <w:bCs/>
        </w:rPr>
        <w:t xml:space="preserve"> multilateral and bilateral development partners</w:t>
      </w:r>
      <w:r w:rsidR="00904B6A">
        <w:rPr>
          <w:bCs/>
        </w:rPr>
        <w:t>. The aim will be</w:t>
      </w:r>
      <w:r w:rsidR="00F96D97" w:rsidRPr="00C90D22">
        <w:rPr>
          <w:bCs/>
        </w:rPr>
        <w:t xml:space="preserve"> to strengthen national </w:t>
      </w:r>
      <w:r w:rsidR="00904B6A">
        <w:rPr>
          <w:bCs/>
        </w:rPr>
        <w:t>monitoring and evaluation</w:t>
      </w:r>
      <w:r w:rsidR="00F96D97" w:rsidRPr="00C90D22">
        <w:rPr>
          <w:bCs/>
        </w:rPr>
        <w:t xml:space="preserve"> systems to gradually buil</w:t>
      </w:r>
      <w:r w:rsidR="00384089" w:rsidRPr="00C90D22">
        <w:rPr>
          <w:bCs/>
        </w:rPr>
        <w:t>d</w:t>
      </w:r>
      <w:r w:rsidR="00904B6A">
        <w:rPr>
          <w:bCs/>
        </w:rPr>
        <w:t xml:space="preserve"> </w:t>
      </w:r>
      <w:r w:rsidR="00F96D97" w:rsidRPr="00C90D22">
        <w:rPr>
          <w:bCs/>
        </w:rPr>
        <w:t>up data collection</w:t>
      </w:r>
      <w:r w:rsidR="00904B6A">
        <w:rPr>
          <w:bCs/>
        </w:rPr>
        <w:t xml:space="preserve"> and</w:t>
      </w:r>
      <w:r w:rsidR="00F96D97" w:rsidRPr="00C90D22">
        <w:rPr>
          <w:bCs/>
        </w:rPr>
        <w:t xml:space="preserve"> analysis. </w:t>
      </w:r>
      <w:r w:rsidR="00CC46B4" w:rsidRPr="00045610">
        <w:rPr>
          <w:bCs/>
          <w:color w:val="000000"/>
        </w:rPr>
        <w:t>I</w:t>
      </w:r>
      <w:r w:rsidR="000E403A" w:rsidRPr="00CC46B4">
        <w:rPr>
          <w:bCs/>
          <w:color w:val="000000"/>
        </w:rPr>
        <w:t>ndicators, baselines</w:t>
      </w:r>
      <w:r w:rsidR="00CC46B4" w:rsidRPr="00045610">
        <w:rPr>
          <w:bCs/>
          <w:color w:val="000000"/>
        </w:rPr>
        <w:t xml:space="preserve"> and</w:t>
      </w:r>
      <w:r w:rsidR="000E403A" w:rsidRPr="00CC46B4">
        <w:rPr>
          <w:bCs/>
          <w:color w:val="000000"/>
        </w:rPr>
        <w:t xml:space="preserve"> targets </w:t>
      </w:r>
      <w:r w:rsidR="00CC46B4" w:rsidRPr="00045610">
        <w:rPr>
          <w:bCs/>
          <w:color w:val="000000"/>
        </w:rPr>
        <w:t>will be established that are specific, measurable, achievable, relevant and time-</w:t>
      </w:r>
      <w:r w:rsidR="00CC46B4">
        <w:rPr>
          <w:bCs/>
          <w:color w:val="000000"/>
        </w:rPr>
        <w:t>based</w:t>
      </w:r>
      <w:r w:rsidR="000E403A" w:rsidRPr="00CC46B4">
        <w:rPr>
          <w:bCs/>
          <w:color w:val="000000"/>
        </w:rPr>
        <w:t xml:space="preserve">. </w:t>
      </w:r>
      <w:r w:rsidR="000E403A" w:rsidRPr="00CC46B4">
        <w:rPr>
          <w:bCs/>
          <w:color w:val="000000"/>
          <w:lang w:val="en-GB"/>
        </w:rPr>
        <w:t>Missing</w:t>
      </w:r>
      <w:r w:rsidR="000E403A" w:rsidRPr="00C90D22">
        <w:rPr>
          <w:bCs/>
          <w:color w:val="000000"/>
          <w:lang w:val="en-GB"/>
        </w:rPr>
        <w:t xml:space="preserve"> baseline data will be collected during the first quarter of 2022. </w:t>
      </w:r>
      <w:r w:rsidR="003B2362">
        <w:rPr>
          <w:bCs/>
          <w:color w:val="000000"/>
        </w:rPr>
        <w:t>Project e</w:t>
      </w:r>
      <w:r w:rsidR="003B2362" w:rsidRPr="003B2362">
        <w:rPr>
          <w:bCs/>
        </w:rPr>
        <w:t>valuations</w:t>
      </w:r>
      <w:r w:rsidR="003B2362">
        <w:rPr>
          <w:bCs/>
        </w:rPr>
        <w:t xml:space="preserve"> </w:t>
      </w:r>
      <w:r w:rsidR="003B2362" w:rsidRPr="003B2362">
        <w:rPr>
          <w:bCs/>
        </w:rPr>
        <w:t xml:space="preserve">in the evaluation plan meet all </w:t>
      </w:r>
      <w:r w:rsidR="00904B6A">
        <w:rPr>
          <w:bCs/>
        </w:rPr>
        <w:t xml:space="preserve">established </w:t>
      </w:r>
      <w:r w:rsidR="003B2362" w:rsidRPr="003B2362">
        <w:rPr>
          <w:bCs/>
        </w:rPr>
        <w:t>criteria.</w:t>
      </w:r>
    </w:p>
    <w:p w14:paraId="4BB400A8" w14:textId="36D4BF79" w:rsidR="003B2362" w:rsidRPr="003B2362" w:rsidRDefault="000E403A" w:rsidP="0091094F">
      <w:pPr>
        <w:numPr>
          <w:ilvl w:val="0"/>
          <w:numId w:val="18"/>
        </w:numPr>
        <w:tabs>
          <w:tab w:val="left" w:pos="1710"/>
        </w:tabs>
        <w:spacing w:after="120"/>
        <w:ind w:left="1260" w:right="1195" w:firstLine="0"/>
        <w:jc w:val="both"/>
        <w:rPr>
          <w:bCs/>
          <w:color w:val="000000"/>
        </w:rPr>
      </w:pPr>
      <w:r w:rsidRPr="00C90D22">
        <w:rPr>
          <w:bCs/>
          <w:color w:val="000000"/>
          <w:lang w:val="en-ZW"/>
        </w:rPr>
        <w:t xml:space="preserve">The UNDP Gender Marker will be used to </w:t>
      </w:r>
      <w:r w:rsidRPr="00C90D22">
        <w:rPr>
          <w:color w:val="000000"/>
          <w:lang w:val="en-GB"/>
        </w:rPr>
        <w:t>improve</w:t>
      </w:r>
      <w:r w:rsidRPr="00C90D22">
        <w:rPr>
          <w:bCs/>
          <w:color w:val="000000"/>
          <w:lang w:val="en-GB"/>
        </w:rPr>
        <w:t xml:space="preserve"> planning and decision-making to ensure gender equality</w:t>
      </w:r>
      <w:r w:rsidRPr="00C90D22">
        <w:rPr>
          <w:bCs/>
          <w:color w:val="000000"/>
          <w:lang w:val="en-ZW"/>
        </w:rPr>
        <w:t>.</w:t>
      </w:r>
      <w:r w:rsidRPr="00C90D22">
        <w:rPr>
          <w:color w:val="000000"/>
        </w:rPr>
        <w:t xml:space="preserve"> </w:t>
      </w:r>
      <w:r w:rsidRPr="00C90D22">
        <w:rPr>
          <w:bCs/>
          <w:color w:val="000000"/>
          <w:lang w:val="en-ZW"/>
        </w:rPr>
        <w:t xml:space="preserve">At least </w:t>
      </w:r>
      <w:r w:rsidR="00A50C7B">
        <w:rPr>
          <w:bCs/>
          <w:color w:val="000000"/>
          <w:lang w:val="en-ZW"/>
        </w:rPr>
        <w:t>5</w:t>
      </w:r>
      <w:r w:rsidR="00904B6A">
        <w:rPr>
          <w:bCs/>
          <w:color w:val="000000"/>
          <w:lang w:val="en-ZW"/>
        </w:rPr>
        <w:t xml:space="preserve"> per cent</w:t>
      </w:r>
      <w:r w:rsidRPr="00C90D22">
        <w:rPr>
          <w:bCs/>
          <w:color w:val="000000"/>
          <w:lang w:val="en-ZW"/>
        </w:rPr>
        <w:t xml:space="preserve"> of programme resources will be earmarked for monitoring, evaluation</w:t>
      </w:r>
      <w:r w:rsidR="00F05255">
        <w:rPr>
          <w:bCs/>
          <w:color w:val="000000"/>
          <w:lang w:val="en-ZW"/>
        </w:rPr>
        <w:t xml:space="preserve"> </w:t>
      </w:r>
      <w:r w:rsidRPr="00C90D22">
        <w:rPr>
          <w:bCs/>
          <w:color w:val="000000"/>
          <w:lang w:val="en-ZW"/>
        </w:rPr>
        <w:t xml:space="preserve">and assessments/research. </w:t>
      </w:r>
      <w:r w:rsidR="00F96D97" w:rsidRPr="00C90D22">
        <w:rPr>
          <w:lang w:val="en-GB"/>
        </w:rPr>
        <w:t>O</w:t>
      </w:r>
      <w:r w:rsidR="00F96D97" w:rsidRPr="00C90D22">
        <w:rPr>
          <w:bCs/>
          <w:lang w:val="en-GB"/>
        </w:rPr>
        <w:t>utcome</w:t>
      </w:r>
      <w:r w:rsidR="00904B6A">
        <w:rPr>
          <w:bCs/>
          <w:lang w:val="en-GB"/>
        </w:rPr>
        <w:t>-</w:t>
      </w:r>
      <w:r w:rsidR="00F96D97" w:rsidRPr="00C90D22">
        <w:rPr>
          <w:bCs/>
          <w:lang w:val="en-GB"/>
        </w:rPr>
        <w:t xml:space="preserve">level monitoring, assurance and evaluation will be undertaken in partnership with other </w:t>
      </w:r>
      <w:r w:rsidR="00904B6A">
        <w:rPr>
          <w:bCs/>
          <w:lang w:val="en-GB"/>
        </w:rPr>
        <w:t>United Nations organizations</w:t>
      </w:r>
      <w:r w:rsidR="00F96D97" w:rsidRPr="00C90D22">
        <w:rPr>
          <w:bCs/>
          <w:lang w:val="en-GB"/>
        </w:rPr>
        <w:t xml:space="preserve"> and development partners</w:t>
      </w:r>
      <w:r w:rsidR="00EF4F91">
        <w:rPr>
          <w:bCs/>
          <w:lang w:val="en-GB"/>
        </w:rPr>
        <w:t>.</w:t>
      </w:r>
      <w:r w:rsidR="00C3229E">
        <w:rPr>
          <w:bCs/>
        </w:rPr>
        <w:t xml:space="preserve"> </w:t>
      </w:r>
      <w:r w:rsidR="00F96D97" w:rsidRPr="00C90D22">
        <w:rPr>
          <w:bCs/>
          <w:lang w:val="en-GB"/>
        </w:rPr>
        <w:t>Performance will be tracked regularly; data and evidence will be analysed to inform decision-making.</w:t>
      </w:r>
    </w:p>
    <w:p w14:paraId="08FF1692" w14:textId="0A47BE57" w:rsidR="00A107E5" w:rsidRPr="00EB1313" w:rsidRDefault="00904B6A" w:rsidP="00EB1313">
      <w:pPr>
        <w:numPr>
          <w:ilvl w:val="0"/>
          <w:numId w:val="18"/>
        </w:numPr>
        <w:tabs>
          <w:tab w:val="left" w:pos="1710"/>
        </w:tabs>
        <w:spacing w:after="120"/>
        <w:ind w:left="1260" w:right="1195" w:firstLine="0"/>
        <w:jc w:val="both"/>
        <w:rPr>
          <w:bCs/>
          <w:color w:val="000000"/>
        </w:rPr>
      </w:pPr>
      <w:r>
        <w:rPr>
          <w:bCs/>
        </w:rPr>
        <w:t>Regular monitoring activities will take place, including p</w:t>
      </w:r>
      <w:r w:rsidR="00F96D97" w:rsidRPr="003B2362">
        <w:rPr>
          <w:bCs/>
        </w:rPr>
        <w:t xml:space="preserve">eriodic field visits, quarterly progress and financial reports, </w:t>
      </w:r>
      <w:r w:rsidR="00F96D97" w:rsidRPr="003B2362">
        <w:rPr>
          <w:bCs/>
          <w:lang w:val="en-GB"/>
        </w:rPr>
        <w:t xml:space="preserve">quarterly output progress reviews, joint annual reviews </w:t>
      </w:r>
      <w:r w:rsidR="00F96D97" w:rsidRPr="003B2362">
        <w:rPr>
          <w:bCs/>
          <w:lang w:val="en-ZW"/>
        </w:rPr>
        <w:t>and bi-annual outcome progress reviews</w:t>
      </w:r>
      <w:r w:rsidR="003A51C2">
        <w:rPr>
          <w:bCs/>
          <w:lang w:val="en-ZW"/>
        </w:rPr>
        <w:t>. The midterm review</w:t>
      </w:r>
      <w:r w:rsidR="003A51C2">
        <w:rPr>
          <w:bCs/>
        </w:rPr>
        <w:t xml:space="preserve"> </w:t>
      </w:r>
      <w:r w:rsidR="00F96D97" w:rsidRPr="003B2362">
        <w:rPr>
          <w:bCs/>
        </w:rPr>
        <w:t xml:space="preserve">and </w:t>
      </w:r>
      <w:r w:rsidR="003A51C2">
        <w:rPr>
          <w:bCs/>
        </w:rPr>
        <w:t>independent country programme evaluation</w:t>
      </w:r>
      <w:r w:rsidR="00F96D97" w:rsidRPr="003B2362">
        <w:rPr>
          <w:bCs/>
        </w:rPr>
        <w:t xml:space="preserve"> will be conducted to inform the contribution of </w:t>
      </w:r>
      <w:r w:rsidR="008264C8">
        <w:rPr>
          <w:bCs/>
        </w:rPr>
        <w:t>the</w:t>
      </w:r>
      <w:r w:rsidR="00F96D97" w:rsidRPr="003B2362">
        <w:rPr>
          <w:bCs/>
        </w:rPr>
        <w:t xml:space="preserve"> programme to development goals</w:t>
      </w:r>
      <w:r w:rsidR="003A51C2">
        <w:rPr>
          <w:bCs/>
        </w:rPr>
        <w:t xml:space="preserve"> and</w:t>
      </w:r>
      <w:r w:rsidR="00F96D97" w:rsidRPr="003B2362">
        <w:rPr>
          <w:bCs/>
        </w:rPr>
        <w:t xml:space="preserve"> outcomes</w:t>
      </w:r>
      <w:r w:rsidR="003A51C2">
        <w:rPr>
          <w:bCs/>
        </w:rPr>
        <w:t>,</w:t>
      </w:r>
      <w:r w:rsidR="00F96D97" w:rsidRPr="003B2362">
        <w:rPr>
          <w:bCs/>
        </w:rPr>
        <w:t xml:space="preserve"> and to shape policy, strateg</w:t>
      </w:r>
      <w:r w:rsidR="003A51C2">
        <w:rPr>
          <w:bCs/>
        </w:rPr>
        <w:t>ies</w:t>
      </w:r>
      <w:r w:rsidR="00F96D97" w:rsidRPr="003B2362">
        <w:rPr>
          <w:bCs/>
        </w:rPr>
        <w:t>, programme design and implementation</w:t>
      </w:r>
      <w:r w:rsidR="00E61052" w:rsidRPr="003B2362">
        <w:rPr>
          <w:bCs/>
          <w:color w:val="000000"/>
        </w:rPr>
        <w:t xml:space="preserve">. </w:t>
      </w:r>
      <w:r w:rsidR="00F10A0A" w:rsidRPr="003B2362">
        <w:rPr>
          <w:bCs/>
          <w:color w:val="000000"/>
        </w:rPr>
        <w:t xml:space="preserve">The costed evaluation plan </w:t>
      </w:r>
      <w:r w:rsidR="003A51C2">
        <w:rPr>
          <w:bCs/>
          <w:color w:val="000000"/>
        </w:rPr>
        <w:t xml:space="preserve">includes project and portfolio </w:t>
      </w:r>
      <w:r w:rsidR="00F10A0A" w:rsidRPr="003B2362">
        <w:rPr>
          <w:bCs/>
          <w:color w:val="000000"/>
        </w:rPr>
        <w:t>evaluations</w:t>
      </w:r>
      <w:r w:rsidR="007B5208" w:rsidRPr="003B2362">
        <w:rPr>
          <w:bCs/>
          <w:color w:val="000000"/>
        </w:rPr>
        <w:t xml:space="preserve"> </w:t>
      </w:r>
      <w:r w:rsidR="003A51C2">
        <w:rPr>
          <w:bCs/>
          <w:color w:val="000000"/>
        </w:rPr>
        <w:t>as well as the</w:t>
      </w:r>
      <w:r w:rsidR="007B5208" w:rsidRPr="003B2362">
        <w:rPr>
          <w:bCs/>
          <w:color w:val="000000"/>
        </w:rPr>
        <w:t xml:space="preserve"> midterm </w:t>
      </w:r>
      <w:r w:rsidR="003A51C2">
        <w:rPr>
          <w:bCs/>
          <w:color w:val="000000"/>
        </w:rPr>
        <w:t xml:space="preserve">review </w:t>
      </w:r>
      <w:r w:rsidR="007B5208" w:rsidRPr="003B2362">
        <w:rPr>
          <w:bCs/>
          <w:color w:val="000000"/>
        </w:rPr>
        <w:t xml:space="preserve">and the </w:t>
      </w:r>
      <w:r w:rsidR="00B60C82" w:rsidRPr="00CC46B4">
        <w:rPr>
          <w:bCs/>
          <w:color w:val="000000"/>
        </w:rPr>
        <w:t>S</w:t>
      </w:r>
      <w:r w:rsidR="007B5208" w:rsidRPr="00CC46B4">
        <w:rPr>
          <w:bCs/>
          <w:color w:val="000000"/>
        </w:rPr>
        <w:t>CF terminal evaluation</w:t>
      </w:r>
      <w:r w:rsidR="007B5208" w:rsidRPr="003B2362">
        <w:rPr>
          <w:bCs/>
          <w:color w:val="000000"/>
        </w:rPr>
        <w:t xml:space="preserve">. </w:t>
      </w:r>
      <w:r w:rsidR="003A51C2">
        <w:rPr>
          <w:bCs/>
          <w:color w:val="000000"/>
        </w:rPr>
        <w:t>The goal is to capture</w:t>
      </w:r>
      <w:r w:rsidR="007B5208" w:rsidRPr="003B2362">
        <w:rPr>
          <w:bCs/>
          <w:color w:val="000000"/>
        </w:rPr>
        <w:t xml:space="preserve"> lessons </w:t>
      </w:r>
      <w:r w:rsidR="003A51C2">
        <w:rPr>
          <w:bCs/>
          <w:color w:val="000000"/>
        </w:rPr>
        <w:t xml:space="preserve">learned in the course of the country programme </w:t>
      </w:r>
      <w:r w:rsidR="007B5208" w:rsidRPr="003B2362">
        <w:rPr>
          <w:bCs/>
          <w:color w:val="000000"/>
        </w:rPr>
        <w:t>and inform the next programme cycle</w:t>
      </w:r>
      <w:r w:rsidR="00A107E5">
        <w:rPr>
          <w:bCs/>
          <w:color w:val="000000"/>
        </w:rPr>
        <w:t>.</w:t>
      </w:r>
    </w:p>
    <w:p w14:paraId="2440D41D" w14:textId="5D3C21B1" w:rsidR="00680704" w:rsidRPr="003B2362" w:rsidRDefault="00680704" w:rsidP="003B2362">
      <w:pPr>
        <w:numPr>
          <w:ilvl w:val="0"/>
          <w:numId w:val="18"/>
        </w:numPr>
        <w:ind w:left="1627" w:right="1210"/>
        <w:jc w:val="both"/>
        <w:rPr>
          <w:bCs/>
          <w:color w:val="000000"/>
        </w:rPr>
      </w:pPr>
      <w:r w:rsidRPr="003B2362">
        <w:rPr>
          <w:color w:val="000000"/>
        </w:rPr>
        <w:br w:type="page"/>
      </w:r>
    </w:p>
    <w:p w14:paraId="6883647C" w14:textId="77777777" w:rsidR="00680704" w:rsidRPr="003C26C1" w:rsidRDefault="00680704" w:rsidP="0006757D">
      <w:pPr>
        <w:spacing w:before="120"/>
        <w:ind w:right="-50"/>
        <w:jc w:val="both"/>
        <w:rPr>
          <w:color w:val="000000"/>
        </w:rPr>
        <w:sectPr w:rsidR="00680704" w:rsidRPr="003C26C1" w:rsidSect="00AA4E75">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type w:val="continuous"/>
          <w:pgSz w:w="12240" w:h="15840" w:code="1"/>
          <w:pgMar w:top="1267" w:right="1195" w:bottom="245" w:left="1210" w:header="576" w:footer="1037" w:gutter="0"/>
          <w:cols w:space="720"/>
          <w:noEndnote/>
          <w:titlePg/>
          <w:docGrid w:linePitch="272"/>
        </w:sectPr>
      </w:pPr>
    </w:p>
    <w:p w14:paraId="1CB469BF" w14:textId="6F730556" w:rsidR="00344CA7" w:rsidRPr="00344CA7" w:rsidRDefault="00344CA7" w:rsidP="00344CA7">
      <w:pPr>
        <w:spacing w:after="120"/>
        <w:rPr>
          <w:b/>
          <w:color w:val="000000"/>
        </w:rPr>
      </w:pPr>
      <w:r w:rsidRPr="00344CA7">
        <w:rPr>
          <w:b/>
          <w:color w:val="000000"/>
          <w:sz w:val="24"/>
          <w:szCs w:val="24"/>
          <w:lang w:val="en-GB"/>
        </w:rPr>
        <w:lastRenderedPageBreak/>
        <w:t xml:space="preserve">Annex. Results and resources framework for </w:t>
      </w:r>
      <w:r>
        <w:rPr>
          <w:b/>
          <w:color w:val="000000"/>
          <w:sz w:val="24"/>
          <w:szCs w:val="24"/>
          <w:lang w:val="en-GB"/>
        </w:rPr>
        <w:t>Eritrea</w:t>
      </w:r>
      <w:r w:rsidRPr="00344CA7">
        <w:rPr>
          <w:b/>
          <w:sz w:val="24"/>
          <w:szCs w:val="24"/>
          <w:lang w:val="en-GB"/>
        </w:rPr>
        <w:t xml:space="preserve"> </w:t>
      </w:r>
      <w:r w:rsidRPr="00344CA7">
        <w:rPr>
          <w:b/>
          <w:color w:val="000000"/>
          <w:sz w:val="24"/>
          <w:szCs w:val="24"/>
          <w:lang w:val="en-GB"/>
        </w:rPr>
        <w:t>(202</w:t>
      </w:r>
      <w:r>
        <w:rPr>
          <w:b/>
          <w:color w:val="000000"/>
          <w:sz w:val="24"/>
          <w:szCs w:val="24"/>
          <w:lang w:val="en-GB"/>
        </w:rPr>
        <w:t>2</w:t>
      </w:r>
      <w:r w:rsidRPr="00344CA7">
        <w:rPr>
          <w:b/>
          <w:color w:val="000000"/>
          <w:sz w:val="24"/>
          <w:szCs w:val="24"/>
          <w:lang w:val="en-GB"/>
        </w:rPr>
        <w:t>-202</w:t>
      </w:r>
      <w:r>
        <w:rPr>
          <w:b/>
          <w:color w:val="000000"/>
          <w:sz w:val="24"/>
          <w:szCs w:val="24"/>
          <w:lang w:val="en-GB"/>
        </w:rPr>
        <w:t>6</w:t>
      </w:r>
      <w:r w:rsidRPr="00344CA7">
        <w:rPr>
          <w:b/>
          <w:color w:val="000000"/>
          <w:sz w:val="24"/>
          <w:szCs w:val="24"/>
          <w:lang w:val="en-GB"/>
        </w:rPr>
        <w:t>)</w:t>
      </w: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59"/>
        <w:gridCol w:w="1706"/>
        <w:gridCol w:w="5331"/>
        <w:gridCol w:w="1477"/>
        <w:gridCol w:w="1492"/>
      </w:tblGrid>
      <w:tr w:rsidR="00384089" w:rsidRPr="00970BBB" w14:paraId="4A745B56" w14:textId="77777777" w:rsidTr="00344CA7">
        <w:tc>
          <w:tcPr>
            <w:tcW w:w="5000" w:type="pct"/>
            <w:gridSpan w:val="5"/>
            <w:shd w:val="clear" w:color="auto" w:fill="DBE5F1" w:themeFill="accent1" w:themeFillTint="33"/>
            <w:tcMar>
              <w:top w:w="72" w:type="dxa"/>
              <w:left w:w="144" w:type="dxa"/>
              <w:bottom w:w="72" w:type="dxa"/>
              <w:right w:w="144" w:type="dxa"/>
            </w:tcMar>
          </w:tcPr>
          <w:p w14:paraId="692EFB87" w14:textId="64FBD0AC" w:rsidR="00384089" w:rsidRPr="00970BBB" w:rsidRDefault="00E77E78" w:rsidP="00E57460">
            <w:pPr>
              <w:jc w:val="both"/>
              <w:rPr>
                <w:color w:val="000000"/>
                <w:sz w:val="16"/>
                <w:szCs w:val="16"/>
              </w:rPr>
            </w:pPr>
            <w:r w:rsidRPr="003C26C1">
              <w:rPr>
                <w:b/>
                <w:bCs/>
                <w:color w:val="000000"/>
                <w:sz w:val="16"/>
                <w:szCs w:val="16"/>
                <w:lang w:val="en-GB"/>
              </w:rPr>
              <w:t xml:space="preserve">NATIONAL PRIORITY OR GOAL: </w:t>
            </w:r>
            <w:r w:rsidR="00384089" w:rsidRPr="00970BBB">
              <w:rPr>
                <w:color w:val="000000"/>
                <w:sz w:val="16"/>
                <w:szCs w:val="16"/>
              </w:rPr>
              <w:t>To become a country where peace, justice, democracy and prosperity prevail. To eliminate hunger, poverty and illiteracy from Eritrea. For Eritrea to preserve its identity and uniqueness</w:t>
            </w:r>
            <w:r w:rsidR="00D431A9">
              <w:rPr>
                <w:color w:val="000000"/>
                <w:sz w:val="16"/>
                <w:szCs w:val="16"/>
              </w:rPr>
              <w:t xml:space="preserve">. </w:t>
            </w:r>
            <w:r w:rsidR="00384089" w:rsidRPr="00E77E78">
              <w:rPr>
                <w:b/>
                <w:bCs/>
                <w:color w:val="000000"/>
                <w:sz w:val="16"/>
                <w:szCs w:val="16"/>
              </w:rPr>
              <w:t>UN Vision:</w:t>
            </w:r>
            <w:r w:rsidR="00384089" w:rsidRPr="00970BBB">
              <w:rPr>
                <w:color w:val="000000"/>
                <w:sz w:val="16"/>
                <w:szCs w:val="16"/>
              </w:rPr>
              <w:t xml:space="preserve"> </w:t>
            </w:r>
            <w:r w:rsidR="00616646">
              <w:rPr>
                <w:color w:val="000000"/>
                <w:sz w:val="16"/>
                <w:szCs w:val="16"/>
              </w:rPr>
              <w:t>A</w:t>
            </w:r>
            <w:r w:rsidR="00384089" w:rsidRPr="00970BBB">
              <w:rPr>
                <w:color w:val="000000"/>
                <w:sz w:val="16"/>
                <w:szCs w:val="16"/>
              </w:rPr>
              <w:t xml:space="preserve"> peaceful, prosperous, resilient, inclusive and socially just society by 2030</w:t>
            </w:r>
            <w:r w:rsidR="00CC46B4">
              <w:rPr>
                <w:color w:val="000000"/>
                <w:sz w:val="16"/>
                <w:szCs w:val="16"/>
              </w:rPr>
              <w:t>.</w:t>
            </w:r>
          </w:p>
        </w:tc>
      </w:tr>
      <w:tr w:rsidR="00384089" w:rsidRPr="00970BBB" w14:paraId="04F12B1A" w14:textId="77777777" w:rsidTr="00344CA7">
        <w:tc>
          <w:tcPr>
            <w:tcW w:w="5000" w:type="pct"/>
            <w:gridSpan w:val="5"/>
            <w:shd w:val="clear" w:color="auto" w:fill="DBE5F1" w:themeFill="accent1" w:themeFillTint="33"/>
            <w:tcMar>
              <w:top w:w="72" w:type="dxa"/>
              <w:left w:w="144" w:type="dxa"/>
              <w:bottom w:w="72" w:type="dxa"/>
              <w:right w:w="144" w:type="dxa"/>
            </w:tcMar>
          </w:tcPr>
          <w:p w14:paraId="6CE0BE4B" w14:textId="44F12F6A" w:rsidR="00384089" w:rsidRPr="00970BBB" w:rsidRDefault="00E57460" w:rsidP="00337D8E">
            <w:pPr>
              <w:pStyle w:val="ListParagraph"/>
              <w:numPr>
                <w:ilvl w:val="0"/>
                <w:numId w:val="20"/>
              </w:numPr>
              <w:ind w:left="0"/>
              <w:jc w:val="both"/>
              <w:rPr>
                <w:b/>
                <w:bCs/>
                <w:color w:val="000000"/>
                <w:sz w:val="16"/>
                <w:szCs w:val="16"/>
                <w:lang w:val="en-GB"/>
              </w:rPr>
            </w:pPr>
            <w:r>
              <w:rPr>
                <w:b/>
                <w:bCs/>
                <w:color w:val="000000"/>
                <w:sz w:val="16"/>
                <w:szCs w:val="16"/>
                <w:lang w:val="en-GB"/>
              </w:rPr>
              <w:t>SCF</w:t>
            </w:r>
            <w:r w:rsidR="00E77E78" w:rsidRPr="003C26C1">
              <w:rPr>
                <w:b/>
                <w:bCs/>
                <w:color w:val="000000"/>
                <w:sz w:val="16"/>
                <w:szCs w:val="16"/>
                <w:lang w:val="en-GB"/>
              </w:rPr>
              <w:t xml:space="preserve"> OUTCOME INVOLVING UNDP #1</w:t>
            </w:r>
            <w:r w:rsidR="00E77E78">
              <w:rPr>
                <w:b/>
                <w:bCs/>
                <w:color w:val="000000"/>
                <w:sz w:val="16"/>
                <w:szCs w:val="16"/>
                <w:lang w:val="en-GB"/>
              </w:rPr>
              <w:t xml:space="preserve">: </w:t>
            </w:r>
            <w:r w:rsidR="006D0F35" w:rsidRPr="006D0F35">
              <w:rPr>
                <w:b/>
                <w:bCs/>
                <w:color w:val="000000"/>
                <w:sz w:val="16"/>
                <w:szCs w:val="16"/>
                <w:lang w:val="en-GB"/>
              </w:rPr>
              <w:t>By 2026, Eritrea’s public sector institutions are more accountable and efficient, and more people enjoy the right to development</w:t>
            </w:r>
          </w:p>
        </w:tc>
      </w:tr>
      <w:tr w:rsidR="00384089" w:rsidRPr="00970BBB" w14:paraId="140966BB" w14:textId="77777777" w:rsidTr="00344CA7">
        <w:tc>
          <w:tcPr>
            <w:tcW w:w="5000" w:type="pct"/>
            <w:gridSpan w:val="5"/>
            <w:shd w:val="clear" w:color="auto" w:fill="DBE5F1" w:themeFill="accent1" w:themeFillTint="33"/>
            <w:tcMar>
              <w:top w:w="72" w:type="dxa"/>
              <w:left w:w="144" w:type="dxa"/>
              <w:bottom w:w="72" w:type="dxa"/>
              <w:right w:w="144" w:type="dxa"/>
            </w:tcMar>
          </w:tcPr>
          <w:p w14:paraId="687CBA71" w14:textId="49AB13FF" w:rsidR="00384089" w:rsidRPr="00616646" w:rsidRDefault="00384089" w:rsidP="00E77E78">
            <w:pPr>
              <w:rPr>
                <w:b/>
                <w:bCs/>
                <w:color w:val="000000"/>
                <w:sz w:val="16"/>
                <w:szCs w:val="16"/>
                <w:lang w:val="en-GB"/>
              </w:rPr>
            </w:pPr>
            <w:r w:rsidRPr="00970BBB">
              <w:rPr>
                <w:b/>
                <w:bCs/>
                <w:color w:val="000000"/>
                <w:sz w:val="16"/>
                <w:szCs w:val="16"/>
                <w:lang w:val="en-GB"/>
              </w:rPr>
              <w:t>RELATED STRATEGIC PLAN OUTCOME:</w:t>
            </w:r>
            <w:r w:rsidRPr="00970BBB">
              <w:rPr>
                <w:i/>
                <w:iCs/>
                <w:color w:val="0000FF"/>
                <w:sz w:val="16"/>
                <w:szCs w:val="16"/>
                <w:lang w:val="en-GB"/>
              </w:rPr>
              <w:t xml:space="preserve"> </w:t>
            </w:r>
            <w:r w:rsidRPr="00931DC5">
              <w:rPr>
                <w:b/>
                <w:bCs/>
                <w:sz w:val="16"/>
                <w:szCs w:val="16"/>
                <w:lang w:val="en-GB"/>
              </w:rPr>
              <w:t xml:space="preserve">Outcome </w:t>
            </w:r>
            <w:r w:rsidR="00E804CF" w:rsidRPr="00931DC5">
              <w:rPr>
                <w:b/>
                <w:bCs/>
                <w:sz w:val="16"/>
                <w:szCs w:val="16"/>
                <w:lang w:val="en-GB"/>
              </w:rPr>
              <w:t>1</w:t>
            </w:r>
            <w:r w:rsidR="00A501F1" w:rsidRPr="00931DC5">
              <w:rPr>
                <w:b/>
                <w:bCs/>
                <w:sz w:val="16"/>
                <w:szCs w:val="16"/>
                <w:lang w:val="en-GB"/>
              </w:rPr>
              <w:t xml:space="preserve"> </w:t>
            </w:r>
            <w:r w:rsidRPr="00931DC5">
              <w:rPr>
                <w:b/>
                <w:bCs/>
                <w:sz w:val="16"/>
                <w:szCs w:val="16"/>
                <w:lang w:val="en-GB"/>
              </w:rPr>
              <w:t>– Accelerate</w:t>
            </w:r>
            <w:r w:rsidRPr="00A501F1">
              <w:rPr>
                <w:b/>
                <w:bCs/>
                <w:i/>
                <w:iCs/>
                <w:sz w:val="16"/>
                <w:szCs w:val="16"/>
                <w:lang w:val="en-GB"/>
              </w:rPr>
              <w:t xml:space="preserve"> </w:t>
            </w:r>
            <w:r w:rsidRPr="00931DC5">
              <w:rPr>
                <w:b/>
                <w:bCs/>
                <w:sz w:val="16"/>
                <w:szCs w:val="16"/>
                <w:lang w:val="en-GB"/>
              </w:rPr>
              <w:t>structural transformations for sustainable development</w:t>
            </w:r>
          </w:p>
        </w:tc>
      </w:tr>
      <w:tr w:rsidR="00384089" w:rsidRPr="00970BBB" w14:paraId="2B6DB7F6" w14:textId="77777777" w:rsidTr="00344CA7">
        <w:tc>
          <w:tcPr>
            <w:tcW w:w="1111" w:type="pct"/>
            <w:shd w:val="clear" w:color="auto" w:fill="DBE5F1" w:themeFill="accent1" w:themeFillTint="33"/>
            <w:tcMar>
              <w:top w:w="72" w:type="dxa"/>
              <w:left w:w="144" w:type="dxa"/>
              <w:bottom w:w="72" w:type="dxa"/>
              <w:right w:w="144" w:type="dxa"/>
            </w:tcMar>
          </w:tcPr>
          <w:p w14:paraId="47B6DA11" w14:textId="77777777" w:rsidR="00384089" w:rsidRPr="00970BBB" w:rsidRDefault="00384089" w:rsidP="00E77E78">
            <w:pPr>
              <w:jc w:val="center"/>
              <w:rPr>
                <w:color w:val="000000"/>
                <w:sz w:val="16"/>
                <w:szCs w:val="16"/>
              </w:rPr>
            </w:pPr>
            <w:r w:rsidRPr="00970BBB">
              <w:rPr>
                <w:b/>
                <w:bCs/>
                <w:color w:val="000000"/>
                <w:sz w:val="16"/>
                <w:szCs w:val="16"/>
                <w:lang w:val="en-GB"/>
              </w:rPr>
              <w:t>COOPERATION FRAMEWORK OUTCOME INDICATOR(S), BASELINES, TARGET(S)</w:t>
            </w:r>
          </w:p>
        </w:tc>
        <w:tc>
          <w:tcPr>
            <w:tcW w:w="663" w:type="pct"/>
            <w:shd w:val="clear" w:color="auto" w:fill="DBE5F1" w:themeFill="accent1" w:themeFillTint="33"/>
          </w:tcPr>
          <w:p w14:paraId="4CD8989D" w14:textId="19105442" w:rsidR="00384089" w:rsidRPr="00970BBB" w:rsidRDefault="00384089" w:rsidP="00E77E78">
            <w:pPr>
              <w:jc w:val="center"/>
              <w:rPr>
                <w:b/>
                <w:color w:val="000000"/>
                <w:sz w:val="16"/>
                <w:szCs w:val="16"/>
              </w:rPr>
            </w:pPr>
            <w:r w:rsidRPr="00970BBB">
              <w:rPr>
                <w:b/>
                <w:color w:val="000000"/>
                <w:sz w:val="16"/>
                <w:szCs w:val="16"/>
              </w:rPr>
              <w:t>DATA SOURCE</w:t>
            </w:r>
            <w:r w:rsidR="00AF51C6">
              <w:rPr>
                <w:b/>
                <w:color w:val="000000"/>
                <w:sz w:val="16"/>
                <w:szCs w:val="16"/>
              </w:rPr>
              <w:t xml:space="preserve">, </w:t>
            </w:r>
            <w:r w:rsidRPr="00970BBB">
              <w:rPr>
                <w:b/>
                <w:color w:val="000000"/>
                <w:sz w:val="16"/>
                <w:szCs w:val="16"/>
              </w:rPr>
              <w:t>FREQUENCY, RESPONSIBILITIES</w:t>
            </w:r>
          </w:p>
        </w:tc>
        <w:tc>
          <w:tcPr>
            <w:tcW w:w="2072" w:type="pct"/>
            <w:shd w:val="clear" w:color="auto" w:fill="DBE5F1" w:themeFill="accent1" w:themeFillTint="33"/>
            <w:tcMar>
              <w:top w:w="72" w:type="dxa"/>
              <w:left w:w="144" w:type="dxa"/>
              <w:bottom w:w="72" w:type="dxa"/>
              <w:right w:w="144" w:type="dxa"/>
            </w:tcMar>
          </w:tcPr>
          <w:p w14:paraId="0B2C1412" w14:textId="77777777" w:rsidR="00337D8E" w:rsidRDefault="00384089" w:rsidP="00E77E78">
            <w:pPr>
              <w:jc w:val="center"/>
              <w:rPr>
                <w:b/>
                <w:bCs/>
                <w:color w:val="000000"/>
                <w:sz w:val="16"/>
                <w:szCs w:val="16"/>
                <w:lang w:val="en-GB"/>
              </w:rPr>
            </w:pPr>
            <w:r w:rsidRPr="00970BBB">
              <w:rPr>
                <w:b/>
                <w:bCs/>
                <w:color w:val="000000"/>
                <w:sz w:val="16"/>
                <w:szCs w:val="16"/>
                <w:lang w:val="en-GB"/>
              </w:rPr>
              <w:t xml:space="preserve">INDICATIVE COUNTRY </w:t>
            </w:r>
          </w:p>
          <w:p w14:paraId="2C63A218" w14:textId="5E7D622C" w:rsidR="00384089" w:rsidRPr="00970BBB" w:rsidRDefault="00384089" w:rsidP="00E77E78">
            <w:pPr>
              <w:jc w:val="center"/>
              <w:rPr>
                <w:color w:val="000000"/>
                <w:sz w:val="16"/>
                <w:szCs w:val="16"/>
              </w:rPr>
            </w:pPr>
            <w:r w:rsidRPr="00970BBB">
              <w:rPr>
                <w:b/>
                <w:bCs/>
                <w:color w:val="000000"/>
                <w:sz w:val="16"/>
                <w:szCs w:val="16"/>
                <w:lang w:val="en-GB"/>
              </w:rPr>
              <w:t xml:space="preserve">PROGRAMME OUTPUTS </w:t>
            </w:r>
          </w:p>
        </w:tc>
        <w:tc>
          <w:tcPr>
            <w:tcW w:w="574" w:type="pct"/>
            <w:shd w:val="clear" w:color="auto" w:fill="DBE5F1" w:themeFill="accent1" w:themeFillTint="33"/>
          </w:tcPr>
          <w:p w14:paraId="054E2B25" w14:textId="3897CC90" w:rsidR="00384089" w:rsidRPr="00970BBB" w:rsidRDefault="00384089" w:rsidP="00E77E78">
            <w:pPr>
              <w:jc w:val="center"/>
              <w:rPr>
                <w:b/>
                <w:bCs/>
                <w:color w:val="000000"/>
                <w:sz w:val="16"/>
                <w:szCs w:val="16"/>
                <w:lang w:val="en-GB"/>
              </w:rPr>
            </w:pPr>
            <w:r w:rsidRPr="00970BBB">
              <w:rPr>
                <w:b/>
                <w:bCs/>
                <w:color w:val="000000"/>
                <w:sz w:val="16"/>
                <w:szCs w:val="16"/>
                <w:lang w:val="en-GB"/>
              </w:rPr>
              <w:t>MAJOR PARTNER</w:t>
            </w:r>
            <w:r w:rsidR="00C6017B">
              <w:rPr>
                <w:b/>
                <w:bCs/>
                <w:color w:val="000000"/>
                <w:sz w:val="16"/>
                <w:szCs w:val="16"/>
                <w:lang w:val="en-GB"/>
              </w:rPr>
              <w:t>/</w:t>
            </w:r>
            <w:r w:rsidRPr="00970BBB">
              <w:rPr>
                <w:b/>
                <w:bCs/>
                <w:color w:val="000000"/>
                <w:sz w:val="16"/>
                <w:szCs w:val="16"/>
                <w:lang w:val="en-GB"/>
              </w:rPr>
              <w:t>SHIPS</w:t>
            </w:r>
          </w:p>
          <w:p w14:paraId="22D9D54D" w14:textId="77777777" w:rsidR="00384089" w:rsidRPr="00970BBB" w:rsidRDefault="00384089" w:rsidP="00E77E78">
            <w:pPr>
              <w:jc w:val="center"/>
              <w:rPr>
                <w:b/>
                <w:bCs/>
                <w:color w:val="000000"/>
                <w:sz w:val="16"/>
                <w:szCs w:val="16"/>
                <w:lang w:val="en-GB"/>
              </w:rPr>
            </w:pPr>
            <w:r w:rsidRPr="00970BBB">
              <w:rPr>
                <w:b/>
                <w:bCs/>
                <w:color w:val="000000"/>
                <w:sz w:val="16"/>
                <w:szCs w:val="16"/>
                <w:lang w:val="en-GB"/>
              </w:rPr>
              <w:t>FRAMEWORKS</w:t>
            </w:r>
          </w:p>
        </w:tc>
        <w:tc>
          <w:tcPr>
            <w:tcW w:w="580" w:type="pct"/>
            <w:shd w:val="clear" w:color="auto" w:fill="DBE5F1" w:themeFill="accent1" w:themeFillTint="33"/>
            <w:tcMar>
              <w:top w:w="15" w:type="dxa"/>
              <w:left w:w="108" w:type="dxa"/>
              <w:bottom w:w="0" w:type="dxa"/>
              <w:right w:w="108" w:type="dxa"/>
            </w:tcMar>
          </w:tcPr>
          <w:p w14:paraId="19D8C0EB" w14:textId="2AEDAC37" w:rsidR="00384089" w:rsidRPr="00970BBB" w:rsidRDefault="00384089" w:rsidP="00E77E78">
            <w:pPr>
              <w:jc w:val="center"/>
              <w:rPr>
                <w:i/>
                <w:color w:val="0000FF"/>
                <w:sz w:val="16"/>
                <w:szCs w:val="16"/>
              </w:rPr>
            </w:pPr>
            <w:r w:rsidRPr="00970BBB">
              <w:rPr>
                <w:b/>
                <w:bCs/>
                <w:color w:val="000000"/>
                <w:sz w:val="16"/>
                <w:szCs w:val="16"/>
                <w:lang w:val="en-GB"/>
              </w:rPr>
              <w:t>ESTIMATED COST BY OUTCOME ($)</w:t>
            </w:r>
          </w:p>
        </w:tc>
      </w:tr>
      <w:tr w:rsidR="00E57460" w:rsidRPr="00970BBB" w14:paraId="3D09E700" w14:textId="77777777" w:rsidTr="007812AC">
        <w:tc>
          <w:tcPr>
            <w:tcW w:w="1111" w:type="pct"/>
            <w:shd w:val="clear" w:color="auto" w:fill="FFFFFF" w:themeFill="background1"/>
            <w:tcMar>
              <w:top w:w="72" w:type="dxa"/>
              <w:left w:w="144" w:type="dxa"/>
              <w:bottom w:w="72" w:type="dxa"/>
              <w:right w:w="144" w:type="dxa"/>
            </w:tcMar>
            <w:vAlign w:val="center"/>
          </w:tcPr>
          <w:p w14:paraId="72B5AEC6" w14:textId="59CBBAD0" w:rsidR="00E57460" w:rsidRPr="00713E0F" w:rsidRDefault="00E57460" w:rsidP="007812AC">
            <w:pPr>
              <w:jc w:val="both"/>
              <w:rPr>
                <w:sz w:val="16"/>
                <w:szCs w:val="16"/>
                <w:lang w:val="en-GB"/>
              </w:rPr>
            </w:pPr>
            <w:r w:rsidRPr="00AF51C6">
              <w:rPr>
                <w:b/>
                <w:bCs/>
                <w:sz w:val="16"/>
                <w:szCs w:val="16"/>
                <w:lang w:val="en-GB"/>
              </w:rPr>
              <w:t>Indicator 1.1</w:t>
            </w:r>
            <w:r>
              <w:rPr>
                <w:b/>
                <w:bCs/>
                <w:sz w:val="16"/>
                <w:szCs w:val="16"/>
                <w:lang w:val="en-GB"/>
              </w:rPr>
              <w:t>.</w:t>
            </w:r>
            <w:r>
              <w:rPr>
                <w:sz w:val="16"/>
                <w:szCs w:val="16"/>
                <w:lang w:val="en-GB"/>
              </w:rPr>
              <w:t xml:space="preserve"> </w:t>
            </w:r>
            <w:r w:rsidR="00616646">
              <w:rPr>
                <w:sz w:val="16"/>
                <w:szCs w:val="16"/>
                <w:lang w:val="en-GB"/>
              </w:rPr>
              <w:t>Per cent of</w:t>
            </w:r>
            <w:r w:rsidRPr="00713E0F">
              <w:rPr>
                <w:sz w:val="16"/>
                <w:szCs w:val="16"/>
                <w:lang w:val="en-GB"/>
              </w:rPr>
              <w:t xml:space="preserve"> the population satisfied with their last experience of public services (</w:t>
            </w:r>
            <w:r w:rsidR="00616646">
              <w:rPr>
                <w:sz w:val="16"/>
                <w:szCs w:val="16"/>
                <w:lang w:val="en-GB"/>
              </w:rPr>
              <w:t>Goal</w:t>
            </w:r>
            <w:r w:rsidR="00616646" w:rsidRPr="00713E0F">
              <w:rPr>
                <w:sz w:val="16"/>
                <w:szCs w:val="16"/>
                <w:lang w:val="en-GB"/>
              </w:rPr>
              <w:t xml:space="preserve"> </w:t>
            </w:r>
            <w:r w:rsidRPr="00713E0F">
              <w:rPr>
                <w:sz w:val="16"/>
                <w:szCs w:val="16"/>
                <w:lang w:val="en-GB"/>
              </w:rPr>
              <w:t>16.6.2)</w:t>
            </w:r>
          </w:p>
          <w:p w14:paraId="3EFED5B2" w14:textId="33E267C9" w:rsidR="00E57460" w:rsidRPr="00713E0F" w:rsidRDefault="00E57460" w:rsidP="007812AC">
            <w:pPr>
              <w:pStyle w:val="ListParagraph"/>
              <w:ind w:left="0"/>
              <w:jc w:val="both"/>
              <w:rPr>
                <w:b/>
                <w:bCs/>
                <w:sz w:val="16"/>
                <w:szCs w:val="16"/>
                <w:lang w:val="en-GB"/>
              </w:rPr>
            </w:pPr>
            <w:r w:rsidRPr="00713E0F">
              <w:rPr>
                <w:b/>
                <w:bCs/>
                <w:sz w:val="16"/>
                <w:szCs w:val="16"/>
                <w:lang w:val="en-GB"/>
              </w:rPr>
              <w:t>Baseline (2010):</w:t>
            </w:r>
            <w:r w:rsidR="00045610">
              <w:rPr>
                <w:b/>
                <w:bCs/>
                <w:sz w:val="16"/>
                <w:szCs w:val="16"/>
                <w:lang w:val="en-GB"/>
              </w:rPr>
              <w:t xml:space="preserve"> </w:t>
            </w:r>
            <w:r w:rsidR="00045610" w:rsidRPr="00DF00C8">
              <w:rPr>
                <w:sz w:val="16"/>
                <w:szCs w:val="16"/>
                <w:lang w:val="en-GB"/>
              </w:rPr>
              <w:t>To be confirmed</w:t>
            </w:r>
            <w:r w:rsidR="00045610">
              <w:rPr>
                <w:b/>
                <w:bCs/>
                <w:sz w:val="16"/>
                <w:szCs w:val="16"/>
                <w:lang w:val="en-GB"/>
              </w:rPr>
              <w:t xml:space="preserve"> (</w:t>
            </w:r>
            <w:r w:rsidRPr="00AF51C6">
              <w:rPr>
                <w:sz w:val="16"/>
                <w:szCs w:val="16"/>
                <w:lang w:val="en-GB"/>
              </w:rPr>
              <w:t>TBC</w:t>
            </w:r>
            <w:r w:rsidR="00045610">
              <w:rPr>
                <w:sz w:val="16"/>
                <w:szCs w:val="16"/>
                <w:lang w:val="en-GB"/>
              </w:rPr>
              <w:t>)</w:t>
            </w:r>
            <w:r w:rsidR="000B3972">
              <w:rPr>
                <w:sz w:val="16"/>
                <w:szCs w:val="16"/>
                <w:lang w:val="en-GB"/>
              </w:rPr>
              <w:t xml:space="preserve"> </w:t>
            </w:r>
          </w:p>
          <w:p w14:paraId="5158D991" w14:textId="64523E5A" w:rsidR="00E57460" w:rsidRPr="00713E0F" w:rsidRDefault="00E57460" w:rsidP="007812AC">
            <w:pPr>
              <w:pStyle w:val="ListParagraph"/>
              <w:ind w:left="0"/>
              <w:jc w:val="both"/>
              <w:rPr>
                <w:b/>
                <w:bCs/>
                <w:sz w:val="16"/>
                <w:szCs w:val="16"/>
                <w:lang w:val="en-GB"/>
              </w:rPr>
            </w:pPr>
            <w:r w:rsidRPr="00713E0F">
              <w:rPr>
                <w:b/>
                <w:bCs/>
                <w:sz w:val="16"/>
                <w:szCs w:val="16"/>
                <w:lang w:val="en-GB"/>
              </w:rPr>
              <w:t>Target (2023):</w:t>
            </w:r>
            <w:r>
              <w:rPr>
                <w:b/>
                <w:bCs/>
                <w:sz w:val="16"/>
                <w:szCs w:val="16"/>
                <w:lang w:val="en-GB"/>
              </w:rPr>
              <w:t xml:space="preserve"> </w:t>
            </w:r>
            <w:r w:rsidR="000B3972">
              <w:rPr>
                <w:sz w:val="16"/>
                <w:szCs w:val="16"/>
                <w:lang w:val="en-GB"/>
              </w:rPr>
              <w:t>&gt; 50%</w:t>
            </w:r>
          </w:p>
          <w:p w14:paraId="589F6997" w14:textId="77777777" w:rsidR="00E57460" w:rsidRPr="00713E0F" w:rsidRDefault="00E57460" w:rsidP="007812AC">
            <w:pPr>
              <w:pStyle w:val="ListParagraph"/>
              <w:ind w:left="0"/>
              <w:jc w:val="both"/>
              <w:rPr>
                <w:b/>
                <w:bCs/>
                <w:sz w:val="16"/>
                <w:szCs w:val="16"/>
                <w:lang w:val="en-GB"/>
              </w:rPr>
            </w:pPr>
          </w:p>
          <w:p w14:paraId="76A29E7E" w14:textId="36EED99D" w:rsidR="00E57460" w:rsidRPr="00713E0F" w:rsidRDefault="00E57460" w:rsidP="007812AC">
            <w:pPr>
              <w:pStyle w:val="ListParagraph"/>
              <w:numPr>
                <w:ilvl w:val="1"/>
                <w:numId w:val="20"/>
              </w:numPr>
              <w:ind w:left="0"/>
              <w:jc w:val="both"/>
              <w:rPr>
                <w:sz w:val="16"/>
                <w:szCs w:val="16"/>
                <w:lang w:val="en-GB"/>
              </w:rPr>
            </w:pPr>
            <w:r w:rsidRPr="00AF51C6">
              <w:rPr>
                <w:b/>
                <w:bCs/>
                <w:sz w:val="16"/>
                <w:szCs w:val="16"/>
                <w:lang w:val="en-GB"/>
              </w:rPr>
              <w:t>Indicator 1.</w:t>
            </w:r>
            <w:r>
              <w:rPr>
                <w:b/>
                <w:bCs/>
                <w:sz w:val="16"/>
                <w:szCs w:val="16"/>
                <w:lang w:val="en-GB"/>
              </w:rPr>
              <w:t>2.</w:t>
            </w:r>
            <w:r>
              <w:rPr>
                <w:sz w:val="16"/>
                <w:szCs w:val="16"/>
                <w:lang w:val="en-GB"/>
              </w:rPr>
              <w:t xml:space="preserve"> </w:t>
            </w:r>
            <w:r w:rsidR="00D011FE">
              <w:rPr>
                <w:sz w:val="16"/>
                <w:szCs w:val="16"/>
                <w:lang w:val="en-GB"/>
              </w:rPr>
              <w:t>Per cent</w:t>
            </w:r>
            <w:r w:rsidR="00D011FE" w:rsidRPr="00713E0F">
              <w:rPr>
                <w:sz w:val="16"/>
                <w:szCs w:val="16"/>
                <w:lang w:val="en-GB"/>
              </w:rPr>
              <w:t xml:space="preserve"> </w:t>
            </w:r>
            <w:r w:rsidRPr="00713E0F">
              <w:rPr>
                <w:sz w:val="16"/>
                <w:szCs w:val="16"/>
                <w:lang w:val="en-GB"/>
              </w:rPr>
              <w:t>of governance institutions perceived as of high integrity and performance (</w:t>
            </w:r>
            <w:r w:rsidR="00DF00C8">
              <w:rPr>
                <w:sz w:val="16"/>
                <w:szCs w:val="16"/>
                <w:lang w:val="en-GB"/>
              </w:rPr>
              <w:t>IIAG</w:t>
            </w:r>
            <w:r w:rsidR="00DF00C8" w:rsidRPr="00713E0F">
              <w:rPr>
                <w:sz w:val="16"/>
                <w:szCs w:val="16"/>
                <w:lang w:val="en-GB"/>
              </w:rPr>
              <w:t xml:space="preserve"> </w:t>
            </w:r>
            <w:r w:rsidRPr="00713E0F">
              <w:rPr>
                <w:sz w:val="16"/>
                <w:szCs w:val="16"/>
                <w:lang w:val="en-GB"/>
              </w:rPr>
              <w:t>index)</w:t>
            </w:r>
          </w:p>
          <w:p w14:paraId="57A74367" w14:textId="455C5CFE" w:rsidR="00E57460" w:rsidRPr="00713E0F" w:rsidRDefault="00E57460" w:rsidP="007812AC">
            <w:pPr>
              <w:pStyle w:val="ListParagraph"/>
              <w:ind w:left="0"/>
              <w:jc w:val="both"/>
              <w:rPr>
                <w:b/>
                <w:bCs/>
                <w:sz w:val="16"/>
                <w:szCs w:val="16"/>
                <w:lang w:val="en-GB"/>
              </w:rPr>
            </w:pPr>
            <w:r w:rsidRPr="00713E0F">
              <w:rPr>
                <w:b/>
                <w:bCs/>
                <w:sz w:val="16"/>
                <w:szCs w:val="16"/>
                <w:lang w:val="en-GB"/>
              </w:rPr>
              <w:t>Baseline (2019):</w:t>
            </w:r>
            <w:r w:rsidR="00D011FE">
              <w:rPr>
                <w:b/>
                <w:bCs/>
                <w:sz w:val="16"/>
                <w:szCs w:val="16"/>
                <w:lang w:val="en-GB"/>
              </w:rPr>
              <w:t xml:space="preserve"> </w:t>
            </w:r>
            <w:r w:rsidRPr="00F111FA">
              <w:rPr>
                <w:sz w:val="16"/>
                <w:szCs w:val="16"/>
                <w:lang w:val="en-GB"/>
              </w:rPr>
              <w:t>47.7</w:t>
            </w:r>
            <w:r w:rsidR="009E08B1">
              <w:rPr>
                <w:sz w:val="16"/>
                <w:szCs w:val="16"/>
                <w:lang w:val="en-GB"/>
              </w:rPr>
              <w:t>%</w:t>
            </w:r>
          </w:p>
          <w:p w14:paraId="41C29FA6" w14:textId="03685165" w:rsidR="00E57460" w:rsidRPr="00B417C3" w:rsidRDefault="00E57460" w:rsidP="007812AC">
            <w:pPr>
              <w:pStyle w:val="ListParagraph"/>
              <w:ind w:left="0"/>
              <w:jc w:val="both"/>
              <w:rPr>
                <w:b/>
                <w:bCs/>
                <w:sz w:val="16"/>
                <w:szCs w:val="16"/>
                <w:lang w:val="en-GB"/>
              </w:rPr>
            </w:pPr>
            <w:r w:rsidRPr="00713E0F">
              <w:rPr>
                <w:b/>
                <w:bCs/>
                <w:sz w:val="16"/>
                <w:szCs w:val="16"/>
                <w:lang w:val="en-GB"/>
              </w:rPr>
              <w:t>Target (2026):</w:t>
            </w:r>
            <w:r w:rsidR="00D011FE">
              <w:rPr>
                <w:b/>
                <w:bCs/>
                <w:sz w:val="16"/>
                <w:szCs w:val="16"/>
                <w:lang w:val="en-GB"/>
              </w:rPr>
              <w:t xml:space="preserve"> </w:t>
            </w:r>
            <w:r w:rsidRPr="00F111FA">
              <w:rPr>
                <w:sz w:val="16"/>
                <w:szCs w:val="16"/>
                <w:lang w:val="en-GB"/>
              </w:rPr>
              <w:t>52</w:t>
            </w:r>
            <w:r w:rsidR="009E08B1">
              <w:rPr>
                <w:sz w:val="16"/>
                <w:szCs w:val="16"/>
                <w:lang w:val="en-GB"/>
              </w:rPr>
              <w:t>%</w:t>
            </w:r>
          </w:p>
        </w:tc>
        <w:tc>
          <w:tcPr>
            <w:tcW w:w="663" w:type="pct"/>
            <w:shd w:val="clear" w:color="auto" w:fill="FFFFFF" w:themeFill="background1"/>
            <w:vAlign w:val="center"/>
          </w:tcPr>
          <w:p w14:paraId="6F7E67DA" w14:textId="77B9C90C" w:rsidR="00E57460" w:rsidRDefault="00E57460" w:rsidP="007812AC">
            <w:pPr>
              <w:pStyle w:val="ListParagraph"/>
              <w:numPr>
                <w:ilvl w:val="0"/>
                <w:numId w:val="1"/>
              </w:numPr>
              <w:ind w:left="0"/>
              <w:jc w:val="both"/>
              <w:rPr>
                <w:sz w:val="16"/>
                <w:szCs w:val="16"/>
                <w:lang w:val="en-GB"/>
              </w:rPr>
            </w:pPr>
            <w:r w:rsidRPr="00CD290B">
              <w:rPr>
                <w:b/>
                <w:bCs/>
                <w:sz w:val="16"/>
                <w:szCs w:val="16"/>
                <w:lang w:val="en-GB"/>
              </w:rPr>
              <w:t>Data sources</w:t>
            </w:r>
            <w:r w:rsidR="00D011FE">
              <w:rPr>
                <w:sz w:val="16"/>
                <w:szCs w:val="16"/>
                <w:lang w:val="en-GB"/>
              </w:rPr>
              <w:t>:</w:t>
            </w:r>
            <w:r>
              <w:rPr>
                <w:sz w:val="16"/>
                <w:szCs w:val="16"/>
                <w:lang w:val="en-GB"/>
              </w:rPr>
              <w:t xml:space="preserve"> </w:t>
            </w:r>
            <w:r w:rsidRPr="00713E0F">
              <w:rPr>
                <w:sz w:val="16"/>
                <w:szCs w:val="16"/>
                <w:lang w:val="en-GB"/>
              </w:rPr>
              <w:t xml:space="preserve">Annual </w:t>
            </w:r>
            <w:r w:rsidR="00D011FE">
              <w:rPr>
                <w:sz w:val="16"/>
                <w:szCs w:val="16"/>
                <w:lang w:val="en-GB"/>
              </w:rPr>
              <w:t>r</w:t>
            </w:r>
            <w:r w:rsidRPr="00713E0F">
              <w:rPr>
                <w:sz w:val="16"/>
                <w:szCs w:val="16"/>
                <w:lang w:val="en-GB"/>
              </w:rPr>
              <w:t>eports</w:t>
            </w:r>
            <w:r w:rsidR="000B3972">
              <w:rPr>
                <w:sz w:val="16"/>
                <w:szCs w:val="16"/>
                <w:lang w:val="en-GB"/>
              </w:rPr>
              <w:t>,</w:t>
            </w:r>
            <w:r w:rsidRPr="00713E0F">
              <w:rPr>
                <w:sz w:val="16"/>
                <w:szCs w:val="16"/>
                <w:lang w:val="en-GB"/>
              </w:rPr>
              <w:t xml:space="preserve"> </w:t>
            </w:r>
            <w:r w:rsidR="00045610">
              <w:rPr>
                <w:sz w:val="16"/>
                <w:szCs w:val="16"/>
                <w:lang w:val="en-GB"/>
              </w:rPr>
              <w:t>National Statistics Office</w:t>
            </w:r>
            <w:r w:rsidR="000B3972" w:rsidRPr="00F111FA">
              <w:rPr>
                <w:color w:val="000000"/>
                <w:sz w:val="16"/>
                <w:szCs w:val="16"/>
                <w:lang w:val="en-GB"/>
              </w:rPr>
              <w:t xml:space="preserve"> report</w:t>
            </w:r>
          </w:p>
          <w:p w14:paraId="5F62FE58" w14:textId="77777777" w:rsidR="00E57460" w:rsidRPr="00CD290B" w:rsidRDefault="00E57460" w:rsidP="007812AC">
            <w:pPr>
              <w:pStyle w:val="ListParagraph"/>
              <w:numPr>
                <w:ilvl w:val="0"/>
                <w:numId w:val="1"/>
              </w:numPr>
              <w:ind w:left="0"/>
              <w:jc w:val="both"/>
              <w:rPr>
                <w:sz w:val="16"/>
                <w:szCs w:val="16"/>
                <w:lang w:val="en-GB"/>
              </w:rPr>
            </w:pPr>
          </w:p>
          <w:p w14:paraId="73C46263" w14:textId="675B011F" w:rsidR="00E57460" w:rsidRPr="00CD290B" w:rsidRDefault="00E57460" w:rsidP="007812AC">
            <w:pPr>
              <w:pStyle w:val="ListParagraph"/>
              <w:numPr>
                <w:ilvl w:val="0"/>
                <w:numId w:val="1"/>
              </w:numPr>
              <w:ind w:left="0"/>
              <w:jc w:val="both"/>
              <w:rPr>
                <w:sz w:val="16"/>
                <w:szCs w:val="16"/>
                <w:lang w:val="en-GB"/>
              </w:rPr>
            </w:pPr>
            <w:r>
              <w:rPr>
                <w:b/>
                <w:bCs/>
                <w:sz w:val="16"/>
                <w:szCs w:val="16"/>
                <w:lang w:val="en-GB"/>
              </w:rPr>
              <w:t>Responsibility:</w:t>
            </w:r>
            <w:r>
              <w:rPr>
                <w:sz w:val="16"/>
                <w:szCs w:val="16"/>
                <w:lang w:val="en-GB"/>
              </w:rPr>
              <w:t xml:space="preserve"> </w:t>
            </w:r>
            <w:r w:rsidRPr="00CD290B">
              <w:rPr>
                <w:sz w:val="16"/>
                <w:szCs w:val="16"/>
                <w:lang w:val="en-GB"/>
              </w:rPr>
              <w:t>Ministr</w:t>
            </w:r>
            <w:r w:rsidR="00930269">
              <w:rPr>
                <w:sz w:val="16"/>
                <w:szCs w:val="16"/>
                <w:lang w:val="en-GB"/>
              </w:rPr>
              <w:t>ies of</w:t>
            </w:r>
            <w:r w:rsidRPr="00CD290B">
              <w:rPr>
                <w:sz w:val="16"/>
                <w:szCs w:val="16"/>
                <w:lang w:val="en-GB"/>
              </w:rPr>
              <w:t xml:space="preserve"> Finance and National Development, </w:t>
            </w:r>
            <w:r w:rsidR="00930269">
              <w:rPr>
                <w:sz w:val="16"/>
                <w:szCs w:val="16"/>
                <w:lang w:val="en-GB"/>
              </w:rPr>
              <w:t>Gender,</w:t>
            </w:r>
            <w:r w:rsidRPr="00CD290B">
              <w:rPr>
                <w:sz w:val="16"/>
                <w:szCs w:val="16"/>
                <w:lang w:val="en-GB"/>
              </w:rPr>
              <w:t xml:space="preserve"> Trade and Industry, Information</w:t>
            </w:r>
            <w:r w:rsidR="00930269">
              <w:rPr>
                <w:sz w:val="16"/>
                <w:szCs w:val="16"/>
                <w:lang w:val="en-GB"/>
              </w:rPr>
              <w:t xml:space="preserve"> and</w:t>
            </w:r>
            <w:r w:rsidRPr="00CD290B">
              <w:rPr>
                <w:sz w:val="16"/>
                <w:szCs w:val="16"/>
                <w:lang w:val="en-GB"/>
              </w:rPr>
              <w:t xml:space="preserve"> Auditor General Office</w:t>
            </w:r>
          </w:p>
          <w:p w14:paraId="4FFF69CC" w14:textId="77777777" w:rsidR="00E57460" w:rsidRDefault="00E57460" w:rsidP="007812AC">
            <w:pPr>
              <w:jc w:val="both"/>
              <w:rPr>
                <w:sz w:val="16"/>
                <w:szCs w:val="16"/>
                <w:lang w:val="en-GB"/>
              </w:rPr>
            </w:pPr>
          </w:p>
          <w:p w14:paraId="148A9E70" w14:textId="77777777" w:rsidR="00E57460" w:rsidRPr="00CD290B" w:rsidRDefault="00E57460" w:rsidP="007812AC">
            <w:pPr>
              <w:jc w:val="both"/>
              <w:rPr>
                <w:sz w:val="16"/>
                <w:szCs w:val="16"/>
                <w:lang w:val="en-GB"/>
              </w:rPr>
            </w:pPr>
            <w:r w:rsidRPr="00CD290B">
              <w:rPr>
                <w:b/>
                <w:bCs/>
                <w:sz w:val="16"/>
                <w:szCs w:val="16"/>
                <w:lang w:val="en-GB"/>
              </w:rPr>
              <w:t>Frequency</w:t>
            </w:r>
            <w:r w:rsidRPr="00713E0F">
              <w:rPr>
                <w:sz w:val="16"/>
                <w:szCs w:val="16"/>
                <w:lang w:val="en-GB"/>
              </w:rPr>
              <w:t>: Annual</w:t>
            </w:r>
          </w:p>
          <w:p w14:paraId="62737BF1" w14:textId="77777777" w:rsidR="00E57460" w:rsidRPr="00970BBB" w:rsidRDefault="00E57460" w:rsidP="007812AC">
            <w:pPr>
              <w:jc w:val="both"/>
              <w:rPr>
                <w:b/>
                <w:color w:val="000000"/>
                <w:sz w:val="16"/>
                <w:szCs w:val="16"/>
              </w:rPr>
            </w:pPr>
          </w:p>
        </w:tc>
        <w:tc>
          <w:tcPr>
            <w:tcW w:w="2072" w:type="pct"/>
            <w:shd w:val="clear" w:color="auto" w:fill="FFFFFF" w:themeFill="background1"/>
            <w:tcMar>
              <w:top w:w="72" w:type="dxa"/>
              <w:left w:w="144" w:type="dxa"/>
              <w:bottom w:w="72" w:type="dxa"/>
              <w:right w:w="144" w:type="dxa"/>
            </w:tcMar>
            <w:vAlign w:val="center"/>
          </w:tcPr>
          <w:p w14:paraId="24ECF4AC" w14:textId="5C593392" w:rsidR="00E57460" w:rsidRPr="00713E0F" w:rsidRDefault="00E57460" w:rsidP="007812AC">
            <w:pPr>
              <w:jc w:val="both"/>
              <w:rPr>
                <w:color w:val="000000"/>
                <w:sz w:val="16"/>
                <w:szCs w:val="16"/>
                <w:lang w:val="en-GB"/>
              </w:rPr>
            </w:pPr>
            <w:r w:rsidRPr="00AF51C6">
              <w:rPr>
                <w:b/>
                <w:bCs/>
                <w:color w:val="000000"/>
                <w:sz w:val="16"/>
                <w:szCs w:val="16"/>
                <w:lang w:val="en-GB"/>
              </w:rPr>
              <w:t>Output 1.1.</w:t>
            </w:r>
            <w:r w:rsidRPr="00F376F5">
              <w:rPr>
                <w:b/>
                <w:bCs/>
                <w:color w:val="000000"/>
                <w:sz w:val="16"/>
                <w:szCs w:val="16"/>
                <w:lang w:val="en-GB"/>
              </w:rPr>
              <w:t xml:space="preserve"> </w:t>
            </w:r>
            <w:r w:rsidR="00264D2F">
              <w:rPr>
                <w:b/>
                <w:bCs/>
                <w:color w:val="000000"/>
                <w:sz w:val="16"/>
                <w:szCs w:val="16"/>
                <w:lang w:val="en-GB"/>
              </w:rPr>
              <w:t xml:space="preserve">Technical </w:t>
            </w:r>
            <w:r w:rsidRPr="00F376F5">
              <w:rPr>
                <w:b/>
                <w:bCs/>
                <w:color w:val="000000"/>
                <w:sz w:val="16"/>
                <w:szCs w:val="16"/>
                <w:lang w:val="en-GB"/>
              </w:rPr>
              <w:t>capacity of data</w:t>
            </w:r>
            <w:r w:rsidR="00616646">
              <w:rPr>
                <w:b/>
                <w:bCs/>
                <w:color w:val="000000"/>
                <w:sz w:val="16"/>
                <w:szCs w:val="16"/>
                <w:lang w:val="en-GB"/>
              </w:rPr>
              <w:t>-</w:t>
            </w:r>
            <w:r w:rsidRPr="00F376F5">
              <w:rPr>
                <w:b/>
                <w:bCs/>
                <w:color w:val="000000"/>
                <w:sz w:val="16"/>
                <w:szCs w:val="16"/>
                <w:lang w:val="en-GB"/>
              </w:rPr>
              <w:t xml:space="preserve">producing institutions </w:t>
            </w:r>
            <w:r>
              <w:rPr>
                <w:b/>
                <w:bCs/>
                <w:color w:val="000000"/>
                <w:sz w:val="16"/>
                <w:szCs w:val="16"/>
                <w:lang w:val="en-GB"/>
              </w:rPr>
              <w:t>i</w:t>
            </w:r>
            <w:r w:rsidRPr="00F376F5">
              <w:rPr>
                <w:b/>
                <w:bCs/>
                <w:color w:val="000000"/>
                <w:sz w:val="16"/>
                <w:szCs w:val="16"/>
                <w:lang w:val="en-GB"/>
              </w:rPr>
              <w:t>ncreased to collect, manage, analy</w:t>
            </w:r>
            <w:r w:rsidR="00616646">
              <w:rPr>
                <w:b/>
                <w:bCs/>
                <w:color w:val="000000"/>
                <w:sz w:val="16"/>
                <w:szCs w:val="16"/>
                <w:lang w:val="en-GB"/>
              </w:rPr>
              <w:t>s</w:t>
            </w:r>
            <w:r w:rsidRPr="00F376F5">
              <w:rPr>
                <w:b/>
                <w:bCs/>
                <w:color w:val="000000"/>
                <w:sz w:val="16"/>
                <w:szCs w:val="16"/>
                <w:lang w:val="en-GB"/>
              </w:rPr>
              <w:t>e, package and utilize data to improve learning, monitoring</w:t>
            </w:r>
            <w:r w:rsidR="009F4EAD">
              <w:rPr>
                <w:b/>
                <w:bCs/>
                <w:color w:val="000000"/>
                <w:sz w:val="16"/>
                <w:szCs w:val="16"/>
                <w:lang w:val="en-GB"/>
              </w:rPr>
              <w:t xml:space="preserve"> and</w:t>
            </w:r>
            <w:r w:rsidRPr="00F376F5">
              <w:rPr>
                <w:b/>
                <w:bCs/>
                <w:color w:val="000000"/>
                <w:sz w:val="16"/>
                <w:szCs w:val="16"/>
                <w:lang w:val="en-GB"/>
              </w:rPr>
              <w:t xml:space="preserve"> evaluation and </w:t>
            </w:r>
            <w:r>
              <w:rPr>
                <w:b/>
                <w:bCs/>
                <w:color w:val="000000"/>
                <w:sz w:val="16"/>
                <w:szCs w:val="16"/>
                <w:lang w:val="en-GB"/>
              </w:rPr>
              <w:t xml:space="preserve">for </w:t>
            </w:r>
            <w:r w:rsidRPr="00F376F5">
              <w:rPr>
                <w:b/>
                <w:bCs/>
                <w:color w:val="000000"/>
                <w:sz w:val="16"/>
                <w:szCs w:val="16"/>
                <w:lang w:val="en-GB"/>
              </w:rPr>
              <w:t>decision</w:t>
            </w:r>
            <w:r w:rsidR="009F4EAD">
              <w:rPr>
                <w:b/>
                <w:bCs/>
                <w:color w:val="000000"/>
                <w:sz w:val="16"/>
                <w:szCs w:val="16"/>
                <w:lang w:val="en-GB"/>
              </w:rPr>
              <w:t>-</w:t>
            </w:r>
            <w:r w:rsidRPr="00F376F5">
              <w:rPr>
                <w:b/>
                <w:bCs/>
                <w:color w:val="000000"/>
                <w:sz w:val="16"/>
                <w:szCs w:val="16"/>
                <w:lang w:val="en-GB"/>
              </w:rPr>
              <w:t>making</w:t>
            </w:r>
          </w:p>
          <w:p w14:paraId="317336FD" w14:textId="77777777" w:rsidR="00E57460" w:rsidRPr="00713E0F" w:rsidRDefault="00E57460" w:rsidP="007812AC">
            <w:pPr>
              <w:jc w:val="both"/>
              <w:rPr>
                <w:color w:val="000000"/>
                <w:sz w:val="16"/>
                <w:szCs w:val="16"/>
                <w:lang w:val="en-GB"/>
              </w:rPr>
            </w:pPr>
          </w:p>
          <w:p w14:paraId="2C114CD9" w14:textId="617DE01D" w:rsidR="00E57460" w:rsidRPr="00AF51C6" w:rsidRDefault="00E57460" w:rsidP="007812AC">
            <w:pPr>
              <w:pStyle w:val="ListParagraph"/>
              <w:numPr>
                <w:ilvl w:val="0"/>
                <w:numId w:val="3"/>
              </w:numPr>
              <w:ind w:left="0"/>
              <w:jc w:val="both"/>
              <w:rPr>
                <w:color w:val="000000"/>
                <w:sz w:val="16"/>
                <w:szCs w:val="16"/>
                <w:lang w:val="en-GB"/>
              </w:rPr>
            </w:pPr>
            <w:r w:rsidRPr="00AF51C6">
              <w:rPr>
                <w:b/>
                <w:bCs/>
                <w:color w:val="000000"/>
                <w:sz w:val="16"/>
                <w:szCs w:val="16"/>
                <w:lang w:val="en-GB"/>
              </w:rPr>
              <w:t xml:space="preserve">Indicative </w:t>
            </w:r>
            <w:r w:rsidR="00616646">
              <w:rPr>
                <w:b/>
                <w:bCs/>
                <w:color w:val="000000"/>
                <w:sz w:val="16"/>
                <w:szCs w:val="16"/>
                <w:lang w:val="en-GB"/>
              </w:rPr>
              <w:t>i</w:t>
            </w:r>
            <w:r w:rsidRPr="00AF51C6">
              <w:rPr>
                <w:b/>
                <w:bCs/>
                <w:color w:val="000000"/>
                <w:sz w:val="16"/>
                <w:szCs w:val="16"/>
                <w:lang w:val="en-GB"/>
              </w:rPr>
              <w:t>ndicator 1.1.</w:t>
            </w:r>
            <w:r w:rsidR="00A6234A">
              <w:rPr>
                <w:b/>
                <w:bCs/>
                <w:color w:val="000000"/>
                <w:sz w:val="16"/>
                <w:szCs w:val="16"/>
                <w:lang w:val="en-GB"/>
              </w:rPr>
              <w:t>1</w:t>
            </w:r>
            <w:r w:rsidR="009F4EAD">
              <w:rPr>
                <w:b/>
                <w:bCs/>
                <w:color w:val="000000"/>
                <w:sz w:val="16"/>
                <w:szCs w:val="16"/>
                <w:lang w:val="en-GB"/>
              </w:rPr>
              <w:t>.</w:t>
            </w:r>
            <w:r w:rsidRPr="00AF51C6">
              <w:rPr>
                <w:b/>
                <w:bCs/>
                <w:color w:val="000000"/>
                <w:sz w:val="16"/>
                <w:szCs w:val="16"/>
                <w:lang w:val="en-GB"/>
              </w:rPr>
              <w:t xml:space="preserve"> </w:t>
            </w:r>
            <w:r w:rsidR="00616646">
              <w:rPr>
                <w:color w:val="000000"/>
                <w:sz w:val="16"/>
                <w:szCs w:val="16"/>
                <w:lang w:val="en-GB"/>
              </w:rPr>
              <w:t>Number</w:t>
            </w:r>
            <w:r w:rsidR="00616646" w:rsidRPr="00AF51C6">
              <w:rPr>
                <w:color w:val="000000"/>
                <w:sz w:val="16"/>
                <w:szCs w:val="16"/>
                <w:lang w:val="en-GB"/>
              </w:rPr>
              <w:t xml:space="preserve"> </w:t>
            </w:r>
            <w:r w:rsidRPr="00AF51C6">
              <w:rPr>
                <w:color w:val="000000"/>
                <w:sz w:val="16"/>
                <w:szCs w:val="16"/>
                <w:lang w:val="en-GB"/>
              </w:rPr>
              <w:t xml:space="preserve">of sectors with data collection/analysis mechanisms providing disaggregated </w:t>
            </w:r>
            <w:r>
              <w:rPr>
                <w:color w:val="000000"/>
                <w:sz w:val="16"/>
                <w:szCs w:val="16"/>
                <w:lang w:val="en-GB"/>
              </w:rPr>
              <w:t xml:space="preserve">(sex, age, disability) </w:t>
            </w:r>
            <w:r w:rsidRPr="00AF51C6">
              <w:rPr>
                <w:color w:val="000000"/>
                <w:sz w:val="16"/>
                <w:szCs w:val="16"/>
                <w:lang w:val="en-GB"/>
              </w:rPr>
              <w:t xml:space="preserve">data to monitor progress towards </w:t>
            </w:r>
            <w:r w:rsidR="00616646">
              <w:rPr>
                <w:color w:val="000000"/>
                <w:sz w:val="16"/>
                <w:szCs w:val="16"/>
                <w:lang w:val="en-GB"/>
              </w:rPr>
              <w:t xml:space="preserve">Goals </w:t>
            </w:r>
            <w:r w:rsidR="000E0AAF" w:rsidRPr="000E0AAF">
              <w:rPr>
                <w:color w:val="000000"/>
                <w:sz w:val="16"/>
                <w:szCs w:val="16"/>
                <w:lang w:val="en-GB"/>
              </w:rPr>
              <w:t xml:space="preserve">and other international frameworks with direct bearing on achievement of </w:t>
            </w:r>
            <w:r w:rsidR="00616646">
              <w:rPr>
                <w:color w:val="000000"/>
                <w:sz w:val="16"/>
                <w:szCs w:val="16"/>
                <w:lang w:val="en-GB"/>
              </w:rPr>
              <w:t>Goals</w:t>
            </w:r>
            <w:r>
              <w:rPr>
                <w:color w:val="000000"/>
                <w:sz w:val="16"/>
                <w:szCs w:val="16"/>
                <w:lang w:val="en-GB"/>
              </w:rPr>
              <w:t>, i</w:t>
            </w:r>
            <w:r w:rsidRPr="00E163D6">
              <w:rPr>
                <w:color w:val="000000"/>
                <w:sz w:val="16"/>
                <w:szCs w:val="16"/>
                <w:lang w:val="en-GB"/>
              </w:rPr>
              <w:t>ncluding financing</w:t>
            </w:r>
            <w:r w:rsidR="00616646">
              <w:rPr>
                <w:color w:val="000000"/>
                <w:sz w:val="16"/>
                <w:szCs w:val="16"/>
                <w:lang w:val="en-GB"/>
              </w:rPr>
              <w:t>-</w:t>
            </w:r>
            <w:r w:rsidRPr="00E163D6">
              <w:rPr>
                <w:color w:val="000000"/>
                <w:sz w:val="16"/>
                <w:szCs w:val="16"/>
                <w:lang w:val="en-GB"/>
              </w:rPr>
              <w:t>related data</w:t>
            </w:r>
          </w:p>
          <w:p w14:paraId="2EBDD881" w14:textId="52D8635A" w:rsidR="00E57460" w:rsidRPr="00713E0F" w:rsidRDefault="00E57460" w:rsidP="007812AC">
            <w:pPr>
              <w:pStyle w:val="ListParagraph"/>
              <w:ind w:left="0"/>
              <w:jc w:val="both"/>
              <w:rPr>
                <w:b/>
                <w:bCs/>
                <w:color w:val="000000"/>
                <w:sz w:val="16"/>
                <w:szCs w:val="16"/>
                <w:lang w:val="en-GB"/>
              </w:rPr>
            </w:pPr>
            <w:r w:rsidRPr="00713E0F">
              <w:rPr>
                <w:b/>
                <w:bCs/>
                <w:color w:val="000000"/>
                <w:sz w:val="16"/>
                <w:szCs w:val="16"/>
                <w:lang w:val="en-GB"/>
              </w:rPr>
              <w:t>Baseline (2010):</w:t>
            </w:r>
            <w:r w:rsidR="00616646">
              <w:rPr>
                <w:b/>
                <w:bCs/>
                <w:color w:val="000000"/>
                <w:sz w:val="16"/>
                <w:szCs w:val="16"/>
                <w:lang w:val="en-GB"/>
              </w:rPr>
              <w:t xml:space="preserve"> </w:t>
            </w:r>
            <w:r w:rsidR="001145D5">
              <w:rPr>
                <w:color w:val="000000"/>
                <w:sz w:val="16"/>
                <w:szCs w:val="16"/>
                <w:lang w:val="en-GB"/>
              </w:rPr>
              <w:t>0</w:t>
            </w:r>
            <w:r w:rsidR="009F4EAD">
              <w:rPr>
                <w:color w:val="000000"/>
                <w:sz w:val="16"/>
                <w:szCs w:val="16"/>
                <w:lang w:val="en-GB"/>
              </w:rPr>
              <w:t>;</w:t>
            </w:r>
            <w:r>
              <w:rPr>
                <w:color w:val="000000"/>
                <w:sz w:val="16"/>
                <w:szCs w:val="16"/>
                <w:lang w:val="en-GB"/>
              </w:rPr>
              <w:t xml:space="preserve"> </w:t>
            </w:r>
            <w:r w:rsidRPr="00713E0F">
              <w:rPr>
                <w:b/>
                <w:bCs/>
                <w:color w:val="000000"/>
                <w:sz w:val="16"/>
                <w:szCs w:val="16"/>
                <w:lang w:val="en-GB"/>
              </w:rPr>
              <w:t>Target (year):</w:t>
            </w:r>
            <w:r w:rsidR="00616646">
              <w:rPr>
                <w:b/>
                <w:bCs/>
                <w:color w:val="000000"/>
                <w:sz w:val="16"/>
                <w:szCs w:val="16"/>
                <w:lang w:val="en-GB"/>
              </w:rPr>
              <w:t xml:space="preserve"> </w:t>
            </w:r>
            <w:r w:rsidRPr="00F111FA">
              <w:rPr>
                <w:color w:val="000000"/>
                <w:sz w:val="16"/>
                <w:szCs w:val="16"/>
                <w:lang w:val="en-GB"/>
              </w:rPr>
              <w:t>1</w:t>
            </w:r>
          </w:p>
          <w:p w14:paraId="778EA47F" w14:textId="77777777" w:rsidR="00E57460" w:rsidRPr="00713E0F" w:rsidRDefault="00E57460" w:rsidP="007812AC">
            <w:pPr>
              <w:jc w:val="both"/>
              <w:rPr>
                <w:b/>
                <w:bCs/>
                <w:color w:val="000000"/>
                <w:sz w:val="16"/>
                <w:szCs w:val="16"/>
                <w:lang w:val="en-GB"/>
              </w:rPr>
            </w:pPr>
          </w:p>
          <w:p w14:paraId="0A56C8EC" w14:textId="014F7D5D" w:rsidR="007E1EE9" w:rsidRPr="00713E0F" w:rsidRDefault="007E1EE9" w:rsidP="007812AC">
            <w:pPr>
              <w:pStyle w:val="ListParagraph"/>
              <w:numPr>
                <w:ilvl w:val="1"/>
                <w:numId w:val="21"/>
              </w:numPr>
              <w:ind w:left="0"/>
              <w:jc w:val="both"/>
              <w:rPr>
                <w:sz w:val="16"/>
                <w:szCs w:val="16"/>
                <w:lang w:val="en-GB"/>
              </w:rPr>
            </w:pPr>
            <w:r w:rsidRPr="00A6234A">
              <w:rPr>
                <w:b/>
                <w:bCs/>
                <w:sz w:val="16"/>
                <w:szCs w:val="16"/>
                <w:lang w:val="en-GB"/>
              </w:rPr>
              <w:t>Indicator 1.</w:t>
            </w:r>
            <w:r w:rsidR="00A6234A">
              <w:rPr>
                <w:b/>
                <w:bCs/>
                <w:sz w:val="16"/>
                <w:szCs w:val="16"/>
                <w:lang w:val="en-GB"/>
              </w:rPr>
              <w:t>1.</w:t>
            </w:r>
            <w:r w:rsidRPr="00A6234A">
              <w:rPr>
                <w:b/>
                <w:bCs/>
                <w:sz w:val="16"/>
                <w:szCs w:val="16"/>
                <w:lang w:val="en-GB"/>
              </w:rPr>
              <w:t>2.</w:t>
            </w:r>
            <w:r>
              <w:rPr>
                <w:sz w:val="16"/>
                <w:szCs w:val="16"/>
                <w:lang w:val="en-GB"/>
              </w:rPr>
              <w:t xml:space="preserve"> </w:t>
            </w:r>
            <w:r w:rsidRPr="00713E0F">
              <w:rPr>
                <w:sz w:val="16"/>
                <w:szCs w:val="16"/>
                <w:lang w:val="en-GB"/>
              </w:rPr>
              <w:t>Dollar value of all resources spent to strengthen statistical institutions (</w:t>
            </w:r>
            <w:r w:rsidR="00616646">
              <w:rPr>
                <w:sz w:val="16"/>
                <w:szCs w:val="16"/>
                <w:lang w:val="en-GB"/>
              </w:rPr>
              <w:t>Goal</w:t>
            </w:r>
            <w:r w:rsidR="00616646" w:rsidRPr="00713E0F">
              <w:rPr>
                <w:sz w:val="16"/>
                <w:szCs w:val="16"/>
                <w:lang w:val="en-GB"/>
              </w:rPr>
              <w:t xml:space="preserve"> </w:t>
            </w:r>
            <w:r w:rsidRPr="00713E0F">
              <w:rPr>
                <w:sz w:val="16"/>
                <w:szCs w:val="16"/>
                <w:lang w:val="en-GB"/>
              </w:rPr>
              <w:t>17.9.1)</w:t>
            </w:r>
          </w:p>
          <w:p w14:paraId="07C7A82E" w14:textId="128C80AD" w:rsidR="007E1EE9" w:rsidRPr="00713E0F" w:rsidRDefault="007E1EE9" w:rsidP="007812AC">
            <w:pPr>
              <w:pStyle w:val="ListParagraph"/>
              <w:ind w:left="0"/>
              <w:jc w:val="both"/>
              <w:rPr>
                <w:b/>
                <w:bCs/>
                <w:sz w:val="16"/>
                <w:szCs w:val="16"/>
                <w:lang w:val="en-GB"/>
              </w:rPr>
            </w:pPr>
            <w:r w:rsidRPr="00713E0F">
              <w:rPr>
                <w:b/>
                <w:bCs/>
                <w:sz w:val="16"/>
                <w:szCs w:val="16"/>
                <w:lang w:val="en-GB"/>
              </w:rPr>
              <w:t>Baseline (201</w:t>
            </w:r>
            <w:r>
              <w:rPr>
                <w:b/>
                <w:bCs/>
                <w:sz w:val="16"/>
                <w:szCs w:val="16"/>
                <w:lang w:val="en-GB"/>
              </w:rPr>
              <w:t>8</w:t>
            </w:r>
            <w:r w:rsidRPr="00713E0F">
              <w:rPr>
                <w:b/>
                <w:bCs/>
                <w:sz w:val="16"/>
                <w:szCs w:val="16"/>
                <w:lang w:val="en-GB"/>
              </w:rPr>
              <w:t xml:space="preserve">): </w:t>
            </w:r>
            <w:r>
              <w:rPr>
                <w:sz w:val="16"/>
                <w:szCs w:val="16"/>
                <w:lang w:val="en-GB"/>
              </w:rPr>
              <w:t>$</w:t>
            </w:r>
            <w:r w:rsidRPr="00D776A3">
              <w:rPr>
                <w:sz w:val="16"/>
                <w:szCs w:val="16"/>
                <w:lang w:val="en-GB"/>
              </w:rPr>
              <w:t>130</w:t>
            </w:r>
            <w:r>
              <w:rPr>
                <w:sz w:val="16"/>
                <w:szCs w:val="16"/>
                <w:lang w:val="en-GB"/>
              </w:rPr>
              <w:t>,</w:t>
            </w:r>
            <w:r w:rsidRPr="00D776A3">
              <w:rPr>
                <w:sz w:val="16"/>
                <w:szCs w:val="16"/>
                <w:lang w:val="en-GB"/>
              </w:rPr>
              <w:t>77</w:t>
            </w:r>
            <w:r>
              <w:rPr>
                <w:sz w:val="16"/>
                <w:szCs w:val="16"/>
                <w:lang w:val="en-GB"/>
              </w:rPr>
              <w:t>5</w:t>
            </w:r>
            <w:r w:rsidR="00E536CE">
              <w:rPr>
                <w:sz w:val="16"/>
                <w:szCs w:val="16"/>
                <w:lang w:val="en-GB"/>
              </w:rPr>
              <w:t>;</w:t>
            </w:r>
            <w:r w:rsidR="00B417C3">
              <w:rPr>
                <w:sz w:val="16"/>
                <w:szCs w:val="16"/>
                <w:lang w:val="en-GB"/>
              </w:rPr>
              <w:t xml:space="preserve">  </w:t>
            </w:r>
            <w:r w:rsidRPr="00713E0F">
              <w:rPr>
                <w:b/>
                <w:bCs/>
                <w:sz w:val="16"/>
                <w:szCs w:val="16"/>
                <w:lang w:val="en-GB"/>
              </w:rPr>
              <w:t>Target</w:t>
            </w:r>
            <w:r w:rsidR="00A6234A" w:rsidRPr="00A6234A">
              <w:rPr>
                <w:b/>
                <w:bCs/>
                <w:sz w:val="16"/>
                <w:szCs w:val="16"/>
                <w:lang w:val="en-GB"/>
              </w:rPr>
              <w:t xml:space="preserve"> </w:t>
            </w:r>
            <w:r w:rsidRPr="00713E0F">
              <w:rPr>
                <w:b/>
                <w:bCs/>
                <w:sz w:val="16"/>
                <w:szCs w:val="16"/>
                <w:lang w:val="en-GB"/>
              </w:rPr>
              <w:t xml:space="preserve">(2023):   </w:t>
            </w:r>
            <w:r>
              <w:rPr>
                <w:sz w:val="16"/>
                <w:szCs w:val="16"/>
                <w:lang w:val="en-GB"/>
              </w:rPr>
              <w:t>≥</w:t>
            </w:r>
            <w:r>
              <w:t xml:space="preserve"> </w:t>
            </w:r>
            <w:r w:rsidRPr="007E1EE9">
              <w:rPr>
                <w:sz w:val="16"/>
                <w:szCs w:val="16"/>
                <w:lang w:val="en-GB"/>
              </w:rPr>
              <w:t>26</w:t>
            </w:r>
            <w:r>
              <w:rPr>
                <w:sz w:val="16"/>
                <w:szCs w:val="16"/>
                <w:lang w:val="en-GB"/>
              </w:rPr>
              <w:t>2,000</w:t>
            </w:r>
          </w:p>
          <w:p w14:paraId="0738793F" w14:textId="77777777" w:rsidR="00E57460" w:rsidRPr="00713E0F" w:rsidRDefault="00E57460" w:rsidP="007812AC">
            <w:pPr>
              <w:pStyle w:val="ListParagraph"/>
              <w:ind w:left="0"/>
              <w:jc w:val="both"/>
              <w:rPr>
                <w:b/>
                <w:bCs/>
                <w:color w:val="000000"/>
                <w:sz w:val="16"/>
                <w:szCs w:val="16"/>
                <w:lang w:val="en-GB"/>
              </w:rPr>
            </w:pPr>
          </w:p>
          <w:p w14:paraId="1C90177E" w14:textId="6B6E12A9" w:rsidR="00E57460" w:rsidRPr="00D23117" w:rsidRDefault="00E57460" w:rsidP="007812AC">
            <w:pPr>
              <w:pStyle w:val="ListParagraph"/>
              <w:numPr>
                <w:ilvl w:val="0"/>
                <w:numId w:val="3"/>
              </w:numPr>
              <w:ind w:left="0"/>
              <w:jc w:val="both"/>
              <w:rPr>
                <w:color w:val="000000"/>
                <w:sz w:val="16"/>
                <w:szCs w:val="16"/>
                <w:lang w:val="en-GB"/>
              </w:rPr>
            </w:pPr>
            <w:r w:rsidRPr="00D23117">
              <w:rPr>
                <w:b/>
                <w:bCs/>
                <w:color w:val="000000"/>
                <w:sz w:val="16"/>
                <w:szCs w:val="16"/>
                <w:lang w:val="en-GB"/>
              </w:rPr>
              <w:t xml:space="preserve">Indicative </w:t>
            </w:r>
            <w:r w:rsidR="00616646">
              <w:rPr>
                <w:b/>
                <w:bCs/>
                <w:color w:val="000000"/>
                <w:sz w:val="16"/>
                <w:szCs w:val="16"/>
                <w:lang w:val="en-GB"/>
              </w:rPr>
              <w:t>i</w:t>
            </w:r>
            <w:r w:rsidRPr="00D23117">
              <w:rPr>
                <w:b/>
                <w:bCs/>
                <w:color w:val="000000"/>
                <w:sz w:val="16"/>
                <w:szCs w:val="16"/>
                <w:lang w:val="en-GB"/>
              </w:rPr>
              <w:t>ndicator 1.1.</w:t>
            </w:r>
            <w:r w:rsidR="007E1EE9">
              <w:rPr>
                <w:b/>
                <w:bCs/>
                <w:color w:val="000000"/>
                <w:sz w:val="16"/>
                <w:szCs w:val="16"/>
                <w:lang w:val="en-GB"/>
              </w:rPr>
              <w:t>3</w:t>
            </w:r>
            <w:r w:rsidR="009F4EAD">
              <w:rPr>
                <w:b/>
                <w:bCs/>
                <w:color w:val="000000"/>
                <w:sz w:val="16"/>
                <w:szCs w:val="16"/>
                <w:lang w:val="en-GB"/>
              </w:rPr>
              <w:t>.</w:t>
            </w:r>
            <w:r w:rsidRPr="00D23117">
              <w:rPr>
                <w:sz w:val="16"/>
                <w:szCs w:val="16"/>
              </w:rPr>
              <w:t xml:space="preserve"> </w:t>
            </w:r>
            <w:r w:rsidRPr="00D23117">
              <w:rPr>
                <w:color w:val="000000"/>
                <w:sz w:val="16"/>
                <w:szCs w:val="16"/>
                <w:lang w:val="en-GB"/>
              </w:rPr>
              <w:t xml:space="preserve">National </w:t>
            </w:r>
            <w:r w:rsidR="00616646">
              <w:rPr>
                <w:color w:val="000000"/>
                <w:sz w:val="16"/>
                <w:szCs w:val="16"/>
                <w:lang w:val="en-GB"/>
              </w:rPr>
              <w:t>a</w:t>
            </w:r>
            <w:r w:rsidRPr="00D23117">
              <w:rPr>
                <w:color w:val="000000"/>
                <w:sz w:val="16"/>
                <w:szCs w:val="16"/>
                <w:lang w:val="en-GB"/>
              </w:rPr>
              <w:t xml:space="preserve">ccounts </w:t>
            </w:r>
            <w:r w:rsidR="00A6234A">
              <w:rPr>
                <w:color w:val="000000"/>
                <w:sz w:val="16"/>
                <w:szCs w:val="16"/>
                <w:lang w:val="en-GB"/>
              </w:rPr>
              <w:t>e</w:t>
            </w:r>
            <w:r w:rsidRPr="00D23117">
              <w:rPr>
                <w:color w:val="000000"/>
                <w:sz w:val="16"/>
                <w:szCs w:val="16"/>
                <w:lang w:val="en-GB"/>
              </w:rPr>
              <w:t>stablished</w:t>
            </w:r>
            <w:r w:rsidR="007E1EE9">
              <w:rPr>
                <w:color w:val="000000"/>
                <w:sz w:val="16"/>
                <w:szCs w:val="16"/>
                <w:lang w:val="en-GB"/>
              </w:rPr>
              <w:t>,</w:t>
            </w:r>
            <w:r w:rsidRPr="00D23117">
              <w:rPr>
                <w:color w:val="000000"/>
                <w:sz w:val="16"/>
                <w:szCs w:val="16"/>
                <w:lang w:val="en-GB"/>
              </w:rPr>
              <w:t xml:space="preserve"> </w:t>
            </w:r>
            <w:r w:rsidR="007E1EE9">
              <w:rPr>
                <w:color w:val="000000"/>
                <w:sz w:val="16"/>
                <w:szCs w:val="16"/>
                <w:lang w:val="en-GB"/>
              </w:rPr>
              <w:t xml:space="preserve">disaggregated </w:t>
            </w:r>
            <w:r w:rsidR="007E1EE9" w:rsidRPr="00234BB8">
              <w:rPr>
                <w:color w:val="000000"/>
                <w:sz w:val="16"/>
                <w:szCs w:val="16"/>
                <w:lang w:val="en-GB"/>
              </w:rPr>
              <w:t xml:space="preserve">(sex, age, disability) </w:t>
            </w:r>
            <w:r w:rsidR="007E1EE9">
              <w:rPr>
                <w:color w:val="000000"/>
                <w:sz w:val="16"/>
                <w:szCs w:val="16"/>
                <w:lang w:val="en-GB"/>
              </w:rPr>
              <w:t xml:space="preserve"> </w:t>
            </w:r>
          </w:p>
          <w:p w14:paraId="5EE1F9B0" w14:textId="37E40E4E" w:rsidR="00E57460" w:rsidRPr="00713E0F" w:rsidRDefault="00E57460" w:rsidP="007812AC">
            <w:pPr>
              <w:pStyle w:val="ListParagraph"/>
              <w:ind w:left="0"/>
              <w:jc w:val="both"/>
              <w:rPr>
                <w:b/>
                <w:bCs/>
                <w:color w:val="000000"/>
                <w:sz w:val="16"/>
                <w:szCs w:val="16"/>
                <w:lang w:val="en-GB"/>
              </w:rPr>
            </w:pPr>
            <w:r w:rsidRPr="00713E0F">
              <w:rPr>
                <w:b/>
                <w:bCs/>
                <w:color w:val="000000"/>
                <w:sz w:val="16"/>
                <w:szCs w:val="16"/>
                <w:lang w:val="en-GB"/>
              </w:rPr>
              <w:t>Baseline (2021):</w:t>
            </w:r>
            <w:r w:rsidR="00616646">
              <w:rPr>
                <w:b/>
                <w:bCs/>
                <w:color w:val="000000"/>
                <w:sz w:val="16"/>
                <w:szCs w:val="16"/>
                <w:lang w:val="en-GB"/>
              </w:rPr>
              <w:t xml:space="preserve"> </w:t>
            </w:r>
            <w:r w:rsidR="00264D2F">
              <w:rPr>
                <w:color w:val="000000"/>
                <w:sz w:val="16"/>
                <w:szCs w:val="16"/>
                <w:lang w:val="en-GB"/>
              </w:rPr>
              <w:t>No</w:t>
            </w:r>
            <w:r w:rsidR="00616646">
              <w:rPr>
                <w:color w:val="000000"/>
                <w:sz w:val="16"/>
                <w:szCs w:val="16"/>
                <w:lang w:val="en-GB"/>
              </w:rPr>
              <w:t>;</w:t>
            </w:r>
            <w:r>
              <w:rPr>
                <w:color w:val="000000"/>
                <w:sz w:val="16"/>
                <w:szCs w:val="16"/>
                <w:lang w:val="en-GB"/>
              </w:rPr>
              <w:t xml:space="preserve"> </w:t>
            </w:r>
            <w:r w:rsidRPr="00713E0F">
              <w:rPr>
                <w:b/>
                <w:bCs/>
                <w:color w:val="000000"/>
                <w:sz w:val="16"/>
                <w:szCs w:val="16"/>
                <w:lang w:val="en-GB"/>
              </w:rPr>
              <w:t>Target (2026):</w:t>
            </w:r>
            <w:r w:rsidR="00616646">
              <w:rPr>
                <w:b/>
                <w:bCs/>
                <w:color w:val="000000"/>
                <w:sz w:val="16"/>
                <w:szCs w:val="16"/>
                <w:lang w:val="en-GB"/>
              </w:rPr>
              <w:t xml:space="preserve"> </w:t>
            </w:r>
            <w:r w:rsidR="00264D2F">
              <w:rPr>
                <w:color w:val="000000"/>
                <w:sz w:val="16"/>
                <w:szCs w:val="16"/>
                <w:lang w:val="en-GB"/>
              </w:rPr>
              <w:t>Yes</w:t>
            </w:r>
          </w:p>
          <w:p w14:paraId="58986666" w14:textId="77777777" w:rsidR="00E57460" w:rsidRPr="00713E0F" w:rsidRDefault="00E57460" w:rsidP="007812AC">
            <w:pPr>
              <w:jc w:val="both"/>
              <w:rPr>
                <w:b/>
                <w:bCs/>
                <w:sz w:val="16"/>
                <w:szCs w:val="16"/>
              </w:rPr>
            </w:pPr>
          </w:p>
          <w:p w14:paraId="699D3370" w14:textId="4EB0128B" w:rsidR="00E57460" w:rsidRPr="00D23117" w:rsidRDefault="00E57460" w:rsidP="007812AC">
            <w:pPr>
              <w:jc w:val="both"/>
              <w:rPr>
                <w:b/>
                <w:bCs/>
                <w:color w:val="000000"/>
                <w:sz w:val="16"/>
                <w:szCs w:val="16"/>
                <w:lang w:val="en-GB"/>
              </w:rPr>
            </w:pPr>
            <w:r w:rsidRPr="00D23117">
              <w:rPr>
                <w:b/>
                <w:bCs/>
                <w:color w:val="000000"/>
                <w:sz w:val="16"/>
                <w:szCs w:val="16"/>
                <w:lang w:val="en-GB"/>
              </w:rPr>
              <w:t>Output 1.2. Public institutions have strengthened processes and systems for equitable, efficient, effective and accountable service delivery</w:t>
            </w:r>
          </w:p>
          <w:p w14:paraId="4ECB4E77" w14:textId="77777777" w:rsidR="00E57460" w:rsidRPr="00713E0F" w:rsidRDefault="00E57460" w:rsidP="007812AC">
            <w:pPr>
              <w:jc w:val="both"/>
              <w:rPr>
                <w:color w:val="000000"/>
                <w:sz w:val="16"/>
                <w:szCs w:val="16"/>
                <w:lang w:val="en-GB"/>
              </w:rPr>
            </w:pPr>
          </w:p>
          <w:p w14:paraId="688E11F4" w14:textId="2003AF91" w:rsidR="00E57460" w:rsidRPr="00713E0F" w:rsidRDefault="00E57460" w:rsidP="007812AC">
            <w:pPr>
              <w:pStyle w:val="CommentText"/>
              <w:jc w:val="both"/>
              <w:rPr>
                <w:color w:val="000000" w:themeColor="text1"/>
                <w:sz w:val="16"/>
                <w:szCs w:val="16"/>
              </w:rPr>
            </w:pPr>
            <w:r w:rsidRPr="00F376F5">
              <w:rPr>
                <w:b/>
                <w:bCs/>
                <w:color w:val="000000" w:themeColor="text1"/>
                <w:sz w:val="16"/>
                <w:szCs w:val="16"/>
              </w:rPr>
              <w:t>Indicator</w:t>
            </w:r>
            <w:r>
              <w:rPr>
                <w:b/>
                <w:bCs/>
                <w:color w:val="000000" w:themeColor="text1"/>
                <w:sz w:val="16"/>
                <w:szCs w:val="16"/>
              </w:rPr>
              <w:t xml:space="preserve"> </w:t>
            </w:r>
            <w:r w:rsidRPr="00F376F5">
              <w:rPr>
                <w:b/>
                <w:bCs/>
                <w:color w:val="000000" w:themeColor="text1"/>
                <w:sz w:val="16"/>
                <w:szCs w:val="16"/>
              </w:rPr>
              <w:t>1.2.1</w:t>
            </w:r>
            <w:r>
              <w:rPr>
                <w:color w:val="000000" w:themeColor="text1"/>
                <w:sz w:val="16"/>
                <w:szCs w:val="16"/>
              </w:rPr>
              <w:t>.</w:t>
            </w:r>
            <w:r w:rsidRPr="00713E0F">
              <w:rPr>
                <w:color w:val="000000" w:themeColor="text1"/>
                <w:sz w:val="16"/>
                <w:szCs w:val="16"/>
              </w:rPr>
              <w:t xml:space="preserve"> </w:t>
            </w:r>
            <w:r w:rsidR="007E1EE9" w:rsidRPr="007E1EE9">
              <w:rPr>
                <w:color w:val="000000" w:themeColor="text1"/>
                <w:sz w:val="16"/>
                <w:szCs w:val="16"/>
              </w:rPr>
              <w:t>N</w:t>
            </w:r>
            <w:r w:rsidR="00616646">
              <w:rPr>
                <w:color w:val="000000" w:themeColor="text1"/>
                <w:sz w:val="16"/>
                <w:szCs w:val="16"/>
              </w:rPr>
              <w:t>umber</w:t>
            </w:r>
            <w:r w:rsidR="007E1EE9" w:rsidRPr="007E1EE9">
              <w:rPr>
                <w:color w:val="000000" w:themeColor="text1"/>
                <w:sz w:val="16"/>
                <w:szCs w:val="16"/>
              </w:rPr>
              <w:t xml:space="preserve"> of new </w:t>
            </w:r>
            <w:r w:rsidR="007E1EE9">
              <w:rPr>
                <w:color w:val="000000" w:themeColor="text1"/>
                <w:sz w:val="16"/>
                <w:szCs w:val="16"/>
              </w:rPr>
              <w:t xml:space="preserve">functional </w:t>
            </w:r>
            <w:r w:rsidR="007E1EE9" w:rsidRPr="007E1EE9">
              <w:rPr>
                <w:color w:val="000000" w:themeColor="text1"/>
                <w:sz w:val="16"/>
                <w:szCs w:val="16"/>
              </w:rPr>
              <w:t>systems/tools/procedures successfully developed/implemented for accountable service delivery</w:t>
            </w:r>
          </w:p>
          <w:p w14:paraId="2D53BEF8" w14:textId="60F84C40" w:rsidR="00E57460" w:rsidRPr="00713E0F" w:rsidRDefault="00E57460" w:rsidP="007812AC">
            <w:pPr>
              <w:jc w:val="both"/>
              <w:rPr>
                <w:color w:val="000000" w:themeColor="text1"/>
                <w:sz w:val="16"/>
                <w:szCs w:val="16"/>
                <w:lang w:val="en-GB"/>
              </w:rPr>
            </w:pPr>
            <w:r w:rsidRPr="00F376F5">
              <w:rPr>
                <w:b/>
                <w:bCs/>
                <w:color w:val="000000" w:themeColor="text1"/>
                <w:sz w:val="16"/>
                <w:szCs w:val="16"/>
                <w:lang w:val="en-GB"/>
              </w:rPr>
              <w:t>Baseline (2021</w:t>
            </w:r>
            <w:r w:rsidRPr="00713E0F">
              <w:rPr>
                <w:color w:val="000000" w:themeColor="text1"/>
                <w:sz w:val="16"/>
                <w:szCs w:val="16"/>
                <w:lang w:val="en-GB"/>
              </w:rPr>
              <w:t xml:space="preserve">): 1 </w:t>
            </w:r>
            <w:r w:rsidR="00931DC5">
              <w:rPr>
                <w:color w:val="000000" w:themeColor="text1"/>
                <w:sz w:val="16"/>
                <w:szCs w:val="16"/>
                <w:lang w:val="en-GB"/>
              </w:rPr>
              <w:t>–</w:t>
            </w:r>
            <w:r w:rsidR="00A437DF">
              <w:rPr>
                <w:color w:val="000000" w:themeColor="text1"/>
                <w:sz w:val="16"/>
                <w:szCs w:val="16"/>
                <w:lang w:val="en-GB"/>
              </w:rPr>
              <w:t xml:space="preserve"> </w:t>
            </w:r>
            <w:r w:rsidR="00931DC5">
              <w:rPr>
                <w:color w:val="000000" w:themeColor="text1"/>
                <w:sz w:val="16"/>
                <w:szCs w:val="16"/>
                <w:lang w:val="en-GB"/>
              </w:rPr>
              <w:t>Automated System for Customs Data (</w:t>
            </w:r>
            <w:r w:rsidRPr="00713E0F">
              <w:rPr>
                <w:color w:val="000000" w:themeColor="text1"/>
                <w:sz w:val="16"/>
                <w:szCs w:val="16"/>
                <w:lang w:val="en-GB"/>
              </w:rPr>
              <w:t>ASYCUDA</w:t>
            </w:r>
            <w:r w:rsidR="00931DC5">
              <w:rPr>
                <w:color w:val="000000" w:themeColor="text1"/>
                <w:sz w:val="16"/>
                <w:szCs w:val="16"/>
                <w:lang w:val="en-GB"/>
              </w:rPr>
              <w:t>)</w:t>
            </w:r>
            <w:r w:rsidR="00671659">
              <w:rPr>
                <w:color w:val="000000" w:themeColor="text1"/>
                <w:sz w:val="16"/>
                <w:szCs w:val="16"/>
                <w:lang w:val="en-GB"/>
              </w:rPr>
              <w:t xml:space="preserve">; </w:t>
            </w:r>
          </w:p>
          <w:p w14:paraId="00D1F734" w14:textId="67FFF21E" w:rsidR="00E57460" w:rsidRPr="00713E0F" w:rsidRDefault="00E57460" w:rsidP="007812AC">
            <w:pPr>
              <w:jc w:val="both"/>
              <w:rPr>
                <w:color w:val="000000" w:themeColor="text1"/>
                <w:sz w:val="16"/>
                <w:szCs w:val="16"/>
                <w:lang w:val="en-GB"/>
              </w:rPr>
            </w:pPr>
            <w:r w:rsidRPr="00F376F5">
              <w:rPr>
                <w:b/>
                <w:bCs/>
                <w:color w:val="000000" w:themeColor="text1"/>
                <w:sz w:val="16"/>
                <w:szCs w:val="16"/>
                <w:lang w:val="en-GB"/>
              </w:rPr>
              <w:t>Target (2026):</w:t>
            </w:r>
            <w:r w:rsidRPr="00713E0F">
              <w:rPr>
                <w:color w:val="000000" w:themeColor="text1"/>
                <w:sz w:val="16"/>
                <w:szCs w:val="16"/>
                <w:lang w:val="en-GB"/>
              </w:rPr>
              <w:t xml:space="preserve"> 2</w:t>
            </w:r>
            <w:r w:rsidR="00A437DF">
              <w:rPr>
                <w:color w:val="000000" w:themeColor="text1"/>
                <w:sz w:val="16"/>
                <w:szCs w:val="16"/>
                <w:lang w:val="en-GB"/>
              </w:rPr>
              <w:t xml:space="preserve"> </w:t>
            </w:r>
            <w:r w:rsidRPr="00713E0F">
              <w:rPr>
                <w:color w:val="000000" w:themeColor="text1"/>
                <w:sz w:val="16"/>
                <w:szCs w:val="16"/>
                <w:lang w:val="en-GB"/>
              </w:rPr>
              <w:t>-</w:t>
            </w:r>
            <w:r w:rsidR="00A437DF">
              <w:rPr>
                <w:color w:val="000000" w:themeColor="text1"/>
                <w:sz w:val="16"/>
                <w:szCs w:val="16"/>
                <w:lang w:val="en-GB"/>
              </w:rPr>
              <w:t xml:space="preserve"> </w:t>
            </w:r>
            <w:r w:rsidRPr="00713E0F">
              <w:rPr>
                <w:color w:val="000000" w:themeColor="text1"/>
                <w:sz w:val="16"/>
                <w:szCs w:val="16"/>
                <w:lang w:val="en-GB"/>
              </w:rPr>
              <w:t>ASYCUDA world</w:t>
            </w:r>
          </w:p>
          <w:p w14:paraId="1D80DE15" w14:textId="77777777" w:rsidR="00E57460" w:rsidRDefault="00E57460" w:rsidP="007812AC">
            <w:pPr>
              <w:jc w:val="both"/>
              <w:rPr>
                <w:b/>
                <w:bCs/>
                <w:color w:val="000000"/>
                <w:sz w:val="16"/>
                <w:szCs w:val="16"/>
              </w:rPr>
            </w:pPr>
          </w:p>
          <w:p w14:paraId="73D47DC1" w14:textId="2C4F3559" w:rsidR="00E57460" w:rsidRPr="00713E0F" w:rsidRDefault="00E57460" w:rsidP="007812AC">
            <w:pPr>
              <w:jc w:val="both"/>
              <w:rPr>
                <w:color w:val="000000"/>
                <w:sz w:val="16"/>
                <w:szCs w:val="16"/>
              </w:rPr>
            </w:pPr>
            <w:r w:rsidRPr="00F376F5">
              <w:rPr>
                <w:b/>
                <w:bCs/>
                <w:color w:val="000000"/>
                <w:sz w:val="16"/>
                <w:szCs w:val="16"/>
              </w:rPr>
              <w:t>Indicator 1.2.2</w:t>
            </w:r>
            <w:r w:rsidRPr="00713E0F">
              <w:rPr>
                <w:color w:val="000000"/>
                <w:sz w:val="16"/>
                <w:szCs w:val="16"/>
              </w:rPr>
              <w:t xml:space="preserve">. </w:t>
            </w:r>
            <w:r w:rsidR="0020184A">
              <w:rPr>
                <w:color w:val="000000"/>
                <w:sz w:val="16"/>
                <w:szCs w:val="16"/>
              </w:rPr>
              <w:t>L</w:t>
            </w:r>
            <w:r w:rsidR="007C4D9B">
              <w:rPr>
                <w:color w:val="000000"/>
                <w:sz w:val="16"/>
                <w:szCs w:val="16"/>
              </w:rPr>
              <w:t xml:space="preserve">evel of </w:t>
            </w:r>
            <w:r w:rsidRPr="00713E0F">
              <w:rPr>
                <w:color w:val="000000"/>
                <w:sz w:val="16"/>
                <w:szCs w:val="16"/>
              </w:rPr>
              <w:t>audit compl</w:t>
            </w:r>
            <w:r w:rsidR="007C4D9B">
              <w:rPr>
                <w:color w:val="000000"/>
                <w:sz w:val="16"/>
                <w:szCs w:val="16"/>
              </w:rPr>
              <w:t>iance</w:t>
            </w:r>
            <w:r w:rsidRPr="00713E0F">
              <w:rPr>
                <w:color w:val="000000"/>
                <w:sz w:val="16"/>
                <w:szCs w:val="16"/>
              </w:rPr>
              <w:t xml:space="preserve"> with international standards </w:t>
            </w:r>
          </w:p>
          <w:p w14:paraId="44B4D60B" w14:textId="65C7ADEF" w:rsidR="00E57460" w:rsidRPr="00713E0F" w:rsidRDefault="00E57460" w:rsidP="007812AC">
            <w:pPr>
              <w:jc w:val="both"/>
              <w:rPr>
                <w:color w:val="000000"/>
                <w:sz w:val="16"/>
                <w:szCs w:val="16"/>
              </w:rPr>
            </w:pPr>
            <w:r w:rsidRPr="00F376F5">
              <w:rPr>
                <w:b/>
                <w:bCs/>
                <w:color w:val="000000"/>
                <w:sz w:val="16"/>
                <w:szCs w:val="16"/>
              </w:rPr>
              <w:t>Baseline (2021)</w:t>
            </w:r>
            <w:r w:rsidRPr="00713E0F">
              <w:rPr>
                <w:color w:val="000000"/>
                <w:sz w:val="16"/>
                <w:szCs w:val="16"/>
              </w:rPr>
              <w:t xml:space="preserve">: 3; </w:t>
            </w:r>
            <w:r w:rsidRPr="00F376F5">
              <w:rPr>
                <w:b/>
                <w:bCs/>
                <w:color w:val="000000"/>
                <w:sz w:val="16"/>
                <w:szCs w:val="16"/>
              </w:rPr>
              <w:t>Target (2021-2026)</w:t>
            </w:r>
            <w:r w:rsidRPr="00713E0F">
              <w:rPr>
                <w:color w:val="000000"/>
                <w:sz w:val="16"/>
                <w:szCs w:val="16"/>
              </w:rPr>
              <w:t xml:space="preserve">: 5 </w:t>
            </w:r>
          </w:p>
          <w:p w14:paraId="7F6AA179" w14:textId="77777777" w:rsidR="000B3972" w:rsidRDefault="000B3972" w:rsidP="007812AC">
            <w:pPr>
              <w:jc w:val="both"/>
              <w:rPr>
                <w:b/>
                <w:bCs/>
                <w:color w:val="000000"/>
                <w:sz w:val="16"/>
                <w:szCs w:val="16"/>
              </w:rPr>
            </w:pPr>
          </w:p>
          <w:p w14:paraId="4E96C0AF" w14:textId="574DA20A" w:rsidR="00E57460" w:rsidRPr="00713E0F" w:rsidRDefault="00E57460" w:rsidP="007812AC">
            <w:pPr>
              <w:jc w:val="both"/>
              <w:rPr>
                <w:color w:val="000000"/>
                <w:sz w:val="16"/>
                <w:szCs w:val="16"/>
              </w:rPr>
            </w:pPr>
            <w:r w:rsidRPr="00D05A10">
              <w:rPr>
                <w:b/>
                <w:bCs/>
                <w:color w:val="000000"/>
                <w:sz w:val="16"/>
                <w:szCs w:val="16"/>
              </w:rPr>
              <w:t>Indicator 1.2.3.</w:t>
            </w:r>
            <w:r w:rsidRPr="00713E0F">
              <w:rPr>
                <w:color w:val="000000"/>
                <w:sz w:val="16"/>
                <w:szCs w:val="16"/>
              </w:rPr>
              <w:t xml:space="preserve"> </w:t>
            </w:r>
            <w:r w:rsidR="00616646">
              <w:rPr>
                <w:color w:val="000000"/>
                <w:sz w:val="16"/>
                <w:szCs w:val="16"/>
              </w:rPr>
              <w:t>Per cent</w:t>
            </w:r>
            <w:r w:rsidR="00616646" w:rsidRPr="00713E0F">
              <w:rPr>
                <w:color w:val="000000"/>
                <w:sz w:val="16"/>
                <w:szCs w:val="16"/>
              </w:rPr>
              <w:t xml:space="preserve"> </w:t>
            </w:r>
            <w:r w:rsidRPr="00713E0F">
              <w:rPr>
                <w:color w:val="000000"/>
                <w:sz w:val="16"/>
                <w:szCs w:val="16"/>
              </w:rPr>
              <w:t>of ministr</w:t>
            </w:r>
            <w:r w:rsidR="00616646">
              <w:rPr>
                <w:color w:val="000000"/>
                <w:sz w:val="16"/>
                <w:szCs w:val="16"/>
              </w:rPr>
              <w:t>y</w:t>
            </w:r>
            <w:r w:rsidRPr="00713E0F">
              <w:rPr>
                <w:color w:val="000000"/>
                <w:sz w:val="16"/>
                <w:szCs w:val="16"/>
              </w:rPr>
              <w:t xml:space="preserve"> audits with performance-based assessment </w:t>
            </w:r>
          </w:p>
          <w:p w14:paraId="06FDC702" w14:textId="200DDA36" w:rsidR="00E57460" w:rsidRPr="00713E0F" w:rsidRDefault="00E57460" w:rsidP="007812AC">
            <w:pPr>
              <w:jc w:val="both"/>
              <w:rPr>
                <w:color w:val="000000"/>
                <w:sz w:val="16"/>
                <w:szCs w:val="16"/>
              </w:rPr>
            </w:pPr>
            <w:r w:rsidRPr="00D05A10">
              <w:rPr>
                <w:b/>
                <w:bCs/>
                <w:color w:val="000000"/>
                <w:sz w:val="16"/>
                <w:szCs w:val="16"/>
              </w:rPr>
              <w:t>Baseline (2021)</w:t>
            </w:r>
            <w:r w:rsidRPr="00713E0F">
              <w:rPr>
                <w:color w:val="000000"/>
                <w:sz w:val="16"/>
                <w:szCs w:val="16"/>
              </w:rPr>
              <w:t xml:space="preserve">: 30%; </w:t>
            </w:r>
            <w:r w:rsidRPr="00D05A10">
              <w:rPr>
                <w:b/>
                <w:bCs/>
                <w:color w:val="000000"/>
                <w:sz w:val="16"/>
                <w:szCs w:val="16"/>
              </w:rPr>
              <w:t>Target</w:t>
            </w:r>
            <w:r w:rsidR="000B3972">
              <w:rPr>
                <w:b/>
                <w:bCs/>
                <w:color w:val="000000"/>
                <w:sz w:val="16"/>
                <w:szCs w:val="16"/>
              </w:rPr>
              <w:t xml:space="preserve"> </w:t>
            </w:r>
            <w:r w:rsidRPr="00D05A10">
              <w:rPr>
                <w:b/>
                <w:bCs/>
                <w:color w:val="000000"/>
                <w:sz w:val="16"/>
                <w:szCs w:val="16"/>
              </w:rPr>
              <w:t>(2026)</w:t>
            </w:r>
            <w:r w:rsidRPr="00713E0F">
              <w:rPr>
                <w:color w:val="000000"/>
                <w:sz w:val="16"/>
                <w:szCs w:val="16"/>
              </w:rPr>
              <w:t xml:space="preserve">: 45% </w:t>
            </w:r>
          </w:p>
          <w:p w14:paraId="50C8540B" w14:textId="26CE36FE" w:rsidR="00E57460" w:rsidRPr="00713E0F" w:rsidRDefault="00E57460" w:rsidP="007812AC">
            <w:pPr>
              <w:jc w:val="both"/>
              <w:rPr>
                <w:color w:val="000000"/>
                <w:sz w:val="16"/>
                <w:szCs w:val="16"/>
              </w:rPr>
            </w:pPr>
            <w:r w:rsidRPr="00713E0F">
              <w:rPr>
                <w:color w:val="000000"/>
                <w:sz w:val="16"/>
                <w:szCs w:val="16"/>
              </w:rPr>
              <w:t xml:space="preserve"> </w:t>
            </w:r>
          </w:p>
          <w:p w14:paraId="55E04B8B" w14:textId="2AE6BA58" w:rsidR="00E57460" w:rsidRPr="00713E0F" w:rsidRDefault="00E57460" w:rsidP="007812AC">
            <w:pPr>
              <w:jc w:val="both"/>
              <w:rPr>
                <w:color w:val="000000" w:themeColor="text1"/>
                <w:sz w:val="16"/>
                <w:szCs w:val="16"/>
              </w:rPr>
            </w:pPr>
            <w:r w:rsidRPr="00D05A10">
              <w:rPr>
                <w:b/>
                <w:bCs/>
                <w:color w:val="000000" w:themeColor="text1"/>
                <w:sz w:val="16"/>
                <w:szCs w:val="16"/>
                <w:lang w:val="en-GB"/>
              </w:rPr>
              <w:t>Indicator 1.2.4</w:t>
            </w:r>
            <w:r w:rsidRPr="00713E0F">
              <w:rPr>
                <w:color w:val="000000" w:themeColor="text1"/>
                <w:sz w:val="16"/>
                <w:szCs w:val="16"/>
              </w:rPr>
              <w:t xml:space="preserve">: </w:t>
            </w:r>
            <w:r w:rsidR="000B3972">
              <w:rPr>
                <w:color w:val="000000" w:themeColor="text1"/>
                <w:sz w:val="16"/>
                <w:szCs w:val="16"/>
              </w:rPr>
              <w:t>L</w:t>
            </w:r>
            <w:r w:rsidRPr="00713E0F">
              <w:rPr>
                <w:color w:val="000000" w:themeColor="text1"/>
                <w:sz w:val="16"/>
                <w:szCs w:val="16"/>
              </w:rPr>
              <w:t xml:space="preserve">evel of </w:t>
            </w:r>
            <w:r w:rsidR="007C4D9B" w:rsidRPr="00713E0F">
              <w:rPr>
                <w:color w:val="000000" w:themeColor="text1"/>
                <w:sz w:val="16"/>
                <w:szCs w:val="16"/>
              </w:rPr>
              <w:t>awareness</w:t>
            </w:r>
            <w:r w:rsidRPr="00713E0F">
              <w:rPr>
                <w:color w:val="000000" w:themeColor="text1"/>
                <w:sz w:val="16"/>
                <w:szCs w:val="16"/>
              </w:rPr>
              <w:t xml:space="preserve"> </w:t>
            </w:r>
            <w:r w:rsidR="00616646">
              <w:rPr>
                <w:color w:val="000000" w:themeColor="text1"/>
                <w:sz w:val="16"/>
                <w:szCs w:val="16"/>
              </w:rPr>
              <w:t xml:space="preserve">of Goals </w:t>
            </w:r>
            <w:r w:rsidRPr="00713E0F">
              <w:rPr>
                <w:color w:val="000000" w:themeColor="text1"/>
                <w:sz w:val="16"/>
                <w:szCs w:val="16"/>
              </w:rPr>
              <w:t xml:space="preserve">and </w:t>
            </w:r>
            <w:r>
              <w:rPr>
                <w:color w:val="000000" w:themeColor="text1"/>
                <w:sz w:val="16"/>
                <w:szCs w:val="16"/>
              </w:rPr>
              <w:t xml:space="preserve">civic </w:t>
            </w:r>
            <w:r w:rsidRPr="00713E0F">
              <w:rPr>
                <w:color w:val="000000" w:themeColor="text1"/>
                <w:sz w:val="16"/>
                <w:szCs w:val="16"/>
              </w:rPr>
              <w:t xml:space="preserve">participation in national development process </w:t>
            </w:r>
          </w:p>
          <w:p w14:paraId="0366C830" w14:textId="45E13CCE" w:rsidR="00E57460" w:rsidRPr="00E57460" w:rsidRDefault="00E57460" w:rsidP="007812AC">
            <w:pPr>
              <w:jc w:val="both"/>
              <w:rPr>
                <w:color w:val="000000" w:themeColor="text1"/>
                <w:sz w:val="16"/>
                <w:szCs w:val="16"/>
              </w:rPr>
            </w:pPr>
            <w:r w:rsidRPr="00D05A10">
              <w:rPr>
                <w:b/>
                <w:bCs/>
                <w:color w:val="000000" w:themeColor="text1"/>
                <w:sz w:val="16"/>
                <w:szCs w:val="16"/>
              </w:rPr>
              <w:t>Baseline (2021)</w:t>
            </w:r>
            <w:r w:rsidRPr="00713E0F">
              <w:rPr>
                <w:color w:val="000000" w:themeColor="text1"/>
                <w:sz w:val="16"/>
                <w:szCs w:val="16"/>
              </w:rPr>
              <w:t>: low (2)</w:t>
            </w:r>
            <w:r w:rsidR="000B3972">
              <w:rPr>
                <w:color w:val="000000" w:themeColor="text1"/>
                <w:sz w:val="16"/>
                <w:szCs w:val="16"/>
              </w:rPr>
              <w:t xml:space="preserve"> </w:t>
            </w:r>
            <w:r w:rsidRPr="00D05A10">
              <w:rPr>
                <w:b/>
                <w:bCs/>
                <w:color w:val="000000" w:themeColor="text1"/>
                <w:sz w:val="16"/>
                <w:szCs w:val="16"/>
              </w:rPr>
              <w:t>Target (2026)</w:t>
            </w:r>
            <w:r w:rsidRPr="00713E0F">
              <w:rPr>
                <w:color w:val="000000" w:themeColor="text1"/>
                <w:sz w:val="16"/>
                <w:szCs w:val="16"/>
              </w:rPr>
              <w:t>: adequate (5)</w:t>
            </w:r>
          </w:p>
        </w:tc>
        <w:tc>
          <w:tcPr>
            <w:tcW w:w="574" w:type="pct"/>
            <w:shd w:val="clear" w:color="auto" w:fill="FFFFFF" w:themeFill="background1"/>
            <w:vAlign w:val="center"/>
          </w:tcPr>
          <w:p w14:paraId="191A81AD" w14:textId="6448F11F" w:rsidR="00E57460" w:rsidRPr="00970BBB" w:rsidRDefault="00690DED" w:rsidP="000F0401">
            <w:pPr>
              <w:rPr>
                <w:b/>
                <w:bCs/>
                <w:color w:val="000000"/>
                <w:sz w:val="16"/>
                <w:szCs w:val="16"/>
                <w:lang w:val="en-GB"/>
              </w:rPr>
            </w:pPr>
            <w:r>
              <w:rPr>
                <w:color w:val="000000"/>
                <w:sz w:val="16"/>
                <w:szCs w:val="16"/>
                <w:lang w:val="en-GB"/>
              </w:rPr>
              <w:t>MFND</w:t>
            </w:r>
            <w:r w:rsidR="00D50263">
              <w:rPr>
                <w:color w:val="000000"/>
                <w:sz w:val="16"/>
                <w:szCs w:val="16"/>
                <w:lang w:val="en-GB"/>
              </w:rPr>
              <w:t xml:space="preserve">, </w:t>
            </w:r>
            <w:r w:rsidR="00914F5B">
              <w:rPr>
                <w:color w:val="000000"/>
                <w:sz w:val="16"/>
                <w:szCs w:val="16"/>
                <w:lang w:val="en-GB"/>
              </w:rPr>
              <w:t>United Nations Population Fund (</w:t>
            </w:r>
            <w:r w:rsidR="00E57460" w:rsidRPr="00AF1591">
              <w:rPr>
                <w:color w:val="000000"/>
                <w:sz w:val="16"/>
                <w:szCs w:val="16"/>
                <w:lang w:val="es-ES"/>
              </w:rPr>
              <w:t>UNFPA</w:t>
            </w:r>
            <w:r w:rsidR="00914F5B">
              <w:rPr>
                <w:color w:val="000000"/>
                <w:sz w:val="16"/>
                <w:szCs w:val="16"/>
                <w:lang w:val="es-ES"/>
              </w:rPr>
              <w:t>)</w:t>
            </w:r>
            <w:r w:rsidR="00E57460" w:rsidRPr="00AF1591">
              <w:rPr>
                <w:color w:val="000000"/>
                <w:sz w:val="16"/>
                <w:szCs w:val="16"/>
                <w:lang w:val="es-ES"/>
              </w:rPr>
              <w:t xml:space="preserve">, </w:t>
            </w:r>
            <w:r w:rsidR="00914F5B">
              <w:rPr>
                <w:color w:val="000000"/>
                <w:sz w:val="16"/>
                <w:szCs w:val="16"/>
                <w:lang w:val="es-ES"/>
              </w:rPr>
              <w:t>International Labour Organization (</w:t>
            </w:r>
            <w:r w:rsidR="00E57460" w:rsidRPr="00AF1591">
              <w:rPr>
                <w:color w:val="000000"/>
                <w:sz w:val="16"/>
                <w:szCs w:val="16"/>
                <w:lang w:val="es-ES"/>
              </w:rPr>
              <w:t>ILO</w:t>
            </w:r>
            <w:r w:rsidR="00914F5B">
              <w:rPr>
                <w:color w:val="000000"/>
                <w:sz w:val="16"/>
                <w:szCs w:val="16"/>
                <w:lang w:val="es-ES"/>
              </w:rPr>
              <w:t>)</w:t>
            </w:r>
            <w:r w:rsidR="00E57460" w:rsidRPr="00AF1591">
              <w:rPr>
                <w:color w:val="000000"/>
                <w:sz w:val="16"/>
                <w:szCs w:val="16"/>
                <w:lang w:val="es-ES"/>
              </w:rPr>
              <w:t>, U</w:t>
            </w:r>
            <w:r w:rsidR="00914F5B">
              <w:rPr>
                <w:color w:val="000000"/>
                <w:sz w:val="16"/>
                <w:szCs w:val="16"/>
                <w:lang w:val="es-ES"/>
              </w:rPr>
              <w:t>nited Nations Economic Commission for Africa</w:t>
            </w:r>
            <w:r w:rsidR="00E57460" w:rsidRPr="00AF1591">
              <w:rPr>
                <w:color w:val="000000"/>
                <w:sz w:val="16"/>
                <w:szCs w:val="16"/>
                <w:lang w:val="es-ES"/>
              </w:rPr>
              <w:t>, European Union</w:t>
            </w:r>
          </w:p>
        </w:tc>
        <w:tc>
          <w:tcPr>
            <w:tcW w:w="580" w:type="pct"/>
            <w:shd w:val="clear" w:color="auto" w:fill="FFFFFF" w:themeFill="background1"/>
            <w:tcMar>
              <w:top w:w="15" w:type="dxa"/>
              <w:left w:w="108" w:type="dxa"/>
              <w:bottom w:w="0" w:type="dxa"/>
              <w:right w:w="108" w:type="dxa"/>
            </w:tcMar>
            <w:vAlign w:val="center"/>
          </w:tcPr>
          <w:p w14:paraId="3864970E" w14:textId="1A26C3DE" w:rsidR="00E57460" w:rsidRPr="00713E0F" w:rsidRDefault="00E57460" w:rsidP="007812AC">
            <w:pPr>
              <w:jc w:val="both"/>
              <w:rPr>
                <w:b/>
                <w:color w:val="000000"/>
                <w:sz w:val="16"/>
                <w:szCs w:val="16"/>
              </w:rPr>
            </w:pPr>
            <w:r w:rsidRPr="00713E0F">
              <w:rPr>
                <w:b/>
                <w:color w:val="000000"/>
                <w:sz w:val="16"/>
                <w:szCs w:val="16"/>
              </w:rPr>
              <w:t>Regular</w:t>
            </w:r>
            <w:r>
              <w:rPr>
                <w:b/>
                <w:color w:val="000000"/>
                <w:sz w:val="16"/>
                <w:szCs w:val="16"/>
              </w:rPr>
              <w:t>:</w:t>
            </w:r>
            <w:r w:rsidRPr="00713E0F">
              <w:rPr>
                <w:b/>
                <w:color w:val="000000"/>
                <w:sz w:val="16"/>
                <w:szCs w:val="16"/>
              </w:rPr>
              <w:t xml:space="preserve"> </w:t>
            </w:r>
            <w:r w:rsidR="006468D3">
              <w:rPr>
                <w:b/>
                <w:color w:val="000000"/>
                <w:sz w:val="16"/>
                <w:szCs w:val="16"/>
              </w:rPr>
              <w:t>13,500</w:t>
            </w:r>
            <w:r w:rsidRPr="00713E0F">
              <w:rPr>
                <w:b/>
                <w:color w:val="000000"/>
                <w:sz w:val="16"/>
                <w:szCs w:val="16"/>
              </w:rPr>
              <w:t>,000</w:t>
            </w:r>
          </w:p>
          <w:p w14:paraId="28ED9215" w14:textId="1031A1F9" w:rsidR="00E57460" w:rsidRPr="00970BBB" w:rsidRDefault="00E57460" w:rsidP="007812AC">
            <w:pPr>
              <w:jc w:val="both"/>
              <w:rPr>
                <w:b/>
                <w:bCs/>
                <w:color w:val="000000"/>
                <w:sz w:val="16"/>
                <w:szCs w:val="16"/>
                <w:lang w:val="en-GB"/>
              </w:rPr>
            </w:pPr>
            <w:r w:rsidRPr="00713E0F">
              <w:rPr>
                <w:b/>
                <w:color w:val="000000"/>
                <w:sz w:val="16"/>
                <w:szCs w:val="16"/>
              </w:rPr>
              <w:t>Other</w:t>
            </w:r>
            <w:r>
              <w:rPr>
                <w:b/>
                <w:color w:val="000000"/>
                <w:sz w:val="16"/>
                <w:szCs w:val="16"/>
              </w:rPr>
              <w:t>:</w:t>
            </w:r>
            <w:r w:rsidRPr="00713E0F">
              <w:rPr>
                <w:b/>
                <w:color w:val="000000"/>
                <w:sz w:val="16"/>
                <w:szCs w:val="16"/>
              </w:rPr>
              <w:t xml:space="preserve"> </w:t>
            </w:r>
            <w:r w:rsidR="00F90FA0">
              <w:rPr>
                <w:b/>
                <w:color w:val="000000"/>
                <w:sz w:val="16"/>
                <w:szCs w:val="16"/>
              </w:rPr>
              <w:t>4</w:t>
            </w:r>
            <w:r w:rsidRPr="00713E0F">
              <w:rPr>
                <w:b/>
                <w:color w:val="000000"/>
                <w:sz w:val="16"/>
                <w:szCs w:val="16"/>
              </w:rPr>
              <w:t>,</w:t>
            </w:r>
            <w:r w:rsidR="00F90FA0">
              <w:rPr>
                <w:b/>
                <w:color w:val="000000"/>
                <w:sz w:val="16"/>
                <w:szCs w:val="16"/>
              </w:rPr>
              <w:t>744,000</w:t>
            </w:r>
          </w:p>
        </w:tc>
      </w:tr>
      <w:tr w:rsidR="00E57460" w:rsidRPr="00970BBB" w14:paraId="325CB80D" w14:textId="77777777" w:rsidTr="001E5C15">
        <w:tc>
          <w:tcPr>
            <w:tcW w:w="1111" w:type="pct"/>
            <w:shd w:val="clear" w:color="auto" w:fill="FFFFFF" w:themeFill="background1"/>
            <w:tcMar>
              <w:top w:w="72" w:type="dxa"/>
              <w:left w:w="144" w:type="dxa"/>
              <w:bottom w:w="72" w:type="dxa"/>
              <w:right w:w="144" w:type="dxa"/>
            </w:tcMar>
            <w:vAlign w:val="center"/>
          </w:tcPr>
          <w:p w14:paraId="4F8A4800" w14:textId="61303A19" w:rsidR="00B417C3" w:rsidRPr="00AF51C6" w:rsidRDefault="00B417C3" w:rsidP="001E5C15">
            <w:pPr>
              <w:pStyle w:val="ListParagraph"/>
              <w:numPr>
                <w:ilvl w:val="1"/>
                <w:numId w:val="20"/>
              </w:numPr>
              <w:ind w:left="0"/>
              <w:jc w:val="both"/>
              <w:rPr>
                <w:sz w:val="16"/>
                <w:szCs w:val="16"/>
                <w:lang w:val="en-GB"/>
              </w:rPr>
            </w:pPr>
            <w:r w:rsidRPr="00AF51C6">
              <w:rPr>
                <w:b/>
                <w:bCs/>
                <w:sz w:val="16"/>
                <w:szCs w:val="16"/>
                <w:lang w:val="en-GB"/>
              </w:rPr>
              <w:t>Indicator 1.</w:t>
            </w:r>
            <w:r>
              <w:rPr>
                <w:b/>
                <w:bCs/>
                <w:sz w:val="16"/>
                <w:szCs w:val="16"/>
                <w:lang w:val="en-GB"/>
              </w:rPr>
              <w:t>3.</w:t>
            </w:r>
            <w:r>
              <w:rPr>
                <w:sz w:val="16"/>
                <w:szCs w:val="16"/>
                <w:lang w:val="en-GB"/>
              </w:rPr>
              <w:t xml:space="preserve"> </w:t>
            </w:r>
            <w:r w:rsidR="00616646">
              <w:rPr>
                <w:sz w:val="16"/>
                <w:szCs w:val="16"/>
                <w:lang w:val="en-GB"/>
              </w:rPr>
              <w:t xml:space="preserve">Per cent </w:t>
            </w:r>
            <w:r w:rsidRPr="00AF51C6">
              <w:rPr>
                <w:sz w:val="16"/>
                <w:szCs w:val="16"/>
                <w:lang w:val="en-GB"/>
              </w:rPr>
              <w:t xml:space="preserve">of the population reporting having personally felt discriminated against or harassed within </w:t>
            </w:r>
            <w:r w:rsidRPr="00AF51C6">
              <w:rPr>
                <w:sz w:val="16"/>
                <w:szCs w:val="16"/>
                <w:lang w:val="en-GB"/>
              </w:rPr>
              <w:lastRenderedPageBreak/>
              <w:t xml:space="preserve">the previous 12 months </w:t>
            </w:r>
            <w:r w:rsidR="00A501F1">
              <w:rPr>
                <w:sz w:val="16"/>
                <w:szCs w:val="16"/>
                <w:lang w:val="en-GB"/>
              </w:rPr>
              <w:t xml:space="preserve">based </w:t>
            </w:r>
            <w:r w:rsidRPr="00AF51C6">
              <w:rPr>
                <w:sz w:val="16"/>
                <w:szCs w:val="16"/>
                <w:lang w:val="en-GB"/>
              </w:rPr>
              <w:t xml:space="preserve">on a </w:t>
            </w:r>
            <w:r w:rsidR="00A501F1">
              <w:rPr>
                <w:sz w:val="16"/>
                <w:szCs w:val="16"/>
                <w:lang w:val="en-GB"/>
              </w:rPr>
              <w:t>form</w:t>
            </w:r>
            <w:r w:rsidR="00A501F1" w:rsidRPr="00AF51C6">
              <w:rPr>
                <w:sz w:val="16"/>
                <w:szCs w:val="16"/>
                <w:lang w:val="en-GB"/>
              </w:rPr>
              <w:t xml:space="preserve"> </w:t>
            </w:r>
            <w:r w:rsidRPr="00AF51C6">
              <w:rPr>
                <w:sz w:val="16"/>
                <w:szCs w:val="16"/>
                <w:lang w:val="en-GB"/>
              </w:rPr>
              <w:t>of discrimination prohibited under international human rights law</w:t>
            </w:r>
          </w:p>
          <w:p w14:paraId="06F8FACD" w14:textId="17E400FC" w:rsidR="00B417C3" w:rsidRPr="00713E0F" w:rsidRDefault="00B417C3" w:rsidP="001E5C15">
            <w:pPr>
              <w:ind w:hanging="301"/>
              <w:jc w:val="both"/>
              <w:rPr>
                <w:b/>
                <w:bCs/>
                <w:sz w:val="16"/>
                <w:szCs w:val="16"/>
                <w:lang w:val="en-GB"/>
              </w:rPr>
            </w:pPr>
            <w:r w:rsidRPr="00713E0F">
              <w:rPr>
                <w:sz w:val="16"/>
                <w:szCs w:val="16"/>
                <w:lang w:val="en-GB"/>
              </w:rPr>
              <w:t xml:space="preserve">       </w:t>
            </w:r>
            <w:r w:rsidRPr="00713E0F">
              <w:rPr>
                <w:b/>
                <w:bCs/>
                <w:sz w:val="16"/>
                <w:szCs w:val="16"/>
                <w:lang w:val="en-GB"/>
              </w:rPr>
              <w:t>Baseline (20</w:t>
            </w:r>
            <w:r>
              <w:rPr>
                <w:b/>
                <w:bCs/>
                <w:sz w:val="16"/>
                <w:szCs w:val="16"/>
                <w:lang w:val="en-GB"/>
              </w:rPr>
              <w:t>2</w:t>
            </w:r>
            <w:r w:rsidRPr="00713E0F">
              <w:rPr>
                <w:b/>
                <w:bCs/>
                <w:sz w:val="16"/>
                <w:szCs w:val="16"/>
                <w:lang w:val="en-GB"/>
              </w:rPr>
              <w:t xml:space="preserve">0): </w:t>
            </w:r>
            <w:r>
              <w:rPr>
                <w:color w:val="000000"/>
                <w:sz w:val="16"/>
                <w:szCs w:val="16"/>
                <w:lang w:val="en-GB"/>
              </w:rPr>
              <w:t xml:space="preserve">0 </w:t>
            </w:r>
            <w:r w:rsidR="00A501F1">
              <w:rPr>
                <w:color w:val="000000"/>
                <w:sz w:val="16"/>
                <w:szCs w:val="16"/>
                <w:lang w:val="en-GB"/>
              </w:rPr>
              <w:t>(</w:t>
            </w:r>
            <w:r>
              <w:rPr>
                <w:color w:val="000000"/>
                <w:sz w:val="16"/>
                <w:szCs w:val="16"/>
                <w:lang w:val="en-GB"/>
              </w:rPr>
              <w:t>IIAG Index;</w:t>
            </w:r>
            <w:r w:rsidRPr="00F111FA">
              <w:rPr>
                <w:color w:val="000000"/>
                <w:sz w:val="16"/>
                <w:szCs w:val="16"/>
                <w:lang w:val="en-GB"/>
              </w:rPr>
              <w:t xml:space="preserve"> TBC</w:t>
            </w:r>
            <w:r w:rsidR="00A501F1">
              <w:rPr>
                <w:color w:val="000000"/>
                <w:sz w:val="16"/>
                <w:szCs w:val="16"/>
                <w:lang w:val="en-GB"/>
              </w:rPr>
              <w:t>)</w:t>
            </w:r>
          </w:p>
          <w:p w14:paraId="18BA32F0" w14:textId="2106844A" w:rsidR="00B417C3" w:rsidRPr="00713E0F" w:rsidRDefault="00B417C3" w:rsidP="001E5C15">
            <w:pPr>
              <w:ind w:hanging="301"/>
              <w:jc w:val="both"/>
              <w:rPr>
                <w:b/>
                <w:bCs/>
                <w:sz w:val="16"/>
                <w:szCs w:val="16"/>
                <w:lang w:val="en-GB"/>
              </w:rPr>
            </w:pPr>
            <w:r w:rsidRPr="00713E0F">
              <w:rPr>
                <w:b/>
                <w:bCs/>
                <w:sz w:val="16"/>
                <w:szCs w:val="16"/>
                <w:lang w:val="en-GB"/>
              </w:rPr>
              <w:t xml:space="preserve">       Target (2023): </w:t>
            </w:r>
            <w:r>
              <w:rPr>
                <w:b/>
                <w:bCs/>
                <w:sz w:val="16"/>
                <w:szCs w:val="16"/>
                <w:lang w:val="en-GB"/>
              </w:rPr>
              <w:t xml:space="preserve">&gt; </w:t>
            </w:r>
            <w:r w:rsidRPr="009E08B1">
              <w:rPr>
                <w:sz w:val="16"/>
                <w:szCs w:val="16"/>
                <w:lang w:val="en-GB"/>
              </w:rPr>
              <w:t>25</w:t>
            </w:r>
            <w:r w:rsidRPr="000C2082">
              <w:rPr>
                <w:sz w:val="16"/>
                <w:szCs w:val="16"/>
                <w:lang w:val="en-GB"/>
              </w:rPr>
              <w:t>%</w:t>
            </w:r>
          </w:p>
          <w:p w14:paraId="3A40D7F6" w14:textId="77777777" w:rsidR="00B417C3" w:rsidRPr="00713E0F" w:rsidRDefault="00B417C3" w:rsidP="001E5C15">
            <w:pPr>
              <w:ind w:hanging="301"/>
              <w:jc w:val="both"/>
              <w:rPr>
                <w:sz w:val="16"/>
                <w:szCs w:val="16"/>
                <w:lang w:val="en-GB"/>
              </w:rPr>
            </w:pPr>
          </w:p>
          <w:p w14:paraId="0E08F487" w14:textId="33F0A53C" w:rsidR="00A501F1" w:rsidRPr="00DF00C8" w:rsidRDefault="00B417C3" w:rsidP="001E5C15">
            <w:pPr>
              <w:pStyle w:val="ListParagraph"/>
              <w:numPr>
                <w:ilvl w:val="1"/>
                <w:numId w:val="21"/>
              </w:numPr>
              <w:ind w:left="0"/>
              <w:jc w:val="both"/>
              <w:rPr>
                <w:b/>
                <w:bCs/>
                <w:sz w:val="16"/>
                <w:szCs w:val="16"/>
                <w:lang w:val="en-GB"/>
              </w:rPr>
            </w:pPr>
            <w:r w:rsidRPr="00AF51C6">
              <w:rPr>
                <w:b/>
                <w:bCs/>
                <w:sz w:val="16"/>
                <w:szCs w:val="16"/>
                <w:lang w:val="en-GB"/>
              </w:rPr>
              <w:t>Indicator 1.4.</w:t>
            </w:r>
            <w:r w:rsidRPr="00AF51C6">
              <w:rPr>
                <w:sz w:val="16"/>
                <w:szCs w:val="16"/>
                <w:lang w:val="en-GB"/>
              </w:rPr>
              <w:t xml:space="preserve"> Gender Equality Index (</w:t>
            </w:r>
            <w:r w:rsidR="00A501F1">
              <w:rPr>
                <w:sz w:val="16"/>
                <w:szCs w:val="16"/>
                <w:lang w:val="en-GB"/>
              </w:rPr>
              <w:t>Goal</w:t>
            </w:r>
            <w:r w:rsidR="00A501F1" w:rsidRPr="00AF51C6">
              <w:rPr>
                <w:sz w:val="16"/>
                <w:szCs w:val="16"/>
                <w:lang w:val="en-GB"/>
              </w:rPr>
              <w:t xml:space="preserve"> </w:t>
            </w:r>
            <w:r w:rsidRPr="00AF51C6">
              <w:rPr>
                <w:sz w:val="16"/>
                <w:szCs w:val="16"/>
                <w:lang w:val="en-GB"/>
              </w:rPr>
              <w:t xml:space="preserve">10.3.1) </w:t>
            </w:r>
          </w:p>
          <w:p w14:paraId="64A9C9BD" w14:textId="2A88D000" w:rsidR="00B417C3" w:rsidRPr="009E08B1" w:rsidRDefault="00B417C3" w:rsidP="001E5C15">
            <w:pPr>
              <w:pStyle w:val="ListParagraph"/>
              <w:numPr>
                <w:ilvl w:val="1"/>
                <w:numId w:val="21"/>
              </w:numPr>
              <w:ind w:left="0"/>
              <w:jc w:val="both"/>
              <w:rPr>
                <w:b/>
                <w:bCs/>
                <w:sz w:val="16"/>
                <w:szCs w:val="16"/>
                <w:lang w:val="en-GB"/>
              </w:rPr>
            </w:pPr>
            <w:r w:rsidRPr="00AF51C6">
              <w:rPr>
                <w:b/>
                <w:bCs/>
                <w:sz w:val="16"/>
                <w:szCs w:val="16"/>
                <w:lang w:val="en-GB"/>
              </w:rPr>
              <w:t>Baseline (20</w:t>
            </w:r>
            <w:r>
              <w:rPr>
                <w:b/>
                <w:bCs/>
                <w:sz w:val="16"/>
                <w:szCs w:val="16"/>
                <w:lang w:val="en-GB"/>
              </w:rPr>
              <w:t>2</w:t>
            </w:r>
            <w:r w:rsidRPr="00AF51C6">
              <w:rPr>
                <w:b/>
                <w:bCs/>
                <w:sz w:val="16"/>
                <w:szCs w:val="16"/>
                <w:lang w:val="en-GB"/>
              </w:rPr>
              <w:t>0)</w:t>
            </w:r>
            <w:r w:rsidR="00A501F1">
              <w:rPr>
                <w:b/>
                <w:bCs/>
                <w:sz w:val="16"/>
                <w:szCs w:val="16"/>
                <w:lang w:val="en-GB"/>
              </w:rPr>
              <w:t>:</w:t>
            </w:r>
            <w:r w:rsidRPr="00AF51C6">
              <w:rPr>
                <w:b/>
                <w:bCs/>
                <w:sz w:val="16"/>
                <w:szCs w:val="16"/>
                <w:lang w:val="en-GB"/>
              </w:rPr>
              <w:t xml:space="preserve"> </w:t>
            </w:r>
            <w:r>
              <w:rPr>
                <w:sz w:val="16"/>
                <w:szCs w:val="16"/>
                <w:lang w:val="en-GB"/>
              </w:rPr>
              <w:t>34.7</w:t>
            </w:r>
            <w:r w:rsidRPr="00AF51C6">
              <w:rPr>
                <w:b/>
                <w:bCs/>
                <w:sz w:val="16"/>
                <w:szCs w:val="16"/>
                <w:lang w:val="en-GB"/>
              </w:rPr>
              <w:t xml:space="preserve"> </w:t>
            </w:r>
            <w:r w:rsidR="00A501F1">
              <w:rPr>
                <w:color w:val="000000"/>
                <w:sz w:val="16"/>
                <w:szCs w:val="16"/>
                <w:lang w:val="en-GB"/>
              </w:rPr>
              <w:t>(</w:t>
            </w:r>
            <w:r>
              <w:rPr>
                <w:color w:val="000000"/>
                <w:sz w:val="16"/>
                <w:szCs w:val="16"/>
                <w:lang w:val="en-GB"/>
              </w:rPr>
              <w:t>IIAG Index</w:t>
            </w:r>
            <w:r w:rsidR="00A501F1">
              <w:rPr>
                <w:color w:val="000000"/>
                <w:sz w:val="16"/>
                <w:szCs w:val="16"/>
                <w:lang w:val="en-GB"/>
              </w:rPr>
              <w:t>)</w:t>
            </w:r>
            <w:r>
              <w:rPr>
                <w:color w:val="000000"/>
                <w:sz w:val="16"/>
                <w:szCs w:val="16"/>
                <w:lang w:val="en-GB"/>
              </w:rPr>
              <w:t xml:space="preserve"> </w:t>
            </w:r>
          </w:p>
          <w:p w14:paraId="60AD3B8A" w14:textId="5DA0632B" w:rsidR="00B417C3" w:rsidRPr="00B417C3" w:rsidRDefault="00B417C3" w:rsidP="001E5C15">
            <w:pPr>
              <w:pStyle w:val="ListParagraph"/>
              <w:numPr>
                <w:ilvl w:val="1"/>
                <w:numId w:val="21"/>
              </w:numPr>
              <w:ind w:left="0"/>
              <w:jc w:val="both"/>
              <w:rPr>
                <w:b/>
                <w:bCs/>
                <w:sz w:val="16"/>
                <w:szCs w:val="16"/>
                <w:lang w:val="en-GB"/>
              </w:rPr>
            </w:pPr>
            <w:r w:rsidRPr="00AF51C6">
              <w:rPr>
                <w:b/>
                <w:bCs/>
                <w:sz w:val="16"/>
                <w:szCs w:val="16"/>
                <w:lang w:val="en-GB"/>
              </w:rPr>
              <w:t xml:space="preserve">Target (2023):  </w:t>
            </w:r>
            <w:r>
              <w:rPr>
                <w:b/>
                <w:bCs/>
                <w:sz w:val="16"/>
                <w:szCs w:val="16"/>
                <w:lang w:val="en-GB"/>
              </w:rPr>
              <w:t xml:space="preserve">&gt; </w:t>
            </w:r>
            <w:r>
              <w:rPr>
                <w:sz w:val="16"/>
                <w:szCs w:val="16"/>
                <w:lang w:val="en-GB"/>
              </w:rPr>
              <w:t>50.0</w:t>
            </w:r>
          </w:p>
          <w:p w14:paraId="55230DE4" w14:textId="77777777" w:rsidR="00E57460" w:rsidRPr="00970BBB" w:rsidRDefault="00E57460" w:rsidP="001E5C15">
            <w:pPr>
              <w:pStyle w:val="ListParagraph"/>
              <w:ind w:left="0"/>
              <w:jc w:val="both"/>
              <w:rPr>
                <w:b/>
                <w:bCs/>
                <w:color w:val="000000"/>
                <w:sz w:val="16"/>
                <w:szCs w:val="16"/>
                <w:lang w:val="en-GB"/>
              </w:rPr>
            </w:pPr>
          </w:p>
        </w:tc>
        <w:tc>
          <w:tcPr>
            <w:tcW w:w="663" w:type="pct"/>
            <w:shd w:val="clear" w:color="auto" w:fill="FFFFFF" w:themeFill="background1"/>
            <w:vAlign w:val="center"/>
          </w:tcPr>
          <w:p w14:paraId="45DAACBF" w14:textId="6E182503" w:rsidR="000B3972" w:rsidRDefault="000B3972" w:rsidP="001E5C15">
            <w:pPr>
              <w:pStyle w:val="ListParagraph"/>
              <w:numPr>
                <w:ilvl w:val="0"/>
                <w:numId w:val="1"/>
              </w:numPr>
              <w:ind w:left="0"/>
              <w:jc w:val="both"/>
              <w:rPr>
                <w:sz w:val="16"/>
                <w:szCs w:val="16"/>
                <w:lang w:val="en-GB"/>
              </w:rPr>
            </w:pPr>
            <w:r w:rsidRPr="00CD290B">
              <w:rPr>
                <w:b/>
                <w:bCs/>
                <w:sz w:val="16"/>
                <w:szCs w:val="16"/>
                <w:lang w:val="en-GB"/>
              </w:rPr>
              <w:lastRenderedPageBreak/>
              <w:t>Data sources</w:t>
            </w:r>
            <w:r>
              <w:rPr>
                <w:sz w:val="16"/>
                <w:szCs w:val="16"/>
                <w:lang w:val="en-GB"/>
              </w:rPr>
              <w:t xml:space="preserve">; </w:t>
            </w:r>
            <w:r w:rsidR="00C379D8">
              <w:rPr>
                <w:sz w:val="16"/>
                <w:szCs w:val="16"/>
                <w:lang w:val="en-GB"/>
              </w:rPr>
              <w:t>Ministry of Justice (</w:t>
            </w:r>
            <w:r w:rsidRPr="00713E0F">
              <w:rPr>
                <w:color w:val="000000"/>
                <w:sz w:val="16"/>
                <w:szCs w:val="16"/>
              </w:rPr>
              <w:t>M</w:t>
            </w:r>
            <w:r w:rsidR="00C379D8">
              <w:rPr>
                <w:color w:val="000000"/>
                <w:sz w:val="16"/>
                <w:szCs w:val="16"/>
              </w:rPr>
              <w:t>O</w:t>
            </w:r>
            <w:r w:rsidRPr="00713E0F">
              <w:rPr>
                <w:color w:val="000000"/>
                <w:sz w:val="16"/>
                <w:szCs w:val="16"/>
              </w:rPr>
              <w:t>J</w:t>
            </w:r>
            <w:r w:rsidR="00C379D8">
              <w:rPr>
                <w:color w:val="000000"/>
                <w:sz w:val="16"/>
                <w:szCs w:val="16"/>
              </w:rPr>
              <w:t>)</w:t>
            </w:r>
            <w:r>
              <w:rPr>
                <w:color w:val="000000"/>
                <w:sz w:val="16"/>
                <w:szCs w:val="16"/>
              </w:rPr>
              <w:t xml:space="preserve">, </w:t>
            </w:r>
            <w:r w:rsidR="00B707BD" w:rsidRPr="00713E0F">
              <w:rPr>
                <w:color w:val="000000"/>
                <w:sz w:val="16"/>
                <w:szCs w:val="16"/>
              </w:rPr>
              <w:t xml:space="preserve">Universal Periodic </w:t>
            </w:r>
            <w:r w:rsidR="00B707BD" w:rsidRPr="00713E0F">
              <w:rPr>
                <w:color w:val="000000"/>
                <w:sz w:val="16"/>
                <w:szCs w:val="16"/>
              </w:rPr>
              <w:lastRenderedPageBreak/>
              <w:t>Review report</w:t>
            </w:r>
            <w:r w:rsidR="00B707BD">
              <w:rPr>
                <w:color w:val="000000"/>
                <w:sz w:val="16"/>
                <w:szCs w:val="16"/>
              </w:rPr>
              <w:t>,</w:t>
            </w:r>
            <w:r w:rsidR="00B707BD" w:rsidRPr="00713E0F">
              <w:rPr>
                <w:color w:val="000000"/>
                <w:sz w:val="16"/>
                <w:szCs w:val="16"/>
                <w:lang w:val="en-GB"/>
              </w:rPr>
              <w:t xml:space="preserve"> National Union of Eritrean Women</w:t>
            </w:r>
          </w:p>
          <w:p w14:paraId="7121F9DE" w14:textId="77777777" w:rsidR="000B3972" w:rsidRPr="00CD290B" w:rsidRDefault="000B3972" w:rsidP="001E5C15">
            <w:pPr>
              <w:pStyle w:val="ListParagraph"/>
              <w:numPr>
                <w:ilvl w:val="0"/>
                <w:numId w:val="1"/>
              </w:numPr>
              <w:ind w:left="0"/>
              <w:jc w:val="both"/>
              <w:rPr>
                <w:sz w:val="16"/>
                <w:szCs w:val="16"/>
                <w:lang w:val="en-GB"/>
              </w:rPr>
            </w:pPr>
          </w:p>
          <w:p w14:paraId="3F7BBBB9" w14:textId="5ABF3490" w:rsidR="000B3972" w:rsidRPr="00CD290B" w:rsidRDefault="000B3972" w:rsidP="001E5C15">
            <w:pPr>
              <w:pStyle w:val="ListParagraph"/>
              <w:numPr>
                <w:ilvl w:val="0"/>
                <w:numId w:val="1"/>
              </w:numPr>
              <w:ind w:left="0"/>
              <w:jc w:val="both"/>
              <w:rPr>
                <w:sz w:val="16"/>
                <w:szCs w:val="16"/>
                <w:lang w:val="en-GB"/>
              </w:rPr>
            </w:pPr>
            <w:r>
              <w:rPr>
                <w:b/>
                <w:bCs/>
                <w:sz w:val="16"/>
                <w:szCs w:val="16"/>
                <w:lang w:val="en-GB"/>
              </w:rPr>
              <w:t>Responsibility:</w:t>
            </w:r>
            <w:r>
              <w:rPr>
                <w:sz w:val="16"/>
                <w:szCs w:val="16"/>
                <w:lang w:val="en-GB"/>
              </w:rPr>
              <w:t xml:space="preserve"> </w:t>
            </w:r>
            <w:r w:rsidR="00C379D8">
              <w:rPr>
                <w:sz w:val="16"/>
                <w:szCs w:val="16"/>
                <w:lang w:val="en-GB"/>
              </w:rPr>
              <w:t>MOJ</w:t>
            </w:r>
            <w:r w:rsidRPr="00CD290B">
              <w:rPr>
                <w:sz w:val="16"/>
                <w:szCs w:val="16"/>
                <w:lang w:val="en-GB"/>
              </w:rPr>
              <w:t xml:space="preserve"> </w:t>
            </w:r>
          </w:p>
          <w:p w14:paraId="08DD8EA3" w14:textId="77777777" w:rsidR="000B3972" w:rsidRDefault="000B3972" w:rsidP="001E5C15">
            <w:pPr>
              <w:jc w:val="both"/>
              <w:rPr>
                <w:sz w:val="16"/>
                <w:szCs w:val="16"/>
                <w:lang w:val="en-GB"/>
              </w:rPr>
            </w:pPr>
          </w:p>
          <w:p w14:paraId="36B5C24E" w14:textId="3786227A" w:rsidR="000B3972" w:rsidRPr="00CD290B" w:rsidRDefault="000B3972" w:rsidP="001E5C15">
            <w:pPr>
              <w:jc w:val="both"/>
              <w:rPr>
                <w:sz w:val="16"/>
                <w:szCs w:val="16"/>
                <w:lang w:val="en-GB"/>
              </w:rPr>
            </w:pPr>
            <w:r w:rsidRPr="00CD290B">
              <w:rPr>
                <w:b/>
                <w:bCs/>
                <w:sz w:val="16"/>
                <w:szCs w:val="16"/>
                <w:lang w:val="en-GB"/>
              </w:rPr>
              <w:t>Frequency</w:t>
            </w:r>
            <w:r w:rsidRPr="00713E0F">
              <w:rPr>
                <w:sz w:val="16"/>
                <w:szCs w:val="16"/>
                <w:lang w:val="en-GB"/>
              </w:rPr>
              <w:t>: Annual</w:t>
            </w:r>
            <w:r w:rsidR="00B707BD" w:rsidRPr="00713E0F">
              <w:rPr>
                <w:color w:val="000000"/>
                <w:sz w:val="16"/>
                <w:szCs w:val="16"/>
              </w:rPr>
              <w:t xml:space="preserve"> </w:t>
            </w:r>
            <w:r w:rsidR="00B707BD">
              <w:rPr>
                <w:color w:val="000000"/>
                <w:sz w:val="16"/>
                <w:szCs w:val="16"/>
              </w:rPr>
              <w:t xml:space="preserve">&amp; </w:t>
            </w:r>
            <w:r w:rsidR="00B707BD" w:rsidRPr="00713E0F">
              <w:rPr>
                <w:color w:val="000000"/>
                <w:sz w:val="16"/>
                <w:szCs w:val="16"/>
              </w:rPr>
              <w:t>Biennial</w:t>
            </w:r>
          </w:p>
          <w:p w14:paraId="3CD8C995" w14:textId="77777777" w:rsidR="00E57460" w:rsidRPr="00970BBB" w:rsidRDefault="00E57460" w:rsidP="001E5C15">
            <w:pPr>
              <w:jc w:val="both"/>
              <w:rPr>
                <w:b/>
                <w:color w:val="000000"/>
                <w:sz w:val="16"/>
                <w:szCs w:val="16"/>
              </w:rPr>
            </w:pPr>
          </w:p>
        </w:tc>
        <w:tc>
          <w:tcPr>
            <w:tcW w:w="2072" w:type="pct"/>
            <w:shd w:val="clear" w:color="auto" w:fill="FFFFFF" w:themeFill="background1"/>
            <w:tcMar>
              <w:top w:w="72" w:type="dxa"/>
              <w:left w:w="144" w:type="dxa"/>
              <w:bottom w:w="72" w:type="dxa"/>
              <w:right w:w="144" w:type="dxa"/>
            </w:tcMar>
            <w:vAlign w:val="center"/>
          </w:tcPr>
          <w:p w14:paraId="361B107E" w14:textId="575CBDA7" w:rsidR="00E57460" w:rsidRPr="00D05A10" w:rsidRDefault="00E57460" w:rsidP="001E5C15">
            <w:pPr>
              <w:jc w:val="both"/>
              <w:rPr>
                <w:b/>
                <w:bCs/>
                <w:color w:val="000000"/>
                <w:sz w:val="16"/>
                <w:szCs w:val="16"/>
                <w:lang w:val="en-GB"/>
              </w:rPr>
            </w:pPr>
            <w:r w:rsidRPr="00D05A10">
              <w:rPr>
                <w:b/>
                <w:bCs/>
                <w:color w:val="000000"/>
                <w:sz w:val="16"/>
                <w:szCs w:val="16"/>
                <w:lang w:val="en-GB"/>
              </w:rPr>
              <w:lastRenderedPageBreak/>
              <w:t>Output 1.3.</w:t>
            </w:r>
            <w:r w:rsidRPr="00D05A10">
              <w:rPr>
                <w:b/>
                <w:bCs/>
                <w:sz w:val="16"/>
                <w:szCs w:val="16"/>
              </w:rPr>
              <w:t xml:space="preserve"> </w:t>
            </w:r>
            <w:r w:rsidRPr="00D05A10">
              <w:rPr>
                <w:b/>
                <w:bCs/>
                <w:color w:val="000000"/>
                <w:sz w:val="16"/>
                <w:szCs w:val="16"/>
                <w:lang w:val="en-GB"/>
              </w:rPr>
              <w:t xml:space="preserve">Justice and legislative institutions have technical and financial capacity to deliver inclusive, </w:t>
            </w:r>
            <w:r w:rsidR="005A3578">
              <w:rPr>
                <w:b/>
                <w:bCs/>
                <w:color w:val="000000"/>
                <w:sz w:val="16"/>
                <w:szCs w:val="16"/>
                <w:lang w:val="en-GB"/>
              </w:rPr>
              <w:t>gender</w:t>
            </w:r>
            <w:r w:rsidR="00D011FE">
              <w:rPr>
                <w:b/>
                <w:bCs/>
                <w:color w:val="000000"/>
                <w:sz w:val="16"/>
                <w:szCs w:val="16"/>
                <w:lang w:val="en-GB"/>
              </w:rPr>
              <w:t>-</w:t>
            </w:r>
            <w:r w:rsidR="005A3578">
              <w:rPr>
                <w:b/>
                <w:bCs/>
                <w:color w:val="000000"/>
                <w:sz w:val="16"/>
                <w:szCs w:val="16"/>
                <w:lang w:val="en-GB"/>
              </w:rPr>
              <w:t xml:space="preserve">responsive, </w:t>
            </w:r>
            <w:r w:rsidRPr="00D05A10">
              <w:rPr>
                <w:b/>
                <w:bCs/>
                <w:color w:val="000000"/>
                <w:sz w:val="16"/>
                <w:szCs w:val="16"/>
                <w:lang w:val="en-GB"/>
              </w:rPr>
              <w:t>accountable and equitable services including international commitments</w:t>
            </w:r>
          </w:p>
          <w:p w14:paraId="47546FBD" w14:textId="77777777" w:rsidR="00E57460" w:rsidRPr="00713E0F" w:rsidRDefault="00E57460" w:rsidP="001E5C15">
            <w:pPr>
              <w:jc w:val="both"/>
              <w:rPr>
                <w:color w:val="000000"/>
                <w:sz w:val="16"/>
                <w:szCs w:val="16"/>
                <w:lang w:val="en-GB"/>
              </w:rPr>
            </w:pPr>
          </w:p>
          <w:p w14:paraId="627822A3" w14:textId="19023B4A" w:rsidR="00A501F1" w:rsidRDefault="00E57460" w:rsidP="001E5C15">
            <w:pPr>
              <w:jc w:val="both"/>
              <w:rPr>
                <w:color w:val="000000"/>
                <w:sz w:val="16"/>
                <w:szCs w:val="16"/>
              </w:rPr>
            </w:pPr>
            <w:r w:rsidRPr="00713E0F">
              <w:rPr>
                <w:b/>
                <w:bCs/>
                <w:color w:val="000000"/>
                <w:sz w:val="16"/>
                <w:szCs w:val="16"/>
              </w:rPr>
              <w:t>Indicator</w:t>
            </w:r>
            <w:r>
              <w:rPr>
                <w:b/>
                <w:bCs/>
                <w:color w:val="000000"/>
                <w:sz w:val="16"/>
                <w:szCs w:val="16"/>
              </w:rPr>
              <w:t xml:space="preserve"> </w:t>
            </w:r>
            <w:r w:rsidRPr="00713E0F">
              <w:rPr>
                <w:b/>
                <w:bCs/>
                <w:color w:val="000000"/>
                <w:sz w:val="16"/>
                <w:szCs w:val="16"/>
              </w:rPr>
              <w:t>1.3.1</w:t>
            </w:r>
            <w:r>
              <w:rPr>
                <w:b/>
                <w:bCs/>
                <w:color w:val="000000"/>
                <w:sz w:val="16"/>
                <w:szCs w:val="16"/>
              </w:rPr>
              <w:t>.</w:t>
            </w:r>
            <w:r w:rsidR="0020184A">
              <w:rPr>
                <w:color w:val="000000"/>
                <w:sz w:val="16"/>
                <w:szCs w:val="16"/>
              </w:rPr>
              <w:t xml:space="preserve"> </w:t>
            </w:r>
            <w:r w:rsidR="007E6FC3">
              <w:rPr>
                <w:color w:val="000000"/>
                <w:sz w:val="16"/>
                <w:szCs w:val="16"/>
              </w:rPr>
              <w:t>Implementation rate of f</w:t>
            </w:r>
            <w:r w:rsidR="0020184A">
              <w:rPr>
                <w:color w:val="000000"/>
                <w:sz w:val="16"/>
                <w:szCs w:val="16"/>
              </w:rPr>
              <w:t>rameworks and instruments (legal etc</w:t>
            </w:r>
            <w:r w:rsidR="00D011FE">
              <w:rPr>
                <w:color w:val="000000"/>
                <w:sz w:val="16"/>
                <w:szCs w:val="16"/>
              </w:rPr>
              <w:t>.</w:t>
            </w:r>
            <w:r w:rsidR="0020184A">
              <w:rPr>
                <w:color w:val="000000"/>
                <w:sz w:val="16"/>
                <w:szCs w:val="16"/>
              </w:rPr>
              <w:t xml:space="preserve">) in place to prevent and respond to </w:t>
            </w:r>
            <w:r w:rsidR="00D011FE">
              <w:rPr>
                <w:color w:val="000000"/>
                <w:sz w:val="16"/>
                <w:szCs w:val="16"/>
              </w:rPr>
              <w:t>sexual and gender-based violence</w:t>
            </w:r>
            <w:r w:rsidR="0020184A">
              <w:rPr>
                <w:color w:val="000000"/>
                <w:sz w:val="16"/>
                <w:szCs w:val="16"/>
              </w:rPr>
              <w:t xml:space="preserve"> at all levels (under-age marriage</w:t>
            </w:r>
            <w:r w:rsidR="00D011FE">
              <w:rPr>
                <w:color w:val="000000"/>
                <w:sz w:val="16"/>
                <w:szCs w:val="16"/>
              </w:rPr>
              <w:t>, female genital mutilation</w:t>
            </w:r>
            <w:r w:rsidR="0020184A">
              <w:rPr>
                <w:color w:val="000000"/>
                <w:sz w:val="16"/>
                <w:szCs w:val="16"/>
              </w:rPr>
              <w:t xml:space="preserve"> etc; </w:t>
            </w:r>
            <w:r w:rsidR="0020184A" w:rsidRPr="00A501F1">
              <w:rPr>
                <w:color w:val="000000"/>
                <w:sz w:val="16"/>
                <w:szCs w:val="16"/>
              </w:rPr>
              <w:t>S</w:t>
            </w:r>
            <w:r w:rsidR="00A501F1" w:rsidRPr="00DF00C8">
              <w:rPr>
                <w:color w:val="000000"/>
                <w:sz w:val="16"/>
                <w:szCs w:val="16"/>
              </w:rPr>
              <w:t xml:space="preserve">trategic </w:t>
            </w:r>
            <w:r w:rsidR="0020184A" w:rsidRPr="00A501F1">
              <w:rPr>
                <w:color w:val="000000"/>
                <w:sz w:val="16"/>
                <w:szCs w:val="16"/>
              </w:rPr>
              <w:t>P</w:t>
            </w:r>
            <w:r w:rsidR="00A501F1" w:rsidRPr="00A501F1">
              <w:rPr>
                <w:color w:val="000000"/>
                <w:sz w:val="16"/>
                <w:szCs w:val="16"/>
              </w:rPr>
              <w:t>lan</w:t>
            </w:r>
            <w:r w:rsidR="0020184A">
              <w:rPr>
                <w:color w:val="000000"/>
                <w:sz w:val="16"/>
                <w:szCs w:val="16"/>
              </w:rPr>
              <w:t xml:space="preserve"> Indicator 1.6.2.2)</w:t>
            </w:r>
            <w:r w:rsidR="00BD031C">
              <w:rPr>
                <w:color w:val="000000"/>
                <w:sz w:val="16"/>
                <w:szCs w:val="16"/>
              </w:rPr>
              <w:t xml:space="preserve">. </w:t>
            </w:r>
          </w:p>
          <w:p w14:paraId="6B69123C" w14:textId="3957628C" w:rsidR="00E57460" w:rsidRPr="00713E0F" w:rsidRDefault="00E57460" w:rsidP="001E5C15">
            <w:pPr>
              <w:jc w:val="both"/>
              <w:rPr>
                <w:color w:val="000000"/>
                <w:sz w:val="16"/>
                <w:szCs w:val="16"/>
              </w:rPr>
            </w:pPr>
            <w:r w:rsidRPr="00713E0F">
              <w:rPr>
                <w:b/>
                <w:bCs/>
                <w:color w:val="000000"/>
                <w:sz w:val="16"/>
                <w:szCs w:val="16"/>
              </w:rPr>
              <w:t>Baseline</w:t>
            </w:r>
            <w:r w:rsidR="00D011FE">
              <w:rPr>
                <w:b/>
                <w:bCs/>
                <w:color w:val="000000"/>
                <w:sz w:val="16"/>
                <w:szCs w:val="16"/>
              </w:rPr>
              <w:t xml:space="preserve"> </w:t>
            </w:r>
            <w:r w:rsidRPr="00713E0F">
              <w:rPr>
                <w:b/>
                <w:bCs/>
                <w:color w:val="000000"/>
                <w:sz w:val="16"/>
                <w:szCs w:val="16"/>
              </w:rPr>
              <w:t>(202</w:t>
            </w:r>
            <w:r w:rsidR="0020184A">
              <w:rPr>
                <w:b/>
                <w:bCs/>
                <w:color w:val="000000"/>
                <w:sz w:val="16"/>
                <w:szCs w:val="16"/>
              </w:rPr>
              <w:t>0</w:t>
            </w:r>
            <w:r w:rsidRPr="00713E0F">
              <w:rPr>
                <w:b/>
                <w:bCs/>
                <w:color w:val="000000"/>
                <w:sz w:val="16"/>
                <w:szCs w:val="16"/>
              </w:rPr>
              <w:t>):</w:t>
            </w:r>
            <w:r w:rsidRPr="00713E0F">
              <w:rPr>
                <w:color w:val="000000"/>
                <w:sz w:val="16"/>
                <w:szCs w:val="16"/>
              </w:rPr>
              <w:t xml:space="preserve"> </w:t>
            </w:r>
            <w:r w:rsidR="0020184A">
              <w:rPr>
                <w:color w:val="000000"/>
                <w:sz w:val="16"/>
                <w:szCs w:val="16"/>
              </w:rPr>
              <w:t xml:space="preserve">6/100 </w:t>
            </w:r>
            <w:r w:rsidR="006D3D6B">
              <w:rPr>
                <w:color w:val="000000"/>
                <w:sz w:val="16"/>
                <w:szCs w:val="16"/>
              </w:rPr>
              <w:t>(</w:t>
            </w:r>
            <w:r w:rsidR="0020184A">
              <w:rPr>
                <w:color w:val="000000"/>
                <w:sz w:val="16"/>
                <w:szCs w:val="16"/>
              </w:rPr>
              <w:t>IIAG Index</w:t>
            </w:r>
            <w:r w:rsidR="006D3D6B">
              <w:rPr>
                <w:color w:val="000000"/>
                <w:sz w:val="16"/>
                <w:szCs w:val="16"/>
              </w:rPr>
              <w:t>)</w:t>
            </w:r>
            <w:r w:rsidR="000B3972">
              <w:rPr>
                <w:color w:val="000000"/>
                <w:sz w:val="16"/>
                <w:szCs w:val="16"/>
              </w:rPr>
              <w:t xml:space="preserve">; </w:t>
            </w:r>
            <w:r w:rsidRPr="00713E0F">
              <w:rPr>
                <w:b/>
                <w:bCs/>
                <w:color w:val="000000"/>
                <w:sz w:val="16"/>
                <w:szCs w:val="16"/>
              </w:rPr>
              <w:t xml:space="preserve">Target </w:t>
            </w:r>
            <w:r w:rsidR="0020184A">
              <w:rPr>
                <w:b/>
                <w:bCs/>
                <w:color w:val="000000"/>
                <w:sz w:val="16"/>
                <w:szCs w:val="16"/>
              </w:rPr>
              <w:t>&gt;25/100</w:t>
            </w:r>
            <w:r w:rsidR="0020184A" w:rsidRPr="00713E0F" w:rsidDel="0020184A">
              <w:rPr>
                <w:b/>
                <w:bCs/>
                <w:color w:val="000000"/>
                <w:sz w:val="16"/>
                <w:szCs w:val="16"/>
              </w:rPr>
              <w:t xml:space="preserve"> </w:t>
            </w:r>
          </w:p>
          <w:p w14:paraId="1EF0E0FE" w14:textId="77777777" w:rsidR="00E57460" w:rsidRPr="00713E0F" w:rsidRDefault="00E57460" w:rsidP="001E5C15">
            <w:pPr>
              <w:jc w:val="both"/>
              <w:rPr>
                <w:b/>
                <w:bCs/>
                <w:color w:val="000000"/>
                <w:sz w:val="16"/>
                <w:szCs w:val="16"/>
                <w:lang w:val="en-GB"/>
              </w:rPr>
            </w:pPr>
          </w:p>
          <w:p w14:paraId="19F436C9" w14:textId="0492289F" w:rsidR="00E57460" w:rsidRPr="00713E0F" w:rsidRDefault="00E57460" w:rsidP="001E5C15">
            <w:pPr>
              <w:jc w:val="both"/>
              <w:rPr>
                <w:b/>
                <w:bCs/>
                <w:color w:val="000000"/>
                <w:sz w:val="16"/>
                <w:szCs w:val="16"/>
                <w:lang w:val="en-GB"/>
              </w:rPr>
            </w:pPr>
            <w:r w:rsidRPr="00713E0F">
              <w:rPr>
                <w:b/>
                <w:bCs/>
                <w:color w:val="000000"/>
                <w:sz w:val="16"/>
                <w:szCs w:val="16"/>
              </w:rPr>
              <w:t>Indicator</w:t>
            </w:r>
            <w:r w:rsidR="00D011FE">
              <w:rPr>
                <w:b/>
                <w:bCs/>
                <w:color w:val="000000"/>
                <w:sz w:val="16"/>
                <w:szCs w:val="16"/>
              </w:rPr>
              <w:t xml:space="preserve"> </w:t>
            </w:r>
            <w:r w:rsidRPr="00713E0F">
              <w:rPr>
                <w:b/>
                <w:bCs/>
                <w:color w:val="000000"/>
                <w:sz w:val="16"/>
                <w:szCs w:val="16"/>
              </w:rPr>
              <w:t xml:space="preserve">1.3.2: </w:t>
            </w:r>
            <w:r w:rsidRPr="00713E0F">
              <w:rPr>
                <w:color w:val="000000"/>
                <w:sz w:val="16"/>
                <w:szCs w:val="16"/>
              </w:rPr>
              <w:t>Number of</w:t>
            </w:r>
            <w:r w:rsidRPr="00713E0F">
              <w:rPr>
                <w:b/>
                <w:bCs/>
                <w:color w:val="000000"/>
                <w:sz w:val="16"/>
                <w:szCs w:val="16"/>
              </w:rPr>
              <w:t xml:space="preserve"> </w:t>
            </w:r>
            <w:r w:rsidRPr="00713E0F">
              <w:rPr>
                <w:color w:val="000000"/>
                <w:sz w:val="16"/>
                <w:szCs w:val="16"/>
              </w:rPr>
              <w:t>backlog</w:t>
            </w:r>
            <w:r w:rsidR="00D011FE">
              <w:rPr>
                <w:color w:val="000000"/>
                <w:sz w:val="16"/>
                <w:szCs w:val="16"/>
              </w:rPr>
              <w:t>ged</w:t>
            </w:r>
            <w:r w:rsidRPr="00713E0F">
              <w:rPr>
                <w:color w:val="000000"/>
                <w:sz w:val="16"/>
                <w:szCs w:val="16"/>
              </w:rPr>
              <w:t xml:space="preserve"> court cases</w:t>
            </w:r>
            <w:r w:rsidR="007C4D9B">
              <w:rPr>
                <w:color w:val="000000"/>
                <w:sz w:val="16"/>
                <w:szCs w:val="16"/>
              </w:rPr>
              <w:t xml:space="preserve"> heard</w:t>
            </w:r>
          </w:p>
          <w:p w14:paraId="4B066EDA" w14:textId="74F4EE94" w:rsidR="00E57460" w:rsidRPr="00713E0F" w:rsidRDefault="00E57460" w:rsidP="001E5C15">
            <w:pPr>
              <w:jc w:val="both"/>
              <w:rPr>
                <w:color w:val="000000"/>
                <w:sz w:val="16"/>
                <w:szCs w:val="16"/>
              </w:rPr>
            </w:pPr>
            <w:r w:rsidRPr="00713E0F">
              <w:rPr>
                <w:b/>
                <w:bCs/>
                <w:color w:val="000000"/>
                <w:sz w:val="16"/>
                <w:szCs w:val="16"/>
              </w:rPr>
              <w:t>Baseline (2021):</w:t>
            </w:r>
            <w:r w:rsidRPr="00713E0F">
              <w:rPr>
                <w:color w:val="000000"/>
                <w:sz w:val="16"/>
                <w:szCs w:val="16"/>
              </w:rPr>
              <w:t xml:space="preserve"> </w:t>
            </w:r>
            <w:r>
              <w:rPr>
                <w:color w:val="000000"/>
                <w:sz w:val="16"/>
                <w:szCs w:val="16"/>
              </w:rPr>
              <w:t>3</w:t>
            </w:r>
            <w:r w:rsidR="000B3972">
              <w:rPr>
                <w:color w:val="000000"/>
                <w:sz w:val="16"/>
                <w:szCs w:val="16"/>
              </w:rPr>
              <w:t>,</w:t>
            </w:r>
            <w:r>
              <w:rPr>
                <w:color w:val="000000"/>
                <w:sz w:val="16"/>
                <w:szCs w:val="16"/>
              </w:rPr>
              <w:t>415</w:t>
            </w:r>
            <w:r w:rsidR="000B3972">
              <w:rPr>
                <w:color w:val="000000"/>
                <w:sz w:val="16"/>
                <w:szCs w:val="16"/>
              </w:rPr>
              <w:t xml:space="preserve">; </w:t>
            </w:r>
            <w:r w:rsidRPr="00713E0F">
              <w:rPr>
                <w:b/>
                <w:bCs/>
                <w:color w:val="000000"/>
                <w:sz w:val="16"/>
                <w:szCs w:val="16"/>
              </w:rPr>
              <w:t xml:space="preserve">Target (2026): </w:t>
            </w:r>
            <w:r>
              <w:rPr>
                <w:color w:val="000000"/>
                <w:sz w:val="16"/>
                <w:szCs w:val="16"/>
              </w:rPr>
              <w:t>500</w:t>
            </w:r>
          </w:p>
          <w:p w14:paraId="10986FFE" w14:textId="77777777" w:rsidR="00E57460" w:rsidRPr="00713E0F" w:rsidRDefault="00E57460" w:rsidP="001E5C15">
            <w:pPr>
              <w:jc w:val="both"/>
              <w:rPr>
                <w:b/>
                <w:bCs/>
                <w:color w:val="000000"/>
                <w:sz w:val="16"/>
                <w:szCs w:val="16"/>
                <w:lang w:val="en-GB"/>
              </w:rPr>
            </w:pPr>
          </w:p>
          <w:p w14:paraId="18A1648A" w14:textId="1A163027" w:rsidR="00A501F1" w:rsidRDefault="00E57460" w:rsidP="001E5C15">
            <w:pPr>
              <w:jc w:val="both"/>
              <w:rPr>
                <w:color w:val="000000"/>
                <w:sz w:val="16"/>
                <w:szCs w:val="16"/>
                <w:lang w:val="en-GB"/>
              </w:rPr>
            </w:pPr>
            <w:r w:rsidRPr="00713E0F">
              <w:rPr>
                <w:b/>
                <w:bCs/>
                <w:color w:val="000000"/>
                <w:sz w:val="16"/>
                <w:szCs w:val="16"/>
                <w:lang w:val="en-GB"/>
              </w:rPr>
              <w:t xml:space="preserve">Indicative </w:t>
            </w:r>
            <w:r w:rsidR="00D011FE">
              <w:rPr>
                <w:b/>
                <w:bCs/>
                <w:color w:val="000000"/>
                <w:sz w:val="16"/>
                <w:szCs w:val="16"/>
                <w:lang w:val="en-GB"/>
              </w:rPr>
              <w:t>i</w:t>
            </w:r>
            <w:r w:rsidRPr="00713E0F">
              <w:rPr>
                <w:b/>
                <w:bCs/>
                <w:color w:val="000000"/>
                <w:sz w:val="16"/>
                <w:szCs w:val="16"/>
                <w:lang w:val="en-GB"/>
              </w:rPr>
              <w:t>ndicator</w:t>
            </w:r>
            <w:r>
              <w:rPr>
                <w:b/>
                <w:bCs/>
                <w:color w:val="000000"/>
                <w:sz w:val="16"/>
                <w:szCs w:val="16"/>
                <w:lang w:val="en-GB"/>
              </w:rPr>
              <w:t xml:space="preserve"> </w:t>
            </w:r>
            <w:r w:rsidRPr="00713E0F">
              <w:rPr>
                <w:b/>
                <w:bCs/>
                <w:color w:val="000000"/>
                <w:sz w:val="16"/>
                <w:szCs w:val="16"/>
                <w:lang w:val="en-GB"/>
              </w:rPr>
              <w:t xml:space="preserve">1.3.3: </w:t>
            </w:r>
            <w:r w:rsidR="007C4D9B">
              <w:rPr>
                <w:color w:val="000000"/>
                <w:sz w:val="16"/>
                <w:szCs w:val="16"/>
                <w:lang w:val="en-GB"/>
              </w:rPr>
              <w:t>Existence of an operational and gender</w:t>
            </w:r>
            <w:r w:rsidR="00D011FE">
              <w:rPr>
                <w:color w:val="000000"/>
                <w:sz w:val="16"/>
                <w:szCs w:val="16"/>
                <w:lang w:val="en-GB"/>
              </w:rPr>
              <w:t>-</w:t>
            </w:r>
            <w:r w:rsidR="007C4D9B">
              <w:rPr>
                <w:color w:val="000000"/>
                <w:sz w:val="16"/>
                <w:szCs w:val="16"/>
                <w:lang w:val="en-GB"/>
              </w:rPr>
              <w:t>responsive</w:t>
            </w:r>
            <w:r w:rsidR="007C4D9B" w:rsidRPr="00713E0F">
              <w:rPr>
                <w:color w:val="000000"/>
                <w:sz w:val="16"/>
                <w:szCs w:val="16"/>
                <w:lang w:val="en-GB"/>
              </w:rPr>
              <w:t xml:space="preserve"> </w:t>
            </w:r>
            <w:r w:rsidR="00D011FE">
              <w:rPr>
                <w:color w:val="000000"/>
                <w:sz w:val="16"/>
                <w:szCs w:val="16"/>
                <w:lang w:val="en-GB"/>
              </w:rPr>
              <w:t>c</w:t>
            </w:r>
            <w:r w:rsidR="007C4D9B">
              <w:rPr>
                <w:color w:val="000000"/>
                <w:sz w:val="16"/>
                <w:szCs w:val="16"/>
                <w:lang w:val="en-GB"/>
              </w:rPr>
              <w:t xml:space="preserve">ase </w:t>
            </w:r>
            <w:r w:rsidR="00D011FE">
              <w:rPr>
                <w:color w:val="000000"/>
                <w:sz w:val="16"/>
                <w:szCs w:val="16"/>
                <w:lang w:val="en-GB"/>
              </w:rPr>
              <w:t>f</w:t>
            </w:r>
            <w:r w:rsidRPr="00713E0F">
              <w:rPr>
                <w:color w:val="000000"/>
                <w:sz w:val="16"/>
                <w:szCs w:val="16"/>
                <w:lang w:val="en-GB"/>
              </w:rPr>
              <w:t xml:space="preserve">low </w:t>
            </w:r>
            <w:r w:rsidR="00D011FE">
              <w:rPr>
                <w:color w:val="000000"/>
                <w:sz w:val="16"/>
                <w:szCs w:val="16"/>
                <w:lang w:val="en-GB"/>
              </w:rPr>
              <w:t>m</w:t>
            </w:r>
            <w:r w:rsidRPr="00713E0F">
              <w:rPr>
                <w:color w:val="000000"/>
                <w:sz w:val="16"/>
                <w:szCs w:val="16"/>
                <w:lang w:val="en-GB"/>
              </w:rPr>
              <w:t xml:space="preserve">anagement </w:t>
            </w:r>
            <w:r w:rsidR="00D011FE">
              <w:rPr>
                <w:color w:val="000000"/>
                <w:sz w:val="16"/>
                <w:szCs w:val="16"/>
                <w:lang w:val="en-GB"/>
              </w:rPr>
              <w:t>i</w:t>
            </w:r>
            <w:r w:rsidRPr="00713E0F">
              <w:rPr>
                <w:color w:val="000000"/>
                <w:sz w:val="16"/>
                <w:szCs w:val="16"/>
                <w:lang w:val="en-GB"/>
              </w:rPr>
              <w:t xml:space="preserve">nformation </w:t>
            </w:r>
            <w:r w:rsidR="00D011FE">
              <w:rPr>
                <w:color w:val="000000"/>
                <w:sz w:val="16"/>
                <w:szCs w:val="16"/>
                <w:lang w:val="en-GB"/>
              </w:rPr>
              <w:t>s</w:t>
            </w:r>
            <w:r w:rsidRPr="00713E0F">
              <w:rPr>
                <w:color w:val="000000"/>
                <w:sz w:val="16"/>
                <w:szCs w:val="16"/>
                <w:lang w:val="en-GB"/>
              </w:rPr>
              <w:t>ystem</w:t>
            </w:r>
            <w:r>
              <w:rPr>
                <w:color w:val="000000"/>
                <w:sz w:val="16"/>
                <w:szCs w:val="16"/>
                <w:lang w:val="en-GB"/>
              </w:rPr>
              <w:t>.</w:t>
            </w:r>
            <w:r w:rsidR="005768DD">
              <w:rPr>
                <w:color w:val="000000"/>
                <w:sz w:val="16"/>
                <w:szCs w:val="16"/>
                <w:lang w:val="en-GB"/>
              </w:rPr>
              <w:t xml:space="preserve"> </w:t>
            </w:r>
          </w:p>
          <w:p w14:paraId="7CE2AA40" w14:textId="66A415C2" w:rsidR="00E57460" w:rsidRPr="00713E0F" w:rsidRDefault="00E57460" w:rsidP="001E5C15">
            <w:pPr>
              <w:jc w:val="both"/>
              <w:rPr>
                <w:color w:val="000000"/>
                <w:sz w:val="16"/>
                <w:szCs w:val="16"/>
              </w:rPr>
            </w:pPr>
            <w:r w:rsidRPr="00713E0F">
              <w:rPr>
                <w:b/>
                <w:bCs/>
                <w:color w:val="000000"/>
                <w:sz w:val="16"/>
                <w:szCs w:val="16"/>
              </w:rPr>
              <w:t>Baseline</w:t>
            </w:r>
            <w:r w:rsidR="00D011FE">
              <w:rPr>
                <w:b/>
                <w:bCs/>
                <w:color w:val="000000"/>
                <w:sz w:val="16"/>
                <w:szCs w:val="16"/>
              </w:rPr>
              <w:t xml:space="preserve"> </w:t>
            </w:r>
            <w:r w:rsidRPr="00713E0F">
              <w:rPr>
                <w:b/>
                <w:bCs/>
                <w:color w:val="000000"/>
                <w:sz w:val="16"/>
                <w:szCs w:val="16"/>
              </w:rPr>
              <w:t>(2021):</w:t>
            </w:r>
            <w:r w:rsidRPr="00713E0F">
              <w:rPr>
                <w:color w:val="000000"/>
                <w:sz w:val="16"/>
                <w:szCs w:val="16"/>
              </w:rPr>
              <w:t xml:space="preserve"> </w:t>
            </w:r>
            <w:r w:rsidR="007C4D9B">
              <w:rPr>
                <w:color w:val="000000"/>
                <w:sz w:val="16"/>
                <w:szCs w:val="16"/>
              </w:rPr>
              <w:t>No</w:t>
            </w:r>
            <w:r w:rsidR="005768DD">
              <w:rPr>
                <w:color w:val="000000"/>
                <w:sz w:val="16"/>
                <w:szCs w:val="16"/>
              </w:rPr>
              <w:t xml:space="preserve">; </w:t>
            </w:r>
            <w:r w:rsidRPr="00713E0F">
              <w:rPr>
                <w:b/>
                <w:bCs/>
                <w:color w:val="000000"/>
                <w:sz w:val="16"/>
                <w:szCs w:val="16"/>
              </w:rPr>
              <w:t xml:space="preserve">Target (2026): </w:t>
            </w:r>
            <w:r>
              <w:rPr>
                <w:color w:val="000000"/>
                <w:sz w:val="16"/>
                <w:szCs w:val="16"/>
              </w:rPr>
              <w:t>Yes</w:t>
            </w:r>
          </w:p>
          <w:p w14:paraId="6BF3BF88" w14:textId="77777777" w:rsidR="00E57460" w:rsidRPr="00713E0F" w:rsidRDefault="00E57460" w:rsidP="001E5C15">
            <w:pPr>
              <w:jc w:val="both"/>
              <w:rPr>
                <w:color w:val="000000"/>
                <w:sz w:val="16"/>
                <w:szCs w:val="16"/>
              </w:rPr>
            </w:pPr>
          </w:p>
          <w:p w14:paraId="372FBF7B" w14:textId="0E16305D" w:rsidR="00A501F1" w:rsidRDefault="00E57460" w:rsidP="001E5C15">
            <w:pPr>
              <w:jc w:val="both"/>
              <w:rPr>
                <w:color w:val="000000"/>
                <w:sz w:val="16"/>
                <w:szCs w:val="16"/>
              </w:rPr>
            </w:pPr>
            <w:r w:rsidRPr="00713E0F">
              <w:rPr>
                <w:b/>
                <w:bCs/>
                <w:color w:val="000000"/>
                <w:sz w:val="16"/>
                <w:szCs w:val="16"/>
              </w:rPr>
              <w:t xml:space="preserve">Indicator 1.3.4. </w:t>
            </w:r>
            <w:r w:rsidR="00D011FE">
              <w:rPr>
                <w:color w:val="000000"/>
                <w:sz w:val="16"/>
                <w:szCs w:val="16"/>
              </w:rPr>
              <w:t>Per cent</w:t>
            </w:r>
            <w:r w:rsidR="00D011FE" w:rsidRPr="00713E0F">
              <w:rPr>
                <w:color w:val="000000"/>
                <w:sz w:val="16"/>
                <w:szCs w:val="16"/>
              </w:rPr>
              <w:t xml:space="preserve"> </w:t>
            </w:r>
            <w:r w:rsidRPr="00713E0F">
              <w:rPr>
                <w:color w:val="000000"/>
                <w:sz w:val="16"/>
                <w:szCs w:val="16"/>
              </w:rPr>
              <w:t>of accepted Universal Periodic Review recommendations implemented</w:t>
            </w:r>
            <w:r w:rsidR="00B707BD">
              <w:rPr>
                <w:color w:val="000000"/>
                <w:sz w:val="16"/>
                <w:szCs w:val="16"/>
              </w:rPr>
              <w:t xml:space="preserve">. </w:t>
            </w:r>
          </w:p>
          <w:p w14:paraId="351C4FBF" w14:textId="18B3E276" w:rsidR="00E57460" w:rsidRPr="00713E0F" w:rsidRDefault="00E57460" w:rsidP="001E5C15">
            <w:pPr>
              <w:jc w:val="both"/>
              <w:rPr>
                <w:color w:val="000000"/>
                <w:sz w:val="16"/>
                <w:szCs w:val="16"/>
              </w:rPr>
            </w:pPr>
            <w:r w:rsidRPr="00713E0F">
              <w:rPr>
                <w:b/>
                <w:bCs/>
                <w:color w:val="000000"/>
                <w:sz w:val="16"/>
                <w:szCs w:val="16"/>
              </w:rPr>
              <w:t xml:space="preserve">Baseline (2021): </w:t>
            </w:r>
            <w:r w:rsidRPr="00713E0F">
              <w:rPr>
                <w:color w:val="000000"/>
                <w:sz w:val="16"/>
                <w:szCs w:val="16"/>
              </w:rPr>
              <w:t>85.87%</w:t>
            </w:r>
            <w:r w:rsidR="005768DD">
              <w:rPr>
                <w:color w:val="000000"/>
                <w:sz w:val="16"/>
                <w:szCs w:val="16"/>
              </w:rPr>
              <w:t xml:space="preserve">; </w:t>
            </w:r>
            <w:r w:rsidRPr="00713E0F">
              <w:rPr>
                <w:b/>
                <w:bCs/>
                <w:color w:val="000000"/>
                <w:sz w:val="16"/>
                <w:szCs w:val="16"/>
              </w:rPr>
              <w:t>Target (2026):</w:t>
            </w:r>
            <w:r w:rsidRPr="00713E0F">
              <w:rPr>
                <w:color w:val="000000"/>
                <w:sz w:val="16"/>
                <w:szCs w:val="16"/>
              </w:rPr>
              <w:t xml:space="preserve"> 95%</w:t>
            </w:r>
          </w:p>
          <w:p w14:paraId="77867A37" w14:textId="77777777" w:rsidR="00E57460" w:rsidRDefault="00E57460" w:rsidP="001E5C15">
            <w:pPr>
              <w:jc w:val="both"/>
              <w:rPr>
                <w:b/>
                <w:bCs/>
                <w:color w:val="000000"/>
                <w:sz w:val="16"/>
                <w:szCs w:val="16"/>
              </w:rPr>
            </w:pPr>
          </w:p>
          <w:p w14:paraId="7D0B78E0" w14:textId="72CA2299" w:rsidR="00E57460" w:rsidRPr="00713E0F" w:rsidRDefault="00E57460" w:rsidP="001E5C15">
            <w:pPr>
              <w:jc w:val="both"/>
              <w:rPr>
                <w:b/>
                <w:bCs/>
                <w:color w:val="000000"/>
                <w:sz w:val="16"/>
                <w:szCs w:val="16"/>
              </w:rPr>
            </w:pPr>
            <w:r w:rsidRPr="00713E0F">
              <w:rPr>
                <w:b/>
                <w:bCs/>
                <w:color w:val="000000"/>
                <w:sz w:val="16"/>
                <w:szCs w:val="16"/>
              </w:rPr>
              <w:t xml:space="preserve">Indicators 1.3.5: </w:t>
            </w:r>
            <w:r w:rsidR="00C5291C">
              <w:rPr>
                <w:b/>
                <w:bCs/>
                <w:color w:val="000000"/>
                <w:sz w:val="16"/>
                <w:szCs w:val="16"/>
              </w:rPr>
              <w:t>Number</w:t>
            </w:r>
            <w:r w:rsidR="00D011FE" w:rsidRPr="00713E0F">
              <w:rPr>
                <w:b/>
                <w:bCs/>
                <w:color w:val="000000"/>
                <w:sz w:val="16"/>
                <w:szCs w:val="16"/>
              </w:rPr>
              <w:t xml:space="preserve"> </w:t>
            </w:r>
            <w:r w:rsidRPr="00713E0F">
              <w:rPr>
                <w:b/>
                <w:bCs/>
                <w:color w:val="000000"/>
                <w:sz w:val="16"/>
                <w:szCs w:val="16"/>
              </w:rPr>
              <w:t>of CED</w:t>
            </w:r>
            <w:r>
              <w:rPr>
                <w:b/>
                <w:bCs/>
                <w:color w:val="000000"/>
                <w:sz w:val="16"/>
                <w:szCs w:val="16"/>
              </w:rPr>
              <w:t>A</w:t>
            </w:r>
            <w:r w:rsidRPr="00713E0F">
              <w:rPr>
                <w:b/>
                <w:bCs/>
                <w:color w:val="000000"/>
                <w:sz w:val="16"/>
                <w:szCs w:val="16"/>
              </w:rPr>
              <w:t xml:space="preserve">W recommendations implemented. </w:t>
            </w:r>
          </w:p>
          <w:p w14:paraId="63BA263A" w14:textId="4A9D786E" w:rsidR="00E57460" w:rsidRPr="00970BBB" w:rsidRDefault="00E57460" w:rsidP="001E5C15">
            <w:pPr>
              <w:jc w:val="both"/>
              <w:rPr>
                <w:b/>
                <w:bCs/>
                <w:color w:val="000000"/>
                <w:sz w:val="16"/>
                <w:szCs w:val="16"/>
                <w:lang w:val="en-GB"/>
              </w:rPr>
            </w:pPr>
            <w:r w:rsidRPr="00713E0F">
              <w:rPr>
                <w:b/>
                <w:bCs/>
                <w:color w:val="000000"/>
                <w:sz w:val="16"/>
                <w:szCs w:val="16"/>
                <w:lang w:val="en-GB"/>
              </w:rPr>
              <w:t>Baseline (2021</w:t>
            </w:r>
            <w:r w:rsidRPr="00A501F1">
              <w:rPr>
                <w:b/>
                <w:bCs/>
                <w:color w:val="000000"/>
                <w:sz w:val="16"/>
                <w:szCs w:val="16"/>
                <w:lang w:val="en-GB"/>
              </w:rPr>
              <w:t xml:space="preserve">): </w:t>
            </w:r>
            <w:r w:rsidR="001E5C15">
              <w:rPr>
                <w:b/>
                <w:bCs/>
                <w:color w:val="000000"/>
                <w:sz w:val="16"/>
                <w:szCs w:val="16"/>
                <w:lang w:val="en-GB"/>
              </w:rPr>
              <w:t>0</w:t>
            </w:r>
            <w:r w:rsidR="00C5291C">
              <w:rPr>
                <w:b/>
                <w:bCs/>
                <w:color w:val="000000"/>
                <w:sz w:val="16"/>
                <w:szCs w:val="16"/>
                <w:lang w:val="en-GB"/>
              </w:rPr>
              <w:t>;</w:t>
            </w:r>
            <w:r w:rsidR="00B707BD">
              <w:rPr>
                <w:b/>
                <w:bCs/>
                <w:color w:val="000000"/>
                <w:sz w:val="16"/>
                <w:szCs w:val="16"/>
                <w:lang w:val="en-GB"/>
              </w:rPr>
              <w:t xml:space="preserve"> </w:t>
            </w:r>
            <w:r w:rsidRPr="00713E0F">
              <w:rPr>
                <w:b/>
                <w:bCs/>
                <w:color w:val="000000"/>
                <w:sz w:val="16"/>
                <w:szCs w:val="16"/>
                <w:lang w:val="en-GB"/>
              </w:rPr>
              <w:t>Target</w:t>
            </w:r>
            <w:r w:rsidR="00F5652D">
              <w:rPr>
                <w:b/>
                <w:bCs/>
                <w:color w:val="000000"/>
                <w:sz w:val="16"/>
                <w:szCs w:val="16"/>
                <w:lang w:val="en-GB"/>
              </w:rPr>
              <w:t xml:space="preserve"> </w:t>
            </w:r>
            <w:r w:rsidRPr="00713E0F">
              <w:rPr>
                <w:b/>
                <w:bCs/>
                <w:color w:val="000000"/>
                <w:sz w:val="16"/>
                <w:szCs w:val="16"/>
                <w:lang w:val="en-GB"/>
              </w:rPr>
              <w:t xml:space="preserve">(2026): </w:t>
            </w:r>
            <w:r w:rsidR="00C5291C">
              <w:rPr>
                <w:b/>
                <w:bCs/>
                <w:color w:val="000000"/>
                <w:sz w:val="16"/>
                <w:szCs w:val="16"/>
                <w:lang w:val="en-GB"/>
              </w:rPr>
              <w:t>4</w:t>
            </w:r>
          </w:p>
        </w:tc>
        <w:tc>
          <w:tcPr>
            <w:tcW w:w="574" w:type="pct"/>
            <w:shd w:val="clear" w:color="auto" w:fill="FFFFFF" w:themeFill="background1"/>
            <w:vAlign w:val="center"/>
          </w:tcPr>
          <w:p w14:paraId="77597BBF" w14:textId="169BD757" w:rsidR="00E57460" w:rsidRPr="00D50263" w:rsidRDefault="00D50263" w:rsidP="000F0401">
            <w:pPr>
              <w:rPr>
                <w:color w:val="000000"/>
                <w:sz w:val="16"/>
                <w:szCs w:val="16"/>
                <w:lang w:val="en-GB"/>
              </w:rPr>
            </w:pPr>
            <w:r w:rsidRPr="00D50263">
              <w:rPr>
                <w:color w:val="000000"/>
                <w:sz w:val="16"/>
                <w:szCs w:val="16"/>
                <w:lang w:val="en-GB"/>
              </w:rPr>
              <w:lastRenderedPageBreak/>
              <w:t xml:space="preserve">MOJ, </w:t>
            </w:r>
            <w:r w:rsidRPr="00AF1591">
              <w:rPr>
                <w:color w:val="000000"/>
                <w:sz w:val="16"/>
                <w:szCs w:val="16"/>
                <w:lang w:val="es-ES"/>
              </w:rPr>
              <w:t>UNFPA</w:t>
            </w:r>
            <w:r>
              <w:rPr>
                <w:color w:val="000000"/>
                <w:sz w:val="16"/>
                <w:szCs w:val="16"/>
                <w:lang w:val="es-ES"/>
              </w:rPr>
              <w:t xml:space="preserve">, </w:t>
            </w:r>
            <w:r w:rsidR="00C379D8">
              <w:rPr>
                <w:color w:val="000000"/>
                <w:sz w:val="16"/>
                <w:szCs w:val="16"/>
                <w:lang w:val="es-ES"/>
              </w:rPr>
              <w:t xml:space="preserve">United Nations Children’s Fund </w:t>
            </w:r>
            <w:r w:rsidR="00C379D8">
              <w:rPr>
                <w:color w:val="000000"/>
                <w:sz w:val="16"/>
                <w:szCs w:val="16"/>
                <w:lang w:val="es-ES"/>
              </w:rPr>
              <w:lastRenderedPageBreak/>
              <w:t>(</w:t>
            </w:r>
            <w:r>
              <w:rPr>
                <w:color w:val="000000"/>
                <w:sz w:val="16"/>
                <w:szCs w:val="16"/>
                <w:lang w:val="es-ES"/>
              </w:rPr>
              <w:t>UNICEF</w:t>
            </w:r>
            <w:r w:rsidR="00C379D8">
              <w:rPr>
                <w:color w:val="000000"/>
                <w:sz w:val="16"/>
                <w:szCs w:val="16"/>
                <w:lang w:val="es-ES"/>
              </w:rPr>
              <w:t>)</w:t>
            </w:r>
            <w:r>
              <w:rPr>
                <w:color w:val="000000"/>
                <w:sz w:val="16"/>
                <w:szCs w:val="16"/>
                <w:lang w:val="es-ES"/>
              </w:rPr>
              <w:t xml:space="preserve">, </w:t>
            </w:r>
            <w:r w:rsidR="00C379D8">
              <w:rPr>
                <w:color w:val="000000"/>
                <w:sz w:val="16"/>
                <w:szCs w:val="16"/>
                <w:lang w:val="es-ES"/>
              </w:rPr>
              <w:t>United Nations High Commissioner for Human Rights</w:t>
            </w:r>
          </w:p>
        </w:tc>
        <w:tc>
          <w:tcPr>
            <w:tcW w:w="580" w:type="pct"/>
            <w:shd w:val="clear" w:color="auto" w:fill="FFFFFF" w:themeFill="background1"/>
            <w:tcMar>
              <w:top w:w="15" w:type="dxa"/>
              <w:left w:w="108" w:type="dxa"/>
              <w:bottom w:w="0" w:type="dxa"/>
              <w:right w:w="108" w:type="dxa"/>
            </w:tcMar>
            <w:vAlign w:val="center"/>
          </w:tcPr>
          <w:p w14:paraId="3EED582E" w14:textId="3B13C2B4" w:rsidR="00E57460" w:rsidRPr="00931DC5" w:rsidRDefault="00F5652D" w:rsidP="001E5C15">
            <w:pPr>
              <w:jc w:val="both"/>
              <w:rPr>
                <w:color w:val="000000"/>
                <w:sz w:val="16"/>
                <w:szCs w:val="16"/>
                <w:lang w:val="en-GB"/>
              </w:rPr>
            </w:pPr>
            <w:r w:rsidRPr="00931DC5">
              <w:rPr>
                <w:color w:val="000000"/>
                <w:sz w:val="16"/>
                <w:szCs w:val="16"/>
                <w:lang w:val="en-GB"/>
              </w:rPr>
              <w:lastRenderedPageBreak/>
              <w:t>As above</w:t>
            </w:r>
          </w:p>
        </w:tc>
      </w:tr>
      <w:tr w:rsidR="00E57460" w:rsidRPr="00970BBB" w14:paraId="00A58B56" w14:textId="77777777" w:rsidTr="00344CA7">
        <w:tc>
          <w:tcPr>
            <w:tcW w:w="5000" w:type="pct"/>
            <w:gridSpan w:val="5"/>
            <w:shd w:val="clear" w:color="auto" w:fill="DBE5F1" w:themeFill="accent1" w:themeFillTint="33"/>
            <w:tcMar>
              <w:top w:w="72" w:type="dxa"/>
              <w:left w:w="144" w:type="dxa"/>
              <w:bottom w:w="72" w:type="dxa"/>
              <w:right w:w="144" w:type="dxa"/>
            </w:tcMar>
          </w:tcPr>
          <w:p w14:paraId="53911A29" w14:textId="3DD1902D" w:rsidR="00E57460" w:rsidRPr="00917A74" w:rsidRDefault="00D50263" w:rsidP="00E57460">
            <w:pPr>
              <w:pStyle w:val="ListParagraph"/>
              <w:numPr>
                <w:ilvl w:val="0"/>
                <w:numId w:val="20"/>
              </w:numPr>
              <w:ind w:left="0"/>
              <w:jc w:val="both"/>
              <w:rPr>
                <w:b/>
                <w:bCs/>
                <w:color w:val="000000"/>
                <w:sz w:val="16"/>
                <w:szCs w:val="16"/>
                <w:lang w:val="en-GB"/>
              </w:rPr>
            </w:pPr>
            <w:r>
              <w:rPr>
                <w:b/>
                <w:bCs/>
                <w:color w:val="000000"/>
                <w:sz w:val="16"/>
                <w:szCs w:val="16"/>
                <w:lang w:val="en-GB"/>
              </w:rPr>
              <w:t>SCF</w:t>
            </w:r>
            <w:r w:rsidR="00E57460" w:rsidRPr="003C26C1">
              <w:rPr>
                <w:b/>
                <w:bCs/>
                <w:color w:val="000000"/>
                <w:sz w:val="16"/>
                <w:szCs w:val="16"/>
                <w:lang w:val="en-GB"/>
              </w:rPr>
              <w:t xml:space="preserve"> OUTCOME INVOLVING UNDP #</w:t>
            </w:r>
            <w:r w:rsidR="00E57460">
              <w:rPr>
                <w:b/>
                <w:bCs/>
                <w:color w:val="000000"/>
                <w:sz w:val="16"/>
                <w:szCs w:val="16"/>
                <w:lang w:val="en-GB"/>
              </w:rPr>
              <w:t xml:space="preserve">2: </w:t>
            </w:r>
            <w:r w:rsidR="00E57460" w:rsidRPr="006D0F35">
              <w:rPr>
                <w:b/>
                <w:bCs/>
                <w:color w:val="000000"/>
                <w:sz w:val="16"/>
                <w:szCs w:val="16"/>
                <w:lang w:val="en-GB"/>
              </w:rPr>
              <w:t>By 2026, Eritrea</w:t>
            </w:r>
            <w:r w:rsidR="00F5652D">
              <w:rPr>
                <w:b/>
                <w:bCs/>
                <w:color w:val="000000"/>
                <w:sz w:val="16"/>
                <w:szCs w:val="16"/>
                <w:lang w:val="en-GB"/>
              </w:rPr>
              <w:t>n</w:t>
            </w:r>
            <w:r w:rsidR="00D011FE">
              <w:rPr>
                <w:b/>
                <w:bCs/>
                <w:color w:val="000000"/>
                <w:sz w:val="16"/>
                <w:szCs w:val="16"/>
                <w:lang w:val="en-GB"/>
              </w:rPr>
              <w:t>s</w:t>
            </w:r>
            <w:r w:rsidR="00E57460" w:rsidRPr="006D0F35">
              <w:rPr>
                <w:b/>
                <w:bCs/>
                <w:color w:val="000000"/>
                <w:sz w:val="16"/>
                <w:szCs w:val="16"/>
                <w:lang w:val="en-GB"/>
              </w:rPr>
              <w:t>, especially disadvantaged population</w:t>
            </w:r>
            <w:r w:rsidR="00D011FE">
              <w:rPr>
                <w:b/>
                <w:bCs/>
                <w:color w:val="000000"/>
                <w:sz w:val="16"/>
                <w:szCs w:val="16"/>
                <w:lang w:val="en-GB"/>
              </w:rPr>
              <w:t>s</w:t>
            </w:r>
            <w:r w:rsidR="00E57460" w:rsidRPr="006D0F35">
              <w:rPr>
                <w:b/>
                <w:bCs/>
                <w:color w:val="000000"/>
                <w:sz w:val="16"/>
                <w:szCs w:val="16"/>
                <w:lang w:val="en-GB"/>
              </w:rPr>
              <w:t>, have increased livelihood</w:t>
            </w:r>
            <w:r w:rsidR="00A501F1">
              <w:rPr>
                <w:b/>
                <w:bCs/>
                <w:color w:val="000000"/>
                <w:sz w:val="16"/>
                <w:szCs w:val="16"/>
                <w:lang w:val="en-GB"/>
              </w:rPr>
              <w:t>s</w:t>
            </w:r>
            <w:r w:rsidR="00E57460" w:rsidRPr="006D0F35">
              <w:rPr>
                <w:b/>
                <w:bCs/>
                <w:color w:val="000000"/>
                <w:sz w:val="16"/>
                <w:szCs w:val="16"/>
                <w:lang w:val="en-GB"/>
              </w:rPr>
              <w:t xml:space="preserve"> as economic growth becomes more inclusive and diversified</w:t>
            </w:r>
          </w:p>
        </w:tc>
      </w:tr>
      <w:tr w:rsidR="00E57460" w:rsidRPr="00970BBB" w14:paraId="00037065" w14:textId="77777777" w:rsidTr="00344CA7">
        <w:tc>
          <w:tcPr>
            <w:tcW w:w="5000" w:type="pct"/>
            <w:gridSpan w:val="5"/>
            <w:shd w:val="clear" w:color="auto" w:fill="DBE5F1" w:themeFill="accent1" w:themeFillTint="33"/>
            <w:tcMar>
              <w:top w:w="72" w:type="dxa"/>
              <w:left w:w="144" w:type="dxa"/>
              <w:bottom w:w="72" w:type="dxa"/>
              <w:right w:w="144" w:type="dxa"/>
            </w:tcMar>
          </w:tcPr>
          <w:p w14:paraId="674292B7" w14:textId="5F2AC289" w:rsidR="00E57460" w:rsidRPr="00D011FE" w:rsidRDefault="00E57460" w:rsidP="00E57460">
            <w:pPr>
              <w:rPr>
                <w:b/>
                <w:color w:val="000000"/>
                <w:sz w:val="16"/>
                <w:szCs w:val="16"/>
              </w:rPr>
            </w:pPr>
            <w:r w:rsidRPr="00D011FE">
              <w:rPr>
                <w:b/>
                <w:bCs/>
                <w:color w:val="000000"/>
                <w:sz w:val="16"/>
                <w:szCs w:val="16"/>
                <w:lang w:val="en-GB"/>
              </w:rPr>
              <w:t xml:space="preserve">RELATED STRATEGIC PLAN OUTCOME: </w:t>
            </w:r>
            <w:r w:rsidRPr="00DF00C8">
              <w:rPr>
                <w:b/>
                <w:color w:val="000000"/>
                <w:sz w:val="16"/>
                <w:szCs w:val="16"/>
                <w:lang w:val="en-GB"/>
              </w:rPr>
              <w:t xml:space="preserve">Outcome </w:t>
            </w:r>
            <w:r w:rsidR="00E804CF" w:rsidRPr="00DF00C8">
              <w:rPr>
                <w:b/>
                <w:color w:val="000000"/>
                <w:sz w:val="16"/>
                <w:szCs w:val="16"/>
                <w:lang w:val="en-GB"/>
              </w:rPr>
              <w:t>2</w:t>
            </w:r>
            <w:r w:rsidRPr="00DF00C8">
              <w:rPr>
                <w:b/>
                <w:color w:val="000000"/>
                <w:sz w:val="16"/>
                <w:szCs w:val="16"/>
                <w:lang w:val="en-GB"/>
              </w:rPr>
              <w:t xml:space="preserve"> – Advance poverty eradication in all its forms and dimensions </w:t>
            </w:r>
          </w:p>
        </w:tc>
      </w:tr>
      <w:tr w:rsidR="00F5652D" w:rsidRPr="00970BBB" w14:paraId="47D776F7" w14:textId="77777777" w:rsidTr="00C215B9">
        <w:tc>
          <w:tcPr>
            <w:tcW w:w="1111" w:type="pct"/>
            <w:shd w:val="clear" w:color="auto" w:fill="FFFFFF" w:themeFill="background1"/>
            <w:tcMar>
              <w:top w:w="72" w:type="dxa"/>
              <w:left w:w="144" w:type="dxa"/>
              <w:bottom w:w="72" w:type="dxa"/>
              <w:right w:w="144" w:type="dxa"/>
            </w:tcMar>
            <w:vAlign w:val="center"/>
          </w:tcPr>
          <w:p w14:paraId="2156AA82" w14:textId="5B9F2BAD"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2.1.</w:t>
            </w:r>
            <w:r>
              <w:rPr>
                <w:sz w:val="16"/>
                <w:szCs w:val="16"/>
              </w:rPr>
              <w:t xml:space="preserve"> </w:t>
            </w:r>
            <w:r w:rsidR="00D011FE">
              <w:rPr>
                <w:sz w:val="16"/>
                <w:szCs w:val="16"/>
              </w:rPr>
              <w:t>Per cent</w:t>
            </w:r>
            <w:r w:rsidR="00D011FE" w:rsidRPr="00713E0F">
              <w:rPr>
                <w:sz w:val="16"/>
                <w:szCs w:val="16"/>
              </w:rPr>
              <w:t xml:space="preserve"> </w:t>
            </w:r>
            <w:r w:rsidRPr="00713E0F">
              <w:rPr>
                <w:sz w:val="16"/>
                <w:szCs w:val="16"/>
              </w:rPr>
              <w:t>of population below the national and international poverty line, by sex, age, employment status and geographic location (urban/rural) (</w:t>
            </w:r>
            <w:r w:rsidR="00D011FE">
              <w:rPr>
                <w:sz w:val="16"/>
                <w:szCs w:val="16"/>
              </w:rPr>
              <w:t>Goal</w:t>
            </w:r>
            <w:r w:rsidR="00D011FE" w:rsidRPr="00713E0F">
              <w:rPr>
                <w:sz w:val="16"/>
                <w:szCs w:val="16"/>
              </w:rPr>
              <w:t xml:space="preserve"> </w:t>
            </w:r>
            <w:r w:rsidRPr="00713E0F">
              <w:rPr>
                <w:sz w:val="16"/>
                <w:szCs w:val="16"/>
              </w:rPr>
              <w:t>1.1.1, 1.1.2)</w:t>
            </w:r>
          </w:p>
          <w:p w14:paraId="14D7F4AE" w14:textId="045B755A" w:rsidR="00F5652D" w:rsidRPr="00713E0F" w:rsidRDefault="00F5652D" w:rsidP="00C215B9">
            <w:pPr>
              <w:pStyle w:val="ListParagraph"/>
              <w:ind w:left="0"/>
              <w:jc w:val="both"/>
              <w:rPr>
                <w:sz w:val="16"/>
                <w:szCs w:val="16"/>
              </w:rPr>
            </w:pPr>
            <w:r w:rsidRPr="00CD290B">
              <w:rPr>
                <w:b/>
                <w:bCs/>
                <w:sz w:val="16"/>
                <w:szCs w:val="16"/>
              </w:rPr>
              <w:t>Baseline</w:t>
            </w:r>
            <w:r w:rsidRPr="00713E0F">
              <w:rPr>
                <w:sz w:val="16"/>
                <w:szCs w:val="16"/>
              </w:rPr>
              <w:t xml:space="preserve">: </w:t>
            </w:r>
            <w:r>
              <w:rPr>
                <w:sz w:val="16"/>
                <w:szCs w:val="16"/>
              </w:rPr>
              <w:t>TBC</w:t>
            </w:r>
            <w:r w:rsidR="00D011FE">
              <w:rPr>
                <w:sz w:val="16"/>
                <w:szCs w:val="16"/>
              </w:rPr>
              <w:t>;</w:t>
            </w:r>
            <w:r>
              <w:rPr>
                <w:sz w:val="16"/>
                <w:szCs w:val="16"/>
              </w:rPr>
              <w:t xml:space="preserve"> </w:t>
            </w:r>
            <w:r w:rsidRPr="00CD290B">
              <w:rPr>
                <w:b/>
                <w:bCs/>
                <w:sz w:val="16"/>
                <w:szCs w:val="16"/>
              </w:rPr>
              <w:t>Targets</w:t>
            </w:r>
            <w:r w:rsidRPr="00713E0F">
              <w:rPr>
                <w:sz w:val="16"/>
                <w:szCs w:val="16"/>
              </w:rPr>
              <w:t xml:space="preserve">: </w:t>
            </w:r>
            <w:r>
              <w:rPr>
                <w:sz w:val="16"/>
                <w:szCs w:val="16"/>
              </w:rPr>
              <w:t>TBC</w:t>
            </w:r>
          </w:p>
          <w:p w14:paraId="3BD26B36" w14:textId="77777777" w:rsidR="00F5652D" w:rsidRPr="00713E0F" w:rsidRDefault="00F5652D" w:rsidP="00C215B9">
            <w:pPr>
              <w:pStyle w:val="ListParagraph"/>
              <w:ind w:left="0"/>
              <w:jc w:val="both"/>
              <w:rPr>
                <w:sz w:val="16"/>
                <w:szCs w:val="16"/>
              </w:rPr>
            </w:pPr>
          </w:p>
          <w:p w14:paraId="1267D2B5" w14:textId="43B1A795"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2</w:t>
            </w:r>
            <w:r w:rsidRPr="00CD290B">
              <w:rPr>
                <w:b/>
                <w:bCs/>
                <w:sz w:val="16"/>
                <w:szCs w:val="16"/>
              </w:rPr>
              <w:t>.</w:t>
            </w:r>
            <w:r>
              <w:rPr>
                <w:sz w:val="16"/>
                <w:szCs w:val="16"/>
              </w:rPr>
              <w:t xml:space="preserve"> </w:t>
            </w:r>
            <w:r w:rsidRPr="00713E0F">
              <w:rPr>
                <w:sz w:val="16"/>
                <w:szCs w:val="16"/>
              </w:rPr>
              <w:t>Unemployment rate by sex, age and persons with disability (</w:t>
            </w:r>
            <w:r w:rsidR="00D011FE">
              <w:rPr>
                <w:sz w:val="16"/>
                <w:szCs w:val="16"/>
              </w:rPr>
              <w:t>Goal</w:t>
            </w:r>
            <w:r w:rsidR="00D011FE" w:rsidRPr="00713E0F">
              <w:rPr>
                <w:sz w:val="16"/>
                <w:szCs w:val="16"/>
              </w:rPr>
              <w:t xml:space="preserve"> </w:t>
            </w:r>
            <w:r w:rsidRPr="00713E0F">
              <w:rPr>
                <w:sz w:val="16"/>
                <w:szCs w:val="16"/>
              </w:rPr>
              <w:t>8.5.2)</w:t>
            </w:r>
          </w:p>
          <w:p w14:paraId="340B264C" w14:textId="6BBFD6CA" w:rsidR="00F5652D" w:rsidRPr="00713E0F" w:rsidRDefault="00F5652D" w:rsidP="00C215B9">
            <w:pPr>
              <w:jc w:val="both"/>
              <w:rPr>
                <w:sz w:val="16"/>
                <w:szCs w:val="16"/>
              </w:rPr>
            </w:pPr>
            <w:r w:rsidRPr="00CD290B">
              <w:rPr>
                <w:b/>
                <w:bCs/>
                <w:sz w:val="16"/>
                <w:szCs w:val="16"/>
              </w:rPr>
              <w:t>Baseline</w:t>
            </w:r>
            <w:r>
              <w:rPr>
                <w:sz w:val="16"/>
                <w:szCs w:val="16"/>
              </w:rPr>
              <w:t xml:space="preserve">: </w:t>
            </w:r>
            <w:r w:rsidR="004C1D5B">
              <w:rPr>
                <w:sz w:val="16"/>
                <w:szCs w:val="16"/>
              </w:rPr>
              <w:t xml:space="preserve">5.14 </w:t>
            </w:r>
            <w:r w:rsidR="0007621D">
              <w:rPr>
                <w:sz w:val="16"/>
                <w:szCs w:val="16"/>
              </w:rPr>
              <w:t>(</w:t>
            </w:r>
            <w:r w:rsidR="00D011FE">
              <w:rPr>
                <w:sz w:val="16"/>
                <w:szCs w:val="16"/>
              </w:rPr>
              <w:t xml:space="preserve">Goals </w:t>
            </w:r>
            <w:r w:rsidR="006B31DA">
              <w:rPr>
                <w:sz w:val="16"/>
                <w:szCs w:val="16"/>
              </w:rPr>
              <w:t>Index</w:t>
            </w:r>
            <w:r w:rsidR="004C1D5B">
              <w:rPr>
                <w:rStyle w:val="FootnoteReference"/>
                <w:sz w:val="16"/>
                <w:szCs w:val="16"/>
              </w:rPr>
              <w:footnoteReference w:id="17"/>
            </w:r>
            <w:r w:rsidR="004C1D5B">
              <w:rPr>
                <w:sz w:val="16"/>
                <w:szCs w:val="16"/>
              </w:rPr>
              <w:t xml:space="preserve"> 2020</w:t>
            </w:r>
            <w:r w:rsidR="0007621D">
              <w:rPr>
                <w:sz w:val="16"/>
                <w:szCs w:val="16"/>
              </w:rPr>
              <w:t>)</w:t>
            </w:r>
            <w:r>
              <w:rPr>
                <w:sz w:val="16"/>
                <w:szCs w:val="16"/>
              </w:rPr>
              <w:t xml:space="preserve">        </w:t>
            </w:r>
            <w:r w:rsidRPr="00CD290B">
              <w:rPr>
                <w:b/>
                <w:bCs/>
                <w:sz w:val="16"/>
                <w:szCs w:val="16"/>
              </w:rPr>
              <w:t>Target</w:t>
            </w:r>
            <w:r>
              <w:rPr>
                <w:sz w:val="16"/>
                <w:szCs w:val="16"/>
              </w:rPr>
              <w:t xml:space="preserve">: </w:t>
            </w:r>
            <w:r w:rsidR="004C1D5B">
              <w:rPr>
                <w:sz w:val="16"/>
                <w:szCs w:val="16"/>
              </w:rPr>
              <w:t>0.5</w:t>
            </w:r>
          </w:p>
          <w:p w14:paraId="2AC90275" w14:textId="77777777" w:rsidR="00F5652D" w:rsidRPr="00713E0F" w:rsidRDefault="00F5652D" w:rsidP="00C215B9">
            <w:pPr>
              <w:jc w:val="both"/>
              <w:rPr>
                <w:sz w:val="16"/>
                <w:szCs w:val="16"/>
              </w:rPr>
            </w:pPr>
          </w:p>
          <w:p w14:paraId="7C701BF7" w14:textId="45A31DB2"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3</w:t>
            </w:r>
            <w:r w:rsidRPr="00CD290B">
              <w:rPr>
                <w:b/>
                <w:bCs/>
                <w:sz w:val="16"/>
                <w:szCs w:val="16"/>
              </w:rPr>
              <w:t>.</w:t>
            </w:r>
            <w:r>
              <w:rPr>
                <w:sz w:val="16"/>
                <w:szCs w:val="16"/>
              </w:rPr>
              <w:t xml:space="preserve"> </w:t>
            </w:r>
            <w:r w:rsidR="00D011FE">
              <w:rPr>
                <w:sz w:val="16"/>
                <w:szCs w:val="16"/>
              </w:rPr>
              <w:t>Per cent</w:t>
            </w:r>
            <w:r w:rsidRPr="00713E0F">
              <w:rPr>
                <w:sz w:val="16"/>
                <w:szCs w:val="16"/>
              </w:rPr>
              <w:t xml:space="preserve"> of productive areas under sustainable agriculture and marine resources (</w:t>
            </w:r>
            <w:r w:rsidR="00D011FE">
              <w:rPr>
                <w:sz w:val="16"/>
                <w:szCs w:val="16"/>
              </w:rPr>
              <w:t>Goal</w:t>
            </w:r>
            <w:r w:rsidR="00D011FE" w:rsidRPr="00713E0F">
              <w:rPr>
                <w:sz w:val="16"/>
                <w:szCs w:val="16"/>
              </w:rPr>
              <w:t xml:space="preserve"> </w:t>
            </w:r>
            <w:r w:rsidRPr="00713E0F">
              <w:rPr>
                <w:sz w:val="16"/>
                <w:szCs w:val="16"/>
              </w:rPr>
              <w:t>2.4.1)</w:t>
            </w:r>
          </w:p>
          <w:p w14:paraId="050FB498" w14:textId="1DB704F1" w:rsidR="00F5652D" w:rsidRDefault="00F5652D" w:rsidP="00C215B9">
            <w:pPr>
              <w:pStyle w:val="ListParagraph"/>
              <w:ind w:left="0"/>
              <w:jc w:val="both"/>
              <w:rPr>
                <w:sz w:val="16"/>
                <w:szCs w:val="16"/>
              </w:rPr>
            </w:pPr>
            <w:r w:rsidRPr="00CD290B">
              <w:rPr>
                <w:b/>
                <w:bCs/>
                <w:sz w:val="16"/>
                <w:szCs w:val="16"/>
              </w:rPr>
              <w:t>Baseline</w:t>
            </w:r>
            <w:r>
              <w:rPr>
                <w:sz w:val="16"/>
                <w:szCs w:val="16"/>
              </w:rPr>
              <w:t>: TBC</w:t>
            </w:r>
            <w:r w:rsidR="00D011FE">
              <w:rPr>
                <w:sz w:val="16"/>
                <w:szCs w:val="16"/>
              </w:rPr>
              <w:t xml:space="preserve">; </w:t>
            </w:r>
            <w:r w:rsidRPr="00CD290B">
              <w:rPr>
                <w:b/>
                <w:bCs/>
                <w:sz w:val="16"/>
                <w:szCs w:val="16"/>
              </w:rPr>
              <w:t>Target</w:t>
            </w:r>
            <w:r>
              <w:rPr>
                <w:sz w:val="16"/>
                <w:szCs w:val="16"/>
              </w:rPr>
              <w:t>: TBC</w:t>
            </w:r>
          </w:p>
          <w:p w14:paraId="5CCF9BFE" w14:textId="2E29B7FE" w:rsidR="00F5652D" w:rsidRPr="00F5652D" w:rsidRDefault="00F5652D" w:rsidP="00C215B9">
            <w:pPr>
              <w:pStyle w:val="ListParagraph"/>
              <w:ind w:left="0"/>
              <w:jc w:val="both"/>
              <w:rPr>
                <w:sz w:val="16"/>
                <w:szCs w:val="16"/>
              </w:rPr>
            </w:pPr>
          </w:p>
        </w:tc>
        <w:tc>
          <w:tcPr>
            <w:tcW w:w="663" w:type="pct"/>
            <w:shd w:val="clear" w:color="auto" w:fill="FFFFFF" w:themeFill="background1"/>
            <w:vAlign w:val="center"/>
          </w:tcPr>
          <w:p w14:paraId="7D18CFC1" w14:textId="10305A0E" w:rsidR="00F5652D" w:rsidRPr="00713E0F" w:rsidRDefault="00F5652D" w:rsidP="00C215B9">
            <w:pPr>
              <w:jc w:val="both"/>
              <w:rPr>
                <w:sz w:val="16"/>
                <w:szCs w:val="16"/>
                <w:lang w:val="en-GB"/>
              </w:rPr>
            </w:pPr>
            <w:r w:rsidRPr="00CD290B">
              <w:rPr>
                <w:b/>
                <w:bCs/>
                <w:sz w:val="16"/>
                <w:szCs w:val="16"/>
                <w:lang w:val="en-GB"/>
              </w:rPr>
              <w:t>Data sources</w:t>
            </w:r>
            <w:r w:rsidRPr="00713E0F">
              <w:rPr>
                <w:sz w:val="16"/>
                <w:szCs w:val="16"/>
                <w:lang w:val="en-GB"/>
              </w:rPr>
              <w:t xml:space="preserve">: Sector </w:t>
            </w:r>
            <w:r w:rsidR="00D90C60">
              <w:rPr>
                <w:sz w:val="16"/>
                <w:szCs w:val="16"/>
                <w:lang w:val="en-GB"/>
              </w:rPr>
              <w:t>m</w:t>
            </w:r>
            <w:r w:rsidRPr="00713E0F">
              <w:rPr>
                <w:sz w:val="16"/>
                <w:szCs w:val="16"/>
                <w:lang w:val="en-GB"/>
              </w:rPr>
              <w:t>inistr</w:t>
            </w:r>
            <w:r w:rsidR="00D90C60">
              <w:rPr>
                <w:sz w:val="16"/>
                <w:szCs w:val="16"/>
                <w:lang w:val="en-GB"/>
              </w:rPr>
              <w:t>y</w:t>
            </w:r>
            <w:r w:rsidRPr="00713E0F">
              <w:rPr>
                <w:sz w:val="16"/>
                <w:szCs w:val="16"/>
                <w:lang w:val="en-GB"/>
              </w:rPr>
              <w:t xml:space="preserve"> report</w:t>
            </w:r>
            <w:r>
              <w:rPr>
                <w:sz w:val="16"/>
                <w:szCs w:val="16"/>
                <w:lang w:val="en-GB"/>
              </w:rPr>
              <w:t>s</w:t>
            </w:r>
          </w:p>
          <w:p w14:paraId="3BE710B5" w14:textId="77777777" w:rsidR="00F5652D" w:rsidRPr="00713E0F" w:rsidRDefault="00F5652D" w:rsidP="00C215B9">
            <w:pPr>
              <w:jc w:val="both"/>
              <w:rPr>
                <w:sz w:val="16"/>
                <w:szCs w:val="16"/>
                <w:lang w:val="en-GB"/>
              </w:rPr>
            </w:pPr>
          </w:p>
          <w:p w14:paraId="2A78B151" w14:textId="29FB865B" w:rsidR="00F5652D" w:rsidRPr="00713E0F" w:rsidRDefault="00F5652D" w:rsidP="00C215B9">
            <w:pPr>
              <w:jc w:val="both"/>
              <w:rPr>
                <w:sz w:val="16"/>
                <w:szCs w:val="16"/>
                <w:lang w:val="en-GB"/>
              </w:rPr>
            </w:pPr>
            <w:r w:rsidRPr="00CD290B">
              <w:rPr>
                <w:b/>
                <w:bCs/>
                <w:sz w:val="16"/>
                <w:szCs w:val="16"/>
                <w:lang w:val="en-GB"/>
              </w:rPr>
              <w:t>Responsibilit</w:t>
            </w:r>
            <w:r>
              <w:rPr>
                <w:b/>
                <w:bCs/>
                <w:sz w:val="16"/>
                <w:szCs w:val="16"/>
                <w:lang w:val="en-GB"/>
              </w:rPr>
              <w:t>y</w:t>
            </w:r>
            <w:r w:rsidRPr="00713E0F">
              <w:rPr>
                <w:sz w:val="16"/>
                <w:szCs w:val="16"/>
                <w:lang w:val="en-GB"/>
              </w:rPr>
              <w:t>: Ministr</w:t>
            </w:r>
            <w:r w:rsidR="00A6234A">
              <w:rPr>
                <w:sz w:val="16"/>
                <w:szCs w:val="16"/>
                <w:lang w:val="en-GB"/>
              </w:rPr>
              <w:t>ies</w:t>
            </w:r>
            <w:r w:rsidRPr="00713E0F">
              <w:rPr>
                <w:sz w:val="16"/>
                <w:szCs w:val="16"/>
                <w:lang w:val="en-GB"/>
              </w:rPr>
              <w:t xml:space="preserve"> of Finance and National Development, Agriculture, Marine Resources, Trade and Industry</w:t>
            </w:r>
            <w:r w:rsidR="00D90C60">
              <w:rPr>
                <w:sz w:val="16"/>
                <w:szCs w:val="16"/>
                <w:lang w:val="en-GB"/>
              </w:rPr>
              <w:t>;</w:t>
            </w:r>
            <w:r w:rsidRPr="00713E0F">
              <w:rPr>
                <w:sz w:val="16"/>
                <w:szCs w:val="16"/>
                <w:lang w:val="en-GB"/>
              </w:rPr>
              <w:t xml:space="preserve"> National Confederation of Eritrean Workers</w:t>
            </w:r>
            <w:r w:rsidR="00D90C60">
              <w:rPr>
                <w:sz w:val="16"/>
                <w:szCs w:val="16"/>
                <w:lang w:val="en-GB"/>
              </w:rPr>
              <w:t>;</w:t>
            </w:r>
            <w:r w:rsidRPr="00713E0F">
              <w:rPr>
                <w:sz w:val="16"/>
                <w:szCs w:val="16"/>
                <w:lang w:val="en-GB"/>
              </w:rPr>
              <w:t xml:space="preserve"> and others</w:t>
            </w:r>
          </w:p>
          <w:p w14:paraId="733747CA" w14:textId="77777777" w:rsidR="00F5652D" w:rsidRPr="00713E0F" w:rsidRDefault="00F5652D" w:rsidP="00C215B9">
            <w:pPr>
              <w:jc w:val="both"/>
              <w:rPr>
                <w:sz w:val="16"/>
                <w:szCs w:val="16"/>
                <w:lang w:val="en-GB"/>
              </w:rPr>
            </w:pPr>
          </w:p>
          <w:p w14:paraId="23A04F5E" w14:textId="2ACA08A5" w:rsidR="00F5652D" w:rsidRPr="00970BBB" w:rsidRDefault="00F5652D" w:rsidP="00C215B9">
            <w:pPr>
              <w:jc w:val="both"/>
              <w:rPr>
                <w:b/>
                <w:color w:val="000000"/>
                <w:sz w:val="16"/>
                <w:szCs w:val="16"/>
              </w:rPr>
            </w:pPr>
            <w:r w:rsidRPr="00CD290B">
              <w:rPr>
                <w:b/>
                <w:bCs/>
                <w:sz w:val="16"/>
                <w:szCs w:val="16"/>
                <w:lang w:val="en-GB"/>
              </w:rPr>
              <w:t>Frequency</w:t>
            </w:r>
            <w:r w:rsidRPr="00713E0F">
              <w:rPr>
                <w:sz w:val="16"/>
                <w:szCs w:val="16"/>
                <w:lang w:val="en-GB"/>
              </w:rPr>
              <w:t xml:space="preserve">: Annual </w:t>
            </w:r>
          </w:p>
        </w:tc>
        <w:tc>
          <w:tcPr>
            <w:tcW w:w="2072" w:type="pct"/>
            <w:shd w:val="clear" w:color="auto" w:fill="FFFFFF" w:themeFill="background1"/>
            <w:tcMar>
              <w:top w:w="72" w:type="dxa"/>
              <w:left w:w="144" w:type="dxa"/>
              <w:bottom w:w="72" w:type="dxa"/>
              <w:right w:w="144" w:type="dxa"/>
            </w:tcMar>
            <w:vAlign w:val="center"/>
          </w:tcPr>
          <w:p w14:paraId="1DB87288" w14:textId="680F1E81" w:rsidR="00F5652D" w:rsidRPr="00EE6E26" w:rsidRDefault="00F5652D" w:rsidP="00C215B9">
            <w:pPr>
              <w:spacing w:after="120"/>
              <w:jc w:val="both"/>
              <w:rPr>
                <w:lang w:val="en-GB"/>
              </w:rPr>
            </w:pPr>
            <w:r w:rsidRPr="00EE6E26">
              <w:rPr>
                <w:b/>
                <w:bCs/>
                <w:sz w:val="16"/>
                <w:szCs w:val="16"/>
                <w:lang w:val="en-GB"/>
              </w:rPr>
              <w:t xml:space="preserve">Output 2.1. </w:t>
            </w:r>
            <w:r w:rsidR="00037DD7">
              <w:rPr>
                <w:b/>
                <w:bCs/>
                <w:sz w:val="16"/>
                <w:szCs w:val="16"/>
                <w:lang w:val="en-GB"/>
              </w:rPr>
              <w:t>C</w:t>
            </w:r>
            <w:r w:rsidRPr="00D7314E">
              <w:rPr>
                <w:b/>
                <w:bCs/>
                <w:sz w:val="16"/>
                <w:szCs w:val="16"/>
                <w:lang w:val="en-GB"/>
              </w:rPr>
              <w:t xml:space="preserve">apacity of public sector institutions </w:t>
            </w:r>
            <w:r w:rsidR="00037DD7">
              <w:rPr>
                <w:b/>
                <w:bCs/>
                <w:sz w:val="16"/>
                <w:szCs w:val="16"/>
                <w:lang w:val="en-GB"/>
              </w:rPr>
              <w:t>s</w:t>
            </w:r>
            <w:r w:rsidR="00037DD7" w:rsidRPr="00D7314E">
              <w:rPr>
                <w:b/>
                <w:bCs/>
                <w:sz w:val="16"/>
                <w:szCs w:val="16"/>
                <w:lang w:val="en-GB"/>
              </w:rPr>
              <w:t xml:space="preserve">trengthened </w:t>
            </w:r>
            <w:r w:rsidRPr="00D7314E">
              <w:rPr>
                <w:b/>
                <w:bCs/>
                <w:sz w:val="16"/>
                <w:szCs w:val="16"/>
                <w:lang w:val="en-GB"/>
              </w:rPr>
              <w:t xml:space="preserve">to develop </w:t>
            </w:r>
            <w:r w:rsidR="007C4D9B">
              <w:rPr>
                <w:b/>
                <w:bCs/>
                <w:sz w:val="16"/>
                <w:szCs w:val="16"/>
                <w:lang w:val="en-GB"/>
              </w:rPr>
              <w:t>gender</w:t>
            </w:r>
            <w:r w:rsidR="00D90C60">
              <w:rPr>
                <w:b/>
                <w:bCs/>
                <w:sz w:val="16"/>
                <w:szCs w:val="16"/>
                <w:lang w:val="en-GB"/>
              </w:rPr>
              <w:t>-</w:t>
            </w:r>
            <w:r w:rsidR="007C4D9B">
              <w:rPr>
                <w:b/>
                <w:bCs/>
                <w:sz w:val="16"/>
                <w:szCs w:val="16"/>
                <w:lang w:val="en-GB"/>
              </w:rPr>
              <w:t xml:space="preserve">responsive </w:t>
            </w:r>
            <w:r w:rsidRPr="00D7314E">
              <w:rPr>
                <w:b/>
                <w:bCs/>
                <w:sz w:val="16"/>
                <w:szCs w:val="16"/>
                <w:lang w:val="en-GB"/>
              </w:rPr>
              <w:t xml:space="preserve">investment policies and strategies to support </w:t>
            </w:r>
            <w:r w:rsidR="00B84C8B">
              <w:rPr>
                <w:b/>
                <w:bCs/>
                <w:sz w:val="16"/>
                <w:szCs w:val="16"/>
                <w:lang w:val="en-GB"/>
              </w:rPr>
              <w:t>MSMEs</w:t>
            </w:r>
            <w:r w:rsidRPr="00D7314E">
              <w:rPr>
                <w:b/>
                <w:bCs/>
                <w:sz w:val="16"/>
                <w:szCs w:val="16"/>
                <w:lang w:val="en-GB"/>
              </w:rPr>
              <w:t xml:space="preserve">  </w:t>
            </w:r>
          </w:p>
          <w:p w14:paraId="06340FA3" w14:textId="73A414F1" w:rsidR="00F5652D" w:rsidRPr="00B97754" w:rsidRDefault="00F5652D" w:rsidP="00C215B9">
            <w:pPr>
              <w:jc w:val="both"/>
              <w:rPr>
                <w:sz w:val="16"/>
                <w:szCs w:val="16"/>
                <w:lang w:val="en-GB"/>
              </w:rPr>
            </w:pPr>
            <w:r w:rsidRPr="005A6661">
              <w:rPr>
                <w:b/>
                <w:bCs/>
                <w:sz w:val="16"/>
                <w:szCs w:val="16"/>
                <w:lang w:val="en-GB"/>
              </w:rPr>
              <w:t>Indicator 2.1.1.</w:t>
            </w:r>
            <w:r w:rsidRPr="00B97754">
              <w:rPr>
                <w:sz w:val="16"/>
                <w:szCs w:val="16"/>
                <w:lang w:val="en-GB"/>
              </w:rPr>
              <w:t xml:space="preserve"> </w:t>
            </w:r>
            <w:r w:rsidR="00D90C60">
              <w:rPr>
                <w:sz w:val="16"/>
                <w:szCs w:val="16"/>
                <w:lang w:val="en-GB"/>
              </w:rPr>
              <w:t xml:space="preserve">Number </w:t>
            </w:r>
            <w:r w:rsidR="00BC380D">
              <w:rPr>
                <w:sz w:val="16"/>
                <w:szCs w:val="16"/>
                <w:lang w:val="en-GB"/>
              </w:rPr>
              <w:t>of</w:t>
            </w:r>
            <w:r w:rsidRPr="00B97754">
              <w:rPr>
                <w:sz w:val="16"/>
                <w:szCs w:val="16"/>
                <w:lang w:val="en-GB"/>
              </w:rPr>
              <w:t xml:space="preserve"> </w:t>
            </w:r>
            <w:r w:rsidR="007C4D9B">
              <w:rPr>
                <w:sz w:val="16"/>
                <w:szCs w:val="16"/>
                <w:lang w:val="en-GB"/>
              </w:rPr>
              <w:t>gender</w:t>
            </w:r>
            <w:r w:rsidR="00D90C60">
              <w:rPr>
                <w:sz w:val="16"/>
                <w:szCs w:val="16"/>
                <w:lang w:val="en-GB"/>
              </w:rPr>
              <w:t>-</w:t>
            </w:r>
            <w:r w:rsidR="007C4D9B">
              <w:rPr>
                <w:sz w:val="16"/>
                <w:szCs w:val="16"/>
                <w:lang w:val="en-GB"/>
              </w:rPr>
              <w:t xml:space="preserve">responsive </w:t>
            </w:r>
            <w:r w:rsidRPr="00B97754">
              <w:rPr>
                <w:sz w:val="16"/>
                <w:szCs w:val="16"/>
                <w:lang w:val="en-GB"/>
              </w:rPr>
              <w:t>investment policies and strategies developed and implemented</w:t>
            </w:r>
            <w:r w:rsidR="007C4D9B">
              <w:rPr>
                <w:sz w:val="16"/>
                <w:szCs w:val="16"/>
                <w:lang w:val="en-GB"/>
              </w:rPr>
              <w:t xml:space="preserve"> at national and subnational levels</w:t>
            </w:r>
            <w:r w:rsidR="00037DD7">
              <w:rPr>
                <w:sz w:val="16"/>
                <w:szCs w:val="16"/>
                <w:lang w:val="en-GB"/>
              </w:rPr>
              <w:t xml:space="preserve">.   </w:t>
            </w:r>
            <w:r w:rsidR="00A6234A">
              <w:rPr>
                <w:sz w:val="16"/>
                <w:szCs w:val="16"/>
                <w:lang w:val="en-GB"/>
              </w:rPr>
              <w:t xml:space="preserve">                             </w:t>
            </w:r>
            <w:r w:rsidRPr="00037DD7">
              <w:rPr>
                <w:b/>
                <w:bCs/>
                <w:sz w:val="16"/>
                <w:szCs w:val="16"/>
                <w:lang w:val="en-GB"/>
              </w:rPr>
              <w:t>Baseline</w:t>
            </w:r>
            <w:r w:rsidRPr="00713E0F">
              <w:rPr>
                <w:rStyle w:val="FootnoteReference"/>
                <w:b/>
                <w:bCs/>
                <w:sz w:val="16"/>
                <w:szCs w:val="16"/>
                <w:lang w:val="en-GB"/>
              </w:rPr>
              <w:footnoteReference w:id="18"/>
            </w:r>
            <w:r w:rsidRPr="00B97754">
              <w:rPr>
                <w:sz w:val="16"/>
                <w:szCs w:val="16"/>
                <w:lang w:val="en-GB"/>
              </w:rPr>
              <w:t xml:space="preserve"> </w:t>
            </w:r>
            <w:r w:rsidRPr="00A6234A">
              <w:rPr>
                <w:b/>
                <w:bCs/>
                <w:sz w:val="16"/>
                <w:szCs w:val="16"/>
                <w:lang w:val="en-GB"/>
              </w:rPr>
              <w:t>(2021)</w:t>
            </w:r>
            <w:r w:rsidRPr="00B97754">
              <w:rPr>
                <w:sz w:val="16"/>
                <w:szCs w:val="16"/>
                <w:lang w:val="en-GB"/>
              </w:rPr>
              <w:t>:</w:t>
            </w:r>
            <w:r w:rsidR="00D90C60">
              <w:rPr>
                <w:sz w:val="16"/>
                <w:szCs w:val="16"/>
                <w:lang w:val="en-GB"/>
              </w:rPr>
              <w:t xml:space="preserve"> </w:t>
            </w:r>
            <w:r w:rsidRPr="00B97754">
              <w:rPr>
                <w:sz w:val="16"/>
                <w:szCs w:val="16"/>
                <w:lang w:val="en-GB"/>
              </w:rPr>
              <w:t>2</w:t>
            </w:r>
            <w:r w:rsidR="00D90C60">
              <w:rPr>
                <w:sz w:val="16"/>
                <w:szCs w:val="16"/>
                <w:lang w:val="en-GB"/>
              </w:rPr>
              <w:t>;</w:t>
            </w:r>
            <w:r w:rsidR="00037DD7">
              <w:rPr>
                <w:sz w:val="16"/>
                <w:szCs w:val="16"/>
                <w:lang w:val="en-GB"/>
              </w:rPr>
              <w:t xml:space="preserve"> </w:t>
            </w:r>
            <w:r w:rsidRPr="00037DD7">
              <w:rPr>
                <w:b/>
                <w:bCs/>
                <w:sz w:val="16"/>
                <w:szCs w:val="16"/>
                <w:lang w:val="en-GB"/>
              </w:rPr>
              <w:t xml:space="preserve">Target </w:t>
            </w:r>
            <w:r w:rsidRPr="00A6234A">
              <w:rPr>
                <w:b/>
                <w:bCs/>
                <w:sz w:val="16"/>
                <w:szCs w:val="16"/>
                <w:lang w:val="en-GB"/>
              </w:rPr>
              <w:t>(2026):</w:t>
            </w:r>
            <w:r w:rsidR="005B4EEF">
              <w:rPr>
                <w:b/>
                <w:bCs/>
                <w:sz w:val="16"/>
                <w:szCs w:val="16"/>
                <w:lang w:val="en-GB"/>
              </w:rPr>
              <w:t xml:space="preserve"> </w:t>
            </w:r>
            <w:r w:rsidRPr="00B97754">
              <w:rPr>
                <w:sz w:val="16"/>
                <w:szCs w:val="16"/>
                <w:lang w:val="en-GB"/>
              </w:rPr>
              <w:t>4</w:t>
            </w:r>
          </w:p>
          <w:p w14:paraId="164883A9" w14:textId="77777777" w:rsidR="00F5652D" w:rsidRPr="00713E0F" w:rsidRDefault="00F5652D" w:rsidP="00C215B9">
            <w:pPr>
              <w:pStyle w:val="ListParagraph"/>
              <w:ind w:left="0"/>
              <w:jc w:val="both"/>
              <w:rPr>
                <w:b/>
                <w:bCs/>
                <w:sz w:val="16"/>
                <w:szCs w:val="16"/>
                <w:lang w:val="en-GB"/>
              </w:rPr>
            </w:pPr>
          </w:p>
          <w:p w14:paraId="76EF9AA5" w14:textId="170940B4" w:rsidR="00F5652D" w:rsidRDefault="00F5652D" w:rsidP="00C215B9">
            <w:pPr>
              <w:spacing w:after="120"/>
              <w:jc w:val="both"/>
              <w:rPr>
                <w:lang w:val="en-GB"/>
              </w:rPr>
            </w:pPr>
            <w:r w:rsidRPr="00EE6E26">
              <w:rPr>
                <w:b/>
                <w:bCs/>
                <w:sz w:val="16"/>
                <w:szCs w:val="16"/>
                <w:lang w:val="en-GB"/>
              </w:rPr>
              <w:t xml:space="preserve">Output 2.2. </w:t>
            </w:r>
            <w:r w:rsidRPr="00D7314E">
              <w:rPr>
                <w:b/>
                <w:bCs/>
                <w:sz w:val="16"/>
                <w:szCs w:val="16"/>
                <w:lang w:val="en-GB"/>
              </w:rPr>
              <w:t xml:space="preserve">Capacity of institutions and people strengthened to adopt </w:t>
            </w:r>
            <w:r w:rsidR="007D1F52">
              <w:rPr>
                <w:b/>
                <w:bCs/>
                <w:sz w:val="16"/>
                <w:szCs w:val="16"/>
                <w:lang w:val="en-GB"/>
              </w:rPr>
              <w:t xml:space="preserve">and use </w:t>
            </w:r>
            <w:r w:rsidRPr="00D7314E">
              <w:rPr>
                <w:b/>
                <w:bCs/>
                <w:sz w:val="16"/>
                <w:szCs w:val="16"/>
                <w:lang w:val="en-GB"/>
              </w:rPr>
              <w:t xml:space="preserve">integrated, </w:t>
            </w:r>
            <w:r w:rsidR="00082866">
              <w:rPr>
                <w:b/>
                <w:bCs/>
                <w:sz w:val="16"/>
                <w:szCs w:val="16"/>
                <w:lang w:val="en-GB"/>
              </w:rPr>
              <w:t>new</w:t>
            </w:r>
            <w:r w:rsidR="00082866" w:rsidRPr="00D7314E">
              <w:rPr>
                <w:b/>
                <w:bCs/>
                <w:sz w:val="16"/>
                <w:szCs w:val="16"/>
                <w:lang w:val="en-GB"/>
              </w:rPr>
              <w:t xml:space="preserve"> </w:t>
            </w:r>
            <w:r w:rsidRPr="00D7314E">
              <w:rPr>
                <w:b/>
                <w:bCs/>
                <w:sz w:val="16"/>
                <w:szCs w:val="16"/>
                <w:lang w:val="en-GB"/>
              </w:rPr>
              <w:t>technologies and practices that support economic growth and livelihoods</w:t>
            </w:r>
          </w:p>
          <w:p w14:paraId="610CAB3E" w14:textId="3049DCBA" w:rsidR="00F5652D" w:rsidRPr="00713E0F" w:rsidRDefault="00F5652D" w:rsidP="00C215B9">
            <w:pPr>
              <w:pStyle w:val="ListParagraph"/>
              <w:numPr>
                <w:ilvl w:val="0"/>
                <w:numId w:val="3"/>
              </w:numPr>
              <w:ind w:left="0"/>
              <w:jc w:val="both"/>
              <w:rPr>
                <w:b/>
                <w:bCs/>
                <w:sz w:val="16"/>
                <w:szCs w:val="16"/>
                <w:lang w:val="en-GB"/>
              </w:rPr>
            </w:pPr>
            <w:r w:rsidRPr="00713E0F">
              <w:rPr>
                <w:b/>
                <w:bCs/>
                <w:sz w:val="16"/>
                <w:szCs w:val="16"/>
                <w:lang w:val="en-GB"/>
              </w:rPr>
              <w:t>Indicator 2.2.1</w:t>
            </w:r>
            <w:r>
              <w:rPr>
                <w:b/>
                <w:bCs/>
                <w:sz w:val="16"/>
                <w:szCs w:val="16"/>
                <w:lang w:val="en-GB"/>
              </w:rPr>
              <w:t>.</w:t>
            </w:r>
            <w:r w:rsidRPr="00713E0F">
              <w:rPr>
                <w:rFonts w:eastAsia="MS Mincho"/>
                <w:sz w:val="16"/>
                <w:szCs w:val="16"/>
                <w:lang w:val="en-GB" w:eastAsia="ja-JP"/>
              </w:rPr>
              <w:t xml:space="preserve"> </w:t>
            </w:r>
            <w:r w:rsidR="00D90C60">
              <w:rPr>
                <w:sz w:val="16"/>
                <w:szCs w:val="16"/>
                <w:lang w:val="en-GB"/>
              </w:rPr>
              <w:t>Number</w:t>
            </w:r>
            <w:r w:rsidR="00D90C60" w:rsidRPr="00713E0F">
              <w:rPr>
                <w:sz w:val="16"/>
                <w:szCs w:val="16"/>
                <w:lang w:val="en-GB"/>
              </w:rPr>
              <w:t xml:space="preserve"> </w:t>
            </w:r>
            <w:r w:rsidRPr="00713E0F">
              <w:rPr>
                <w:sz w:val="16"/>
                <w:szCs w:val="16"/>
                <w:lang w:val="en-GB"/>
              </w:rPr>
              <w:t xml:space="preserve">of smallholders’ MSMEs supported with </w:t>
            </w:r>
            <w:r w:rsidR="006F2BE5">
              <w:rPr>
                <w:sz w:val="16"/>
                <w:szCs w:val="16"/>
                <w:lang w:val="en-GB"/>
              </w:rPr>
              <w:t>new</w:t>
            </w:r>
            <w:r w:rsidR="006F2BE5" w:rsidRPr="00713E0F">
              <w:rPr>
                <w:sz w:val="16"/>
                <w:szCs w:val="16"/>
                <w:lang w:val="en-GB"/>
              </w:rPr>
              <w:t xml:space="preserve"> </w:t>
            </w:r>
            <w:r w:rsidRPr="00713E0F">
              <w:rPr>
                <w:sz w:val="16"/>
                <w:szCs w:val="16"/>
                <w:lang w:val="en-GB"/>
              </w:rPr>
              <w:t xml:space="preserve">technology and financing solutions to enhance their livelihoods </w:t>
            </w:r>
            <w:r w:rsidRPr="00713E0F">
              <w:rPr>
                <w:b/>
                <w:bCs/>
                <w:sz w:val="16"/>
                <w:szCs w:val="16"/>
                <w:lang w:val="en-GB"/>
              </w:rPr>
              <w:t>(</w:t>
            </w:r>
            <w:r w:rsidR="000553AB">
              <w:rPr>
                <w:b/>
                <w:bCs/>
                <w:sz w:val="16"/>
                <w:szCs w:val="16"/>
                <w:lang w:val="en-GB"/>
              </w:rPr>
              <w:t>Integrated results and resources framework</w:t>
            </w:r>
            <w:r w:rsidRPr="00713E0F">
              <w:rPr>
                <w:b/>
                <w:bCs/>
                <w:sz w:val="16"/>
                <w:szCs w:val="16"/>
                <w:lang w:val="en-GB"/>
              </w:rPr>
              <w:t>: 1.1.2.2)</w:t>
            </w:r>
          </w:p>
          <w:p w14:paraId="612FF01B" w14:textId="775CC4AE" w:rsidR="00F5652D" w:rsidRDefault="00F5652D" w:rsidP="00C215B9">
            <w:pPr>
              <w:pStyle w:val="ListParagraph"/>
              <w:ind w:left="0"/>
              <w:jc w:val="both"/>
              <w:rPr>
                <w:b/>
                <w:bCs/>
                <w:sz w:val="16"/>
                <w:szCs w:val="16"/>
                <w:lang w:val="en-GB"/>
              </w:rPr>
            </w:pPr>
            <w:r w:rsidRPr="00713E0F">
              <w:rPr>
                <w:b/>
                <w:bCs/>
                <w:sz w:val="16"/>
                <w:szCs w:val="16"/>
                <w:lang w:val="en-GB"/>
              </w:rPr>
              <w:t>Baselin</w:t>
            </w:r>
            <w:r w:rsidR="005B4EEF">
              <w:rPr>
                <w:b/>
                <w:bCs/>
                <w:sz w:val="16"/>
                <w:szCs w:val="16"/>
                <w:lang w:val="en-GB"/>
              </w:rPr>
              <w:t>e</w:t>
            </w:r>
            <w:r w:rsidR="00D90C60">
              <w:rPr>
                <w:b/>
                <w:bCs/>
                <w:sz w:val="16"/>
                <w:szCs w:val="16"/>
                <w:lang w:val="en-GB"/>
              </w:rPr>
              <w:t xml:space="preserve"> </w:t>
            </w:r>
            <w:r w:rsidRPr="00713E0F">
              <w:rPr>
                <w:b/>
                <w:bCs/>
                <w:sz w:val="16"/>
                <w:szCs w:val="16"/>
                <w:lang w:val="en-GB"/>
              </w:rPr>
              <w:t>(2020):</w:t>
            </w:r>
            <w:r w:rsidR="005B4EEF">
              <w:rPr>
                <w:b/>
                <w:bCs/>
                <w:sz w:val="16"/>
                <w:szCs w:val="16"/>
                <w:lang w:val="en-GB"/>
              </w:rPr>
              <w:t xml:space="preserve"> </w:t>
            </w:r>
            <w:r w:rsidRPr="00EE6E26">
              <w:rPr>
                <w:sz w:val="16"/>
                <w:szCs w:val="16"/>
                <w:lang w:val="en-GB"/>
              </w:rPr>
              <w:t>0</w:t>
            </w:r>
            <w:r w:rsidR="00B417C3">
              <w:rPr>
                <w:sz w:val="16"/>
                <w:szCs w:val="16"/>
                <w:lang w:val="en-GB"/>
              </w:rPr>
              <w:t xml:space="preserve">; </w:t>
            </w:r>
            <w:r w:rsidRPr="00713E0F">
              <w:rPr>
                <w:b/>
                <w:bCs/>
                <w:sz w:val="16"/>
                <w:szCs w:val="16"/>
                <w:lang w:val="en-GB"/>
              </w:rPr>
              <w:t>Target</w:t>
            </w:r>
            <w:r w:rsidR="00B417C3" w:rsidRPr="00713E0F">
              <w:rPr>
                <w:b/>
                <w:bCs/>
                <w:sz w:val="16"/>
                <w:szCs w:val="16"/>
                <w:lang w:val="en-GB"/>
              </w:rPr>
              <w:t>:</w:t>
            </w:r>
            <w:r w:rsidRPr="00EE6E26">
              <w:rPr>
                <w:sz w:val="16"/>
                <w:szCs w:val="16"/>
                <w:lang w:val="en-GB"/>
              </w:rPr>
              <w:t xml:space="preserve"> </w:t>
            </w:r>
            <w:r>
              <w:rPr>
                <w:sz w:val="16"/>
                <w:szCs w:val="16"/>
                <w:lang w:val="en-GB"/>
              </w:rPr>
              <w:t xml:space="preserve">200 </w:t>
            </w:r>
            <w:r w:rsidRPr="00EE6E26">
              <w:rPr>
                <w:sz w:val="16"/>
                <w:szCs w:val="16"/>
                <w:lang w:val="en-GB"/>
              </w:rPr>
              <w:t>(</w:t>
            </w:r>
            <w:r>
              <w:rPr>
                <w:sz w:val="16"/>
                <w:szCs w:val="16"/>
                <w:lang w:val="en-GB"/>
              </w:rPr>
              <w:t>100</w:t>
            </w:r>
            <w:r w:rsidR="00B417C3">
              <w:rPr>
                <w:sz w:val="16"/>
                <w:szCs w:val="16"/>
                <w:lang w:val="en-GB"/>
              </w:rPr>
              <w:t xml:space="preserve"> female-</w:t>
            </w:r>
            <w:r w:rsidRPr="00EE6E26">
              <w:rPr>
                <w:sz w:val="16"/>
                <w:szCs w:val="16"/>
                <w:lang w:val="en-GB"/>
              </w:rPr>
              <w:t>led)</w:t>
            </w:r>
          </w:p>
          <w:p w14:paraId="781CF585" w14:textId="77777777" w:rsidR="00A6234A" w:rsidRPr="00A6234A" w:rsidRDefault="00A6234A" w:rsidP="00C215B9">
            <w:pPr>
              <w:pStyle w:val="ListParagraph"/>
              <w:numPr>
                <w:ilvl w:val="0"/>
                <w:numId w:val="17"/>
              </w:numPr>
              <w:ind w:left="0"/>
              <w:jc w:val="both"/>
              <w:rPr>
                <w:sz w:val="16"/>
                <w:szCs w:val="16"/>
                <w:lang w:val="en-GB"/>
              </w:rPr>
            </w:pPr>
          </w:p>
          <w:p w14:paraId="071B27C9" w14:textId="5F7FD491" w:rsidR="00F5652D" w:rsidRPr="00EE6E26" w:rsidRDefault="00F5652D" w:rsidP="00C215B9">
            <w:pPr>
              <w:pStyle w:val="ListParagraph"/>
              <w:numPr>
                <w:ilvl w:val="0"/>
                <w:numId w:val="17"/>
              </w:numPr>
              <w:ind w:left="0"/>
              <w:jc w:val="both"/>
              <w:rPr>
                <w:sz w:val="16"/>
                <w:szCs w:val="16"/>
                <w:lang w:val="en-GB"/>
              </w:rPr>
            </w:pPr>
            <w:r w:rsidRPr="00EE6E26">
              <w:rPr>
                <w:b/>
                <w:bCs/>
                <w:sz w:val="16"/>
                <w:szCs w:val="16"/>
                <w:lang w:val="en-GB"/>
              </w:rPr>
              <w:t xml:space="preserve">Indicator 2.2.2. </w:t>
            </w:r>
            <w:r w:rsidR="00D90C60">
              <w:rPr>
                <w:sz w:val="16"/>
                <w:szCs w:val="16"/>
                <w:lang w:val="en-GB"/>
              </w:rPr>
              <w:t>Number</w:t>
            </w:r>
            <w:r w:rsidR="00D90C60" w:rsidRPr="00EE6E26">
              <w:rPr>
                <w:sz w:val="16"/>
                <w:szCs w:val="16"/>
                <w:lang w:val="en-GB"/>
              </w:rPr>
              <w:t xml:space="preserve"> </w:t>
            </w:r>
            <w:r w:rsidRPr="00EE6E26">
              <w:rPr>
                <w:sz w:val="16"/>
                <w:szCs w:val="16"/>
                <w:lang w:val="en-GB"/>
              </w:rPr>
              <w:t>of new decent jobs (formal and informal) generated</w:t>
            </w:r>
            <w:r w:rsidR="00D90C60">
              <w:rPr>
                <w:sz w:val="16"/>
                <w:szCs w:val="16"/>
                <w:lang w:val="en-GB"/>
              </w:rPr>
              <w:t>,</w:t>
            </w:r>
            <w:r w:rsidRPr="00EE6E26">
              <w:rPr>
                <w:sz w:val="16"/>
                <w:szCs w:val="16"/>
                <w:lang w:val="en-GB"/>
              </w:rPr>
              <w:t xml:space="preserve"> disaggregated by sex (</w:t>
            </w:r>
            <w:r w:rsidR="00D90C60">
              <w:rPr>
                <w:sz w:val="16"/>
                <w:szCs w:val="16"/>
                <w:lang w:val="en-GB"/>
              </w:rPr>
              <w:t xml:space="preserve">Goal </w:t>
            </w:r>
            <w:r w:rsidRPr="00EE6E26">
              <w:rPr>
                <w:sz w:val="16"/>
                <w:szCs w:val="16"/>
                <w:lang w:val="en-GB"/>
              </w:rPr>
              <w:t>8.9.2)</w:t>
            </w:r>
          </w:p>
          <w:p w14:paraId="581198CC" w14:textId="3D8AB19C" w:rsidR="00F5652D" w:rsidRPr="00970BBB" w:rsidRDefault="00F5652D" w:rsidP="00C215B9">
            <w:pPr>
              <w:pStyle w:val="ListParagraph"/>
              <w:ind w:left="0"/>
              <w:jc w:val="both"/>
              <w:rPr>
                <w:b/>
                <w:bCs/>
                <w:color w:val="000000"/>
                <w:sz w:val="16"/>
                <w:szCs w:val="16"/>
                <w:lang w:val="en-GB"/>
              </w:rPr>
            </w:pPr>
            <w:r w:rsidRPr="00713E0F">
              <w:rPr>
                <w:b/>
                <w:bCs/>
                <w:sz w:val="16"/>
                <w:szCs w:val="16"/>
                <w:lang w:val="en-GB"/>
              </w:rPr>
              <w:t xml:space="preserve">Baseline: </w:t>
            </w:r>
            <w:r w:rsidRPr="005A6661">
              <w:rPr>
                <w:sz w:val="16"/>
                <w:szCs w:val="16"/>
                <w:lang w:val="en-GB"/>
              </w:rPr>
              <w:t>604 (</w:t>
            </w:r>
            <w:r w:rsidRPr="0007621D">
              <w:rPr>
                <w:sz w:val="16"/>
                <w:szCs w:val="16"/>
                <w:lang w:val="en-GB"/>
              </w:rPr>
              <w:t>C</w:t>
            </w:r>
            <w:r w:rsidR="0007621D" w:rsidRPr="00DF00C8">
              <w:rPr>
                <w:sz w:val="16"/>
                <w:szCs w:val="16"/>
                <w:lang w:val="en-GB"/>
              </w:rPr>
              <w:t>ountry programme document</w:t>
            </w:r>
            <w:r w:rsidRPr="0007621D">
              <w:rPr>
                <w:sz w:val="16"/>
                <w:szCs w:val="16"/>
                <w:lang w:val="en-GB"/>
              </w:rPr>
              <w:t xml:space="preserve"> </w:t>
            </w:r>
            <w:r w:rsidR="00DF00C8">
              <w:rPr>
                <w:sz w:val="16"/>
                <w:szCs w:val="16"/>
                <w:lang w:val="en-GB"/>
              </w:rPr>
              <w:t>terminal evaluation</w:t>
            </w:r>
            <w:r w:rsidRPr="005A6661">
              <w:rPr>
                <w:sz w:val="16"/>
                <w:szCs w:val="16"/>
                <w:lang w:val="en-GB"/>
              </w:rPr>
              <w:t>, 2020)</w:t>
            </w:r>
            <w:r w:rsidR="000237C1">
              <w:rPr>
                <w:sz w:val="16"/>
                <w:szCs w:val="16"/>
                <w:lang w:val="en-GB"/>
              </w:rPr>
              <w:t xml:space="preserve">; </w:t>
            </w:r>
            <w:r w:rsidRPr="00713E0F">
              <w:rPr>
                <w:b/>
                <w:bCs/>
                <w:sz w:val="16"/>
                <w:szCs w:val="16"/>
                <w:lang w:val="en-GB"/>
              </w:rPr>
              <w:t xml:space="preserve">Target: </w:t>
            </w:r>
            <w:r w:rsidRPr="005A6661">
              <w:rPr>
                <w:sz w:val="16"/>
                <w:szCs w:val="16"/>
                <w:lang w:val="en-GB"/>
              </w:rPr>
              <w:t>10,000 (5,000</w:t>
            </w:r>
            <w:r w:rsidR="00D90C60">
              <w:rPr>
                <w:sz w:val="16"/>
                <w:szCs w:val="16"/>
                <w:lang w:val="en-GB"/>
              </w:rPr>
              <w:t xml:space="preserve"> female</w:t>
            </w:r>
            <w:r w:rsidRPr="005A6661">
              <w:rPr>
                <w:sz w:val="16"/>
                <w:szCs w:val="16"/>
                <w:lang w:val="en-GB"/>
              </w:rPr>
              <w:t xml:space="preserve">, 5,000 </w:t>
            </w:r>
            <w:r w:rsidR="00D90C60">
              <w:rPr>
                <w:sz w:val="16"/>
                <w:szCs w:val="16"/>
                <w:lang w:val="en-GB"/>
              </w:rPr>
              <w:t>male</w:t>
            </w:r>
            <w:r w:rsidRPr="005A6661">
              <w:rPr>
                <w:sz w:val="16"/>
                <w:szCs w:val="16"/>
                <w:lang w:val="en-GB"/>
              </w:rPr>
              <w:t>)</w:t>
            </w:r>
            <w:r w:rsidRPr="00713E0F">
              <w:rPr>
                <w:b/>
                <w:bCs/>
                <w:sz w:val="16"/>
                <w:szCs w:val="16"/>
                <w:lang w:val="en-GB"/>
              </w:rPr>
              <w:t xml:space="preserve"> </w:t>
            </w:r>
          </w:p>
        </w:tc>
        <w:tc>
          <w:tcPr>
            <w:tcW w:w="574" w:type="pct"/>
            <w:shd w:val="clear" w:color="auto" w:fill="FFFFFF" w:themeFill="background1"/>
            <w:vAlign w:val="center"/>
          </w:tcPr>
          <w:p w14:paraId="56D4CF2B" w14:textId="49B58BD5" w:rsidR="00F5652D" w:rsidRPr="00713E0F" w:rsidRDefault="00690DED" w:rsidP="00C215B9">
            <w:pPr>
              <w:jc w:val="both"/>
              <w:rPr>
                <w:sz w:val="16"/>
                <w:szCs w:val="16"/>
                <w:lang w:val="en-GB"/>
              </w:rPr>
            </w:pPr>
            <w:r>
              <w:rPr>
                <w:sz w:val="16"/>
                <w:szCs w:val="16"/>
                <w:lang w:val="en-GB"/>
              </w:rPr>
              <w:t>MFND</w:t>
            </w:r>
            <w:r w:rsidR="00F5652D">
              <w:rPr>
                <w:sz w:val="16"/>
                <w:szCs w:val="16"/>
                <w:lang w:val="en-GB"/>
              </w:rPr>
              <w:t xml:space="preserve">, </w:t>
            </w:r>
            <w:r w:rsidR="00F5652D" w:rsidRPr="00713E0F">
              <w:rPr>
                <w:sz w:val="16"/>
                <w:szCs w:val="16"/>
                <w:lang w:val="en-GB"/>
              </w:rPr>
              <w:t>Ministr</w:t>
            </w:r>
            <w:r w:rsidR="006179DB">
              <w:rPr>
                <w:sz w:val="16"/>
                <w:szCs w:val="16"/>
                <w:lang w:val="en-GB"/>
              </w:rPr>
              <w:t>ies</w:t>
            </w:r>
            <w:r w:rsidR="00F5652D" w:rsidRPr="00713E0F">
              <w:rPr>
                <w:sz w:val="16"/>
                <w:szCs w:val="16"/>
                <w:lang w:val="en-GB"/>
              </w:rPr>
              <w:t xml:space="preserve"> of Agriculture, Trade and, Industry, Marine Resources, Justice, </w:t>
            </w:r>
          </w:p>
          <w:p w14:paraId="361FA72C" w14:textId="12987AFA" w:rsidR="00F5652D" w:rsidRPr="00BD031C" w:rsidRDefault="00F5652D" w:rsidP="000F0401">
            <w:pPr>
              <w:rPr>
                <w:sz w:val="16"/>
                <w:szCs w:val="16"/>
                <w:lang w:val="en-GB"/>
              </w:rPr>
            </w:pPr>
            <w:r w:rsidRPr="00713E0F">
              <w:rPr>
                <w:sz w:val="16"/>
                <w:szCs w:val="16"/>
                <w:lang w:val="en-GB"/>
              </w:rPr>
              <w:t>Land, Water and Environment, Local Government</w:t>
            </w:r>
            <w:r w:rsidR="00D90C60">
              <w:rPr>
                <w:sz w:val="16"/>
                <w:szCs w:val="16"/>
                <w:lang w:val="en-GB"/>
              </w:rPr>
              <w:t>;</w:t>
            </w:r>
            <w:r w:rsidRPr="00713E0F">
              <w:rPr>
                <w:sz w:val="16"/>
                <w:szCs w:val="16"/>
                <w:lang w:val="en-GB"/>
              </w:rPr>
              <w:t xml:space="preserve"> Office of Auditor General</w:t>
            </w:r>
            <w:r w:rsidR="00D90C60">
              <w:rPr>
                <w:sz w:val="16"/>
                <w:szCs w:val="16"/>
                <w:lang w:val="en-GB"/>
              </w:rPr>
              <w:t>;</w:t>
            </w:r>
            <w:r w:rsidRPr="00713E0F">
              <w:rPr>
                <w:sz w:val="16"/>
                <w:szCs w:val="16"/>
                <w:lang w:val="en-GB"/>
              </w:rPr>
              <w:t xml:space="preserve"> National Confederation of Eritrean Workers, National Union of Eritrean Youth and Students</w:t>
            </w:r>
            <w:r w:rsidR="006179DB">
              <w:rPr>
                <w:sz w:val="16"/>
                <w:szCs w:val="16"/>
                <w:lang w:val="en-GB"/>
              </w:rPr>
              <w:t xml:space="preserve"> </w:t>
            </w:r>
            <w:r w:rsidRPr="00713E0F">
              <w:rPr>
                <w:sz w:val="16"/>
                <w:szCs w:val="16"/>
                <w:lang w:val="en-GB"/>
              </w:rPr>
              <w:t>and Nationa</w:t>
            </w:r>
            <w:r>
              <w:rPr>
                <w:sz w:val="16"/>
                <w:szCs w:val="16"/>
                <w:lang w:val="en-GB"/>
              </w:rPr>
              <w:t>l</w:t>
            </w:r>
            <w:r w:rsidRPr="00713E0F">
              <w:rPr>
                <w:sz w:val="16"/>
                <w:szCs w:val="16"/>
                <w:lang w:val="en-GB"/>
              </w:rPr>
              <w:t xml:space="preserve"> Union of </w:t>
            </w:r>
            <w:r w:rsidR="00BD031C" w:rsidRPr="00713E0F">
              <w:rPr>
                <w:sz w:val="16"/>
                <w:szCs w:val="16"/>
                <w:lang w:val="en-GB"/>
              </w:rPr>
              <w:t xml:space="preserve">Eritrean Women </w:t>
            </w:r>
          </w:p>
        </w:tc>
        <w:tc>
          <w:tcPr>
            <w:tcW w:w="580" w:type="pct"/>
            <w:shd w:val="clear" w:color="auto" w:fill="FFFFFF" w:themeFill="background1"/>
            <w:tcMar>
              <w:top w:w="15" w:type="dxa"/>
              <w:left w:w="108" w:type="dxa"/>
              <w:bottom w:w="0" w:type="dxa"/>
              <w:right w:w="108" w:type="dxa"/>
            </w:tcMar>
            <w:vAlign w:val="center"/>
          </w:tcPr>
          <w:p w14:paraId="2BB4DC8B" w14:textId="77777777" w:rsidR="00905A48" w:rsidRDefault="00905A48" w:rsidP="00C215B9">
            <w:pPr>
              <w:jc w:val="both"/>
              <w:rPr>
                <w:b/>
                <w:sz w:val="16"/>
                <w:szCs w:val="16"/>
              </w:rPr>
            </w:pPr>
            <w:r>
              <w:rPr>
                <w:b/>
                <w:sz w:val="16"/>
                <w:szCs w:val="16"/>
              </w:rPr>
              <w:t>Regular</w:t>
            </w:r>
            <w:r w:rsidR="00F5652D">
              <w:rPr>
                <w:b/>
                <w:sz w:val="16"/>
                <w:szCs w:val="16"/>
              </w:rPr>
              <w:t>:</w:t>
            </w:r>
          </w:p>
          <w:p w14:paraId="1AFB24B8" w14:textId="49F3DEBD" w:rsidR="00F5652D" w:rsidRPr="00713E0F" w:rsidRDefault="006468D3" w:rsidP="00C215B9">
            <w:pPr>
              <w:jc w:val="both"/>
              <w:rPr>
                <w:b/>
                <w:sz w:val="16"/>
                <w:szCs w:val="16"/>
              </w:rPr>
            </w:pPr>
            <w:r>
              <w:rPr>
                <w:b/>
                <w:sz w:val="16"/>
                <w:szCs w:val="16"/>
              </w:rPr>
              <w:t>10,695,00</w:t>
            </w:r>
            <w:r w:rsidR="00F5652D" w:rsidRPr="00713E0F">
              <w:rPr>
                <w:b/>
                <w:sz w:val="16"/>
                <w:szCs w:val="16"/>
              </w:rPr>
              <w:t>0</w:t>
            </w:r>
          </w:p>
          <w:p w14:paraId="775D0D63" w14:textId="0537124F" w:rsidR="00F5652D" w:rsidRPr="00970BBB" w:rsidRDefault="00F5652D" w:rsidP="00C215B9">
            <w:pPr>
              <w:jc w:val="both"/>
              <w:rPr>
                <w:b/>
                <w:bCs/>
                <w:color w:val="000000"/>
                <w:sz w:val="16"/>
                <w:szCs w:val="16"/>
                <w:lang w:val="en-GB"/>
              </w:rPr>
            </w:pPr>
            <w:r w:rsidRPr="00713E0F">
              <w:rPr>
                <w:b/>
                <w:sz w:val="16"/>
                <w:szCs w:val="16"/>
              </w:rPr>
              <w:t xml:space="preserve">Other: </w:t>
            </w:r>
            <w:r w:rsidR="00A74504">
              <w:rPr>
                <w:b/>
                <w:sz w:val="16"/>
                <w:szCs w:val="16"/>
              </w:rPr>
              <w:t>6,200,000</w:t>
            </w:r>
          </w:p>
        </w:tc>
      </w:tr>
      <w:tr w:rsidR="00F5652D" w:rsidRPr="00970BBB" w14:paraId="60D5C02D" w14:textId="77777777" w:rsidTr="00C215B9">
        <w:tc>
          <w:tcPr>
            <w:tcW w:w="1111" w:type="pct"/>
            <w:shd w:val="clear" w:color="auto" w:fill="FFFFFF" w:themeFill="background1"/>
            <w:tcMar>
              <w:top w:w="72" w:type="dxa"/>
              <w:left w:w="144" w:type="dxa"/>
              <w:bottom w:w="72" w:type="dxa"/>
              <w:right w:w="144" w:type="dxa"/>
            </w:tcMar>
            <w:vAlign w:val="center"/>
          </w:tcPr>
          <w:p w14:paraId="118444E5" w14:textId="05420B84" w:rsidR="00B417C3" w:rsidRPr="00713E0F" w:rsidRDefault="00B417C3" w:rsidP="00C215B9">
            <w:pPr>
              <w:pStyle w:val="ListParagraph"/>
              <w:numPr>
                <w:ilvl w:val="1"/>
                <w:numId w:val="23"/>
              </w:numPr>
              <w:ind w:left="0"/>
              <w:jc w:val="both"/>
              <w:rPr>
                <w:sz w:val="16"/>
                <w:szCs w:val="16"/>
              </w:rPr>
            </w:pPr>
            <w:r w:rsidRPr="00CD290B">
              <w:rPr>
                <w:b/>
                <w:bCs/>
                <w:sz w:val="16"/>
                <w:szCs w:val="16"/>
              </w:rPr>
              <w:t>Indicator 2.</w:t>
            </w:r>
            <w:r>
              <w:rPr>
                <w:b/>
                <w:bCs/>
                <w:sz w:val="16"/>
                <w:szCs w:val="16"/>
              </w:rPr>
              <w:t>4</w:t>
            </w:r>
            <w:r w:rsidRPr="00CD290B">
              <w:rPr>
                <w:b/>
                <w:bCs/>
                <w:sz w:val="16"/>
                <w:szCs w:val="16"/>
              </w:rPr>
              <w:t>.</w:t>
            </w:r>
            <w:r>
              <w:rPr>
                <w:sz w:val="16"/>
                <w:szCs w:val="16"/>
              </w:rPr>
              <w:t xml:space="preserve"> </w:t>
            </w:r>
            <w:r w:rsidRPr="00713E0F">
              <w:rPr>
                <w:sz w:val="16"/>
                <w:szCs w:val="16"/>
              </w:rPr>
              <w:t>Average income of small-scale businesses, by sex and geographic area (SDG 2.3.2)</w:t>
            </w:r>
          </w:p>
          <w:p w14:paraId="7A0FC5B4" w14:textId="60C97842" w:rsidR="00B417C3" w:rsidRPr="00B417C3" w:rsidRDefault="00B417C3" w:rsidP="00C215B9">
            <w:pPr>
              <w:pStyle w:val="ListParagraph"/>
              <w:numPr>
                <w:ilvl w:val="1"/>
                <w:numId w:val="23"/>
              </w:numPr>
              <w:ind w:left="0"/>
              <w:jc w:val="both"/>
              <w:rPr>
                <w:sz w:val="16"/>
                <w:szCs w:val="16"/>
              </w:rPr>
            </w:pPr>
            <w:r w:rsidRPr="00CD290B">
              <w:rPr>
                <w:b/>
                <w:bCs/>
                <w:sz w:val="16"/>
                <w:szCs w:val="16"/>
              </w:rPr>
              <w:lastRenderedPageBreak/>
              <w:t>Baseline</w:t>
            </w:r>
            <w:r>
              <w:rPr>
                <w:sz w:val="16"/>
                <w:szCs w:val="16"/>
              </w:rPr>
              <w:t>: TBC</w:t>
            </w:r>
            <w:r w:rsidR="00D90C60">
              <w:rPr>
                <w:sz w:val="16"/>
                <w:szCs w:val="16"/>
              </w:rPr>
              <w:t xml:space="preserve">; </w:t>
            </w:r>
            <w:r w:rsidRPr="00CD290B">
              <w:rPr>
                <w:b/>
                <w:bCs/>
                <w:sz w:val="16"/>
                <w:szCs w:val="16"/>
              </w:rPr>
              <w:t>Target</w:t>
            </w:r>
            <w:r>
              <w:rPr>
                <w:sz w:val="16"/>
                <w:szCs w:val="16"/>
              </w:rPr>
              <w:t>: TBC</w:t>
            </w:r>
            <w:r w:rsidRPr="00CD290B">
              <w:rPr>
                <w:b/>
                <w:bCs/>
                <w:sz w:val="16"/>
                <w:szCs w:val="16"/>
              </w:rPr>
              <w:t xml:space="preserve"> </w:t>
            </w:r>
          </w:p>
          <w:p w14:paraId="5B1EB5A9" w14:textId="77777777" w:rsidR="00B417C3" w:rsidRPr="00B417C3" w:rsidRDefault="00B417C3" w:rsidP="00C215B9">
            <w:pPr>
              <w:pStyle w:val="ListParagraph"/>
              <w:numPr>
                <w:ilvl w:val="1"/>
                <w:numId w:val="23"/>
              </w:numPr>
              <w:ind w:left="0"/>
              <w:jc w:val="both"/>
              <w:rPr>
                <w:sz w:val="16"/>
                <w:szCs w:val="16"/>
              </w:rPr>
            </w:pPr>
          </w:p>
          <w:p w14:paraId="21265F29" w14:textId="35DD25CB"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5</w:t>
            </w:r>
            <w:r w:rsidRPr="00CD290B">
              <w:rPr>
                <w:b/>
                <w:bCs/>
                <w:sz w:val="16"/>
                <w:szCs w:val="16"/>
              </w:rPr>
              <w:t>.</w:t>
            </w:r>
            <w:r>
              <w:rPr>
                <w:sz w:val="16"/>
                <w:szCs w:val="16"/>
              </w:rPr>
              <w:t xml:space="preserve"> </w:t>
            </w:r>
            <w:r w:rsidR="00D90C60">
              <w:rPr>
                <w:sz w:val="16"/>
                <w:szCs w:val="16"/>
              </w:rPr>
              <w:t>Per cent</w:t>
            </w:r>
            <w:r w:rsidR="00D90C60" w:rsidRPr="00713E0F">
              <w:rPr>
                <w:sz w:val="16"/>
                <w:szCs w:val="16"/>
              </w:rPr>
              <w:t xml:space="preserve"> </w:t>
            </w:r>
            <w:r w:rsidRPr="00713E0F">
              <w:rPr>
                <w:sz w:val="16"/>
                <w:szCs w:val="16"/>
              </w:rPr>
              <w:t>of population covered by social protection floors/systems, by sex, distinguishing children, unemployed persons, older persons, persons with disabilities, pregnant women, newborns, work-injury victims and poor and vulnerable</w:t>
            </w:r>
            <w:r w:rsidR="00D90C60">
              <w:rPr>
                <w:sz w:val="16"/>
                <w:szCs w:val="16"/>
              </w:rPr>
              <w:t xml:space="preserve"> people</w:t>
            </w:r>
            <w:r w:rsidRPr="00713E0F">
              <w:rPr>
                <w:sz w:val="16"/>
                <w:szCs w:val="16"/>
              </w:rPr>
              <w:t xml:space="preserve"> (</w:t>
            </w:r>
            <w:r w:rsidR="00D90C60">
              <w:rPr>
                <w:sz w:val="16"/>
                <w:szCs w:val="16"/>
              </w:rPr>
              <w:t>Goal</w:t>
            </w:r>
            <w:r w:rsidR="00D90C60" w:rsidRPr="00713E0F">
              <w:rPr>
                <w:sz w:val="16"/>
                <w:szCs w:val="16"/>
              </w:rPr>
              <w:t xml:space="preserve"> </w:t>
            </w:r>
            <w:r w:rsidRPr="00713E0F">
              <w:rPr>
                <w:sz w:val="16"/>
                <w:szCs w:val="16"/>
              </w:rPr>
              <w:t>1.3.1)</w:t>
            </w:r>
          </w:p>
          <w:p w14:paraId="581D6D80" w14:textId="0E51BE15" w:rsidR="00F5652D" w:rsidRPr="00713E0F" w:rsidRDefault="00F5652D" w:rsidP="00C215B9">
            <w:pPr>
              <w:pStyle w:val="ListParagraph"/>
              <w:ind w:left="0"/>
              <w:jc w:val="both"/>
              <w:rPr>
                <w:sz w:val="16"/>
                <w:szCs w:val="16"/>
              </w:rPr>
            </w:pPr>
            <w:r w:rsidRPr="00CD290B">
              <w:rPr>
                <w:b/>
                <w:bCs/>
                <w:sz w:val="16"/>
                <w:szCs w:val="16"/>
              </w:rPr>
              <w:t>Baseline:</w:t>
            </w:r>
            <w:r>
              <w:rPr>
                <w:sz w:val="16"/>
                <w:szCs w:val="16"/>
              </w:rPr>
              <w:t xml:space="preserve"> TBC</w:t>
            </w:r>
            <w:r w:rsidR="00D90C60">
              <w:rPr>
                <w:sz w:val="16"/>
                <w:szCs w:val="16"/>
              </w:rPr>
              <w:t xml:space="preserve">; </w:t>
            </w:r>
            <w:r w:rsidRPr="00CD290B">
              <w:rPr>
                <w:b/>
                <w:bCs/>
                <w:sz w:val="16"/>
                <w:szCs w:val="16"/>
              </w:rPr>
              <w:t>Target</w:t>
            </w:r>
            <w:r w:rsidRPr="00713E0F">
              <w:rPr>
                <w:sz w:val="16"/>
                <w:szCs w:val="16"/>
              </w:rPr>
              <w:t>:</w:t>
            </w:r>
            <w:r>
              <w:rPr>
                <w:sz w:val="16"/>
                <w:szCs w:val="16"/>
              </w:rPr>
              <w:t xml:space="preserve"> TBC</w:t>
            </w:r>
          </w:p>
          <w:p w14:paraId="7BFEBDE2" w14:textId="77777777" w:rsidR="00F5652D" w:rsidRPr="00CD290B" w:rsidRDefault="00F5652D" w:rsidP="00C215B9">
            <w:pPr>
              <w:pStyle w:val="ListParagraph"/>
              <w:numPr>
                <w:ilvl w:val="1"/>
                <w:numId w:val="23"/>
              </w:numPr>
              <w:ind w:left="0"/>
              <w:jc w:val="both"/>
              <w:rPr>
                <w:sz w:val="16"/>
                <w:szCs w:val="16"/>
              </w:rPr>
            </w:pPr>
          </w:p>
          <w:p w14:paraId="76C78700" w14:textId="1790A20C" w:rsidR="00F5652D" w:rsidRPr="00713E0F" w:rsidRDefault="00F5652D" w:rsidP="00C215B9">
            <w:pPr>
              <w:pStyle w:val="ListParagraph"/>
              <w:numPr>
                <w:ilvl w:val="1"/>
                <w:numId w:val="23"/>
              </w:numPr>
              <w:ind w:left="0"/>
              <w:jc w:val="both"/>
              <w:rPr>
                <w:sz w:val="16"/>
                <w:szCs w:val="16"/>
              </w:rPr>
            </w:pPr>
            <w:r w:rsidRPr="00CD290B">
              <w:rPr>
                <w:b/>
                <w:bCs/>
                <w:sz w:val="16"/>
                <w:szCs w:val="16"/>
              </w:rPr>
              <w:t>Indicator 2.</w:t>
            </w:r>
            <w:r>
              <w:rPr>
                <w:b/>
                <w:bCs/>
                <w:sz w:val="16"/>
                <w:szCs w:val="16"/>
              </w:rPr>
              <w:t>6</w:t>
            </w:r>
            <w:r w:rsidRPr="00CD290B">
              <w:rPr>
                <w:b/>
                <w:bCs/>
                <w:sz w:val="16"/>
                <w:szCs w:val="16"/>
              </w:rPr>
              <w:t>.</w:t>
            </w:r>
            <w:r>
              <w:rPr>
                <w:sz w:val="16"/>
                <w:szCs w:val="16"/>
              </w:rPr>
              <w:t xml:space="preserve"> </w:t>
            </w:r>
            <w:r w:rsidRPr="00713E0F">
              <w:rPr>
                <w:sz w:val="16"/>
                <w:szCs w:val="16"/>
              </w:rPr>
              <w:t>National response rate to socioeconomic impact of COVID-19</w:t>
            </w:r>
          </w:p>
          <w:p w14:paraId="1FFFF5BA" w14:textId="22A55771" w:rsidR="00F5652D" w:rsidRPr="00F5652D" w:rsidRDefault="00F5652D" w:rsidP="00C215B9">
            <w:pPr>
              <w:pStyle w:val="ListParagraph"/>
              <w:ind w:left="0"/>
              <w:jc w:val="both"/>
              <w:rPr>
                <w:sz w:val="16"/>
                <w:szCs w:val="16"/>
              </w:rPr>
            </w:pPr>
            <w:r w:rsidRPr="00CD290B">
              <w:rPr>
                <w:b/>
                <w:bCs/>
                <w:sz w:val="16"/>
                <w:szCs w:val="16"/>
              </w:rPr>
              <w:t>Baseline</w:t>
            </w:r>
            <w:r>
              <w:rPr>
                <w:sz w:val="16"/>
                <w:szCs w:val="16"/>
              </w:rPr>
              <w:t>:</w:t>
            </w:r>
            <w:r w:rsidRPr="00713E0F">
              <w:rPr>
                <w:sz w:val="16"/>
                <w:szCs w:val="16"/>
              </w:rPr>
              <w:t xml:space="preserve"> </w:t>
            </w:r>
            <w:r>
              <w:rPr>
                <w:sz w:val="16"/>
                <w:szCs w:val="16"/>
              </w:rPr>
              <w:t>TBC</w:t>
            </w:r>
            <w:r w:rsidR="00D90C60">
              <w:rPr>
                <w:sz w:val="16"/>
                <w:szCs w:val="16"/>
              </w:rPr>
              <w:t xml:space="preserve">; </w:t>
            </w:r>
            <w:r w:rsidRPr="00CD290B">
              <w:rPr>
                <w:b/>
                <w:bCs/>
                <w:sz w:val="16"/>
                <w:szCs w:val="16"/>
              </w:rPr>
              <w:t>Target</w:t>
            </w:r>
            <w:r>
              <w:rPr>
                <w:sz w:val="16"/>
                <w:szCs w:val="16"/>
              </w:rPr>
              <w:t>:</w:t>
            </w:r>
            <w:r w:rsidRPr="00713E0F">
              <w:rPr>
                <w:sz w:val="16"/>
                <w:szCs w:val="16"/>
              </w:rPr>
              <w:t xml:space="preserve"> </w:t>
            </w:r>
            <w:r>
              <w:rPr>
                <w:sz w:val="16"/>
                <w:szCs w:val="16"/>
              </w:rPr>
              <w:t>TBC</w:t>
            </w:r>
          </w:p>
        </w:tc>
        <w:tc>
          <w:tcPr>
            <w:tcW w:w="663" w:type="pct"/>
            <w:shd w:val="clear" w:color="auto" w:fill="FFFFFF" w:themeFill="background1"/>
            <w:vAlign w:val="center"/>
          </w:tcPr>
          <w:p w14:paraId="3982A162" w14:textId="3811DF1D" w:rsidR="00F5652D" w:rsidRPr="00DF00C8" w:rsidRDefault="00136A35" w:rsidP="00C215B9">
            <w:pPr>
              <w:jc w:val="both"/>
              <w:rPr>
                <w:sz w:val="16"/>
                <w:szCs w:val="16"/>
                <w:lang w:val="en-GB"/>
              </w:rPr>
            </w:pPr>
            <w:r w:rsidRPr="00DF00C8">
              <w:rPr>
                <w:sz w:val="16"/>
                <w:szCs w:val="16"/>
                <w:lang w:val="en-GB"/>
              </w:rPr>
              <w:lastRenderedPageBreak/>
              <w:t>As above</w:t>
            </w:r>
          </w:p>
        </w:tc>
        <w:tc>
          <w:tcPr>
            <w:tcW w:w="2072" w:type="pct"/>
            <w:shd w:val="clear" w:color="auto" w:fill="FFFFFF" w:themeFill="background1"/>
            <w:tcMar>
              <w:top w:w="72" w:type="dxa"/>
              <w:left w:w="144" w:type="dxa"/>
              <w:bottom w:w="72" w:type="dxa"/>
              <w:right w:w="144" w:type="dxa"/>
            </w:tcMar>
            <w:vAlign w:val="center"/>
          </w:tcPr>
          <w:p w14:paraId="4769AE9C" w14:textId="752A5D14" w:rsidR="00F5652D" w:rsidRDefault="00F5652D" w:rsidP="00C215B9">
            <w:pPr>
              <w:pStyle w:val="ListParagraph"/>
              <w:ind w:left="0"/>
              <w:jc w:val="both"/>
              <w:rPr>
                <w:b/>
                <w:bCs/>
                <w:sz w:val="16"/>
                <w:szCs w:val="16"/>
                <w:lang w:val="en-GB"/>
              </w:rPr>
            </w:pPr>
            <w:r>
              <w:rPr>
                <w:b/>
                <w:bCs/>
                <w:sz w:val="16"/>
                <w:szCs w:val="16"/>
                <w:lang w:val="en-GB"/>
              </w:rPr>
              <w:t>Output 2.3</w:t>
            </w:r>
            <w:r w:rsidR="00D90C60">
              <w:rPr>
                <w:b/>
                <w:bCs/>
                <w:sz w:val="16"/>
                <w:szCs w:val="16"/>
                <w:lang w:val="en-GB"/>
              </w:rPr>
              <w:t>.</w:t>
            </w:r>
            <w:r>
              <w:rPr>
                <w:b/>
                <w:bCs/>
                <w:sz w:val="16"/>
                <w:szCs w:val="16"/>
                <w:lang w:val="en-GB"/>
              </w:rPr>
              <w:t xml:space="preserve"> </w:t>
            </w:r>
            <w:r w:rsidRPr="00D7314E">
              <w:rPr>
                <w:b/>
                <w:bCs/>
                <w:sz w:val="16"/>
                <w:szCs w:val="16"/>
                <w:lang w:val="en-GB"/>
              </w:rPr>
              <w:t xml:space="preserve">Skills and capacity of people, especially </w:t>
            </w:r>
            <w:r w:rsidR="00D90C60">
              <w:rPr>
                <w:b/>
                <w:bCs/>
                <w:sz w:val="16"/>
                <w:szCs w:val="16"/>
                <w:lang w:val="en-GB"/>
              </w:rPr>
              <w:t>those with disabilities</w:t>
            </w:r>
            <w:r w:rsidR="002147F0">
              <w:rPr>
                <w:b/>
                <w:bCs/>
                <w:sz w:val="16"/>
                <w:szCs w:val="16"/>
                <w:lang w:val="en-GB"/>
              </w:rPr>
              <w:t xml:space="preserve">, </w:t>
            </w:r>
            <w:r w:rsidRPr="00D7314E">
              <w:rPr>
                <w:b/>
                <w:bCs/>
                <w:sz w:val="16"/>
                <w:szCs w:val="16"/>
                <w:lang w:val="en-GB"/>
              </w:rPr>
              <w:t xml:space="preserve">women and youth, </w:t>
            </w:r>
            <w:r w:rsidR="003F29F6">
              <w:rPr>
                <w:b/>
                <w:bCs/>
                <w:sz w:val="16"/>
                <w:szCs w:val="16"/>
                <w:lang w:val="en-GB"/>
              </w:rPr>
              <w:t xml:space="preserve">enhanced </w:t>
            </w:r>
            <w:r w:rsidR="00277C08">
              <w:rPr>
                <w:b/>
                <w:bCs/>
                <w:sz w:val="16"/>
                <w:szCs w:val="16"/>
                <w:lang w:val="en-GB"/>
              </w:rPr>
              <w:t>to</w:t>
            </w:r>
            <w:r w:rsidRPr="00D7314E">
              <w:rPr>
                <w:b/>
                <w:bCs/>
                <w:sz w:val="16"/>
                <w:szCs w:val="16"/>
                <w:lang w:val="en-GB"/>
              </w:rPr>
              <w:t xml:space="preserve"> access diversified livelihoods and employability</w:t>
            </w:r>
            <w:r w:rsidR="00277C08">
              <w:rPr>
                <w:b/>
                <w:bCs/>
                <w:sz w:val="16"/>
                <w:szCs w:val="16"/>
                <w:lang w:val="en-GB"/>
              </w:rPr>
              <w:t xml:space="preserve"> options</w:t>
            </w:r>
          </w:p>
          <w:p w14:paraId="7541C578" w14:textId="77777777" w:rsidR="00166957" w:rsidRDefault="00166957" w:rsidP="00C215B9">
            <w:pPr>
              <w:pStyle w:val="ListParagraph"/>
              <w:ind w:left="0"/>
              <w:jc w:val="both"/>
              <w:rPr>
                <w:b/>
                <w:bCs/>
                <w:sz w:val="16"/>
                <w:szCs w:val="16"/>
                <w:lang w:val="en-GB"/>
              </w:rPr>
            </w:pPr>
          </w:p>
          <w:p w14:paraId="3C5C7023" w14:textId="74999B06" w:rsidR="00F5652D" w:rsidRPr="00EE6E26" w:rsidRDefault="00F5652D" w:rsidP="00C215B9">
            <w:pPr>
              <w:pStyle w:val="ListParagraph"/>
              <w:numPr>
                <w:ilvl w:val="0"/>
                <w:numId w:val="17"/>
              </w:numPr>
              <w:ind w:left="0"/>
              <w:jc w:val="both"/>
              <w:rPr>
                <w:b/>
                <w:bCs/>
                <w:sz w:val="16"/>
                <w:szCs w:val="16"/>
                <w:lang w:val="en-GB"/>
              </w:rPr>
            </w:pPr>
            <w:r w:rsidRPr="00EE6E26">
              <w:rPr>
                <w:b/>
                <w:bCs/>
                <w:sz w:val="16"/>
                <w:szCs w:val="16"/>
                <w:lang w:val="en-GB"/>
              </w:rPr>
              <w:t>Indicator 2.3.</w:t>
            </w:r>
            <w:r>
              <w:rPr>
                <w:b/>
                <w:bCs/>
                <w:sz w:val="16"/>
                <w:szCs w:val="16"/>
                <w:lang w:val="en-GB"/>
              </w:rPr>
              <w:t>1.</w:t>
            </w:r>
            <w:r w:rsidRPr="00EE6E26">
              <w:rPr>
                <w:b/>
                <w:bCs/>
                <w:sz w:val="16"/>
                <w:szCs w:val="16"/>
                <w:lang w:val="en-GB"/>
              </w:rPr>
              <w:t xml:space="preserve"> </w:t>
            </w:r>
            <w:r w:rsidR="00D90C60" w:rsidRPr="00DF00C8">
              <w:rPr>
                <w:sz w:val="16"/>
                <w:szCs w:val="16"/>
                <w:lang w:val="en-GB"/>
              </w:rPr>
              <w:t>Number</w:t>
            </w:r>
            <w:r w:rsidR="00D90C60" w:rsidRPr="00EE6E26">
              <w:rPr>
                <w:b/>
                <w:bCs/>
                <w:sz w:val="16"/>
                <w:szCs w:val="16"/>
                <w:lang w:val="en-GB"/>
              </w:rPr>
              <w:t xml:space="preserve"> </w:t>
            </w:r>
            <w:r w:rsidRPr="00EE6E26">
              <w:rPr>
                <w:sz w:val="16"/>
                <w:szCs w:val="16"/>
                <w:lang w:val="en-GB"/>
              </w:rPr>
              <w:t xml:space="preserve">of vulnerable </w:t>
            </w:r>
            <w:r w:rsidR="00D90C60">
              <w:rPr>
                <w:sz w:val="16"/>
                <w:szCs w:val="16"/>
                <w:lang w:val="en-GB"/>
              </w:rPr>
              <w:t>persons with disabilities</w:t>
            </w:r>
            <w:r w:rsidR="004F5B6A">
              <w:rPr>
                <w:sz w:val="16"/>
                <w:szCs w:val="16"/>
                <w:lang w:val="en-GB"/>
              </w:rPr>
              <w:t xml:space="preserve">, </w:t>
            </w:r>
            <w:r w:rsidRPr="00EE6E26">
              <w:rPr>
                <w:sz w:val="16"/>
                <w:szCs w:val="16"/>
                <w:lang w:val="en-GB"/>
              </w:rPr>
              <w:t xml:space="preserve">women and youth who acquire </w:t>
            </w:r>
            <w:r w:rsidR="006F2BE5">
              <w:rPr>
                <w:sz w:val="16"/>
                <w:szCs w:val="16"/>
                <w:lang w:val="en-GB"/>
              </w:rPr>
              <w:t>new</w:t>
            </w:r>
            <w:r w:rsidR="006F2BE5" w:rsidRPr="00EE6E26">
              <w:rPr>
                <w:sz w:val="16"/>
                <w:szCs w:val="16"/>
                <w:lang w:val="en-GB"/>
              </w:rPr>
              <w:t xml:space="preserve"> </w:t>
            </w:r>
            <w:r w:rsidRPr="00EE6E26">
              <w:rPr>
                <w:sz w:val="16"/>
                <w:szCs w:val="16"/>
                <w:lang w:val="en-GB"/>
              </w:rPr>
              <w:t>skills</w:t>
            </w:r>
            <w:r>
              <w:rPr>
                <w:sz w:val="16"/>
                <w:szCs w:val="16"/>
                <w:lang w:val="en-GB"/>
              </w:rPr>
              <w:t xml:space="preserve"> </w:t>
            </w:r>
            <w:r w:rsidR="00277C08">
              <w:rPr>
                <w:sz w:val="16"/>
                <w:szCs w:val="16"/>
                <w:lang w:val="en-GB"/>
              </w:rPr>
              <w:t>for</w:t>
            </w:r>
            <w:r w:rsidR="00277C08" w:rsidRPr="00EE6E26">
              <w:rPr>
                <w:sz w:val="16"/>
                <w:szCs w:val="16"/>
                <w:lang w:val="en-GB"/>
              </w:rPr>
              <w:t xml:space="preserve"> </w:t>
            </w:r>
            <w:r w:rsidRPr="00EE6E26">
              <w:rPr>
                <w:sz w:val="16"/>
                <w:szCs w:val="16"/>
                <w:lang w:val="en-GB"/>
              </w:rPr>
              <w:t xml:space="preserve">entrepreneurship </w:t>
            </w:r>
            <w:r w:rsidR="00277C08">
              <w:rPr>
                <w:sz w:val="16"/>
                <w:szCs w:val="16"/>
                <w:lang w:val="en-GB"/>
              </w:rPr>
              <w:t>development</w:t>
            </w:r>
          </w:p>
          <w:p w14:paraId="4146C3E9" w14:textId="0CCC8737" w:rsidR="00F5652D" w:rsidRPr="00713E0F" w:rsidRDefault="00F5652D" w:rsidP="00C215B9">
            <w:pPr>
              <w:pStyle w:val="ListParagraph"/>
              <w:ind w:left="0"/>
              <w:jc w:val="both"/>
              <w:rPr>
                <w:b/>
                <w:bCs/>
                <w:sz w:val="16"/>
                <w:szCs w:val="16"/>
                <w:lang w:val="en-GB"/>
              </w:rPr>
            </w:pPr>
            <w:r w:rsidRPr="00713E0F">
              <w:rPr>
                <w:b/>
                <w:bCs/>
                <w:sz w:val="16"/>
                <w:szCs w:val="16"/>
                <w:lang w:val="en-GB"/>
              </w:rPr>
              <w:t xml:space="preserve">Baseline: </w:t>
            </w:r>
            <w:r w:rsidRPr="00EE6E26">
              <w:rPr>
                <w:sz w:val="16"/>
                <w:szCs w:val="16"/>
                <w:lang w:val="en-GB"/>
              </w:rPr>
              <w:t>3</w:t>
            </w:r>
            <w:r>
              <w:rPr>
                <w:sz w:val="16"/>
                <w:szCs w:val="16"/>
                <w:lang w:val="en-GB"/>
              </w:rPr>
              <w:t>,</w:t>
            </w:r>
            <w:r w:rsidRPr="00EE6E26">
              <w:rPr>
                <w:sz w:val="16"/>
                <w:szCs w:val="16"/>
                <w:lang w:val="en-GB"/>
              </w:rPr>
              <w:t>617 (2019/</w:t>
            </w:r>
            <w:r w:rsidR="00D90C60">
              <w:rPr>
                <w:sz w:val="16"/>
                <w:szCs w:val="16"/>
                <w:lang w:val="en-GB"/>
              </w:rPr>
              <w:t>20</w:t>
            </w:r>
            <w:r w:rsidRPr="00EE6E26">
              <w:rPr>
                <w:sz w:val="16"/>
                <w:szCs w:val="16"/>
                <w:lang w:val="en-GB"/>
              </w:rPr>
              <w:t xml:space="preserve">20 </w:t>
            </w:r>
            <w:r w:rsidR="00D90C60">
              <w:rPr>
                <w:sz w:val="16"/>
                <w:szCs w:val="16"/>
                <w:lang w:val="en-GB"/>
              </w:rPr>
              <w:t>p</w:t>
            </w:r>
            <w:r w:rsidRPr="00EE6E26">
              <w:rPr>
                <w:sz w:val="16"/>
                <w:szCs w:val="16"/>
                <w:lang w:val="en-GB"/>
              </w:rPr>
              <w:t xml:space="preserve">rogress </w:t>
            </w:r>
            <w:r w:rsidR="00D90C60">
              <w:rPr>
                <w:sz w:val="16"/>
                <w:szCs w:val="16"/>
                <w:lang w:val="en-GB"/>
              </w:rPr>
              <w:t>r</w:t>
            </w:r>
            <w:r w:rsidRPr="00EE6E26">
              <w:rPr>
                <w:sz w:val="16"/>
                <w:szCs w:val="16"/>
                <w:lang w:val="en-GB"/>
              </w:rPr>
              <w:t>eports/</w:t>
            </w:r>
            <w:r w:rsidR="00B84C8B">
              <w:rPr>
                <w:sz w:val="16"/>
                <w:szCs w:val="16"/>
                <w:lang w:val="en-GB"/>
              </w:rPr>
              <w:t>country programme document</w:t>
            </w:r>
            <w:r w:rsidR="00B84C8B" w:rsidRPr="00B84C8B">
              <w:rPr>
                <w:sz w:val="16"/>
                <w:szCs w:val="16"/>
                <w:lang w:val="en-GB"/>
              </w:rPr>
              <w:t xml:space="preserve"> </w:t>
            </w:r>
            <w:r w:rsidR="00DF00C8">
              <w:rPr>
                <w:sz w:val="16"/>
                <w:szCs w:val="16"/>
                <w:lang w:val="en-GB"/>
              </w:rPr>
              <w:t>terminal evaluation</w:t>
            </w:r>
            <w:r w:rsidRPr="00EE6E26">
              <w:rPr>
                <w:sz w:val="16"/>
                <w:szCs w:val="16"/>
                <w:lang w:val="en-GB"/>
              </w:rPr>
              <w:t xml:space="preserve"> 2020).</w:t>
            </w:r>
            <w:r w:rsidRPr="00713E0F">
              <w:rPr>
                <w:b/>
                <w:bCs/>
                <w:sz w:val="16"/>
                <w:szCs w:val="16"/>
                <w:lang w:val="en-GB"/>
              </w:rPr>
              <w:t xml:space="preserve"> </w:t>
            </w:r>
          </w:p>
          <w:p w14:paraId="52D68946" w14:textId="1D6BFEC8" w:rsidR="00F5652D" w:rsidRPr="00713E0F" w:rsidRDefault="00F5652D" w:rsidP="00C215B9">
            <w:pPr>
              <w:pStyle w:val="ListParagraph"/>
              <w:ind w:left="0"/>
              <w:jc w:val="both"/>
              <w:rPr>
                <w:b/>
                <w:bCs/>
                <w:sz w:val="16"/>
                <w:szCs w:val="16"/>
                <w:lang w:val="en-GB"/>
              </w:rPr>
            </w:pPr>
            <w:r w:rsidRPr="00713E0F">
              <w:rPr>
                <w:b/>
                <w:bCs/>
                <w:sz w:val="16"/>
                <w:szCs w:val="16"/>
                <w:lang w:val="en-GB"/>
              </w:rPr>
              <w:t>Target:</w:t>
            </w:r>
            <w:r w:rsidRPr="00EE6E26">
              <w:rPr>
                <w:sz w:val="16"/>
                <w:szCs w:val="16"/>
                <w:lang w:val="en-GB"/>
              </w:rPr>
              <w:t xml:space="preserve">10,000 (5,000 </w:t>
            </w:r>
            <w:r w:rsidR="00D90C60">
              <w:rPr>
                <w:sz w:val="16"/>
                <w:szCs w:val="16"/>
                <w:lang w:val="en-GB"/>
              </w:rPr>
              <w:t>female</w:t>
            </w:r>
            <w:r w:rsidRPr="00EE6E26">
              <w:rPr>
                <w:sz w:val="16"/>
                <w:szCs w:val="16"/>
                <w:lang w:val="en-GB"/>
              </w:rPr>
              <w:t xml:space="preserve">, 5000 </w:t>
            </w:r>
            <w:r w:rsidR="00D90C60">
              <w:rPr>
                <w:sz w:val="16"/>
                <w:szCs w:val="16"/>
                <w:lang w:val="en-GB"/>
              </w:rPr>
              <w:t>male</w:t>
            </w:r>
            <w:r w:rsidRPr="00EE6E26">
              <w:rPr>
                <w:sz w:val="16"/>
                <w:szCs w:val="16"/>
                <w:lang w:val="en-GB"/>
              </w:rPr>
              <w:t>)</w:t>
            </w:r>
          </w:p>
          <w:p w14:paraId="7BF361C0" w14:textId="77777777" w:rsidR="00656986" w:rsidRDefault="00656986" w:rsidP="00C215B9">
            <w:pPr>
              <w:jc w:val="both"/>
              <w:rPr>
                <w:b/>
                <w:bCs/>
                <w:sz w:val="16"/>
                <w:szCs w:val="16"/>
                <w:lang w:val="en-GB"/>
              </w:rPr>
            </w:pPr>
          </w:p>
          <w:p w14:paraId="11CCA9CE" w14:textId="28DE835E" w:rsidR="00F5652D" w:rsidRPr="004F5B6A" w:rsidRDefault="00F5652D" w:rsidP="00C215B9">
            <w:pPr>
              <w:jc w:val="both"/>
              <w:rPr>
                <w:b/>
                <w:bCs/>
                <w:sz w:val="16"/>
                <w:szCs w:val="16"/>
                <w:lang w:val="en-GB"/>
              </w:rPr>
            </w:pPr>
            <w:r w:rsidRPr="00EE6E26">
              <w:rPr>
                <w:b/>
                <w:bCs/>
                <w:sz w:val="16"/>
                <w:szCs w:val="16"/>
                <w:lang w:val="en-GB"/>
              </w:rPr>
              <w:t xml:space="preserve">Output </w:t>
            </w:r>
            <w:r w:rsidRPr="00D7314E">
              <w:rPr>
                <w:b/>
                <w:bCs/>
                <w:sz w:val="16"/>
                <w:szCs w:val="16"/>
                <w:lang w:val="en-GB"/>
              </w:rPr>
              <w:t>2.4.</w:t>
            </w:r>
            <w:r>
              <w:rPr>
                <w:b/>
                <w:bCs/>
                <w:sz w:val="16"/>
                <w:szCs w:val="16"/>
                <w:lang w:val="en-GB"/>
              </w:rPr>
              <w:t xml:space="preserve"> </w:t>
            </w:r>
            <w:r w:rsidR="004F5B6A" w:rsidRPr="004F5B6A">
              <w:rPr>
                <w:b/>
                <w:bCs/>
                <w:sz w:val="16"/>
                <w:szCs w:val="16"/>
                <w:lang w:val="en-GB"/>
              </w:rPr>
              <w:t xml:space="preserve">Technical and operational capacities of the Government </w:t>
            </w:r>
            <w:r w:rsidR="004F5B6A">
              <w:rPr>
                <w:b/>
                <w:bCs/>
                <w:sz w:val="16"/>
                <w:szCs w:val="16"/>
                <w:lang w:val="en-GB"/>
              </w:rPr>
              <w:t xml:space="preserve">and associations of MSMEs </w:t>
            </w:r>
            <w:r w:rsidR="004F5B6A" w:rsidRPr="004F5B6A">
              <w:rPr>
                <w:b/>
                <w:bCs/>
                <w:sz w:val="16"/>
                <w:szCs w:val="16"/>
                <w:lang w:val="en-GB"/>
              </w:rPr>
              <w:t>enhanced to develop inclusive value chains and market access in agriculture</w:t>
            </w:r>
          </w:p>
          <w:p w14:paraId="6BB3A0CA" w14:textId="77777777" w:rsidR="00B417C3" w:rsidRPr="00B417C3" w:rsidRDefault="00B417C3" w:rsidP="00C215B9">
            <w:pPr>
              <w:pStyle w:val="ListParagraph"/>
              <w:numPr>
                <w:ilvl w:val="0"/>
                <w:numId w:val="3"/>
              </w:numPr>
              <w:ind w:left="0"/>
              <w:jc w:val="both"/>
              <w:rPr>
                <w:sz w:val="16"/>
                <w:szCs w:val="16"/>
                <w:lang w:val="en-GB"/>
              </w:rPr>
            </w:pPr>
          </w:p>
          <w:p w14:paraId="266D0B7D" w14:textId="1FBB9D97" w:rsidR="00B84C8B" w:rsidRDefault="00F5652D" w:rsidP="00C215B9">
            <w:pPr>
              <w:pStyle w:val="ListParagraph"/>
              <w:numPr>
                <w:ilvl w:val="0"/>
                <w:numId w:val="3"/>
              </w:numPr>
              <w:ind w:left="0"/>
              <w:jc w:val="both"/>
              <w:rPr>
                <w:sz w:val="16"/>
                <w:szCs w:val="16"/>
                <w:lang w:val="en-GB"/>
              </w:rPr>
            </w:pPr>
            <w:r w:rsidRPr="00B417C3">
              <w:rPr>
                <w:b/>
                <w:bCs/>
                <w:sz w:val="16"/>
                <w:szCs w:val="16"/>
                <w:lang w:val="en-GB"/>
              </w:rPr>
              <w:t>Indicator 2.4.1</w:t>
            </w:r>
            <w:r w:rsidR="00D90C60">
              <w:rPr>
                <w:sz w:val="16"/>
                <w:szCs w:val="16"/>
                <w:lang w:val="en-GB"/>
              </w:rPr>
              <w:t>.</w:t>
            </w:r>
            <w:r w:rsidRPr="00B417C3">
              <w:rPr>
                <w:sz w:val="16"/>
                <w:szCs w:val="16"/>
                <w:lang w:val="en-GB"/>
              </w:rPr>
              <w:t xml:space="preserve"> Extent</w:t>
            </w:r>
            <w:r w:rsidRPr="00713E0F">
              <w:rPr>
                <w:rStyle w:val="FootnoteReference"/>
                <w:sz w:val="16"/>
                <w:szCs w:val="16"/>
                <w:lang w:val="en-GB"/>
              </w:rPr>
              <w:footnoteReference w:id="19"/>
            </w:r>
            <w:r w:rsidRPr="00B417C3">
              <w:rPr>
                <w:sz w:val="16"/>
                <w:szCs w:val="16"/>
                <w:lang w:val="en-GB"/>
              </w:rPr>
              <w:t xml:space="preserve"> to which agricultural value chain systems are developed and functional</w:t>
            </w:r>
            <w:r w:rsidR="00B417C3" w:rsidRPr="00B417C3">
              <w:rPr>
                <w:sz w:val="16"/>
                <w:szCs w:val="16"/>
                <w:lang w:val="en-GB"/>
              </w:rPr>
              <w:t xml:space="preserve">. </w:t>
            </w:r>
          </w:p>
          <w:p w14:paraId="7A2AA07A" w14:textId="294AB690" w:rsidR="00F5652D" w:rsidRPr="00B417C3" w:rsidRDefault="00F5652D" w:rsidP="00C215B9">
            <w:pPr>
              <w:pStyle w:val="ListParagraph"/>
              <w:numPr>
                <w:ilvl w:val="0"/>
                <w:numId w:val="3"/>
              </w:numPr>
              <w:ind w:left="0"/>
              <w:jc w:val="both"/>
              <w:rPr>
                <w:sz w:val="16"/>
                <w:szCs w:val="16"/>
                <w:lang w:val="en-GB"/>
              </w:rPr>
            </w:pPr>
            <w:r w:rsidRPr="00B417C3">
              <w:rPr>
                <w:b/>
                <w:bCs/>
                <w:sz w:val="16"/>
                <w:szCs w:val="16"/>
                <w:lang w:val="en-GB"/>
              </w:rPr>
              <w:t>Baseline (</w:t>
            </w:r>
            <w:r w:rsidR="004F5B6A" w:rsidRPr="00B417C3">
              <w:rPr>
                <w:b/>
                <w:bCs/>
                <w:sz w:val="16"/>
                <w:szCs w:val="16"/>
                <w:lang w:val="en-GB"/>
              </w:rPr>
              <w:t>2020</w:t>
            </w:r>
            <w:r w:rsidRPr="00B417C3">
              <w:rPr>
                <w:b/>
                <w:bCs/>
                <w:sz w:val="16"/>
                <w:szCs w:val="16"/>
                <w:lang w:val="en-GB"/>
              </w:rPr>
              <w:t xml:space="preserve">): </w:t>
            </w:r>
            <w:r w:rsidR="00F92F85" w:rsidRPr="00905A48">
              <w:rPr>
                <w:sz w:val="16"/>
                <w:szCs w:val="16"/>
                <w:lang w:val="en-GB"/>
              </w:rPr>
              <w:t>0;</w:t>
            </w:r>
            <w:r w:rsidR="00F92F85" w:rsidRPr="00B417C3">
              <w:rPr>
                <w:b/>
                <w:bCs/>
                <w:sz w:val="16"/>
                <w:szCs w:val="16"/>
                <w:lang w:val="en-GB"/>
              </w:rPr>
              <w:t xml:space="preserve"> </w:t>
            </w:r>
            <w:r w:rsidRPr="00B417C3">
              <w:rPr>
                <w:b/>
                <w:bCs/>
                <w:sz w:val="16"/>
                <w:szCs w:val="16"/>
                <w:lang w:val="en-GB"/>
              </w:rPr>
              <w:t>Target</w:t>
            </w:r>
            <w:r w:rsidR="00D90C60">
              <w:rPr>
                <w:b/>
                <w:bCs/>
                <w:sz w:val="16"/>
                <w:szCs w:val="16"/>
                <w:lang w:val="en-GB"/>
              </w:rPr>
              <w:t xml:space="preserve"> </w:t>
            </w:r>
            <w:r w:rsidRPr="00B417C3">
              <w:rPr>
                <w:b/>
                <w:bCs/>
                <w:sz w:val="16"/>
                <w:szCs w:val="16"/>
                <w:lang w:val="en-GB"/>
              </w:rPr>
              <w:t>(</w:t>
            </w:r>
            <w:r w:rsidR="004F5B6A" w:rsidRPr="00B417C3">
              <w:rPr>
                <w:b/>
                <w:bCs/>
                <w:sz w:val="16"/>
                <w:szCs w:val="16"/>
                <w:lang w:val="en-GB"/>
              </w:rPr>
              <w:t>2024</w:t>
            </w:r>
            <w:r w:rsidRPr="00B417C3">
              <w:rPr>
                <w:b/>
                <w:bCs/>
                <w:sz w:val="16"/>
                <w:szCs w:val="16"/>
                <w:lang w:val="en-GB"/>
              </w:rPr>
              <w:t xml:space="preserve">): </w:t>
            </w:r>
            <w:r w:rsidRPr="00B417C3">
              <w:rPr>
                <w:sz w:val="16"/>
                <w:szCs w:val="16"/>
                <w:lang w:val="en-GB"/>
              </w:rPr>
              <w:t>3</w:t>
            </w:r>
          </w:p>
          <w:p w14:paraId="5E1BEA8C" w14:textId="77777777" w:rsidR="004F5B6A" w:rsidRDefault="004F5B6A" w:rsidP="00C215B9">
            <w:pPr>
              <w:pStyle w:val="ListParagraph"/>
              <w:ind w:left="0"/>
              <w:jc w:val="both"/>
              <w:rPr>
                <w:sz w:val="16"/>
                <w:szCs w:val="16"/>
                <w:lang w:val="en-GB"/>
              </w:rPr>
            </w:pPr>
          </w:p>
          <w:p w14:paraId="4D330122" w14:textId="77777777" w:rsidR="0051073C" w:rsidRDefault="004F5B6A" w:rsidP="00BC6003">
            <w:pPr>
              <w:pStyle w:val="ListParagraph"/>
              <w:ind w:left="0"/>
              <w:jc w:val="both"/>
              <w:rPr>
                <w:sz w:val="16"/>
                <w:szCs w:val="16"/>
              </w:rPr>
            </w:pPr>
            <w:r w:rsidRPr="00EE6E26">
              <w:rPr>
                <w:b/>
                <w:bCs/>
                <w:sz w:val="16"/>
                <w:szCs w:val="16"/>
                <w:lang w:val="en-GB"/>
              </w:rPr>
              <w:t>Indicator 2.</w:t>
            </w:r>
            <w:r>
              <w:rPr>
                <w:b/>
                <w:bCs/>
                <w:sz w:val="16"/>
                <w:szCs w:val="16"/>
                <w:lang w:val="en-GB"/>
              </w:rPr>
              <w:t>4</w:t>
            </w:r>
            <w:r w:rsidRPr="00EE6E26">
              <w:rPr>
                <w:b/>
                <w:bCs/>
                <w:sz w:val="16"/>
                <w:szCs w:val="16"/>
                <w:lang w:val="en-GB"/>
              </w:rPr>
              <w:t>.</w:t>
            </w:r>
            <w:r w:rsidR="0051073C">
              <w:rPr>
                <w:b/>
                <w:bCs/>
                <w:sz w:val="16"/>
                <w:szCs w:val="16"/>
                <w:lang w:val="en-GB"/>
              </w:rPr>
              <w:t>2</w:t>
            </w:r>
            <w:r w:rsidR="00D90C60">
              <w:rPr>
                <w:sz w:val="16"/>
                <w:szCs w:val="16"/>
                <w:lang w:val="en-GB"/>
              </w:rPr>
              <w:t>.</w:t>
            </w:r>
            <w:r w:rsidRPr="00713E0F">
              <w:rPr>
                <w:sz w:val="16"/>
                <w:szCs w:val="16"/>
                <w:lang w:val="en-GB"/>
              </w:rPr>
              <w:t xml:space="preserve"> </w:t>
            </w:r>
            <w:r w:rsidR="00D90C60">
              <w:rPr>
                <w:sz w:val="16"/>
                <w:szCs w:val="16"/>
              </w:rPr>
              <w:t>Number</w:t>
            </w:r>
            <w:r w:rsidR="00D90C60" w:rsidRPr="004F5B6A">
              <w:rPr>
                <w:sz w:val="16"/>
                <w:szCs w:val="16"/>
              </w:rPr>
              <w:t xml:space="preserve"> </w:t>
            </w:r>
            <w:r w:rsidRPr="004F5B6A">
              <w:rPr>
                <w:sz w:val="16"/>
                <w:szCs w:val="16"/>
              </w:rPr>
              <w:t>o</w:t>
            </w:r>
            <w:r>
              <w:rPr>
                <w:sz w:val="16"/>
                <w:szCs w:val="16"/>
              </w:rPr>
              <w:t>f</w:t>
            </w:r>
            <w:r w:rsidRPr="004F5B6A">
              <w:rPr>
                <w:sz w:val="16"/>
                <w:szCs w:val="16"/>
              </w:rPr>
              <w:t xml:space="preserve"> strategies developed and implemented to access markets by MSMEs</w:t>
            </w:r>
            <w:r w:rsidR="00B417C3">
              <w:rPr>
                <w:sz w:val="16"/>
                <w:szCs w:val="16"/>
              </w:rPr>
              <w:t>.</w:t>
            </w:r>
          </w:p>
          <w:p w14:paraId="63760B02" w14:textId="0353EAAF" w:rsidR="004F5B6A" w:rsidRPr="00F32CEA" w:rsidRDefault="004F5B6A" w:rsidP="0051073C">
            <w:pPr>
              <w:pStyle w:val="ListParagraph"/>
              <w:ind w:left="0"/>
              <w:jc w:val="both"/>
              <w:rPr>
                <w:sz w:val="16"/>
                <w:szCs w:val="16"/>
                <w:lang w:val="en-GB"/>
              </w:rPr>
            </w:pPr>
            <w:r w:rsidRPr="00713E0F">
              <w:rPr>
                <w:b/>
                <w:bCs/>
                <w:sz w:val="16"/>
                <w:szCs w:val="16"/>
                <w:lang w:val="en-GB"/>
              </w:rPr>
              <w:t>Baseline</w:t>
            </w:r>
            <w:r w:rsidR="0051073C">
              <w:rPr>
                <w:b/>
                <w:bCs/>
                <w:sz w:val="16"/>
                <w:szCs w:val="16"/>
                <w:lang w:val="en-GB"/>
              </w:rPr>
              <w:t xml:space="preserve"> </w:t>
            </w:r>
            <w:r w:rsidRPr="00713E0F">
              <w:rPr>
                <w:b/>
                <w:bCs/>
                <w:sz w:val="16"/>
                <w:szCs w:val="16"/>
                <w:lang w:val="en-GB"/>
              </w:rPr>
              <w:t>(</w:t>
            </w:r>
            <w:r>
              <w:rPr>
                <w:b/>
                <w:bCs/>
                <w:sz w:val="16"/>
                <w:szCs w:val="16"/>
                <w:lang w:val="en-GB"/>
              </w:rPr>
              <w:t>2020</w:t>
            </w:r>
            <w:r w:rsidRPr="00713E0F">
              <w:rPr>
                <w:b/>
                <w:bCs/>
                <w:sz w:val="16"/>
                <w:szCs w:val="16"/>
                <w:lang w:val="en-GB"/>
              </w:rPr>
              <w:t>):</w:t>
            </w:r>
            <w:r>
              <w:rPr>
                <w:b/>
                <w:bCs/>
                <w:sz w:val="16"/>
                <w:szCs w:val="16"/>
                <w:lang w:val="en-GB"/>
              </w:rPr>
              <w:t xml:space="preserve"> </w:t>
            </w:r>
            <w:r w:rsidRPr="00905A48">
              <w:rPr>
                <w:sz w:val="16"/>
                <w:szCs w:val="16"/>
                <w:lang w:val="en-GB"/>
              </w:rPr>
              <w:t>0;</w:t>
            </w:r>
            <w:r>
              <w:rPr>
                <w:b/>
                <w:bCs/>
                <w:sz w:val="16"/>
                <w:szCs w:val="16"/>
                <w:lang w:val="en-GB"/>
              </w:rPr>
              <w:t xml:space="preserve"> </w:t>
            </w:r>
            <w:r w:rsidRPr="00713E0F">
              <w:rPr>
                <w:b/>
                <w:bCs/>
                <w:sz w:val="16"/>
                <w:szCs w:val="16"/>
                <w:lang w:val="en-GB"/>
              </w:rPr>
              <w:t>Targ</w:t>
            </w:r>
            <w:r w:rsidR="0051073C">
              <w:rPr>
                <w:b/>
                <w:bCs/>
                <w:sz w:val="16"/>
                <w:szCs w:val="16"/>
                <w:lang w:val="en-GB"/>
              </w:rPr>
              <w:t>et</w:t>
            </w:r>
            <w:r w:rsidR="006E01A3">
              <w:rPr>
                <w:b/>
                <w:bCs/>
                <w:sz w:val="16"/>
                <w:szCs w:val="16"/>
                <w:lang w:val="en-GB"/>
              </w:rPr>
              <w:t xml:space="preserve"> </w:t>
            </w:r>
            <w:r w:rsidRPr="00713E0F">
              <w:rPr>
                <w:b/>
                <w:bCs/>
                <w:sz w:val="16"/>
                <w:szCs w:val="16"/>
                <w:lang w:val="en-GB"/>
              </w:rPr>
              <w:t>(</w:t>
            </w:r>
            <w:r>
              <w:rPr>
                <w:b/>
                <w:bCs/>
                <w:sz w:val="16"/>
                <w:szCs w:val="16"/>
                <w:lang w:val="en-GB"/>
              </w:rPr>
              <w:t>2023</w:t>
            </w:r>
            <w:r w:rsidRPr="00713E0F">
              <w:rPr>
                <w:b/>
                <w:bCs/>
                <w:sz w:val="16"/>
                <w:szCs w:val="16"/>
                <w:lang w:val="en-GB"/>
              </w:rPr>
              <w:t>):</w:t>
            </w:r>
            <w:r>
              <w:rPr>
                <w:b/>
                <w:bCs/>
                <w:sz w:val="16"/>
                <w:szCs w:val="16"/>
                <w:lang w:val="en-GB"/>
              </w:rPr>
              <w:t xml:space="preserve"> </w:t>
            </w:r>
            <w:r>
              <w:rPr>
                <w:sz w:val="16"/>
                <w:szCs w:val="16"/>
                <w:lang w:val="en-GB"/>
              </w:rPr>
              <w:t>4</w:t>
            </w:r>
          </w:p>
        </w:tc>
        <w:tc>
          <w:tcPr>
            <w:tcW w:w="574" w:type="pct"/>
            <w:shd w:val="clear" w:color="auto" w:fill="FFFFFF" w:themeFill="background1"/>
            <w:vAlign w:val="center"/>
          </w:tcPr>
          <w:p w14:paraId="14072805" w14:textId="77777777" w:rsidR="00F5652D" w:rsidRPr="00713E0F" w:rsidRDefault="00F5652D" w:rsidP="00C215B9">
            <w:pPr>
              <w:jc w:val="both"/>
              <w:rPr>
                <w:sz w:val="16"/>
                <w:szCs w:val="16"/>
                <w:lang w:val="en-GB"/>
              </w:rPr>
            </w:pPr>
          </w:p>
          <w:p w14:paraId="7196F9A4" w14:textId="23FD498D" w:rsidR="00F5652D" w:rsidRPr="00713E0F" w:rsidRDefault="00F5652D" w:rsidP="000F0401">
            <w:pPr>
              <w:rPr>
                <w:sz w:val="16"/>
                <w:szCs w:val="16"/>
                <w:lang w:val="en-GB"/>
              </w:rPr>
            </w:pPr>
            <w:r w:rsidRPr="00713E0F">
              <w:rPr>
                <w:sz w:val="16"/>
                <w:szCs w:val="16"/>
                <w:lang w:val="en-GB"/>
              </w:rPr>
              <w:t>UNDP</w:t>
            </w:r>
            <w:r w:rsidR="00D90C60">
              <w:rPr>
                <w:sz w:val="16"/>
                <w:szCs w:val="16"/>
                <w:lang w:val="en-GB"/>
              </w:rPr>
              <w:t>,</w:t>
            </w:r>
            <w:r w:rsidRPr="00713E0F">
              <w:rPr>
                <w:sz w:val="16"/>
                <w:szCs w:val="16"/>
                <w:lang w:val="en-GB"/>
              </w:rPr>
              <w:t xml:space="preserve"> </w:t>
            </w:r>
            <w:r w:rsidR="00C379D8">
              <w:rPr>
                <w:sz w:val="16"/>
                <w:szCs w:val="16"/>
                <w:lang w:val="en-GB"/>
              </w:rPr>
              <w:t xml:space="preserve">United Nations Industrial </w:t>
            </w:r>
            <w:r w:rsidR="00C379D8">
              <w:rPr>
                <w:sz w:val="16"/>
                <w:szCs w:val="16"/>
                <w:lang w:val="en-GB"/>
              </w:rPr>
              <w:lastRenderedPageBreak/>
              <w:t>Development Organization (UNIDO)</w:t>
            </w:r>
            <w:r w:rsidRPr="00713E0F">
              <w:rPr>
                <w:sz w:val="16"/>
                <w:szCs w:val="16"/>
                <w:lang w:val="en-GB"/>
              </w:rPr>
              <w:t>, UNICEF, UNFPA, FAO, ILO, UN</w:t>
            </w:r>
            <w:r w:rsidR="00D90C60">
              <w:rPr>
                <w:sz w:val="16"/>
                <w:szCs w:val="16"/>
                <w:lang w:val="en-GB"/>
              </w:rPr>
              <w:t>-</w:t>
            </w:r>
            <w:r w:rsidRPr="00713E0F">
              <w:rPr>
                <w:sz w:val="16"/>
                <w:szCs w:val="16"/>
                <w:lang w:val="en-GB"/>
              </w:rPr>
              <w:t>W</w:t>
            </w:r>
            <w:r w:rsidR="00D90C60">
              <w:rPr>
                <w:sz w:val="16"/>
                <w:szCs w:val="16"/>
                <w:lang w:val="en-GB"/>
              </w:rPr>
              <w:t>omen</w:t>
            </w:r>
            <w:r w:rsidRPr="00713E0F">
              <w:rPr>
                <w:sz w:val="16"/>
                <w:szCs w:val="16"/>
                <w:lang w:val="en-GB"/>
              </w:rPr>
              <w:t xml:space="preserve"> and others</w:t>
            </w:r>
          </w:p>
          <w:p w14:paraId="429146D5" w14:textId="77777777" w:rsidR="00F5652D" w:rsidRPr="000C21A7" w:rsidRDefault="00F5652D" w:rsidP="00C215B9">
            <w:pPr>
              <w:jc w:val="both"/>
              <w:rPr>
                <w:sz w:val="16"/>
                <w:szCs w:val="16"/>
                <w:lang w:val="en-GB"/>
              </w:rPr>
            </w:pPr>
          </w:p>
        </w:tc>
        <w:tc>
          <w:tcPr>
            <w:tcW w:w="580" w:type="pct"/>
            <w:shd w:val="clear" w:color="auto" w:fill="FFFFFF" w:themeFill="background1"/>
            <w:tcMar>
              <w:top w:w="15" w:type="dxa"/>
              <w:left w:w="108" w:type="dxa"/>
              <w:bottom w:w="0" w:type="dxa"/>
              <w:right w:w="108" w:type="dxa"/>
            </w:tcMar>
            <w:vAlign w:val="center"/>
          </w:tcPr>
          <w:p w14:paraId="5A5743ED" w14:textId="434FB957" w:rsidR="00F5652D" w:rsidRPr="00D90C60" w:rsidRDefault="00136A35" w:rsidP="00C215B9">
            <w:pPr>
              <w:jc w:val="both"/>
              <w:rPr>
                <w:b/>
                <w:sz w:val="16"/>
                <w:szCs w:val="16"/>
              </w:rPr>
            </w:pPr>
            <w:r w:rsidRPr="00DF00C8">
              <w:rPr>
                <w:sz w:val="16"/>
                <w:szCs w:val="16"/>
                <w:lang w:val="en-GB"/>
              </w:rPr>
              <w:lastRenderedPageBreak/>
              <w:t>As above</w:t>
            </w:r>
          </w:p>
        </w:tc>
      </w:tr>
      <w:tr w:rsidR="00F5652D" w:rsidRPr="00715D36" w14:paraId="52012086" w14:textId="77777777" w:rsidTr="00344CA7">
        <w:tc>
          <w:tcPr>
            <w:tcW w:w="5000" w:type="pct"/>
            <w:gridSpan w:val="5"/>
            <w:shd w:val="clear" w:color="auto" w:fill="DBE5F1" w:themeFill="accent1" w:themeFillTint="33"/>
            <w:tcMar>
              <w:top w:w="72" w:type="dxa"/>
              <w:left w:w="144" w:type="dxa"/>
              <w:bottom w:w="72" w:type="dxa"/>
              <w:right w:w="144" w:type="dxa"/>
            </w:tcMar>
          </w:tcPr>
          <w:p w14:paraId="4E313D15" w14:textId="76E1FD87" w:rsidR="00F5652D" w:rsidRPr="00715D36" w:rsidRDefault="00F5652D" w:rsidP="00F5652D">
            <w:pPr>
              <w:pStyle w:val="ListParagraph"/>
              <w:numPr>
                <w:ilvl w:val="0"/>
                <w:numId w:val="20"/>
              </w:numPr>
              <w:ind w:left="0"/>
              <w:jc w:val="both"/>
              <w:rPr>
                <w:b/>
                <w:sz w:val="16"/>
                <w:szCs w:val="16"/>
              </w:rPr>
            </w:pPr>
            <w:r>
              <w:rPr>
                <w:b/>
                <w:bCs/>
                <w:color w:val="000000"/>
                <w:sz w:val="16"/>
                <w:szCs w:val="16"/>
                <w:lang w:val="en-GB"/>
              </w:rPr>
              <w:t>SCF</w:t>
            </w:r>
            <w:r w:rsidRPr="003C26C1">
              <w:rPr>
                <w:b/>
                <w:bCs/>
                <w:color w:val="000000"/>
                <w:sz w:val="16"/>
                <w:szCs w:val="16"/>
                <w:lang w:val="en-GB"/>
              </w:rPr>
              <w:t xml:space="preserve"> OUTCOME INVOLVING UNDP #</w:t>
            </w:r>
            <w:r>
              <w:rPr>
                <w:b/>
                <w:bCs/>
                <w:color w:val="000000"/>
                <w:sz w:val="16"/>
                <w:szCs w:val="16"/>
                <w:lang w:val="en-GB"/>
              </w:rPr>
              <w:t xml:space="preserve">3: </w:t>
            </w:r>
            <w:r w:rsidRPr="006D0F35">
              <w:rPr>
                <w:b/>
                <w:bCs/>
                <w:sz w:val="16"/>
                <w:szCs w:val="16"/>
                <w:lang w:val="en-GB"/>
              </w:rPr>
              <w:t>By 2026, people in Eritrea have benefited from climate</w:t>
            </w:r>
            <w:r w:rsidR="00D90C60">
              <w:rPr>
                <w:b/>
                <w:bCs/>
                <w:sz w:val="16"/>
                <w:szCs w:val="16"/>
                <w:lang w:val="en-GB"/>
              </w:rPr>
              <w:t>-</w:t>
            </w:r>
            <w:r w:rsidRPr="006D0F35">
              <w:rPr>
                <w:b/>
                <w:bCs/>
                <w:sz w:val="16"/>
                <w:szCs w:val="16"/>
                <w:lang w:val="en-GB"/>
              </w:rPr>
              <w:t>resilient, sustainable environment and natural resources management</w:t>
            </w:r>
          </w:p>
        </w:tc>
      </w:tr>
      <w:tr w:rsidR="00F5652D" w:rsidRPr="00715D36" w14:paraId="751F9073" w14:textId="77777777" w:rsidTr="00344CA7">
        <w:tc>
          <w:tcPr>
            <w:tcW w:w="5000" w:type="pct"/>
            <w:gridSpan w:val="5"/>
            <w:shd w:val="clear" w:color="auto" w:fill="DBE5F1" w:themeFill="accent1" w:themeFillTint="33"/>
            <w:tcMar>
              <w:top w:w="72" w:type="dxa"/>
              <w:left w:w="144" w:type="dxa"/>
              <w:bottom w:w="72" w:type="dxa"/>
              <w:right w:w="144" w:type="dxa"/>
            </w:tcMar>
          </w:tcPr>
          <w:p w14:paraId="73FE12AE" w14:textId="3F7A38A2" w:rsidR="00F5652D" w:rsidRPr="00715D36" w:rsidRDefault="00F5652D" w:rsidP="00F5652D">
            <w:pPr>
              <w:rPr>
                <w:b/>
                <w:bCs/>
                <w:sz w:val="16"/>
                <w:szCs w:val="16"/>
                <w:lang w:val="en-GB"/>
              </w:rPr>
            </w:pPr>
            <w:r w:rsidRPr="00715D36">
              <w:rPr>
                <w:b/>
                <w:bCs/>
                <w:sz w:val="16"/>
                <w:szCs w:val="16"/>
                <w:lang w:val="en-GB"/>
              </w:rPr>
              <w:t>RELATED STRATEGIC PLAN OUTCOME:</w:t>
            </w:r>
            <w:r>
              <w:rPr>
                <w:b/>
                <w:bCs/>
                <w:sz w:val="16"/>
                <w:szCs w:val="16"/>
                <w:lang w:val="en-GB"/>
              </w:rPr>
              <w:t xml:space="preserve"> </w:t>
            </w:r>
            <w:r w:rsidRPr="00931DC5">
              <w:rPr>
                <w:b/>
                <w:sz w:val="16"/>
                <w:szCs w:val="16"/>
                <w:lang w:val="en-GB"/>
              </w:rPr>
              <w:t xml:space="preserve">Outcome </w:t>
            </w:r>
            <w:r w:rsidR="00E804CF" w:rsidRPr="00931DC5">
              <w:rPr>
                <w:b/>
                <w:sz w:val="16"/>
                <w:szCs w:val="16"/>
                <w:lang w:val="en-GB"/>
              </w:rPr>
              <w:t>3</w:t>
            </w:r>
            <w:r w:rsidRPr="00931DC5">
              <w:rPr>
                <w:b/>
                <w:sz w:val="16"/>
                <w:szCs w:val="16"/>
                <w:lang w:val="en-GB"/>
              </w:rPr>
              <w:t xml:space="preserve"> – Advance poverty eradication in all its forms and dimensions</w:t>
            </w:r>
          </w:p>
        </w:tc>
      </w:tr>
      <w:tr w:rsidR="00F92F85" w:rsidRPr="00715D36" w14:paraId="77C77A54" w14:textId="77777777" w:rsidTr="00C215B9">
        <w:tc>
          <w:tcPr>
            <w:tcW w:w="1111" w:type="pct"/>
            <w:shd w:val="clear" w:color="auto" w:fill="FFFFFF" w:themeFill="background1"/>
            <w:tcMar>
              <w:top w:w="72" w:type="dxa"/>
              <w:left w:w="144" w:type="dxa"/>
              <w:bottom w:w="72" w:type="dxa"/>
              <w:right w:w="144" w:type="dxa"/>
            </w:tcMar>
            <w:vAlign w:val="center"/>
          </w:tcPr>
          <w:p w14:paraId="583AEC42" w14:textId="3654F11B"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3.1.</w:t>
            </w:r>
            <w:r>
              <w:rPr>
                <w:sz w:val="16"/>
                <w:szCs w:val="16"/>
              </w:rPr>
              <w:t xml:space="preserve"> </w:t>
            </w:r>
            <w:r w:rsidR="004A1569">
              <w:rPr>
                <w:sz w:val="16"/>
                <w:szCs w:val="16"/>
              </w:rPr>
              <w:t xml:space="preserve">Per cent </w:t>
            </w:r>
            <w:r w:rsidRPr="00713E0F">
              <w:rPr>
                <w:sz w:val="16"/>
                <w:szCs w:val="16"/>
              </w:rPr>
              <w:t xml:space="preserve">of population negatively impacted by natural and </w:t>
            </w:r>
            <w:r w:rsidR="004A1569">
              <w:rPr>
                <w:sz w:val="16"/>
                <w:szCs w:val="16"/>
              </w:rPr>
              <w:t>human-caused</w:t>
            </w:r>
            <w:r w:rsidRPr="00713E0F">
              <w:rPr>
                <w:sz w:val="16"/>
                <w:szCs w:val="16"/>
              </w:rPr>
              <w:t xml:space="preserve"> disasters</w:t>
            </w:r>
          </w:p>
          <w:p w14:paraId="67868295" w14:textId="701A6F82" w:rsidR="00F92F85" w:rsidRPr="00713E0F" w:rsidRDefault="00F92F85" w:rsidP="00C215B9">
            <w:pPr>
              <w:pStyle w:val="ListParagraph"/>
              <w:ind w:left="0"/>
              <w:jc w:val="both"/>
              <w:rPr>
                <w:sz w:val="16"/>
                <w:szCs w:val="16"/>
              </w:rPr>
            </w:pPr>
            <w:r w:rsidRPr="00033D10">
              <w:rPr>
                <w:b/>
                <w:bCs/>
                <w:sz w:val="16"/>
                <w:szCs w:val="16"/>
              </w:rPr>
              <w:t>Baseline</w:t>
            </w:r>
            <w:r w:rsidR="00033D10">
              <w:rPr>
                <w:sz w:val="16"/>
                <w:szCs w:val="16"/>
              </w:rPr>
              <w:t>:</w:t>
            </w:r>
            <w:r w:rsidRPr="00713E0F">
              <w:rPr>
                <w:sz w:val="16"/>
                <w:szCs w:val="16"/>
              </w:rPr>
              <w:t xml:space="preserve"> </w:t>
            </w:r>
            <w:r w:rsidR="00DA6F8A">
              <w:rPr>
                <w:sz w:val="16"/>
                <w:szCs w:val="16"/>
              </w:rPr>
              <w:t>TBC</w:t>
            </w:r>
          </w:p>
          <w:p w14:paraId="2E4C6978" w14:textId="4E9C495D" w:rsidR="00F92F85" w:rsidRDefault="00F92F85" w:rsidP="00C215B9">
            <w:pPr>
              <w:pStyle w:val="ListParagraph"/>
              <w:ind w:left="0"/>
              <w:jc w:val="both"/>
              <w:rPr>
                <w:sz w:val="16"/>
                <w:szCs w:val="16"/>
              </w:rPr>
            </w:pPr>
            <w:r w:rsidRPr="00033D10">
              <w:rPr>
                <w:b/>
                <w:bCs/>
                <w:sz w:val="16"/>
                <w:szCs w:val="16"/>
              </w:rPr>
              <w:t>Target</w:t>
            </w:r>
            <w:r w:rsidR="00033D10">
              <w:rPr>
                <w:sz w:val="16"/>
                <w:szCs w:val="16"/>
              </w:rPr>
              <w:t>:</w:t>
            </w:r>
            <w:r w:rsidR="00DA6F8A">
              <w:rPr>
                <w:sz w:val="16"/>
                <w:szCs w:val="16"/>
              </w:rPr>
              <w:t xml:space="preserve"> TBC</w:t>
            </w:r>
          </w:p>
          <w:p w14:paraId="38D48DAB" w14:textId="77777777" w:rsidR="00033D10" w:rsidRPr="00713E0F" w:rsidRDefault="00033D10" w:rsidP="00C215B9">
            <w:pPr>
              <w:pStyle w:val="ListParagraph"/>
              <w:ind w:left="0"/>
              <w:jc w:val="both"/>
              <w:rPr>
                <w:sz w:val="16"/>
                <w:szCs w:val="16"/>
              </w:rPr>
            </w:pPr>
          </w:p>
          <w:p w14:paraId="4476E42E" w14:textId="373CE77D"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w:t>
            </w:r>
            <w:r>
              <w:rPr>
                <w:b/>
                <w:bCs/>
                <w:sz w:val="16"/>
                <w:szCs w:val="16"/>
              </w:rPr>
              <w:t>2</w:t>
            </w:r>
            <w:r w:rsidRPr="00943F88">
              <w:rPr>
                <w:b/>
                <w:bCs/>
                <w:sz w:val="16"/>
                <w:szCs w:val="16"/>
              </w:rPr>
              <w:t>.</w:t>
            </w:r>
            <w:r>
              <w:rPr>
                <w:sz w:val="16"/>
                <w:szCs w:val="16"/>
              </w:rPr>
              <w:t xml:space="preserve"> </w:t>
            </w:r>
            <w:r w:rsidRPr="00713E0F">
              <w:rPr>
                <w:sz w:val="16"/>
                <w:szCs w:val="16"/>
              </w:rPr>
              <w:t xml:space="preserve">Proportion of terrestrial, marine and inland </w:t>
            </w:r>
            <w:r>
              <w:rPr>
                <w:sz w:val="16"/>
                <w:szCs w:val="16"/>
              </w:rPr>
              <w:t xml:space="preserve">resources </w:t>
            </w:r>
            <w:r w:rsidRPr="00713E0F">
              <w:rPr>
                <w:sz w:val="16"/>
                <w:szCs w:val="16"/>
              </w:rPr>
              <w:t xml:space="preserve">conserved for biodiversity and ecosystem services by </w:t>
            </w:r>
            <w:r w:rsidR="004A1569">
              <w:rPr>
                <w:sz w:val="16"/>
                <w:szCs w:val="16"/>
              </w:rPr>
              <w:t>f</w:t>
            </w:r>
            <w:r w:rsidRPr="00713E0F">
              <w:rPr>
                <w:sz w:val="16"/>
                <w:szCs w:val="16"/>
              </w:rPr>
              <w:t xml:space="preserve">orest </w:t>
            </w:r>
            <w:r w:rsidR="004A1569">
              <w:rPr>
                <w:sz w:val="16"/>
                <w:szCs w:val="16"/>
              </w:rPr>
              <w:t>c</w:t>
            </w:r>
            <w:r w:rsidRPr="00713E0F">
              <w:rPr>
                <w:sz w:val="16"/>
                <w:szCs w:val="16"/>
              </w:rPr>
              <w:t>over (</w:t>
            </w:r>
            <w:r w:rsidR="004A1569">
              <w:rPr>
                <w:sz w:val="16"/>
                <w:szCs w:val="16"/>
              </w:rPr>
              <w:t>Goal</w:t>
            </w:r>
            <w:r w:rsidR="004A1569" w:rsidRPr="00713E0F">
              <w:rPr>
                <w:sz w:val="16"/>
                <w:szCs w:val="16"/>
              </w:rPr>
              <w:t xml:space="preserve"> </w:t>
            </w:r>
            <w:r w:rsidRPr="00713E0F">
              <w:rPr>
                <w:sz w:val="16"/>
                <w:szCs w:val="16"/>
              </w:rPr>
              <w:t xml:space="preserve">15.1 and 15.2) </w:t>
            </w:r>
          </w:p>
          <w:p w14:paraId="201C8C68" w14:textId="635CCB0D" w:rsidR="00F92F85" w:rsidRPr="00713E0F" w:rsidRDefault="00F92F85" w:rsidP="00C215B9">
            <w:pPr>
              <w:pStyle w:val="ListParagraph"/>
              <w:ind w:left="0"/>
              <w:jc w:val="both"/>
              <w:rPr>
                <w:sz w:val="16"/>
                <w:szCs w:val="16"/>
              </w:rPr>
            </w:pPr>
            <w:r w:rsidRPr="00033D10">
              <w:rPr>
                <w:b/>
                <w:bCs/>
                <w:sz w:val="16"/>
                <w:szCs w:val="16"/>
              </w:rPr>
              <w:t>Baseline</w:t>
            </w:r>
            <w:r w:rsidR="00033D10">
              <w:rPr>
                <w:sz w:val="16"/>
                <w:szCs w:val="16"/>
              </w:rPr>
              <w:t>:</w:t>
            </w:r>
            <w:r w:rsidRPr="00713E0F">
              <w:rPr>
                <w:sz w:val="16"/>
                <w:szCs w:val="16"/>
              </w:rPr>
              <w:t xml:space="preserve"> </w:t>
            </w:r>
            <w:r w:rsidR="00DA6F8A" w:rsidRPr="00DA6F8A">
              <w:rPr>
                <w:spacing w:val="2"/>
                <w:sz w:val="16"/>
                <w:szCs w:val="16"/>
                <w:shd w:val="clear" w:color="auto" w:fill="FFFFFF"/>
              </w:rPr>
              <w:t>13.34 (2018)</w:t>
            </w:r>
          </w:p>
          <w:p w14:paraId="02434781" w14:textId="4444DDD8" w:rsidR="00F92F85" w:rsidRPr="00713E0F" w:rsidRDefault="00F92F85" w:rsidP="00C215B9">
            <w:pPr>
              <w:pStyle w:val="ListParagraph"/>
              <w:ind w:left="0"/>
              <w:jc w:val="both"/>
              <w:rPr>
                <w:sz w:val="16"/>
                <w:szCs w:val="16"/>
              </w:rPr>
            </w:pPr>
            <w:r w:rsidRPr="00033D10">
              <w:rPr>
                <w:b/>
                <w:bCs/>
                <w:sz w:val="16"/>
                <w:szCs w:val="16"/>
              </w:rPr>
              <w:t>Target</w:t>
            </w:r>
            <w:r w:rsidR="00033D10">
              <w:rPr>
                <w:sz w:val="16"/>
                <w:szCs w:val="16"/>
              </w:rPr>
              <w:t>:</w:t>
            </w:r>
            <w:r w:rsidRPr="00713E0F">
              <w:rPr>
                <w:sz w:val="16"/>
                <w:szCs w:val="16"/>
              </w:rPr>
              <w:t xml:space="preserve"> </w:t>
            </w:r>
            <w:r w:rsidR="00DA6F8A">
              <w:rPr>
                <w:sz w:val="16"/>
                <w:szCs w:val="16"/>
              </w:rPr>
              <w:t>&gt; 25.00</w:t>
            </w:r>
          </w:p>
          <w:p w14:paraId="7D8DC2EC" w14:textId="77777777" w:rsidR="00F92F85" w:rsidRPr="00715D36" w:rsidRDefault="00F92F85" w:rsidP="00C215B9">
            <w:pPr>
              <w:pStyle w:val="ListParagraph"/>
              <w:ind w:left="0"/>
              <w:jc w:val="both"/>
              <w:rPr>
                <w:b/>
                <w:bCs/>
                <w:sz w:val="16"/>
                <w:szCs w:val="16"/>
                <w:lang w:val="en-GB"/>
              </w:rPr>
            </w:pPr>
          </w:p>
        </w:tc>
        <w:tc>
          <w:tcPr>
            <w:tcW w:w="663" w:type="pct"/>
            <w:shd w:val="clear" w:color="auto" w:fill="FFFFFF" w:themeFill="background1"/>
            <w:vAlign w:val="center"/>
          </w:tcPr>
          <w:p w14:paraId="6962521D" w14:textId="3878E6C8" w:rsidR="00F92F85" w:rsidRPr="00713E0F" w:rsidRDefault="00F92F85" w:rsidP="00C215B9">
            <w:pPr>
              <w:jc w:val="both"/>
              <w:rPr>
                <w:sz w:val="16"/>
                <w:szCs w:val="16"/>
                <w:lang w:val="en-GB"/>
              </w:rPr>
            </w:pPr>
            <w:r w:rsidRPr="00943F88">
              <w:rPr>
                <w:b/>
                <w:bCs/>
                <w:sz w:val="16"/>
                <w:szCs w:val="16"/>
                <w:lang w:val="en-GB"/>
              </w:rPr>
              <w:t>Data sources</w:t>
            </w:r>
            <w:r w:rsidRPr="00713E0F">
              <w:rPr>
                <w:sz w:val="16"/>
                <w:szCs w:val="16"/>
                <w:lang w:val="en-GB"/>
              </w:rPr>
              <w:t xml:space="preserve">: Sector </w:t>
            </w:r>
            <w:r w:rsidR="004A1569">
              <w:rPr>
                <w:sz w:val="16"/>
                <w:szCs w:val="16"/>
                <w:lang w:val="en-GB"/>
              </w:rPr>
              <w:t>m</w:t>
            </w:r>
            <w:r w:rsidRPr="00713E0F">
              <w:rPr>
                <w:sz w:val="16"/>
                <w:szCs w:val="16"/>
                <w:lang w:val="en-GB"/>
              </w:rPr>
              <w:t>inistr</w:t>
            </w:r>
            <w:r w:rsidR="004A1569">
              <w:rPr>
                <w:sz w:val="16"/>
                <w:szCs w:val="16"/>
                <w:lang w:val="en-GB"/>
              </w:rPr>
              <w:t>y</w:t>
            </w:r>
            <w:r w:rsidRPr="00713E0F">
              <w:rPr>
                <w:sz w:val="16"/>
                <w:szCs w:val="16"/>
                <w:lang w:val="en-GB"/>
              </w:rPr>
              <w:t xml:space="preserve"> report</w:t>
            </w:r>
            <w:r w:rsidR="004A1569">
              <w:rPr>
                <w:sz w:val="16"/>
                <w:szCs w:val="16"/>
                <w:lang w:val="en-GB"/>
              </w:rPr>
              <w:t>s</w:t>
            </w:r>
          </w:p>
          <w:p w14:paraId="7BF5055D" w14:textId="77777777" w:rsidR="00F92F85" w:rsidRPr="00713E0F" w:rsidRDefault="00F92F85" w:rsidP="00C215B9">
            <w:pPr>
              <w:jc w:val="both"/>
              <w:rPr>
                <w:sz w:val="16"/>
                <w:szCs w:val="16"/>
                <w:lang w:val="en-GB"/>
              </w:rPr>
            </w:pPr>
          </w:p>
          <w:p w14:paraId="01DBB108" w14:textId="7A8C1E21" w:rsidR="00F92F85" w:rsidRPr="00713E0F" w:rsidRDefault="00F92F85" w:rsidP="00C215B9">
            <w:pPr>
              <w:jc w:val="both"/>
              <w:rPr>
                <w:sz w:val="16"/>
                <w:szCs w:val="16"/>
                <w:lang w:val="en-GB"/>
              </w:rPr>
            </w:pPr>
            <w:r w:rsidRPr="00943F88">
              <w:rPr>
                <w:b/>
                <w:bCs/>
                <w:sz w:val="16"/>
                <w:szCs w:val="16"/>
                <w:lang w:val="en-GB"/>
              </w:rPr>
              <w:t>Responsibilit</w:t>
            </w:r>
            <w:r>
              <w:rPr>
                <w:b/>
                <w:bCs/>
                <w:sz w:val="16"/>
                <w:szCs w:val="16"/>
                <w:lang w:val="en-GB"/>
              </w:rPr>
              <w:t>y</w:t>
            </w:r>
            <w:r w:rsidRPr="00713E0F">
              <w:rPr>
                <w:sz w:val="16"/>
                <w:szCs w:val="16"/>
                <w:lang w:val="en-GB"/>
              </w:rPr>
              <w:t xml:space="preserve">: </w:t>
            </w:r>
            <w:r>
              <w:rPr>
                <w:sz w:val="16"/>
                <w:szCs w:val="16"/>
                <w:lang w:val="en-GB"/>
              </w:rPr>
              <w:t>Ministr</w:t>
            </w:r>
            <w:r w:rsidR="00DA6F8A">
              <w:rPr>
                <w:sz w:val="16"/>
                <w:szCs w:val="16"/>
                <w:lang w:val="en-GB"/>
              </w:rPr>
              <w:t>ies</w:t>
            </w:r>
            <w:r>
              <w:rPr>
                <w:sz w:val="16"/>
                <w:szCs w:val="16"/>
                <w:lang w:val="en-GB"/>
              </w:rPr>
              <w:t xml:space="preserve"> of Finance and National Development, Land, Water and Environment, Agriculture, Trade and Industry</w:t>
            </w:r>
          </w:p>
          <w:p w14:paraId="64233747" w14:textId="77777777" w:rsidR="00F92F85" w:rsidRPr="00713E0F" w:rsidRDefault="00F92F85" w:rsidP="00C215B9">
            <w:pPr>
              <w:jc w:val="both"/>
              <w:rPr>
                <w:sz w:val="16"/>
                <w:szCs w:val="16"/>
                <w:lang w:val="en-GB"/>
              </w:rPr>
            </w:pPr>
          </w:p>
          <w:p w14:paraId="360C818D" w14:textId="77777777" w:rsidR="00F92F85" w:rsidRDefault="00F92F85" w:rsidP="00C215B9">
            <w:pPr>
              <w:jc w:val="both"/>
              <w:rPr>
                <w:sz w:val="16"/>
                <w:szCs w:val="16"/>
                <w:lang w:val="en-GB"/>
              </w:rPr>
            </w:pPr>
            <w:r w:rsidRPr="00943F88">
              <w:rPr>
                <w:b/>
                <w:bCs/>
                <w:sz w:val="16"/>
                <w:szCs w:val="16"/>
                <w:lang w:val="en-GB"/>
              </w:rPr>
              <w:t>Frequency</w:t>
            </w:r>
            <w:r w:rsidRPr="00713E0F">
              <w:rPr>
                <w:sz w:val="16"/>
                <w:szCs w:val="16"/>
                <w:lang w:val="en-GB"/>
              </w:rPr>
              <w:t xml:space="preserve">: </w:t>
            </w:r>
            <w:r>
              <w:rPr>
                <w:sz w:val="16"/>
                <w:szCs w:val="16"/>
                <w:lang w:val="en-GB"/>
              </w:rPr>
              <w:t>Annually</w:t>
            </w:r>
          </w:p>
          <w:p w14:paraId="427BE161" w14:textId="77777777" w:rsidR="00F92F85" w:rsidRPr="00715D36" w:rsidRDefault="00F92F85" w:rsidP="00C215B9">
            <w:pPr>
              <w:jc w:val="both"/>
              <w:rPr>
                <w:b/>
                <w:sz w:val="16"/>
                <w:szCs w:val="16"/>
              </w:rPr>
            </w:pPr>
          </w:p>
        </w:tc>
        <w:tc>
          <w:tcPr>
            <w:tcW w:w="2072" w:type="pct"/>
            <w:shd w:val="clear" w:color="auto" w:fill="FFFFFF" w:themeFill="background1"/>
            <w:tcMar>
              <w:top w:w="72" w:type="dxa"/>
              <w:left w:w="144" w:type="dxa"/>
              <w:bottom w:w="72" w:type="dxa"/>
              <w:right w:w="144" w:type="dxa"/>
            </w:tcMar>
            <w:vAlign w:val="center"/>
          </w:tcPr>
          <w:p w14:paraId="1A0F4CA0" w14:textId="3DC4CAAB" w:rsidR="00F92F85" w:rsidRDefault="00F92F85" w:rsidP="00C215B9">
            <w:pPr>
              <w:jc w:val="both"/>
              <w:rPr>
                <w:b/>
                <w:bCs/>
                <w:sz w:val="16"/>
                <w:szCs w:val="16"/>
              </w:rPr>
            </w:pPr>
            <w:r>
              <w:rPr>
                <w:b/>
                <w:bCs/>
                <w:sz w:val="16"/>
                <w:szCs w:val="16"/>
              </w:rPr>
              <w:t xml:space="preserve">Output 3.1 </w:t>
            </w:r>
            <w:r w:rsidRPr="00D7314E">
              <w:rPr>
                <w:b/>
                <w:bCs/>
                <w:sz w:val="16"/>
                <w:szCs w:val="16"/>
              </w:rPr>
              <w:t>Capacity of national, subnational and community</w:t>
            </w:r>
            <w:r w:rsidR="00B84C8B">
              <w:rPr>
                <w:b/>
                <w:bCs/>
                <w:sz w:val="16"/>
                <w:szCs w:val="16"/>
              </w:rPr>
              <w:t>-</w:t>
            </w:r>
            <w:r w:rsidRPr="00D7314E">
              <w:rPr>
                <w:b/>
                <w:bCs/>
                <w:sz w:val="16"/>
                <w:szCs w:val="16"/>
              </w:rPr>
              <w:t xml:space="preserve">level institutions </w:t>
            </w:r>
            <w:r w:rsidR="004A1569">
              <w:rPr>
                <w:b/>
                <w:bCs/>
                <w:sz w:val="16"/>
                <w:szCs w:val="16"/>
              </w:rPr>
              <w:t xml:space="preserve">is </w:t>
            </w:r>
            <w:r w:rsidRPr="00D7314E">
              <w:rPr>
                <w:b/>
                <w:bCs/>
                <w:sz w:val="16"/>
                <w:szCs w:val="16"/>
              </w:rPr>
              <w:t>strengthened to sustainably manage and use biodiversity, environmental and natural resources</w:t>
            </w:r>
            <w:r w:rsidR="000E0AAF">
              <w:rPr>
                <w:b/>
                <w:bCs/>
                <w:sz w:val="16"/>
                <w:szCs w:val="16"/>
              </w:rPr>
              <w:t xml:space="preserve"> </w:t>
            </w:r>
            <w:r w:rsidR="000E0AAF" w:rsidRPr="000E0AAF">
              <w:rPr>
                <w:b/>
                <w:bCs/>
                <w:sz w:val="16"/>
                <w:szCs w:val="16"/>
              </w:rPr>
              <w:t>and reduce disaster risks and their impacts</w:t>
            </w:r>
          </w:p>
          <w:p w14:paraId="57FB52BE" w14:textId="77777777" w:rsidR="00F92F85" w:rsidRDefault="00F92F85" w:rsidP="00C215B9">
            <w:pPr>
              <w:jc w:val="both"/>
              <w:rPr>
                <w:b/>
                <w:bCs/>
                <w:sz w:val="16"/>
                <w:szCs w:val="16"/>
              </w:rPr>
            </w:pPr>
          </w:p>
          <w:p w14:paraId="68EC7F72" w14:textId="419FE088" w:rsidR="00F92F85" w:rsidRPr="00713E0F" w:rsidRDefault="00F92F85" w:rsidP="00C215B9">
            <w:pPr>
              <w:pStyle w:val="ListParagraph"/>
              <w:numPr>
                <w:ilvl w:val="0"/>
                <w:numId w:val="29"/>
              </w:numPr>
              <w:ind w:left="0"/>
              <w:jc w:val="both"/>
              <w:rPr>
                <w:sz w:val="16"/>
                <w:szCs w:val="16"/>
              </w:rPr>
            </w:pPr>
            <w:r w:rsidRPr="00943F88">
              <w:rPr>
                <w:b/>
                <w:bCs/>
                <w:sz w:val="16"/>
                <w:szCs w:val="16"/>
                <w:lang w:val="en-GB"/>
              </w:rPr>
              <w:t>Indicator 3.1.1</w:t>
            </w:r>
            <w:r w:rsidRPr="00713E0F">
              <w:rPr>
                <w:sz w:val="16"/>
                <w:szCs w:val="16"/>
                <w:lang w:val="en-GB"/>
              </w:rPr>
              <w:t>:</w:t>
            </w:r>
            <w:r w:rsidRPr="00713E0F">
              <w:rPr>
                <w:sz w:val="16"/>
                <w:szCs w:val="16"/>
              </w:rPr>
              <w:t xml:space="preserve"> Coverage of protected areas in relation to marine areas</w:t>
            </w:r>
          </w:p>
          <w:p w14:paraId="27FEFE72" w14:textId="1F15D3C7" w:rsidR="00F92F85" w:rsidRPr="00713E0F" w:rsidRDefault="00F92F85" w:rsidP="00C215B9">
            <w:pPr>
              <w:jc w:val="both"/>
              <w:rPr>
                <w:sz w:val="16"/>
                <w:szCs w:val="16"/>
              </w:rPr>
            </w:pPr>
            <w:r w:rsidRPr="00943F88">
              <w:rPr>
                <w:b/>
                <w:bCs/>
                <w:sz w:val="16"/>
                <w:szCs w:val="16"/>
              </w:rPr>
              <w:t xml:space="preserve">Baseline </w:t>
            </w:r>
            <w:r w:rsidRPr="00943F88">
              <w:rPr>
                <w:sz w:val="16"/>
                <w:szCs w:val="16"/>
              </w:rPr>
              <w:t>(</w:t>
            </w:r>
            <w:r>
              <w:rPr>
                <w:sz w:val="16"/>
                <w:szCs w:val="16"/>
              </w:rPr>
              <w:t>2021</w:t>
            </w:r>
            <w:r w:rsidRPr="00943F88">
              <w:rPr>
                <w:sz w:val="16"/>
                <w:szCs w:val="16"/>
              </w:rPr>
              <w:t>)</w:t>
            </w:r>
            <w:r w:rsidRPr="00713E0F">
              <w:rPr>
                <w:sz w:val="16"/>
                <w:szCs w:val="16"/>
              </w:rPr>
              <w:t>:</w:t>
            </w:r>
            <w:r>
              <w:rPr>
                <w:sz w:val="16"/>
                <w:szCs w:val="16"/>
              </w:rPr>
              <w:t xml:space="preserve"> 0 h</w:t>
            </w:r>
            <w:r w:rsidR="004A1569">
              <w:rPr>
                <w:sz w:val="16"/>
                <w:szCs w:val="16"/>
              </w:rPr>
              <w:t>ectares</w:t>
            </w:r>
            <w:r w:rsidR="00075C75">
              <w:rPr>
                <w:sz w:val="16"/>
                <w:szCs w:val="16"/>
              </w:rPr>
              <w:t xml:space="preserve">; </w:t>
            </w:r>
            <w:r w:rsidRPr="00943F88">
              <w:rPr>
                <w:b/>
                <w:bCs/>
                <w:sz w:val="16"/>
                <w:szCs w:val="16"/>
              </w:rPr>
              <w:t>Target (</w:t>
            </w:r>
            <w:r>
              <w:rPr>
                <w:b/>
                <w:bCs/>
                <w:sz w:val="16"/>
                <w:szCs w:val="16"/>
              </w:rPr>
              <w:t>2026</w:t>
            </w:r>
            <w:r w:rsidRPr="00943F88">
              <w:rPr>
                <w:b/>
                <w:bCs/>
                <w:sz w:val="16"/>
                <w:szCs w:val="16"/>
              </w:rPr>
              <w:t>)</w:t>
            </w:r>
            <w:r w:rsidRPr="00713E0F">
              <w:rPr>
                <w:sz w:val="16"/>
                <w:szCs w:val="16"/>
              </w:rPr>
              <w:t>:</w:t>
            </w:r>
            <w:r w:rsidR="00B84C8B">
              <w:rPr>
                <w:sz w:val="16"/>
                <w:szCs w:val="16"/>
              </w:rPr>
              <w:t xml:space="preserve"> </w:t>
            </w:r>
            <w:r>
              <w:rPr>
                <w:sz w:val="16"/>
                <w:szCs w:val="16"/>
              </w:rPr>
              <w:t xml:space="preserve">880,000 </w:t>
            </w:r>
            <w:r w:rsidR="004A1569">
              <w:rPr>
                <w:sz w:val="16"/>
                <w:szCs w:val="16"/>
              </w:rPr>
              <w:t>hectares</w:t>
            </w:r>
          </w:p>
          <w:p w14:paraId="7C741328" w14:textId="77777777" w:rsidR="00F92F85" w:rsidRPr="00713E0F" w:rsidRDefault="00F92F85" w:rsidP="00C215B9">
            <w:pPr>
              <w:jc w:val="both"/>
              <w:rPr>
                <w:sz w:val="16"/>
                <w:szCs w:val="16"/>
              </w:rPr>
            </w:pPr>
          </w:p>
          <w:p w14:paraId="59BC25BB" w14:textId="7A68E023" w:rsidR="00F92F85" w:rsidRPr="00713E0F" w:rsidRDefault="00F92F85" w:rsidP="00C215B9">
            <w:pPr>
              <w:pStyle w:val="ListParagraph"/>
              <w:numPr>
                <w:ilvl w:val="0"/>
                <w:numId w:val="29"/>
              </w:numPr>
              <w:ind w:left="0"/>
              <w:jc w:val="both"/>
              <w:rPr>
                <w:sz w:val="16"/>
                <w:szCs w:val="16"/>
              </w:rPr>
            </w:pPr>
            <w:r w:rsidRPr="00943F88">
              <w:rPr>
                <w:b/>
                <w:bCs/>
                <w:sz w:val="16"/>
                <w:szCs w:val="16"/>
              </w:rPr>
              <w:t>Indicator 3.</w:t>
            </w:r>
            <w:r>
              <w:rPr>
                <w:b/>
                <w:bCs/>
                <w:sz w:val="16"/>
                <w:szCs w:val="16"/>
              </w:rPr>
              <w:t>1</w:t>
            </w:r>
            <w:r w:rsidRPr="00943F88">
              <w:rPr>
                <w:b/>
                <w:bCs/>
                <w:sz w:val="16"/>
                <w:szCs w:val="16"/>
              </w:rPr>
              <w:t>.</w:t>
            </w:r>
            <w:r>
              <w:rPr>
                <w:b/>
                <w:bCs/>
                <w:sz w:val="16"/>
                <w:szCs w:val="16"/>
              </w:rPr>
              <w:t>2</w:t>
            </w:r>
            <w:r w:rsidRPr="00943F88">
              <w:rPr>
                <w:b/>
                <w:bCs/>
                <w:sz w:val="16"/>
                <w:szCs w:val="16"/>
              </w:rPr>
              <w:t>:</w:t>
            </w:r>
            <w:r w:rsidRPr="00713E0F">
              <w:rPr>
                <w:sz w:val="16"/>
                <w:szCs w:val="16"/>
              </w:rPr>
              <w:t xml:space="preserve"> </w:t>
            </w:r>
            <w:r w:rsidR="00553E62">
              <w:rPr>
                <w:sz w:val="16"/>
                <w:szCs w:val="16"/>
              </w:rPr>
              <w:t>A</w:t>
            </w:r>
            <w:r>
              <w:rPr>
                <w:sz w:val="16"/>
                <w:szCs w:val="16"/>
              </w:rPr>
              <w:t xml:space="preserve">rea </w:t>
            </w:r>
            <w:r w:rsidR="00C406BF">
              <w:rPr>
                <w:sz w:val="16"/>
                <w:szCs w:val="16"/>
              </w:rPr>
              <w:t>under sustainable</w:t>
            </w:r>
            <w:r>
              <w:rPr>
                <w:sz w:val="16"/>
                <w:szCs w:val="16"/>
              </w:rPr>
              <w:t xml:space="preserve"> forest</w:t>
            </w:r>
            <w:r w:rsidR="00C406BF">
              <w:rPr>
                <w:sz w:val="16"/>
                <w:szCs w:val="16"/>
              </w:rPr>
              <w:t xml:space="preserve"> management</w:t>
            </w:r>
            <w:r>
              <w:rPr>
                <w:sz w:val="16"/>
                <w:szCs w:val="16"/>
              </w:rPr>
              <w:t xml:space="preserve"> </w:t>
            </w:r>
          </w:p>
          <w:p w14:paraId="03A890C4" w14:textId="25D46BCE" w:rsidR="00F92F85" w:rsidRPr="00713E0F" w:rsidRDefault="00F92F85" w:rsidP="00C215B9">
            <w:pPr>
              <w:jc w:val="both"/>
              <w:rPr>
                <w:sz w:val="16"/>
                <w:szCs w:val="16"/>
              </w:rPr>
            </w:pPr>
            <w:r w:rsidRPr="00943F88">
              <w:rPr>
                <w:b/>
                <w:bCs/>
                <w:sz w:val="16"/>
                <w:szCs w:val="16"/>
              </w:rPr>
              <w:t>Baseline (</w:t>
            </w:r>
            <w:r>
              <w:rPr>
                <w:b/>
                <w:bCs/>
                <w:sz w:val="16"/>
                <w:szCs w:val="16"/>
              </w:rPr>
              <w:t>2021</w:t>
            </w:r>
            <w:r w:rsidRPr="00943F88">
              <w:rPr>
                <w:b/>
                <w:bCs/>
                <w:sz w:val="16"/>
                <w:szCs w:val="16"/>
              </w:rPr>
              <w:t>)</w:t>
            </w:r>
            <w:r w:rsidRPr="00713E0F">
              <w:rPr>
                <w:sz w:val="16"/>
                <w:szCs w:val="16"/>
              </w:rPr>
              <w:t xml:space="preserve">: </w:t>
            </w:r>
            <w:r>
              <w:rPr>
                <w:sz w:val="16"/>
                <w:szCs w:val="16"/>
              </w:rPr>
              <w:t>574,000 h</w:t>
            </w:r>
            <w:r w:rsidR="004A1569">
              <w:rPr>
                <w:sz w:val="16"/>
                <w:szCs w:val="16"/>
              </w:rPr>
              <w:t>ectares</w:t>
            </w:r>
            <w:r w:rsidR="00075C75">
              <w:rPr>
                <w:sz w:val="16"/>
                <w:szCs w:val="16"/>
              </w:rPr>
              <w:t xml:space="preserve">; </w:t>
            </w:r>
            <w:r w:rsidRPr="00943F88">
              <w:rPr>
                <w:b/>
                <w:bCs/>
                <w:sz w:val="16"/>
                <w:szCs w:val="16"/>
              </w:rPr>
              <w:t>Target (</w:t>
            </w:r>
            <w:r>
              <w:rPr>
                <w:b/>
                <w:bCs/>
                <w:sz w:val="16"/>
                <w:szCs w:val="16"/>
              </w:rPr>
              <w:t>2026</w:t>
            </w:r>
            <w:r w:rsidR="004A1569">
              <w:rPr>
                <w:b/>
                <w:bCs/>
                <w:sz w:val="16"/>
                <w:szCs w:val="16"/>
              </w:rPr>
              <w:t>)</w:t>
            </w:r>
            <w:r w:rsidRPr="00713E0F">
              <w:rPr>
                <w:sz w:val="16"/>
                <w:szCs w:val="16"/>
              </w:rPr>
              <w:t>:</w:t>
            </w:r>
            <w:r>
              <w:rPr>
                <w:sz w:val="16"/>
                <w:szCs w:val="16"/>
              </w:rPr>
              <w:t xml:space="preserve"> 674,000 </w:t>
            </w:r>
            <w:r w:rsidR="004A1569">
              <w:rPr>
                <w:sz w:val="16"/>
                <w:szCs w:val="16"/>
              </w:rPr>
              <w:t>hectares</w:t>
            </w:r>
          </w:p>
          <w:p w14:paraId="7A4E2CCC" w14:textId="77777777" w:rsidR="00F92F85" w:rsidRDefault="00F92F85" w:rsidP="00C215B9">
            <w:pPr>
              <w:jc w:val="both"/>
              <w:rPr>
                <w:b/>
                <w:bCs/>
                <w:sz w:val="16"/>
                <w:szCs w:val="16"/>
              </w:rPr>
            </w:pPr>
          </w:p>
          <w:p w14:paraId="5CA84A38" w14:textId="613884CB" w:rsidR="00F92F85" w:rsidRPr="00943F88" w:rsidRDefault="00F92F85" w:rsidP="00C215B9">
            <w:pPr>
              <w:jc w:val="both"/>
              <w:rPr>
                <w:b/>
                <w:bCs/>
                <w:sz w:val="16"/>
                <w:szCs w:val="16"/>
              </w:rPr>
            </w:pPr>
            <w:r w:rsidRPr="00943F88">
              <w:rPr>
                <w:b/>
                <w:bCs/>
                <w:sz w:val="16"/>
                <w:szCs w:val="16"/>
              </w:rPr>
              <w:t>Output 3.</w:t>
            </w:r>
            <w:r>
              <w:rPr>
                <w:b/>
                <w:bCs/>
                <w:sz w:val="16"/>
                <w:szCs w:val="16"/>
              </w:rPr>
              <w:t>2</w:t>
            </w:r>
            <w:r w:rsidRPr="00943F88">
              <w:rPr>
                <w:b/>
                <w:bCs/>
                <w:sz w:val="16"/>
                <w:szCs w:val="16"/>
              </w:rPr>
              <w:t>.</w:t>
            </w:r>
            <w:r>
              <w:rPr>
                <w:b/>
                <w:bCs/>
                <w:sz w:val="16"/>
                <w:szCs w:val="16"/>
              </w:rPr>
              <w:t xml:space="preserve"> </w:t>
            </w:r>
            <w:r w:rsidRPr="00D7314E">
              <w:rPr>
                <w:b/>
                <w:bCs/>
                <w:sz w:val="16"/>
                <w:szCs w:val="16"/>
              </w:rPr>
              <w:t>Men</w:t>
            </w:r>
            <w:r w:rsidR="00075C75">
              <w:rPr>
                <w:b/>
                <w:bCs/>
                <w:sz w:val="16"/>
                <w:szCs w:val="16"/>
              </w:rPr>
              <w:t>,</w:t>
            </w:r>
            <w:r w:rsidRPr="00D7314E">
              <w:rPr>
                <w:b/>
                <w:bCs/>
                <w:sz w:val="16"/>
                <w:szCs w:val="16"/>
              </w:rPr>
              <w:t xml:space="preserve"> women </w:t>
            </w:r>
            <w:r w:rsidR="00075C75" w:rsidRPr="00D7314E">
              <w:rPr>
                <w:b/>
                <w:bCs/>
                <w:sz w:val="16"/>
                <w:szCs w:val="16"/>
              </w:rPr>
              <w:t xml:space="preserve">and </w:t>
            </w:r>
            <w:r w:rsidR="00075C75">
              <w:rPr>
                <w:b/>
                <w:bCs/>
                <w:sz w:val="16"/>
                <w:szCs w:val="16"/>
              </w:rPr>
              <w:t xml:space="preserve">youth </w:t>
            </w:r>
            <w:r w:rsidRPr="00D7314E">
              <w:rPr>
                <w:b/>
                <w:bCs/>
                <w:sz w:val="16"/>
                <w:szCs w:val="16"/>
              </w:rPr>
              <w:t>in rural areas are enabled to manage and utilize natural resources equitably and sustainably to improve livelihoods</w:t>
            </w:r>
          </w:p>
          <w:p w14:paraId="3F342CC5" w14:textId="77777777" w:rsidR="00F92F85" w:rsidRDefault="00F92F85" w:rsidP="00C215B9">
            <w:pPr>
              <w:pStyle w:val="ListParagraph"/>
              <w:numPr>
                <w:ilvl w:val="0"/>
                <w:numId w:val="3"/>
              </w:numPr>
              <w:ind w:left="0"/>
              <w:jc w:val="both"/>
              <w:rPr>
                <w:sz w:val="16"/>
                <w:szCs w:val="16"/>
                <w:lang w:val="en-GB"/>
              </w:rPr>
            </w:pPr>
          </w:p>
          <w:p w14:paraId="4FA66705" w14:textId="573F80EB" w:rsidR="00F92F85" w:rsidRPr="00713E0F" w:rsidRDefault="00F92F85" w:rsidP="00C215B9">
            <w:pPr>
              <w:pStyle w:val="ListParagraph"/>
              <w:numPr>
                <w:ilvl w:val="0"/>
                <w:numId w:val="3"/>
              </w:numPr>
              <w:ind w:left="0"/>
              <w:jc w:val="both"/>
              <w:rPr>
                <w:sz w:val="16"/>
                <w:szCs w:val="16"/>
                <w:lang w:val="en-GB"/>
              </w:rPr>
            </w:pPr>
            <w:r w:rsidRPr="00105B4F">
              <w:rPr>
                <w:b/>
                <w:bCs/>
                <w:sz w:val="16"/>
                <w:szCs w:val="16"/>
                <w:lang w:val="en-GB"/>
              </w:rPr>
              <w:t>Indicator 3.</w:t>
            </w:r>
            <w:r>
              <w:rPr>
                <w:b/>
                <w:bCs/>
                <w:sz w:val="16"/>
                <w:szCs w:val="16"/>
                <w:lang w:val="en-GB"/>
              </w:rPr>
              <w:t>2</w:t>
            </w:r>
            <w:r w:rsidRPr="00105B4F">
              <w:rPr>
                <w:b/>
                <w:bCs/>
                <w:sz w:val="16"/>
                <w:szCs w:val="16"/>
                <w:lang w:val="en-GB"/>
              </w:rPr>
              <w:t>.1</w:t>
            </w:r>
            <w:r w:rsidRPr="00713E0F">
              <w:rPr>
                <w:sz w:val="16"/>
                <w:szCs w:val="16"/>
                <w:lang w:val="en-GB"/>
              </w:rPr>
              <w:t>:</w:t>
            </w:r>
            <w:r w:rsidRPr="00713E0F">
              <w:rPr>
                <w:sz w:val="16"/>
                <w:szCs w:val="16"/>
              </w:rPr>
              <w:t xml:space="preserve"> </w:t>
            </w:r>
            <w:r>
              <w:rPr>
                <w:sz w:val="16"/>
                <w:szCs w:val="16"/>
                <w:lang w:val="en-GB"/>
              </w:rPr>
              <w:t>T</w:t>
            </w:r>
            <w:r w:rsidRPr="00713E0F">
              <w:rPr>
                <w:sz w:val="16"/>
                <w:szCs w:val="16"/>
                <w:lang w:val="en-GB"/>
              </w:rPr>
              <w:t>otal number of additional</w:t>
            </w:r>
            <w:r>
              <w:rPr>
                <w:sz w:val="16"/>
                <w:szCs w:val="16"/>
                <w:lang w:val="en-GB"/>
              </w:rPr>
              <w:t xml:space="preserve"> men</w:t>
            </w:r>
            <w:r w:rsidR="00075C75">
              <w:rPr>
                <w:sz w:val="16"/>
                <w:szCs w:val="16"/>
                <w:lang w:val="en-GB"/>
              </w:rPr>
              <w:t>,</w:t>
            </w:r>
            <w:r>
              <w:rPr>
                <w:sz w:val="16"/>
                <w:szCs w:val="16"/>
                <w:lang w:val="en-GB"/>
              </w:rPr>
              <w:t xml:space="preserve"> women </w:t>
            </w:r>
            <w:r w:rsidR="00075C75">
              <w:rPr>
                <w:sz w:val="16"/>
                <w:szCs w:val="16"/>
                <w:lang w:val="en-GB"/>
              </w:rPr>
              <w:t xml:space="preserve">and youth </w:t>
            </w:r>
            <w:r>
              <w:rPr>
                <w:sz w:val="16"/>
                <w:szCs w:val="16"/>
                <w:lang w:val="en-GB"/>
              </w:rPr>
              <w:t xml:space="preserve">of all ages </w:t>
            </w:r>
            <w:r w:rsidRPr="00713E0F">
              <w:rPr>
                <w:sz w:val="16"/>
                <w:szCs w:val="16"/>
                <w:lang w:val="en-GB"/>
              </w:rPr>
              <w:t xml:space="preserve">benefiting from strengthened livelihoods through solutions for management of natural resources, ecosystems </w:t>
            </w:r>
          </w:p>
          <w:p w14:paraId="30283696" w14:textId="0A539E02" w:rsidR="00F92F85" w:rsidRDefault="00F92F85" w:rsidP="00C215B9">
            <w:pPr>
              <w:pStyle w:val="ListParagraph"/>
              <w:ind w:left="0"/>
              <w:jc w:val="both"/>
              <w:rPr>
                <w:sz w:val="16"/>
                <w:szCs w:val="16"/>
                <w:lang w:val="en-GB"/>
              </w:rPr>
            </w:pPr>
            <w:r w:rsidRPr="00105B4F">
              <w:rPr>
                <w:b/>
                <w:bCs/>
                <w:sz w:val="16"/>
                <w:szCs w:val="16"/>
                <w:lang w:val="en-GB"/>
              </w:rPr>
              <w:t>Baseline (</w:t>
            </w:r>
            <w:r>
              <w:rPr>
                <w:b/>
                <w:bCs/>
                <w:sz w:val="16"/>
                <w:szCs w:val="16"/>
                <w:lang w:val="en-GB"/>
              </w:rPr>
              <w:t>2021</w:t>
            </w:r>
            <w:r w:rsidRPr="00105B4F">
              <w:rPr>
                <w:b/>
                <w:bCs/>
                <w:sz w:val="16"/>
                <w:szCs w:val="16"/>
                <w:lang w:val="en-GB"/>
              </w:rPr>
              <w:t>)</w:t>
            </w:r>
            <w:r w:rsidRPr="00713E0F">
              <w:rPr>
                <w:sz w:val="16"/>
                <w:szCs w:val="16"/>
                <w:lang w:val="en-GB"/>
              </w:rPr>
              <w:t>:</w:t>
            </w:r>
            <w:r>
              <w:rPr>
                <w:sz w:val="16"/>
                <w:szCs w:val="16"/>
                <w:lang w:val="en-GB"/>
              </w:rPr>
              <w:t xml:space="preserve"> 152,280</w:t>
            </w:r>
            <w:r w:rsidR="00075C75">
              <w:rPr>
                <w:sz w:val="16"/>
                <w:szCs w:val="16"/>
                <w:lang w:val="en-GB"/>
              </w:rPr>
              <w:t xml:space="preserve">; </w:t>
            </w:r>
            <w:r w:rsidRPr="00105B4F">
              <w:rPr>
                <w:b/>
                <w:bCs/>
                <w:sz w:val="16"/>
                <w:szCs w:val="16"/>
                <w:lang w:val="en-GB"/>
              </w:rPr>
              <w:t>Target (</w:t>
            </w:r>
            <w:r>
              <w:rPr>
                <w:b/>
                <w:bCs/>
                <w:sz w:val="16"/>
                <w:szCs w:val="16"/>
                <w:lang w:val="en-GB"/>
              </w:rPr>
              <w:t>2026</w:t>
            </w:r>
            <w:r w:rsidRPr="00105B4F">
              <w:rPr>
                <w:b/>
                <w:bCs/>
                <w:sz w:val="16"/>
                <w:szCs w:val="16"/>
                <w:lang w:val="en-GB"/>
              </w:rPr>
              <w:t>)</w:t>
            </w:r>
            <w:r w:rsidRPr="00713E0F">
              <w:rPr>
                <w:sz w:val="16"/>
                <w:szCs w:val="16"/>
                <w:lang w:val="en-GB"/>
              </w:rPr>
              <w:t>:</w:t>
            </w:r>
            <w:r>
              <w:rPr>
                <w:sz w:val="16"/>
                <w:szCs w:val="16"/>
                <w:lang w:val="en-GB"/>
              </w:rPr>
              <w:t xml:space="preserve"> 325,000</w:t>
            </w:r>
            <w:r w:rsidR="006A498F">
              <w:rPr>
                <w:sz w:val="16"/>
                <w:szCs w:val="16"/>
                <w:lang w:val="en-GB"/>
              </w:rPr>
              <w:t xml:space="preserve"> (equal proportions</w:t>
            </w:r>
            <w:r w:rsidR="004A1569">
              <w:rPr>
                <w:sz w:val="16"/>
                <w:szCs w:val="16"/>
                <w:lang w:val="en-GB"/>
              </w:rPr>
              <w:t xml:space="preserve"> of male, female and youth)</w:t>
            </w:r>
          </w:p>
          <w:p w14:paraId="0F826497" w14:textId="77777777" w:rsidR="00075C75" w:rsidRPr="00075C75" w:rsidRDefault="00075C75" w:rsidP="00C215B9">
            <w:pPr>
              <w:pStyle w:val="ListParagraph"/>
              <w:numPr>
                <w:ilvl w:val="0"/>
                <w:numId w:val="3"/>
              </w:numPr>
              <w:ind w:left="0"/>
              <w:jc w:val="both"/>
              <w:rPr>
                <w:sz w:val="16"/>
                <w:szCs w:val="16"/>
              </w:rPr>
            </w:pPr>
          </w:p>
          <w:p w14:paraId="19566845" w14:textId="3F13F95D" w:rsidR="003D0C07" w:rsidRPr="00713E0F" w:rsidRDefault="00075C75" w:rsidP="00C215B9">
            <w:pPr>
              <w:pStyle w:val="ListParagraph"/>
              <w:numPr>
                <w:ilvl w:val="0"/>
                <w:numId w:val="3"/>
              </w:numPr>
              <w:ind w:left="0"/>
              <w:jc w:val="both"/>
              <w:rPr>
                <w:sz w:val="16"/>
                <w:szCs w:val="16"/>
              </w:rPr>
            </w:pPr>
            <w:r w:rsidRPr="00105B4F">
              <w:rPr>
                <w:b/>
                <w:bCs/>
                <w:sz w:val="16"/>
                <w:szCs w:val="16"/>
                <w:lang w:val="en-GB"/>
              </w:rPr>
              <w:t>Indicator 3.</w:t>
            </w:r>
            <w:r>
              <w:rPr>
                <w:b/>
                <w:bCs/>
                <w:sz w:val="16"/>
                <w:szCs w:val="16"/>
                <w:lang w:val="en-GB"/>
              </w:rPr>
              <w:t>2</w:t>
            </w:r>
            <w:r w:rsidRPr="00105B4F">
              <w:rPr>
                <w:b/>
                <w:bCs/>
                <w:sz w:val="16"/>
                <w:szCs w:val="16"/>
                <w:lang w:val="en-GB"/>
              </w:rPr>
              <w:t>.2</w:t>
            </w:r>
            <w:r>
              <w:rPr>
                <w:sz w:val="16"/>
                <w:szCs w:val="16"/>
                <w:lang w:val="en-GB"/>
              </w:rPr>
              <w:t>:</w:t>
            </w:r>
            <w:r w:rsidRPr="00713E0F">
              <w:rPr>
                <w:sz w:val="16"/>
                <w:szCs w:val="16"/>
              </w:rPr>
              <w:t xml:space="preserve"> </w:t>
            </w:r>
            <w:r w:rsidR="004A1569">
              <w:rPr>
                <w:sz w:val="16"/>
                <w:szCs w:val="16"/>
                <w:lang w:val="en-GB"/>
              </w:rPr>
              <w:t>Per cent</w:t>
            </w:r>
            <w:r w:rsidR="004A1569" w:rsidRPr="00713E0F">
              <w:rPr>
                <w:sz w:val="16"/>
                <w:szCs w:val="16"/>
                <w:lang w:val="en-GB"/>
              </w:rPr>
              <w:t xml:space="preserve"> </w:t>
            </w:r>
            <w:r w:rsidRPr="00713E0F">
              <w:rPr>
                <w:sz w:val="16"/>
                <w:szCs w:val="16"/>
                <w:lang w:val="en-GB"/>
              </w:rPr>
              <w:t>of women participating in local decision-making processes related to natural resources management</w:t>
            </w:r>
            <w:r w:rsidR="003D0C07">
              <w:rPr>
                <w:sz w:val="16"/>
                <w:szCs w:val="16"/>
                <w:lang w:val="en-GB"/>
              </w:rPr>
              <w:t xml:space="preserve"> (disaggregated by age and disability)</w:t>
            </w:r>
          </w:p>
          <w:p w14:paraId="258213A4" w14:textId="15C23D57" w:rsidR="00F92F85" w:rsidRPr="00715D36" w:rsidRDefault="00075C75" w:rsidP="00C215B9">
            <w:pPr>
              <w:pStyle w:val="ListParagraph"/>
              <w:ind w:left="0"/>
              <w:jc w:val="both"/>
              <w:rPr>
                <w:b/>
                <w:bCs/>
                <w:sz w:val="16"/>
                <w:szCs w:val="16"/>
                <w:lang w:val="en-GB"/>
              </w:rPr>
            </w:pPr>
            <w:r w:rsidRPr="00105B4F">
              <w:rPr>
                <w:b/>
                <w:bCs/>
                <w:sz w:val="16"/>
                <w:szCs w:val="16"/>
                <w:lang w:val="en-GB"/>
              </w:rPr>
              <w:t>Baseline (</w:t>
            </w:r>
            <w:r>
              <w:rPr>
                <w:b/>
                <w:bCs/>
                <w:sz w:val="16"/>
                <w:szCs w:val="16"/>
                <w:lang w:val="en-GB"/>
              </w:rPr>
              <w:t>2021</w:t>
            </w:r>
            <w:r w:rsidRPr="00105B4F">
              <w:rPr>
                <w:b/>
                <w:bCs/>
                <w:sz w:val="16"/>
                <w:szCs w:val="16"/>
                <w:lang w:val="en-GB"/>
              </w:rPr>
              <w:t>):</w:t>
            </w:r>
            <w:r>
              <w:rPr>
                <w:sz w:val="16"/>
                <w:szCs w:val="16"/>
                <w:lang w:val="en-GB"/>
              </w:rPr>
              <w:t xml:space="preserve"> 10%; </w:t>
            </w:r>
            <w:r w:rsidRPr="00105B4F">
              <w:rPr>
                <w:b/>
                <w:bCs/>
                <w:sz w:val="16"/>
                <w:szCs w:val="16"/>
                <w:lang w:val="en-GB"/>
              </w:rPr>
              <w:t>Target (</w:t>
            </w:r>
            <w:r>
              <w:rPr>
                <w:b/>
                <w:bCs/>
                <w:sz w:val="16"/>
                <w:szCs w:val="16"/>
                <w:lang w:val="en-GB"/>
              </w:rPr>
              <w:t>2026</w:t>
            </w:r>
            <w:r w:rsidRPr="00105B4F">
              <w:rPr>
                <w:b/>
                <w:bCs/>
                <w:sz w:val="16"/>
                <w:szCs w:val="16"/>
                <w:lang w:val="en-GB"/>
              </w:rPr>
              <w:t>):</w:t>
            </w:r>
            <w:r>
              <w:rPr>
                <w:b/>
                <w:bCs/>
                <w:sz w:val="16"/>
                <w:szCs w:val="16"/>
                <w:lang w:val="en-GB"/>
              </w:rPr>
              <w:t xml:space="preserve"> </w:t>
            </w:r>
            <w:r>
              <w:rPr>
                <w:sz w:val="16"/>
                <w:szCs w:val="16"/>
                <w:lang w:val="en-GB"/>
              </w:rPr>
              <w:t>30%</w:t>
            </w:r>
          </w:p>
        </w:tc>
        <w:tc>
          <w:tcPr>
            <w:tcW w:w="574" w:type="pct"/>
            <w:shd w:val="clear" w:color="auto" w:fill="FFFFFF" w:themeFill="background1"/>
            <w:vAlign w:val="center"/>
          </w:tcPr>
          <w:p w14:paraId="0739C98F" w14:textId="6ED6E807" w:rsidR="00F92F85" w:rsidRPr="004A6025" w:rsidRDefault="00690DED" w:rsidP="00C215B9">
            <w:pPr>
              <w:jc w:val="both"/>
              <w:rPr>
                <w:sz w:val="16"/>
                <w:szCs w:val="16"/>
                <w:lang w:val="en-GB"/>
              </w:rPr>
            </w:pPr>
            <w:r>
              <w:rPr>
                <w:sz w:val="16"/>
                <w:szCs w:val="16"/>
                <w:lang w:val="en-GB"/>
              </w:rPr>
              <w:t>MFND</w:t>
            </w:r>
            <w:r w:rsidR="00F92F85">
              <w:rPr>
                <w:sz w:val="16"/>
                <w:szCs w:val="16"/>
                <w:lang w:val="en-GB"/>
              </w:rPr>
              <w:t xml:space="preserve">, </w:t>
            </w:r>
            <w:r w:rsidR="00F92F85" w:rsidRPr="004A6025">
              <w:rPr>
                <w:sz w:val="16"/>
                <w:szCs w:val="16"/>
                <w:lang w:val="en-GB"/>
              </w:rPr>
              <w:t>Ministr</w:t>
            </w:r>
            <w:r w:rsidR="00F92F85">
              <w:rPr>
                <w:sz w:val="16"/>
                <w:szCs w:val="16"/>
                <w:lang w:val="en-GB"/>
              </w:rPr>
              <w:t>ies</w:t>
            </w:r>
            <w:r w:rsidR="00F92F85" w:rsidRPr="004A6025">
              <w:rPr>
                <w:sz w:val="16"/>
                <w:szCs w:val="16"/>
                <w:lang w:val="en-GB"/>
              </w:rPr>
              <w:t xml:space="preserve"> of Agriculture, Trade and Industry, Marine Resources,  </w:t>
            </w:r>
          </w:p>
          <w:p w14:paraId="4EF63782" w14:textId="41A7A79E" w:rsidR="00F92F85" w:rsidRPr="004A6025" w:rsidRDefault="00F92F85" w:rsidP="000F0401">
            <w:pPr>
              <w:rPr>
                <w:sz w:val="16"/>
                <w:szCs w:val="16"/>
                <w:lang w:val="en-GB"/>
              </w:rPr>
            </w:pPr>
            <w:r w:rsidRPr="004A6025">
              <w:rPr>
                <w:sz w:val="16"/>
                <w:szCs w:val="16"/>
                <w:lang w:val="en-GB"/>
              </w:rPr>
              <w:t>Land, Water and Environment, Local Government</w:t>
            </w:r>
            <w:r w:rsidR="004A1569">
              <w:rPr>
                <w:sz w:val="16"/>
                <w:szCs w:val="16"/>
                <w:lang w:val="en-GB"/>
              </w:rPr>
              <w:t>;</w:t>
            </w:r>
            <w:r w:rsidRPr="004A6025">
              <w:rPr>
                <w:sz w:val="16"/>
                <w:szCs w:val="16"/>
                <w:lang w:val="en-GB"/>
              </w:rPr>
              <w:t xml:space="preserve"> National Union of Eritrean Youth and Students and National Union of Eritrean Wome</w:t>
            </w:r>
            <w:r w:rsidR="004A1569">
              <w:rPr>
                <w:sz w:val="16"/>
                <w:szCs w:val="16"/>
                <w:lang w:val="en-GB"/>
              </w:rPr>
              <w:t>n</w:t>
            </w:r>
          </w:p>
          <w:p w14:paraId="0A384669" w14:textId="77777777" w:rsidR="00F92F85" w:rsidRPr="00715D36" w:rsidRDefault="00F92F85" w:rsidP="00C215B9">
            <w:pPr>
              <w:jc w:val="both"/>
              <w:rPr>
                <w:b/>
                <w:bCs/>
                <w:sz w:val="16"/>
                <w:szCs w:val="16"/>
                <w:lang w:val="en-GB"/>
              </w:rPr>
            </w:pPr>
          </w:p>
        </w:tc>
        <w:tc>
          <w:tcPr>
            <w:tcW w:w="580" w:type="pct"/>
            <w:shd w:val="clear" w:color="auto" w:fill="FFFFFF" w:themeFill="background1"/>
            <w:tcMar>
              <w:top w:w="15" w:type="dxa"/>
              <w:left w:w="108" w:type="dxa"/>
              <w:bottom w:w="0" w:type="dxa"/>
              <w:right w:w="108" w:type="dxa"/>
            </w:tcMar>
            <w:vAlign w:val="center"/>
          </w:tcPr>
          <w:p w14:paraId="39D6F6A6" w14:textId="17E9C95F" w:rsidR="00F92F85" w:rsidRDefault="00F92F85" w:rsidP="00C215B9">
            <w:pPr>
              <w:jc w:val="both"/>
              <w:rPr>
                <w:b/>
                <w:sz w:val="16"/>
                <w:szCs w:val="16"/>
              </w:rPr>
            </w:pPr>
            <w:r w:rsidRPr="00715D36">
              <w:rPr>
                <w:b/>
                <w:sz w:val="16"/>
                <w:szCs w:val="16"/>
              </w:rPr>
              <w:t>Regular</w:t>
            </w:r>
            <w:r>
              <w:rPr>
                <w:b/>
                <w:sz w:val="16"/>
                <w:szCs w:val="16"/>
              </w:rPr>
              <w:t>:</w:t>
            </w:r>
            <w:r w:rsidRPr="00715D36">
              <w:rPr>
                <w:b/>
                <w:sz w:val="16"/>
                <w:szCs w:val="16"/>
              </w:rPr>
              <w:t xml:space="preserve"> </w:t>
            </w:r>
            <w:r w:rsidR="006468D3">
              <w:rPr>
                <w:b/>
                <w:sz w:val="16"/>
                <w:szCs w:val="16"/>
              </w:rPr>
              <w:t>7</w:t>
            </w:r>
            <w:r w:rsidRPr="00715D36">
              <w:rPr>
                <w:b/>
                <w:sz w:val="16"/>
                <w:szCs w:val="16"/>
              </w:rPr>
              <w:t>,</w:t>
            </w:r>
            <w:r w:rsidR="00A74504">
              <w:rPr>
                <w:b/>
                <w:sz w:val="16"/>
                <w:szCs w:val="16"/>
              </w:rPr>
              <w:t>556</w:t>
            </w:r>
            <w:r w:rsidRPr="00715D36">
              <w:rPr>
                <w:b/>
                <w:sz w:val="16"/>
                <w:szCs w:val="16"/>
              </w:rPr>
              <w:t xml:space="preserve">,000 </w:t>
            </w:r>
          </w:p>
          <w:p w14:paraId="2BF1D6BA" w14:textId="72436E05" w:rsidR="00F92F85" w:rsidRPr="00715D36" w:rsidRDefault="00F92F85" w:rsidP="00C215B9">
            <w:pPr>
              <w:jc w:val="both"/>
              <w:rPr>
                <w:b/>
                <w:bCs/>
                <w:sz w:val="16"/>
                <w:szCs w:val="16"/>
                <w:lang w:val="en-GB"/>
              </w:rPr>
            </w:pPr>
            <w:r w:rsidRPr="00715D36">
              <w:rPr>
                <w:b/>
                <w:sz w:val="16"/>
                <w:szCs w:val="16"/>
              </w:rPr>
              <w:t>Other</w:t>
            </w:r>
            <w:r>
              <w:rPr>
                <w:b/>
                <w:sz w:val="16"/>
                <w:szCs w:val="16"/>
              </w:rPr>
              <w:t>:</w:t>
            </w:r>
            <w:r w:rsidRPr="00715D36">
              <w:rPr>
                <w:b/>
                <w:sz w:val="16"/>
                <w:szCs w:val="16"/>
              </w:rPr>
              <w:t xml:space="preserve"> </w:t>
            </w:r>
            <w:r w:rsidR="00591240">
              <w:rPr>
                <w:b/>
                <w:sz w:val="16"/>
                <w:szCs w:val="16"/>
              </w:rPr>
              <w:t>21</w:t>
            </w:r>
            <w:r w:rsidRPr="00715D36">
              <w:rPr>
                <w:b/>
                <w:sz w:val="16"/>
                <w:szCs w:val="16"/>
              </w:rPr>
              <w:t>,</w:t>
            </w:r>
            <w:r w:rsidR="00591240">
              <w:rPr>
                <w:b/>
                <w:sz w:val="16"/>
                <w:szCs w:val="16"/>
              </w:rPr>
              <w:t>5</w:t>
            </w:r>
            <w:r w:rsidRPr="00715D36">
              <w:rPr>
                <w:b/>
                <w:sz w:val="16"/>
                <w:szCs w:val="16"/>
              </w:rPr>
              <w:t>00,000</w:t>
            </w:r>
          </w:p>
        </w:tc>
      </w:tr>
      <w:tr w:rsidR="00F92F85" w:rsidRPr="00715D36" w14:paraId="2AAB09C6" w14:textId="77777777" w:rsidTr="00C215B9">
        <w:tc>
          <w:tcPr>
            <w:tcW w:w="1111" w:type="pct"/>
            <w:shd w:val="clear" w:color="auto" w:fill="FFFFFF" w:themeFill="background1"/>
            <w:tcMar>
              <w:top w:w="72" w:type="dxa"/>
              <w:left w:w="144" w:type="dxa"/>
              <w:bottom w:w="72" w:type="dxa"/>
              <w:right w:w="144" w:type="dxa"/>
            </w:tcMar>
            <w:vAlign w:val="center"/>
          </w:tcPr>
          <w:p w14:paraId="334A1C2B" w14:textId="17826755" w:rsidR="00F92F85" w:rsidRPr="004A1569" w:rsidRDefault="00F92F85" w:rsidP="00C215B9">
            <w:pPr>
              <w:pStyle w:val="ListParagraph"/>
              <w:numPr>
                <w:ilvl w:val="1"/>
                <w:numId w:val="24"/>
              </w:numPr>
              <w:ind w:left="0"/>
              <w:jc w:val="both"/>
              <w:rPr>
                <w:sz w:val="16"/>
                <w:szCs w:val="16"/>
              </w:rPr>
            </w:pPr>
            <w:r w:rsidRPr="00393E46">
              <w:rPr>
                <w:b/>
                <w:bCs/>
                <w:sz w:val="16"/>
                <w:szCs w:val="16"/>
              </w:rPr>
              <w:lastRenderedPageBreak/>
              <w:t>Indicator 3.3.</w:t>
            </w:r>
            <w:r w:rsidRPr="00393E46">
              <w:rPr>
                <w:sz w:val="16"/>
                <w:szCs w:val="16"/>
              </w:rPr>
              <w:t xml:space="preserve"> Prevalent vulnerability and Risk Management Index</w:t>
            </w:r>
            <w:r w:rsidR="00393E46" w:rsidRPr="00393E46">
              <w:rPr>
                <w:sz w:val="16"/>
                <w:szCs w:val="16"/>
              </w:rPr>
              <w:t xml:space="preserve"> </w:t>
            </w:r>
            <w:r w:rsidR="00B84C8B">
              <w:rPr>
                <w:sz w:val="16"/>
                <w:szCs w:val="16"/>
              </w:rPr>
              <w:t>(</w:t>
            </w:r>
            <w:r w:rsidR="00393E46" w:rsidRPr="00DF00C8">
              <w:rPr>
                <w:sz w:val="16"/>
                <w:szCs w:val="16"/>
              </w:rPr>
              <w:t>Red List Index</w:t>
            </w:r>
            <w:r w:rsidR="00B84C8B">
              <w:rPr>
                <w:sz w:val="16"/>
                <w:szCs w:val="16"/>
              </w:rPr>
              <w:t>)</w:t>
            </w:r>
            <w:r w:rsidR="00393E46" w:rsidRPr="004A1569">
              <w:rPr>
                <w:sz w:val="16"/>
                <w:szCs w:val="16"/>
              </w:rPr>
              <w:t xml:space="preserve"> </w:t>
            </w:r>
          </w:p>
          <w:p w14:paraId="68C6D989" w14:textId="1812B0B3" w:rsidR="00233740" w:rsidRPr="00233740" w:rsidRDefault="00F92F85" w:rsidP="00C215B9">
            <w:pPr>
              <w:jc w:val="both"/>
              <w:rPr>
                <w:sz w:val="16"/>
                <w:szCs w:val="16"/>
              </w:rPr>
            </w:pPr>
            <w:r w:rsidRPr="00233740">
              <w:rPr>
                <w:b/>
                <w:bCs/>
                <w:sz w:val="16"/>
                <w:szCs w:val="16"/>
              </w:rPr>
              <w:t>Baseline</w:t>
            </w:r>
            <w:r w:rsidR="00075C75">
              <w:rPr>
                <w:sz w:val="16"/>
                <w:szCs w:val="16"/>
              </w:rPr>
              <w:t xml:space="preserve">: </w:t>
            </w:r>
            <w:r w:rsidR="00233740" w:rsidRPr="00233740">
              <w:rPr>
                <w:sz w:val="16"/>
                <w:szCs w:val="16"/>
              </w:rPr>
              <w:t xml:space="preserve">0.893 </w:t>
            </w:r>
          </w:p>
          <w:p w14:paraId="2B899949" w14:textId="0113DA57" w:rsidR="00F92F85" w:rsidRDefault="00F92F85" w:rsidP="00C215B9">
            <w:pPr>
              <w:jc w:val="both"/>
              <w:rPr>
                <w:sz w:val="16"/>
                <w:szCs w:val="16"/>
              </w:rPr>
            </w:pPr>
            <w:r w:rsidRPr="00233740">
              <w:rPr>
                <w:b/>
                <w:bCs/>
                <w:sz w:val="16"/>
                <w:szCs w:val="16"/>
              </w:rPr>
              <w:t>Target</w:t>
            </w:r>
            <w:r w:rsidR="00075C75">
              <w:rPr>
                <w:sz w:val="16"/>
                <w:szCs w:val="16"/>
              </w:rPr>
              <w:t xml:space="preserve">: </w:t>
            </w:r>
            <w:r w:rsidR="00233740">
              <w:rPr>
                <w:sz w:val="16"/>
                <w:szCs w:val="16"/>
              </w:rPr>
              <w:t xml:space="preserve">0.900 </w:t>
            </w:r>
            <w:r w:rsidR="00B84C8B">
              <w:rPr>
                <w:sz w:val="16"/>
                <w:szCs w:val="16"/>
              </w:rPr>
              <w:t>(</w:t>
            </w:r>
            <w:r w:rsidR="00233740">
              <w:rPr>
                <w:sz w:val="16"/>
                <w:szCs w:val="16"/>
              </w:rPr>
              <w:t>TBC</w:t>
            </w:r>
            <w:r w:rsidR="00B84C8B">
              <w:rPr>
                <w:sz w:val="16"/>
                <w:szCs w:val="16"/>
              </w:rPr>
              <w:t>)</w:t>
            </w:r>
          </w:p>
          <w:p w14:paraId="4D9235D5" w14:textId="77777777" w:rsidR="00075C75" w:rsidRPr="00713E0F" w:rsidRDefault="00075C75" w:rsidP="00C215B9">
            <w:pPr>
              <w:jc w:val="both"/>
              <w:rPr>
                <w:sz w:val="16"/>
                <w:szCs w:val="16"/>
              </w:rPr>
            </w:pPr>
          </w:p>
          <w:p w14:paraId="58CA53AB" w14:textId="71ABDBBF" w:rsidR="00F92F85" w:rsidRPr="00713E0F" w:rsidRDefault="00F92F85" w:rsidP="00C215B9">
            <w:pPr>
              <w:pStyle w:val="ListParagraph"/>
              <w:numPr>
                <w:ilvl w:val="1"/>
                <w:numId w:val="24"/>
              </w:numPr>
              <w:ind w:left="0"/>
              <w:jc w:val="both"/>
              <w:rPr>
                <w:sz w:val="16"/>
                <w:szCs w:val="16"/>
              </w:rPr>
            </w:pPr>
            <w:r w:rsidRPr="00943F88">
              <w:rPr>
                <w:b/>
                <w:bCs/>
                <w:sz w:val="16"/>
                <w:szCs w:val="16"/>
              </w:rPr>
              <w:t>Indicator 3.</w:t>
            </w:r>
            <w:r>
              <w:rPr>
                <w:b/>
                <w:bCs/>
                <w:sz w:val="16"/>
                <w:szCs w:val="16"/>
              </w:rPr>
              <w:t>4</w:t>
            </w:r>
            <w:r w:rsidRPr="00943F88">
              <w:rPr>
                <w:b/>
                <w:bCs/>
                <w:sz w:val="16"/>
                <w:szCs w:val="16"/>
              </w:rPr>
              <w:t>.</w:t>
            </w:r>
            <w:r>
              <w:rPr>
                <w:sz w:val="16"/>
                <w:szCs w:val="16"/>
              </w:rPr>
              <w:t xml:space="preserve"> </w:t>
            </w:r>
            <w:r w:rsidRPr="00713E0F">
              <w:rPr>
                <w:sz w:val="16"/>
                <w:szCs w:val="16"/>
              </w:rPr>
              <w:t>Share of total energy consumption (renewable and non-renewable) (</w:t>
            </w:r>
            <w:r w:rsidR="004A1569">
              <w:rPr>
                <w:sz w:val="16"/>
                <w:szCs w:val="16"/>
              </w:rPr>
              <w:t>Goal</w:t>
            </w:r>
            <w:r w:rsidR="004A1569" w:rsidRPr="00713E0F">
              <w:rPr>
                <w:sz w:val="16"/>
                <w:szCs w:val="16"/>
              </w:rPr>
              <w:t xml:space="preserve"> </w:t>
            </w:r>
            <w:r w:rsidRPr="00713E0F">
              <w:rPr>
                <w:sz w:val="16"/>
                <w:szCs w:val="16"/>
              </w:rPr>
              <w:t>7.3)</w:t>
            </w:r>
          </w:p>
          <w:p w14:paraId="64F8B244" w14:textId="5EA05F62" w:rsidR="00F92F85" w:rsidRPr="00713E0F" w:rsidRDefault="00F92F85" w:rsidP="00C215B9">
            <w:pPr>
              <w:pStyle w:val="ListParagraph"/>
              <w:ind w:left="0"/>
              <w:jc w:val="both"/>
              <w:rPr>
                <w:sz w:val="16"/>
                <w:szCs w:val="16"/>
              </w:rPr>
            </w:pPr>
            <w:r w:rsidRPr="00233740">
              <w:rPr>
                <w:b/>
                <w:bCs/>
                <w:sz w:val="16"/>
                <w:szCs w:val="16"/>
              </w:rPr>
              <w:t>Baseline</w:t>
            </w:r>
            <w:r w:rsidR="00233740">
              <w:rPr>
                <w:sz w:val="16"/>
                <w:szCs w:val="16"/>
              </w:rPr>
              <w:t>:</w:t>
            </w:r>
            <w:r w:rsidRPr="00713E0F">
              <w:rPr>
                <w:sz w:val="16"/>
                <w:szCs w:val="16"/>
              </w:rPr>
              <w:t xml:space="preserve"> </w:t>
            </w:r>
            <w:r w:rsidR="00233740">
              <w:rPr>
                <w:sz w:val="16"/>
                <w:szCs w:val="16"/>
              </w:rPr>
              <w:t>48.42 (2020)</w:t>
            </w:r>
            <w:r w:rsidR="00233740">
              <w:rPr>
                <w:rStyle w:val="FootnoteReference"/>
                <w:sz w:val="16"/>
                <w:szCs w:val="16"/>
              </w:rPr>
              <w:footnoteReference w:id="20"/>
            </w:r>
          </w:p>
          <w:p w14:paraId="33DBD12A" w14:textId="0BCF418D" w:rsidR="00F92F85" w:rsidRPr="00713E0F" w:rsidRDefault="00F92F85" w:rsidP="00C215B9">
            <w:pPr>
              <w:pStyle w:val="ListParagraph"/>
              <w:ind w:left="0"/>
              <w:jc w:val="both"/>
              <w:rPr>
                <w:sz w:val="16"/>
                <w:szCs w:val="16"/>
              </w:rPr>
            </w:pPr>
            <w:r w:rsidRPr="00233740">
              <w:rPr>
                <w:b/>
                <w:bCs/>
                <w:sz w:val="16"/>
                <w:szCs w:val="16"/>
              </w:rPr>
              <w:t>Target</w:t>
            </w:r>
            <w:r w:rsidR="00233740">
              <w:rPr>
                <w:sz w:val="16"/>
                <w:szCs w:val="16"/>
              </w:rPr>
              <w:t>:</w:t>
            </w:r>
            <w:r w:rsidRPr="00713E0F">
              <w:rPr>
                <w:sz w:val="16"/>
                <w:szCs w:val="16"/>
              </w:rPr>
              <w:t xml:space="preserve"> </w:t>
            </w:r>
            <w:r w:rsidR="00233740">
              <w:rPr>
                <w:sz w:val="16"/>
                <w:szCs w:val="16"/>
              </w:rPr>
              <w:t>&gt; 60%</w:t>
            </w:r>
          </w:p>
          <w:p w14:paraId="511A3BF6" w14:textId="24EF1606" w:rsidR="00F92F85" w:rsidRPr="00203295" w:rsidRDefault="00F92F85" w:rsidP="00C215B9">
            <w:pPr>
              <w:pStyle w:val="ListParagraph"/>
              <w:ind w:left="0"/>
              <w:jc w:val="both"/>
              <w:rPr>
                <w:sz w:val="16"/>
                <w:szCs w:val="16"/>
              </w:rPr>
            </w:pPr>
          </w:p>
        </w:tc>
        <w:tc>
          <w:tcPr>
            <w:tcW w:w="663" w:type="pct"/>
            <w:shd w:val="clear" w:color="auto" w:fill="FFFFFF" w:themeFill="background1"/>
            <w:vAlign w:val="center"/>
          </w:tcPr>
          <w:p w14:paraId="1E31141F" w14:textId="09753C54" w:rsidR="00F92F85" w:rsidRDefault="00393E46" w:rsidP="00C215B9">
            <w:pPr>
              <w:jc w:val="both"/>
              <w:rPr>
                <w:bCs/>
                <w:sz w:val="16"/>
                <w:szCs w:val="16"/>
              </w:rPr>
            </w:pPr>
            <w:r w:rsidRPr="00943F88">
              <w:rPr>
                <w:b/>
                <w:bCs/>
                <w:sz w:val="16"/>
                <w:szCs w:val="16"/>
                <w:lang w:val="en-GB"/>
              </w:rPr>
              <w:t>Data sources</w:t>
            </w:r>
            <w:r w:rsidRPr="00713E0F">
              <w:rPr>
                <w:sz w:val="16"/>
                <w:szCs w:val="16"/>
                <w:lang w:val="en-GB"/>
              </w:rPr>
              <w:t xml:space="preserve">: Sector </w:t>
            </w:r>
            <w:r w:rsidR="004A1569">
              <w:rPr>
                <w:sz w:val="16"/>
                <w:szCs w:val="16"/>
                <w:lang w:val="en-GB"/>
              </w:rPr>
              <w:t>m</w:t>
            </w:r>
            <w:r w:rsidRPr="00713E0F">
              <w:rPr>
                <w:sz w:val="16"/>
                <w:szCs w:val="16"/>
                <w:lang w:val="en-GB"/>
              </w:rPr>
              <w:t>inistr</w:t>
            </w:r>
            <w:r w:rsidR="004A1569">
              <w:rPr>
                <w:sz w:val="16"/>
                <w:szCs w:val="16"/>
                <w:lang w:val="en-GB"/>
              </w:rPr>
              <w:t>y</w:t>
            </w:r>
            <w:r w:rsidRPr="00713E0F">
              <w:rPr>
                <w:sz w:val="16"/>
                <w:szCs w:val="16"/>
                <w:lang w:val="en-GB"/>
              </w:rPr>
              <w:t xml:space="preserve"> report</w:t>
            </w:r>
            <w:r w:rsidR="004A1569">
              <w:rPr>
                <w:sz w:val="16"/>
                <w:szCs w:val="16"/>
                <w:lang w:val="en-GB"/>
              </w:rPr>
              <w:t>s</w:t>
            </w:r>
            <w:r>
              <w:rPr>
                <w:sz w:val="16"/>
                <w:szCs w:val="16"/>
                <w:lang w:val="en-GB"/>
              </w:rPr>
              <w:t xml:space="preserve">, </w:t>
            </w:r>
            <w:r w:rsidR="004A1569">
              <w:rPr>
                <w:sz w:val="16"/>
                <w:szCs w:val="16"/>
                <w:lang w:val="en-GB"/>
              </w:rPr>
              <w:t>Human Development Report</w:t>
            </w:r>
            <w:r w:rsidRPr="00393E46">
              <w:rPr>
                <w:bCs/>
                <w:sz w:val="16"/>
                <w:szCs w:val="16"/>
              </w:rPr>
              <w:t>,</w:t>
            </w:r>
            <w:r>
              <w:rPr>
                <w:bCs/>
                <w:sz w:val="16"/>
                <w:szCs w:val="16"/>
              </w:rPr>
              <w:t xml:space="preserve"> </w:t>
            </w:r>
            <w:r w:rsidR="004A1569">
              <w:rPr>
                <w:bCs/>
                <w:sz w:val="16"/>
                <w:szCs w:val="16"/>
              </w:rPr>
              <w:t>Goals r</w:t>
            </w:r>
            <w:r>
              <w:rPr>
                <w:bCs/>
                <w:sz w:val="16"/>
                <w:szCs w:val="16"/>
              </w:rPr>
              <w:t>eports</w:t>
            </w:r>
          </w:p>
          <w:p w14:paraId="5F5FD581" w14:textId="77777777" w:rsidR="00393E46" w:rsidRDefault="00393E46" w:rsidP="00C215B9">
            <w:pPr>
              <w:jc w:val="both"/>
              <w:rPr>
                <w:b/>
                <w:sz w:val="16"/>
                <w:szCs w:val="16"/>
              </w:rPr>
            </w:pPr>
          </w:p>
          <w:p w14:paraId="7A8E9AA3" w14:textId="77777777" w:rsidR="00393E46" w:rsidRPr="00713E0F" w:rsidRDefault="00393E46" w:rsidP="00C215B9">
            <w:pPr>
              <w:jc w:val="both"/>
              <w:rPr>
                <w:sz w:val="16"/>
                <w:szCs w:val="16"/>
                <w:lang w:val="en-GB"/>
              </w:rPr>
            </w:pPr>
            <w:r w:rsidRPr="00943F88">
              <w:rPr>
                <w:b/>
                <w:bCs/>
                <w:sz w:val="16"/>
                <w:szCs w:val="16"/>
                <w:lang w:val="en-GB"/>
              </w:rPr>
              <w:t>Responsibilit</w:t>
            </w:r>
            <w:r>
              <w:rPr>
                <w:b/>
                <w:bCs/>
                <w:sz w:val="16"/>
                <w:szCs w:val="16"/>
                <w:lang w:val="en-GB"/>
              </w:rPr>
              <w:t>y</w:t>
            </w:r>
            <w:r w:rsidRPr="00713E0F">
              <w:rPr>
                <w:sz w:val="16"/>
                <w:szCs w:val="16"/>
                <w:lang w:val="en-GB"/>
              </w:rPr>
              <w:t xml:space="preserve">: </w:t>
            </w:r>
            <w:r>
              <w:rPr>
                <w:sz w:val="16"/>
                <w:szCs w:val="16"/>
                <w:lang w:val="en-GB"/>
              </w:rPr>
              <w:t>Ministries of Finance and National Development, Land, Water and Environment, Agriculture, Trade and Industry</w:t>
            </w:r>
          </w:p>
          <w:p w14:paraId="4BCF6B2E" w14:textId="77777777" w:rsidR="00393E46" w:rsidRPr="00713E0F" w:rsidRDefault="00393E46" w:rsidP="00C215B9">
            <w:pPr>
              <w:jc w:val="both"/>
              <w:rPr>
                <w:sz w:val="16"/>
                <w:szCs w:val="16"/>
                <w:lang w:val="en-GB"/>
              </w:rPr>
            </w:pPr>
          </w:p>
          <w:p w14:paraId="6F4FA93C" w14:textId="77777777" w:rsidR="00393E46" w:rsidRDefault="00393E46" w:rsidP="00C215B9">
            <w:pPr>
              <w:jc w:val="both"/>
              <w:rPr>
                <w:sz w:val="16"/>
                <w:szCs w:val="16"/>
                <w:lang w:val="en-GB"/>
              </w:rPr>
            </w:pPr>
            <w:r w:rsidRPr="00943F88">
              <w:rPr>
                <w:b/>
                <w:bCs/>
                <w:sz w:val="16"/>
                <w:szCs w:val="16"/>
                <w:lang w:val="en-GB"/>
              </w:rPr>
              <w:t>Frequency</w:t>
            </w:r>
            <w:r w:rsidRPr="00713E0F">
              <w:rPr>
                <w:sz w:val="16"/>
                <w:szCs w:val="16"/>
                <w:lang w:val="en-GB"/>
              </w:rPr>
              <w:t xml:space="preserve">: </w:t>
            </w:r>
            <w:r>
              <w:rPr>
                <w:sz w:val="16"/>
                <w:szCs w:val="16"/>
                <w:lang w:val="en-GB"/>
              </w:rPr>
              <w:t>Annually</w:t>
            </w:r>
          </w:p>
          <w:p w14:paraId="767B4034" w14:textId="5BDD99BD" w:rsidR="00393E46" w:rsidRPr="00715D36" w:rsidRDefault="00393E46" w:rsidP="00C215B9">
            <w:pPr>
              <w:jc w:val="both"/>
              <w:rPr>
                <w:b/>
                <w:sz w:val="16"/>
                <w:szCs w:val="16"/>
              </w:rPr>
            </w:pPr>
          </w:p>
        </w:tc>
        <w:tc>
          <w:tcPr>
            <w:tcW w:w="2072" w:type="pct"/>
            <w:shd w:val="clear" w:color="auto" w:fill="FFFFFF" w:themeFill="background1"/>
            <w:tcMar>
              <w:top w:w="72" w:type="dxa"/>
              <w:left w:w="144" w:type="dxa"/>
              <w:bottom w:w="72" w:type="dxa"/>
              <w:right w:w="144" w:type="dxa"/>
            </w:tcMar>
            <w:vAlign w:val="center"/>
          </w:tcPr>
          <w:p w14:paraId="7A44FE40" w14:textId="0FA4A0A5" w:rsidR="00F92F85" w:rsidRDefault="00F92F85" w:rsidP="00C215B9">
            <w:pPr>
              <w:jc w:val="both"/>
              <w:rPr>
                <w:sz w:val="16"/>
                <w:szCs w:val="16"/>
              </w:rPr>
            </w:pPr>
            <w:r w:rsidRPr="00343D93">
              <w:rPr>
                <w:b/>
                <w:bCs/>
                <w:sz w:val="16"/>
                <w:szCs w:val="16"/>
              </w:rPr>
              <w:t>Output 3.3.</w:t>
            </w:r>
            <w:r>
              <w:rPr>
                <w:sz w:val="16"/>
                <w:szCs w:val="16"/>
              </w:rPr>
              <w:t xml:space="preserve"> </w:t>
            </w:r>
            <w:r w:rsidRPr="00553E62">
              <w:rPr>
                <w:b/>
                <w:bCs/>
                <w:sz w:val="16"/>
                <w:szCs w:val="16"/>
              </w:rPr>
              <w:t>Capacities of public institutions and communities are enhanced to mitigate, adapt</w:t>
            </w:r>
            <w:r w:rsidR="004A1569">
              <w:rPr>
                <w:b/>
                <w:bCs/>
                <w:sz w:val="16"/>
                <w:szCs w:val="16"/>
              </w:rPr>
              <w:t xml:space="preserve"> </w:t>
            </w:r>
            <w:r w:rsidR="005D0C6A">
              <w:rPr>
                <w:b/>
                <w:bCs/>
                <w:sz w:val="16"/>
                <w:szCs w:val="16"/>
              </w:rPr>
              <w:t xml:space="preserve">to </w:t>
            </w:r>
            <w:r w:rsidR="004A1569">
              <w:rPr>
                <w:b/>
                <w:bCs/>
                <w:sz w:val="16"/>
                <w:szCs w:val="16"/>
              </w:rPr>
              <w:t>and</w:t>
            </w:r>
            <w:r w:rsidRPr="00553E62">
              <w:rPr>
                <w:b/>
                <w:bCs/>
                <w:sz w:val="16"/>
                <w:szCs w:val="16"/>
              </w:rPr>
              <w:t xml:space="preserve"> mainstream climate change and disaster risks into development programmes</w:t>
            </w:r>
          </w:p>
          <w:p w14:paraId="0EC92D6C" w14:textId="77777777" w:rsidR="00233740" w:rsidRDefault="00233740" w:rsidP="00C215B9">
            <w:pPr>
              <w:jc w:val="both"/>
              <w:rPr>
                <w:b/>
                <w:bCs/>
                <w:sz w:val="16"/>
                <w:szCs w:val="16"/>
              </w:rPr>
            </w:pPr>
          </w:p>
          <w:p w14:paraId="43DACE51" w14:textId="3BA08CE0" w:rsidR="00F92F85" w:rsidRPr="00343D93" w:rsidRDefault="00F92F85" w:rsidP="00C215B9">
            <w:pPr>
              <w:jc w:val="both"/>
              <w:rPr>
                <w:sz w:val="16"/>
                <w:szCs w:val="16"/>
              </w:rPr>
            </w:pPr>
            <w:r w:rsidRPr="00D13212">
              <w:rPr>
                <w:b/>
                <w:bCs/>
                <w:sz w:val="16"/>
                <w:szCs w:val="16"/>
              </w:rPr>
              <w:t>Indicator 3.</w:t>
            </w:r>
            <w:r>
              <w:rPr>
                <w:b/>
                <w:bCs/>
                <w:sz w:val="16"/>
                <w:szCs w:val="16"/>
              </w:rPr>
              <w:t>3.1</w:t>
            </w:r>
            <w:r w:rsidRPr="00343D93">
              <w:rPr>
                <w:sz w:val="16"/>
                <w:szCs w:val="16"/>
              </w:rPr>
              <w:t xml:space="preserve">: </w:t>
            </w:r>
            <w:r w:rsidR="004A1569">
              <w:rPr>
                <w:sz w:val="16"/>
                <w:szCs w:val="16"/>
              </w:rPr>
              <w:t>Number</w:t>
            </w:r>
            <w:r w:rsidR="004A1569" w:rsidRPr="00343D93">
              <w:rPr>
                <w:sz w:val="16"/>
                <w:szCs w:val="16"/>
              </w:rPr>
              <w:t xml:space="preserve"> </w:t>
            </w:r>
            <w:r w:rsidRPr="00343D93">
              <w:rPr>
                <w:sz w:val="16"/>
                <w:szCs w:val="16"/>
              </w:rPr>
              <w:t>of key public institutions with integrated climate adaptation and climate-related disaster risk reduction strategies and action plans</w:t>
            </w:r>
          </w:p>
          <w:p w14:paraId="2C2A62E9" w14:textId="19494232" w:rsidR="00F92F85" w:rsidRPr="00343D93" w:rsidRDefault="00F92F85" w:rsidP="00C215B9">
            <w:pPr>
              <w:jc w:val="both"/>
              <w:rPr>
                <w:sz w:val="16"/>
                <w:szCs w:val="16"/>
              </w:rPr>
            </w:pPr>
            <w:r w:rsidRPr="00781D11">
              <w:rPr>
                <w:b/>
                <w:bCs/>
                <w:sz w:val="16"/>
                <w:szCs w:val="16"/>
              </w:rPr>
              <w:t>Baseline (</w:t>
            </w:r>
            <w:r w:rsidRPr="00343D93">
              <w:rPr>
                <w:sz w:val="16"/>
                <w:szCs w:val="16"/>
              </w:rPr>
              <w:t xml:space="preserve">2021): </w:t>
            </w:r>
            <w:r>
              <w:rPr>
                <w:sz w:val="16"/>
                <w:szCs w:val="16"/>
              </w:rPr>
              <w:t>0</w:t>
            </w:r>
            <w:r w:rsidR="00781D11">
              <w:rPr>
                <w:sz w:val="16"/>
                <w:szCs w:val="16"/>
              </w:rPr>
              <w:t xml:space="preserve">; </w:t>
            </w:r>
            <w:r w:rsidRPr="00781D11">
              <w:rPr>
                <w:b/>
                <w:bCs/>
                <w:sz w:val="16"/>
                <w:szCs w:val="16"/>
              </w:rPr>
              <w:t xml:space="preserve">Target </w:t>
            </w:r>
            <w:r w:rsidRPr="00343D93">
              <w:rPr>
                <w:sz w:val="16"/>
                <w:szCs w:val="16"/>
              </w:rPr>
              <w:t>(2026):</w:t>
            </w:r>
            <w:r>
              <w:rPr>
                <w:sz w:val="16"/>
                <w:szCs w:val="16"/>
              </w:rPr>
              <w:t xml:space="preserve"> 2 </w:t>
            </w:r>
          </w:p>
          <w:p w14:paraId="6F141549" w14:textId="77777777" w:rsidR="00781D11" w:rsidRDefault="00781D11" w:rsidP="00C215B9">
            <w:pPr>
              <w:jc w:val="both"/>
              <w:rPr>
                <w:b/>
                <w:bCs/>
                <w:sz w:val="16"/>
                <w:szCs w:val="16"/>
              </w:rPr>
            </w:pPr>
          </w:p>
          <w:p w14:paraId="71214FCC" w14:textId="7D9A9A16" w:rsidR="00F92F85" w:rsidRPr="00343D93" w:rsidRDefault="00F92F85" w:rsidP="00C215B9">
            <w:pPr>
              <w:jc w:val="both"/>
              <w:rPr>
                <w:sz w:val="16"/>
                <w:szCs w:val="16"/>
              </w:rPr>
            </w:pPr>
            <w:r w:rsidRPr="00B070D7">
              <w:rPr>
                <w:b/>
                <w:bCs/>
                <w:sz w:val="16"/>
                <w:szCs w:val="16"/>
              </w:rPr>
              <w:t>Indicator 3.3.2</w:t>
            </w:r>
            <w:r w:rsidRPr="00343D93">
              <w:rPr>
                <w:sz w:val="16"/>
                <w:szCs w:val="16"/>
              </w:rPr>
              <w:t xml:space="preserve">: </w:t>
            </w:r>
            <w:r w:rsidR="004A1569">
              <w:rPr>
                <w:sz w:val="16"/>
                <w:szCs w:val="16"/>
              </w:rPr>
              <w:t>Number</w:t>
            </w:r>
            <w:r w:rsidR="004A1569" w:rsidRPr="00343D93">
              <w:rPr>
                <w:sz w:val="16"/>
                <w:szCs w:val="16"/>
              </w:rPr>
              <w:t xml:space="preserve"> </w:t>
            </w:r>
            <w:r w:rsidRPr="00343D93">
              <w:rPr>
                <w:sz w:val="16"/>
                <w:szCs w:val="16"/>
              </w:rPr>
              <w:t xml:space="preserve">of key public institutions </w:t>
            </w:r>
            <w:r w:rsidR="006B79F9">
              <w:rPr>
                <w:sz w:val="16"/>
                <w:szCs w:val="16"/>
              </w:rPr>
              <w:t>enabled to</w:t>
            </w:r>
            <w:r w:rsidRPr="00343D93">
              <w:rPr>
                <w:sz w:val="16"/>
                <w:szCs w:val="16"/>
              </w:rPr>
              <w:t xml:space="preserve"> integrate mitigation, adaptation and disaster risk reduction into </w:t>
            </w:r>
            <w:r w:rsidR="006B79F9">
              <w:rPr>
                <w:sz w:val="16"/>
                <w:szCs w:val="16"/>
              </w:rPr>
              <w:t>sector</w:t>
            </w:r>
            <w:r w:rsidR="006B79F9" w:rsidRPr="00343D93">
              <w:rPr>
                <w:sz w:val="16"/>
                <w:szCs w:val="16"/>
              </w:rPr>
              <w:t xml:space="preserve"> </w:t>
            </w:r>
            <w:r w:rsidRPr="00343D93">
              <w:rPr>
                <w:sz w:val="16"/>
                <w:szCs w:val="16"/>
              </w:rPr>
              <w:t xml:space="preserve">strategies and programmes </w:t>
            </w:r>
          </w:p>
          <w:p w14:paraId="486435D0" w14:textId="2F1635E1" w:rsidR="00F92F85" w:rsidRPr="00343D93" w:rsidRDefault="00F92F85" w:rsidP="00C215B9">
            <w:pPr>
              <w:jc w:val="both"/>
              <w:rPr>
                <w:sz w:val="16"/>
                <w:szCs w:val="16"/>
              </w:rPr>
            </w:pPr>
            <w:r w:rsidRPr="00781D11">
              <w:rPr>
                <w:b/>
                <w:bCs/>
                <w:sz w:val="16"/>
                <w:szCs w:val="16"/>
              </w:rPr>
              <w:t xml:space="preserve">Baseline </w:t>
            </w:r>
            <w:r w:rsidRPr="00343D93">
              <w:rPr>
                <w:sz w:val="16"/>
                <w:szCs w:val="16"/>
              </w:rPr>
              <w:t xml:space="preserve">(2021): </w:t>
            </w:r>
            <w:r>
              <w:rPr>
                <w:sz w:val="16"/>
                <w:szCs w:val="16"/>
              </w:rPr>
              <w:t>0</w:t>
            </w:r>
            <w:r w:rsidR="00781D11">
              <w:rPr>
                <w:sz w:val="16"/>
                <w:szCs w:val="16"/>
              </w:rPr>
              <w:t xml:space="preserve">; </w:t>
            </w:r>
            <w:r w:rsidRPr="00781D11">
              <w:rPr>
                <w:b/>
                <w:bCs/>
                <w:sz w:val="16"/>
                <w:szCs w:val="16"/>
              </w:rPr>
              <w:t xml:space="preserve">Target </w:t>
            </w:r>
            <w:r w:rsidRPr="00343D93">
              <w:rPr>
                <w:sz w:val="16"/>
                <w:szCs w:val="16"/>
              </w:rPr>
              <w:t>(2026):</w:t>
            </w:r>
            <w:r>
              <w:rPr>
                <w:sz w:val="16"/>
                <w:szCs w:val="16"/>
              </w:rPr>
              <w:t xml:space="preserve"> 2</w:t>
            </w:r>
          </w:p>
          <w:p w14:paraId="64BE6359" w14:textId="77777777" w:rsidR="00DA7EEA" w:rsidRDefault="00DA7EEA" w:rsidP="00C215B9">
            <w:pPr>
              <w:jc w:val="both"/>
              <w:rPr>
                <w:b/>
                <w:bCs/>
                <w:sz w:val="16"/>
                <w:szCs w:val="16"/>
              </w:rPr>
            </w:pPr>
          </w:p>
          <w:p w14:paraId="47714C05" w14:textId="021DC432" w:rsidR="00F92F85" w:rsidRPr="00343D93" w:rsidRDefault="00F92F85" w:rsidP="00C215B9">
            <w:pPr>
              <w:jc w:val="both"/>
              <w:rPr>
                <w:sz w:val="16"/>
                <w:szCs w:val="16"/>
              </w:rPr>
            </w:pPr>
            <w:r w:rsidRPr="00B070D7">
              <w:rPr>
                <w:b/>
                <w:bCs/>
                <w:sz w:val="16"/>
                <w:szCs w:val="16"/>
              </w:rPr>
              <w:t>Indicator 3.3.3</w:t>
            </w:r>
            <w:r w:rsidRPr="00343D93">
              <w:rPr>
                <w:sz w:val="16"/>
                <w:szCs w:val="16"/>
              </w:rPr>
              <w:t xml:space="preserve">: </w:t>
            </w:r>
            <w:r w:rsidR="004A1569">
              <w:rPr>
                <w:sz w:val="16"/>
                <w:szCs w:val="16"/>
              </w:rPr>
              <w:t xml:space="preserve">Number </w:t>
            </w:r>
            <w:r w:rsidRPr="00343D93">
              <w:rPr>
                <w:sz w:val="16"/>
                <w:szCs w:val="16"/>
              </w:rPr>
              <w:t>of communities with operational development plans that explicitly address climate-related hazards and disaster risk</w:t>
            </w:r>
          </w:p>
          <w:p w14:paraId="6738E48B" w14:textId="4C21723E" w:rsidR="00F92F85" w:rsidRPr="00343D93" w:rsidRDefault="00F92F85" w:rsidP="00C215B9">
            <w:pPr>
              <w:jc w:val="both"/>
              <w:rPr>
                <w:sz w:val="16"/>
                <w:szCs w:val="16"/>
              </w:rPr>
            </w:pPr>
            <w:r w:rsidRPr="00DA7EEA">
              <w:rPr>
                <w:b/>
                <w:bCs/>
                <w:sz w:val="16"/>
                <w:szCs w:val="16"/>
              </w:rPr>
              <w:t xml:space="preserve">Baseline </w:t>
            </w:r>
            <w:r w:rsidRPr="00343D93">
              <w:rPr>
                <w:sz w:val="16"/>
                <w:szCs w:val="16"/>
              </w:rPr>
              <w:t>(2021): 20</w:t>
            </w:r>
            <w:r w:rsidR="00DA7EEA">
              <w:rPr>
                <w:sz w:val="16"/>
                <w:szCs w:val="16"/>
              </w:rPr>
              <w:t xml:space="preserve">; </w:t>
            </w:r>
            <w:r w:rsidRPr="00DA7EEA">
              <w:rPr>
                <w:b/>
                <w:bCs/>
                <w:sz w:val="16"/>
                <w:szCs w:val="16"/>
              </w:rPr>
              <w:t xml:space="preserve">Target </w:t>
            </w:r>
            <w:r w:rsidRPr="00343D93">
              <w:rPr>
                <w:sz w:val="16"/>
                <w:szCs w:val="16"/>
              </w:rPr>
              <w:t>(2026):50</w:t>
            </w:r>
          </w:p>
          <w:p w14:paraId="444E7067" w14:textId="77777777" w:rsidR="00DA7EEA" w:rsidRDefault="00DA7EEA" w:rsidP="00C215B9">
            <w:pPr>
              <w:jc w:val="both"/>
              <w:rPr>
                <w:b/>
                <w:bCs/>
                <w:sz w:val="16"/>
                <w:szCs w:val="16"/>
              </w:rPr>
            </w:pPr>
          </w:p>
          <w:p w14:paraId="0CA492D3" w14:textId="1E1DF102" w:rsidR="00F92F85" w:rsidRPr="00343D93" w:rsidRDefault="00F92F85" w:rsidP="00C215B9">
            <w:pPr>
              <w:jc w:val="both"/>
              <w:rPr>
                <w:sz w:val="16"/>
                <w:szCs w:val="16"/>
              </w:rPr>
            </w:pPr>
            <w:r w:rsidRPr="00B070D7">
              <w:rPr>
                <w:b/>
                <w:bCs/>
                <w:sz w:val="16"/>
                <w:szCs w:val="16"/>
              </w:rPr>
              <w:t>Indicator 3.3.4:</w:t>
            </w:r>
            <w:r w:rsidRPr="00343D93">
              <w:rPr>
                <w:sz w:val="16"/>
                <w:szCs w:val="16"/>
              </w:rPr>
              <w:t xml:space="preserve"> </w:t>
            </w:r>
            <w:r w:rsidR="005D0C6A">
              <w:rPr>
                <w:sz w:val="16"/>
                <w:szCs w:val="16"/>
              </w:rPr>
              <w:t xml:space="preserve">Number </w:t>
            </w:r>
            <w:r w:rsidRPr="00343D93">
              <w:rPr>
                <w:sz w:val="16"/>
                <w:szCs w:val="16"/>
              </w:rPr>
              <w:t>of targeted communities that have operational and effective integrated water resources management system</w:t>
            </w:r>
            <w:r w:rsidR="006D7118">
              <w:rPr>
                <w:sz w:val="16"/>
                <w:szCs w:val="16"/>
              </w:rPr>
              <w:t>s</w:t>
            </w:r>
            <w:r w:rsidRPr="00343D93">
              <w:rPr>
                <w:sz w:val="16"/>
                <w:szCs w:val="16"/>
              </w:rPr>
              <w:t xml:space="preserve"> in place</w:t>
            </w:r>
          </w:p>
          <w:p w14:paraId="67E56057" w14:textId="75BED079" w:rsidR="00F92F85" w:rsidRDefault="00F92F85" w:rsidP="00C215B9">
            <w:pPr>
              <w:jc w:val="both"/>
              <w:rPr>
                <w:sz w:val="16"/>
                <w:szCs w:val="16"/>
              </w:rPr>
            </w:pPr>
            <w:r w:rsidRPr="00DA7EEA">
              <w:rPr>
                <w:b/>
                <w:bCs/>
                <w:sz w:val="16"/>
                <w:szCs w:val="16"/>
              </w:rPr>
              <w:t>Baseline</w:t>
            </w:r>
            <w:r w:rsidRPr="00343D93">
              <w:rPr>
                <w:sz w:val="16"/>
                <w:szCs w:val="16"/>
              </w:rPr>
              <w:t xml:space="preserve"> (2021): 30</w:t>
            </w:r>
            <w:r w:rsidR="00DA7EEA">
              <w:rPr>
                <w:sz w:val="16"/>
                <w:szCs w:val="16"/>
              </w:rPr>
              <w:t xml:space="preserve">; </w:t>
            </w:r>
            <w:r w:rsidRPr="00DA7EEA">
              <w:rPr>
                <w:b/>
                <w:bCs/>
                <w:sz w:val="16"/>
                <w:szCs w:val="16"/>
              </w:rPr>
              <w:t xml:space="preserve">Target </w:t>
            </w:r>
            <w:r w:rsidRPr="00343D93">
              <w:rPr>
                <w:sz w:val="16"/>
                <w:szCs w:val="16"/>
              </w:rPr>
              <w:t>(2026):</w:t>
            </w:r>
            <w:r w:rsidR="004A1569">
              <w:rPr>
                <w:sz w:val="16"/>
                <w:szCs w:val="16"/>
              </w:rPr>
              <w:t xml:space="preserve"> </w:t>
            </w:r>
            <w:r w:rsidRPr="00343D93">
              <w:rPr>
                <w:sz w:val="16"/>
                <w:szCs w:val="16"/>
              </w:rPr>
              <w:t>50</w:t>
            </w:r>
          </w:p>
          <w:p w14:paraId="65ADE3E3" w14:textId="77777777" w:rsidR="00F92F85" w:rsidRPr="00343D93" w:rsidRDefault="00F92F85" w:rsidP="00C215B9">
            <w:pPr>
              <w:jc w:val="both"/>
              <w:rPr>
                <w:sz w:val="16"/>
                <w:szCs w:val="16"/>
              </w:rPr>
            </w:pPr>
          </w:p>
          <w:p w14:paraId="5B0C6616" w14:textId="7CB3F07D" w:rsidR="00F92F85" w:rsidRPr="00DA7EEA" w:rsidRDefault="00F92F85" w:rsidP="00C215B9">
            <w:pPr>
              <w:pStyle w:val="ListParagraph"/>
              <w:numPr>
                <w:ilvl w:val="0"/>
                <w:numId w:val="3"/>
              </w:numPr>
              <w:ind w:left="0"/>
              <w:jc w:val="both"/>
              <w:rPr>
                <w:sz w:val="16"/>
                <w:szCs w:val="16"/>
                <w:lang w:val="en-GB"/>
              </w:rPr>
            </w:pPr>
            <w:r>
              <w:rPr>
                <w:b/>
                <w:bCs/>
                <w:sz w:val="16"/>
                <w:szCs w:val="16"/>
              </w:rPr>
              <w:t xml:space="preserve">Output 3.4. </w:t>
            </w:r>
            <w:r w:rsidRPr="00D7314E">
              <w:rPr>
                <w:b/>
                <w:bCs/>
                <w:sz w:val="16"/>
                <w:szCs w:val="16"/>
              </w:rPr>
              <w:t>Access to modern, renewable and affordable clean energy sources and services increased</w:t>
            </w:r>
          </w:p>
          <w:p w14:paraId="0FEA23CD" w14:textId="5F5AD737" w:rsidR="008662A9" w:rsidRDefault="008662A9" w:rsidP="00C215B9">
            <w:pPr>
              <w:pStyle w:val="Default"/>
              <w:jc w:val="both"/>
              <w:rPr>
                <w:sz w:val="12"/>
                <w:szCs w:val="12"/>
              </w:rPr>
            </w:pPr>
          </w:p>
          <w:p w14:paraId="429999CA" w14:textId="57784100" w:rsidR="008662A9" w:rsidRDefault="008662A9" w:rsidP="00C215B9">
            <w:pPr>
              <w:pStyle w:val="Default"/>
              <w:jc w:val="both"/>
              <w:rPr>
                <w:sz w:val="12"/>
                <w:szCs w:val="12"/>
              </w:rPr>
            </w:pPr>
            <w:r>
              <w:rPr>
                <w:rFonts w:eastAsia="Times New Roman"/>
                <w:b/>
                <w:bCs/>
                <w:color w:val="auto"/>
                <w:sz w:val="16"/>
                <w:szCs w:val="16"/>
                <w:lang w:val="en-US"/>
              </w:rPr>
              <w:t xml:space="preserve">Indicator 3.4.1: </w:t>
            </w:r>
            <w:r w:rsidR="004A1569">
              <w:rPr>
                <w:rFonts w:eastAsia="Times New Roman"/>
                <w:color w:val="auto"/>
                <w:sz w:val="16"/>
                <w:szCs w:val="16"/>
                <w:lang w:val="en-US"/>
              </w:rPr>
              <w:t>Per cent of</w:t>
            </w:r>
            <w:r w:rsidR="004A1569" w:rsidRPr="008662A9">
              <w:rPr>
                <w:rFonts w:eastAsia="Times New Roman"/>
                <w:color w:val="auto"/>
                <w:sz w:val="16"/>
                <w:szCs w:val="16"/>
                <w:lang w:val="en-US"/>
              </w:rPr>
              <w:t xml:space="preserve"> </w:t>
            </w:r>
            <w:r>
              <w:rPr>
                <w:rFonts w:eastAsia="Times New Roman"/>
                <w:color w:val="auto"/>
                <w:sz w:val="16"/>
                <w:szCs w:val="16"/>
                <w:lang w:val="en-US"/>
              </w:rPr>
              <w:t>p</w:t>
            </w:r>
            <w:r w:rsidRPr="008662A9">
              <w:rPr>
                <w:rFonts w:eastAsia="Times New Roman"/>
                <w:color w:val="auto"/>
                <w:sz w:val="16"/>
                <w:szCs w:val="16"/>
                <w:lang w:val="en-US"/>
              </w:rPr>
              <w:t>opulation with access to clean fuels and technology for cooking</w:t>
            </w:r>
            <w:r w:rsidRPr="008662A9">
              <w:rPr>
                <w:sz w:val="12"/>
                <w:szCs w:val="12"/>
              </w:rPr>
              <w:t xml:space="preserve"> </w:t>
            </w:r>
          </w:p>
          <w:p w14:paraId="71426604" w14:textId="4BD7A361" w:rsidR="008662A9" w:rsidRPr="008662A9" w:rsidRDefault="008662A9" w:rsidP="00C215B9">
            <w:pPr>
              <w:jc w:val="both"/>
              <w:rPr>
                <w:b/>
                <w:bCs/>
                <w:sz w:val="16"/>
                <w:szCs w:val="16"/>
              </w:rPr>
            </w:pPr>
            <w:r w:rsidRPr="008662A9">
              <w:rPr>
                <w:b/>
                <w:bCs/>
                <w:sz w:val="16"/>
                <w:szCs w:val="16"/>
              </w:rPr>
              <w:t>Baseline</w:t>
            </w:r>
            <w:r>
              <w:rPr>
                <w:b/>
                <w:bCs/>
                <w:sz w:val="16"/>
                <w:szCs w:val="16"/>
              </w:rPr>
              <w:t>:</w:t>
            </w:r>
            <w:r w:rsidRPr="008662A9">
              <w:rPr>
                <w:b/>
                <w:bCs/>
                <w:sz w:val="16"/>
                <w:szCs w:val="16"/>
              </w:rPr>
              <w:t xml:space="preserve"> </w:t>
            </w:r>
            <w:r>
              <w:rPr>
                <w:sz w:val="16"/>
                <w:szCs w:val="16"/>
              </w:rPr>
              <w:t>16.32</w:t>
            </w:r>
            <w:r w:rsidRPr="008662A9">
              <w:rPr>
                <w:sz w:val="16"/>
                <w:szCs w:val="16"/>
              </w:rPr>
              <w:t>% (</w:t>
            </w:r>
            <w:r w:rsidR="004A1569">
              <w:rPr>
                <w:sz w:val="16"/>
                <w:szCs w:val="16"/>
              </w:rPr>
              <w:t xml:space="preserve">Goals </w:t>
            </w:r>
            <w:r w:rsidRPr="008662A9">
              <w:rPr>
                <w:sz w:val="16"/>
                <w:szCs w:val="16"/>
              </w:rPr>
              <w:t>2020)</w:t>
            </w:r>
          </w:p>
          <w:p w14:paraId="7D2D479D" w14:textId="0CE9C582" w:rsidR="008662A9" w:rsidRPr="008662A9" w:rsidRDefault="008662A9" w:rsidP="00C215B9">
            <w:pPr>
              <w:jc w:val="both"/>
              <w:rPr>
                <w:b/>
                <w:bCs/>
                <w:sz w:val="16"/>
                <w:szCs w:val="16"/>
              </w:rPr>
            </w:pPr>
            <w:r w:rsidRPr="008662A9">
              <w:rPr>
                <w:b/>
                <w:bCs/>
                <w:sz w:val="16"/>
                <w:szCs w:val="16"/>
              </w:rPr>
              <w:t>Target:</w:t>
            </w:r>
            <w:r>
              <w:rPr>
                <w:b/>
                <w:bCs/>
                <w:sz w:val="16"/>
                <w:szCs w:val="16"/>
              </w:rPr>
              <w:t xml:space="preserve">&gt; </w:t>
            </w:r>
            <w:r w:rsidRPr="008662A9">
              <w:rPr>
                <w:sz w:val="16"/>
                <w:szCs w:val="16"/>
              </w:rPr>
              <w:t>50%</w:t>
            </w:r>
          </w:p>
          <w:p w14:paraId="58E5457C" w14:textId="77777777" w:rsidR="008662A9" w:rsidRPr="008662A9" w:rsidRDefault="008662A9" w:rsidP="00C215B9">
            <w:pPr>
              <w:pStyle w:val="ListParagraph"/>
              <w:numPr>
                <w:ilvl w:val="0"/>
                <w:numId w:val="3"/>
              </w:numPr>
              <w:ind w:left="0"/>
              <w:jc w:val="both"/>
              <w:rPr>
                <w:sz w:val="16"/>
                <w:szCs w:val="16"/>
                <w:lang w:val="en-GB"/>
              </w:rPr>
            </w:pPr>
          </w:p>
          <w:p w14:paraId="2EA5BFD9" w14:textId="468ACA51" w:rsidR="00DA7EEA" w:rsidRPr="008662A9" w:rsidRDefault="008662A9" w:rsidP="00C215B9">
            <w:pPr>
              <w:pStyle w:val="ListParagraph"/>
              <w:numPr>
                <w:ilvl w:val="0"/>
                <w:numId w:val="3"/>
              </w:numPr>
              <w:ind w:left="0"/>
              <w:jc w:val="both"/>
              <w:rPr>
                <w:sz w:val="16"/>
                <w:szCs w:val="16"/>
              </w:rPr>
            </w:pPr>
            <w:r>
              <w:rPr>
                <w:b/>
                <w:bCs/>
                <w:sz w:val="16"/>
                <w:szCs w:val="16"/>
              </w:rPr>
              <w:t>Indicator 3.4.</w:t>
            </w:r>
            <w:r w:rsidR="00AF2B79">
              <w:rPr>
                <w:b/>
                <w:bCs/>
                <w:sz w:val="16"/>
                <w:szCs w:val="16"/>
              </w:rPr>
              <w:t>2</w:t>
            </w:r>
            <w:r>
              <w:rPr>
                <w:b/>
                <w:bCs/>
                <w:sz w:val="16"/>
                <w:szCs w:val="16"/>
              </w:rPr>
              <w:t xml:space="preserve">: </w:t>
            </w:r>
            <w:r w:rsidR="004A1569">
              <w:rPr>
                <w:sz w:val="16"/>
                <w:szCs w:val="16"/>
              </w:rPr>
              <w:t>Per cent of</w:t>
            </w:r>
            <w:r w:rsidR="004A1569" w:rsidRPr="008662A9">
              <w:rPr>
                <w:sz w:val="16"/>
                <w:szCs w:val="16"/>
              </w:rPr>
              <w:t xml:space="preserve"> </w:t>
            </w:r>
            <w:r>
              <w:rPr>
                <w:sz w:val="16"/>
                <w:szCs w:val="16"/>
              </w:rPr>
              <w:t>p</w:t>
            </w:r>
            <w:r w:rsidRPr="008662A9">
              <w:rPr>
                <w:sz w:val="16"/>
                <w:szCs w:val="16"/>
              </w:rPr>
              <w:t>opulation with access to electricity</w:t>
            </w:r>
          </w:p>
          <w:p w14:paraId="715B040C" w14:textId="63492CB1" w:rsidR="00F92F85" w:rsidRDefault="00F92F85" w:rsidP="00C215B9">
            <w:pPr>
              <w:jc w:val="both"/>
              <w:rPr>
                <w:b/>
                <w:bCs/>
                <w:sz w:val="16"/>
                <w:szCs w:val="16"/>
              </w:rPr>
            </w:pPr>
            <w:r w:rsidRPr="00DA7EEA">
              <w:rPr>
                <w:b/>
                <w:bCs/>
                <w:sz w:val="16"/>
                <w:szCs w:val="16"/>
              </w:rPr>
              <w:t xml:space="preserve">Baseline </w:t>
            </w:r>
            <w:r w:rsidRPr="00022523">
              <w:rPr>
                <w:sz w:val="16"/>
                <w:szCs w:val="16"/>
              </w:rPr>
              <w:t>(20</w:t>
            </w:r>
            <w:r w:rsidR="008662A9">
              <w:rPr>
                <w:sz w:val="16"/>
                <w:szCs w:val="16"/>
              </w:rPr>
              <w:t>16</w:t>
            </w:r>
            <w:r w:rsidR="00BA2BC4">
              <w:rPr>
                <w:rStyle w:val="FootnoteReference"/>
                <w:sz w:val="16"/>
                <w:szCs w:val="16"/>
              </w:rPr>
              <w:footnoteReference w:id="21"/>
            </w:r>
            <w:r w:rsidRPr="00022523">
              <w:rPr>
                <w:sz w:val="16"/>
                <w:szCs w:val="16"/>
              </w:rPr>
              <w:t>):</w:t>
            </w:r>
            <w:r w:rsidR="004A1569">
              <w:rPr>
                <w:rFonts w:ascii="Helvetica" w:hAnsi="Helvetica"/>
                <w:spacing w:val="2"/>
                <w:sz w:val="21"/>
                <w:szCs w:val="21"/>
                <w:shd w:val="clear" w:color="auto" w:fill="FFFFFF"/>
              </w:rPr>
              <w:t xml:space="preserve"> </w:t>
            </w:r>
            <w:r w:rsidR="008662A9" w:rsidRPr="008662A9">
              <w:rPr>
                <w:sz w:val="16"/>
                <w:szCs w:val="16"/>
              </w:rPr>
              <w:t>48.42</w:t>
            </w:r>
            <w:r w:rsidR="008662A9">
              <w:rPr>
                <w:sz w:val="16"/>
                <w:szCs w:val="16"/>
              </w:rPr>
              <w:t>%</w:t>
            </w:r>
            <w:r w:rsidR="00DA7EEA">
              <w:rPr>
                <w:sz w:val="16"/>
                <w:szCs w:val="16"/>
              </w:rPr>
              <w:t xml:space="preserve">; </w:t>
            </w:r>
            <w:r w:rsidRPr="00DA7EEA">
              <w:rPr>
                <w:b/>
                <w:bCs/>
                <w:sz w:val="16"/>
                <w:szCs w:val="16"/>
              </w:rPr>
              <w:t>Target (</w:t>
            </w:r>
            <w:r w:rsidRPr="00022523">
              <w:rPr>
                <w:sz w:val="16"/>
                <w:szCs w:val="16"/>
              </w:rPr>
              <w:t xml:space="preserve">2026): </w:t>
            </w:r>
            <w:r w:rsidR="0013037A">
              <w:rPr>
                <w:sz w:val="16"/>
                <w:szCs w:val="16"/>
              </w:rPr>
              <w:t>&gt;5</w:t>
            </w:r>
            <w:r w:rsidRPr="00022523">
              <w:rPr>
                <w:sz w:val="16"/>
                <w:szCs w:val="16"/>
              </w:rPr>
              <w:t>0%</w:t>
            </w:r>
          </w:p>
        </w:tc>
        <w:tc>
          <w:tcPr>
            <w:tcW w:w="574" w:type="pct"/>
            <w:shd w:val="clear" w:color="auto" w:fill="FFFFFF" w:themeFill="background1"/>
            <w:vAlign w:val="center"/>
          </w:tcPr>
          <w:p w14:paraId="4BB7359F" w14:textId="7DB3AE78" w:rsidR="00F92F85" w:rsidRPr="00715D36" w:rsidRDefault="00F92F85" w:rsidP="00872717">
            <w:pPr>
              <w:rPr>
                <w:b/>
                <w:bCs/>
                <w:sz w:val="16"/>
                <w:szCs w:val="16"/>
                <w:lang w:val="en-GB"/>
              </w:rPr>
            </w:pPr>
            <w:r w:rsidRPr="004A6025">
              <w:rPr>
                <w:sz w:val="16"/>
                <w:szCs w:val="16"/>
                <w:lang w:val="en-GB"/>
              </w:rPr>
              <w:t>UNDP</w:t>
            </w:r>
            <w:r>
              <w:rPr>
                <w:sz w:val="16"/>
                <w:szCs w:val="16"/>
                <w:lang w:val="en-GB"/>
              </w:rPr>
              <w:t>, G</w:t>
            </w:r>
            <w:r w:rsidR="00C379D8">
              <w:rPr>
                <w:sz w:val="16"/>
                <w:szCs w:val="16"/>
                <w:lang w:val="en-GB"/>
              </w:rPr>
              <w:t>lobal Environment Facility</w:t>
            </w:r>
            <w:r>
              <w:rPr>
                <w:sz w:val="16"/>
                <w:szCs w:val="16"/>
                <w:lang w:val="en-GB"/>
              </w:rPr>
              <w:t>, FAO, IFAD,</w:t>
            </w:r>
            <w:r w:rsidRPr="004A6025">
              <w:rPr>
                <w:sz w:val="16"/>
                <w:szCs w:val="16"/>
                <w:lang w:val="en-GB"/>
              </w:rPr>
              <w:t xml:space="preserve"> </w:t>
            </w:r>
            <w:r w:rsidR="00C379D8">
              <w:rPr>
                <w:sz w:val="16"/>
                <w:szCs w:val="16"/>
                <w:lang w:val="en-GB"/>
              </w:rPr>
              <w:t>African Development Bank</w:t>
            </w:r>
            <w:r>
              <w:rPr>
                <w:sz w:val="16"/>
                <w:szCs w:val="16"/>
                <w:lang w:val="en-GB"/>
              </w:rPr>
              <w:t xml:space="preserve">, </w:t>
            </w:r>
            <w:r w:rsidRPr="004A6025">
              <w:rPr>
                <w:sz w:val="16"/>
                <w:szCs w:val="16"/>
                <w:lang w:val="en-GB"/>
              </w:rPr>
              <w:t>UNIDO, UNICEF, UNFPA, FAO, ILO, UN</w:t>
            </w:r>
            <w:r w:rsidR="004A1569">
              <w:rPr>
                <w:sz w:val="16"/>
                <w:szCs w:val="16"/>
                <w:lang w:val="en-GB"/>
              </w:rPr>
              <w:t>-</w:t>
            </w:r>
            <w:r w:rsidRPr="004A6025">
              <w:rPr>
                <w:sz w:val="16"/>
                <w:szCs w:val="16"/>
                <w:lang w:val="en-GB"/>
              </w:rPr>
              <w:t>W</w:t>
            </w:r>
            <w:r w:rsidR="004A1569">
              <w:rPr>
                <w:sz w:val="16"/>
                <w:szCs w:val="16"/>
                <w:lang w:val="en-GB"/>
              </w:rPr>
              <w:t>omen</w:t>
            </w:r>
            <w:r>
              <w:rPr>
                <w:sz w:val="16"/>
                <w:szCs w:val="16"/>
                <w:lang w:val="en-GB"/>
              </w:rPr>
              <w:t xml:space="preserve">, </w:t>
            </w:r>
            <w:r w:rsidR="00A5034F">
              <w:rPr>
                <w:sz w:val="16"/>
                <w:szCs w:val="16"/>
                <w:lang w:val="en-GB"/>
              </w:rPr>
              <w:t>United Nations Educational, Scientific and Cultural Organization</w:t>
            </w:r>
          </w:p>
        </w:tc>
        <w:tc>
          <w:tcPr>
            <w:tcW w:w="580" w:type="pct"/>
            <w:shd w:val="clear" w:color="auto" w:fill="FFFFFF" w:themeFill="background1"/>
            <w:tcMar>
              <w:top w:w="15" w:type="dxa"/>
              <w:left w:w="108" w:type="dxa"/>
              <w:bottom w:w="0" w:type="dxa"/>
              <w:right w:w="108" w:type="dxa"/>
            </w:tcMar>
            <w:vAlign w:val="center"/>
          </w:tcPr>
          <w:p w14:paraId="4E90F8F1" w14:textId="385A891F" w:rsidR="00F92F85" w:rsidRPr="00931DC5" w:rsidRDefault="00393E46" w:rsidP="00C215B9">
            <w:pPr>
              <w:jc w:val="both"/>
              <w:rPr>
                <w:bCs/>
                <w:sz w:val="16"/>
                <w:szCs w:val="16"/>
              </w:rPr>
            </w:pPr>
            <w:r w:rsidRPr="00931DC5">
              <w:rPr>
                <w:bCs/>
                <w:sz w:val="16"/>
                <w:szCs w:val="16"/>
              </w:rPr>
              <w:t>As above</w:t>
            </w:r>
          </w:p>
        </w:tc>
      </w:tr>
    </w:tbl>
    <w:p w14:paraId="46920392" w14:textId="77777777" w:rsidR="00384089" w:rsidRPr="00715D36" w:rsidRDefault="00384089" w:rsidP="00241085">
      <w:pPr>
        <w:jc w:val="right"/>
        <w:rPr>
          <w:bCs/>
        </w:rPr>
      </w:pPr>
    </w:p>
    <w:p w14:paraId="669DDDF6" w14:textId="1EADEE90" w:rsidR="006D02F8" w:rsidRDefault="00203295" w:rsidP="00203295">
      <w:pPr>
        <w:jc w:val="center"/>
        <w:rPr>
          <w:b/>
          <w:bCs/>
          <w:color w:val="000000"/>
        </w:rPr>
      </w:pPr>
      <w:r w:rsidRPr="00203295">
        <w:rPr>
          <w:noProof/>
          <w:color w:val="00000A"/>
          <w:lang w:val="en-GB"/>
        </w:rPr>
        <w:drawing>
          <wp:inline distT="0" distB="0" distL="0" distR="0" wp14:anchorId="51A6517D" wp14:editId="7490F7FB">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D02F8" w:rsidSect="00A302EC">
      <w:headerReference w:type="even" r:id="rId19"/>
      <w:headerReference w:type="default" r:id="rId20"/>
      <w:footerReference w:type="even" r:id="rId21"/>
      <w:type w:val="continuous"/>
      <w:pgSz w:w="15840" w:h="12240" w:orient="landscape"/>
      <w:pgMar w:top="1267" w:right="1152" w:bottom="245" w:left="12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BF941" w14:textId="77777777" w:rsidR="00CD2D22" w:rsidRDefault="00CD2D22" w:rsidP="00441061">
      <w:r>
        <w:separator/>
      </w:r>
    </w:p>
  </w:endnote>
  <w:endnote w:type="continuationSeparator" w:id="0">
    <w:p w14:paraId="29803084" w14:textId="77777777" w:rsidR="00CD2D22" w:rsidRDefault="00CD2D22" w:rsidP="00441061">
      <w:r>
        <w:continuationSeparator/>
      </w:r>
    </w:p>
  </w:endnote>
  <w:endnote w:type="continuationNotice" w:id="1">
    <w:p w14:paraId="56F5EAEF" w14:textId="77777777" w:rsidR="00CD2D22" w:rsidRDefault="00CD2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stateCondensed Light">
    <w:altName w:val="InterstateCondensed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977298"/>
      <w:docPartObj>
        <w:docPartGallery w:val="Page Numbers (Bottom of Page)"/>
        <w:docPartUnique/>
      </w:docPartObj>
    </w:sdtPr>
    <w:sdtEndPr>
      <w:rPr>
        <w:b/>
        <w:bCs/>
        <w:noProof/>
        <w:sz w:val="17"/>
        <w:szCs w:val="17"/>
      </w:rPr>
    </w:sdtEndPr>
    <w:sdtContent>
      <w:p w14:paraId="073AAA58" w14:textId="5826E221" w:rsidR="0091094F" w:rsidRPr="0091094F" w:rsidRDefault="0091094F" w:rsidP="0091094F">
        <w:pPr>
          <w:pStyle w:val="Footer"/>
          <w:ind w:firstLine="1080"/>
          <w:rPr>
            <w:b/>
            <w:bCs/>
            <w:sz w:val="17"/>
            <w:szCs w:val="17"/>
          </w:rPr>
        </w:pPr>
        <w:r w:rsidRPr="0091094F">
          <w:rPr>
            <w:b/>
            <w:bCs/>
            <w:sz w:val="17"/>
            <w:szCs w:val="17"/>
          </w:rPr>
          <w:fldChar w:fldCharType="begin"/>
        </w:r>
        <w:r w:rsidRPr="0091094F">
          <w:rPr>
            <w:b/>
            <w:bCs/>
            <w:sz w:val="17"/>
            <w:szCs w:val="17"/>
          </w:rPr>
          <w:instrText xml:space="preserve"> PAGE   \* MERGEFORMAT </w:instrText>
        </w:r>
        <w:r w:rsidRPr="0091094F">
          <w:rPr>
            <w:b/>
            <w:bCs/>
            <w:sz w:val="17"/>
            <w:szCs w:val="17"/>
          </w:rPr>
          <w:fldChar w:fldCharType="separate"/>
        </w:r>
        <w:r w:rsidRPr="0091094F">
          <w:rPr>
            <w:b/>
            <w:bCs/>
            <w:noProof/>
            <w:sz w:val="17"/>
            <w:szCs w:val="17"/>
          </w:rPr>
          <w:t>2</w:t>
        </w:r>
        <w:r w:rsidRPr="0091094F">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2A7254EA" w:rsidR="007561A2" w:rsidRPr="00203295" w:rsidRDefault="007561A2" w:rsidP="007C0A82">
    <w:pPr>
      <w:pStyle w:val="Footer"/>
      <w:ind w:right="69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19285"/>
      <w:docPartObj>
        <w:docPartGallery w:val="Page Numbers (Bottom of Page)"/>
        <w:docPartUnique/>
      </w:docPartObj>
    </w:sdtPr>
    <w:sdtEndPr>
      <w:rPr>
        <w:b/>
        <w:bCs/>
        <w:noProof/>
        <w:sz w:val="17"/>
        <w:szCs w:val="17"/>
      </w:rPr>
    </w:sdtEndPr>
    <w:sdtContent>
      <w:p w14:paraId="46C3BE46" w14:textId="77777777" w:rsidR="0006757D" w:rsidRPr="0091094F" w:rsidRDefault="0006757D" w:rsidP="0006757D">
        <w:pPr>
          <w:pStyle w:val="Footer"/>
          <w:rPr>
            <w:b/>
            <w:bCs/>
            <w:sz w:val="17"/>
            <w:szCs w:val="17"/>
          </w:rPr>
        </w:pPr>
        <w:r w:rsidRPr="0091094F">
          <w:rPr>
            <w:b/>
            <w:bCs/>
            <w:sz w:val="17"/>
            <w:szCs w:val="17"/>
          </w:rPr>
          <w:fldChar w:fldCharType="begin"/>
        </w:r>
        <w:r w:rsidRPr="0091094F">
          <w:rPr>
            <w:b/>
            <w:bCs/>
            <w:sz w:val="17"/>
            <w:szCs w:val="17"/>
          </w:rPr>
          <w:instrText xml:space="preserve"> PAGE   \* MERGEFORMAT </w:instrText>
        </w:r>
        <w:r w:rsidRPr="0091094F">
          <w:rPr>
            <w:b/>
            <w:bCs/>
            <w:sz w:val="17"/>
            <w:szCs w:val="17"/>
          </w:rPr>
          <w:fldChar w:fldCharType="separate"/>
        </w:r>
        <w:r w:rsidRPr="0091094F">
          <w:rPr>
            <w:b/>
            <w:bCs/>
            <w:noProof/>
            <w:sz w:val="17"/>
            <w:szCs w:val="17"/>
          </w:rPr>
          <w:t>2</w:t>
        </w:r>
        <w:r w:rsidRPr="0091094F">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A901" w14:textId="77777777" w:rsidR="00CD2D22" w:rsidRDefault="00CD2D22" w:rsidP="00441061">
      <w:r>
        <w:separator/>
      </w:r>
    </w:p>
  </w:footnote>
  <w:footnote w:type="continuationSeparator" w:id="0">
    <w:p w14:paraId="5A70D764" w14:textId="77777777" w:rsidR="00CD2D22" w:rsidRDefault="00CD2D22" w:rsidP="00441061">
      <w:r>
        <w:continuationSeparator/>
      </w:r>
    </w:p>
  </w:footnote>
  <w:footnote w:type="continuationNotice" w:id="1">
    <w:p w14:paraId="51280634" w14:textId="77777777" w:rsidR="00CD2D22" w:rsidRDefault="00CD2D22"/>
  </w:footnote>
  <w:footnote w:id="2">
    <w:p w14:paraId="2CF102E2" w14:textId="65E35FA3" w:rsidR="007561A2" w:rsidRPr="00A437DF" w:rsidRDefault="007561A2" w:rsidP="00F747B4">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1" w:history="1">
        <w:r w:rsidRPr="00A437DF">
          <w:rPr>
            <w:rStyle w:val="Hyperlink"/>
            <w:rFonts w:ascii="Times New Roman" w:hAnsi="Times New Roman"/>
            <w:sz w:val="16"/>
            <w:szCs w:val="16"/>
          </w:rPr>
          <w:t>https://tradingeconomics.com/eritrea/gdp-growth-annual</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 April 2021</w:t>
      </w:r>
      <w:r w:rsidR="009123B2" w:rsidRPr="00A437DF">
        <w:rPr>
          <w:rFonts w:ascii="Times New Roman" w:hAnsi="Times New Roman"/>
          <w:sz w:val="16"/>
          <w:szCs w:val="16"/>
        </w:rPr>
        <w:t>.</w:t>
      </w:r>
    </w:p>
  </w:footnote>
  <w:footnote w:id="3">
    <w:p w14:paraId="2A3F95A9" w14:textId="1AC32F6E" w:rsidR="007561A2" w:rsidRPr="00A437DF" w:rsidRDefault="007561A2">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2" w:history="1">
        <w:r w:rsidRPr="00A437DF">
          <w:rPr>
            <w:rStyle w:val="Hyperlink"/>
            <w:rFonts w:ascii="Times New Roman" w:hAnsi="Times New Roman"/>
            <w:sz w:val="16"/>
            <w:szCs w:val="16"/>
          </w:rPr>
          <w:t>https://www.macrotrends.net/countries/ERI/eritrea/economic-growth-rate</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w:t>
      </w:r>
      <w:r w:rsidR="009123B2" w:rsidRPr="00A437DF">
        <w:rPr>
          <w:rFonts w:ascii="Times New Roman" w:hAnsi="Times New Roman"/>
          <w:sz w:val="16"/>
          <w:szCs w:val="16"/>
        </w:rPr>
        <w:t xml:space="preserve"> </w:t>
      </w:r>
      <w:r w:rsidRPr="00A437DF">
        <w:rPr>
          <w:rFonts w:ascii="Times New Roman" w:hAnsi="Times New Roman"/>
          <w:sz w:val="16"/>
          <w:szCs w:val="16"/>
        </w:rPr>
        <w:t>April 2021</w:t>
      </w:r>
      <w:r w:rsidR="009123B2" w:rsidRPr="00A437DF">
        <w:rPr>
          <w:rFonts w:ascii="Times New Roman" w:hAnsi="Times New Roman"/>
          <w:sz w:val="16"/>
          <w:szCs w:val="16"/>
        </w:rPr>
        <w:t>.</w:t>
      </w:r>
    </w:p>
  </w:footnote>
  <w:footnote w:id="4">
    <w:p w14:paraId="3508528C" w14:textId="658E5797" w:rsidR="007561A2" w:rsidRPr="00A437DF" w:rsidRDefault="007561A2" w:rsidP="00F747B4">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w:t>
      </w:r>
      <w:hyperlink r:id="rId3" w:history="1">
        <w:r w:rsidRPr="00A437DF">
          <w:rPr>
            <w:rStyle w:val="Hyperlink"/>
            <w:rFonts w:ascii="Times New Roman" w:hAnsi="Times New Roman"/>
            <w:sz w:val="16"/>
            <w:szCs w:val="16"/>
          </w:rPr>
          <w:t>https://www.afdb.org/en/countries/east-africa/eritrea/eritrea-economic-outlook</w:t>
        </w:r>
      </w:hyperlink>
      <w:r w:rsidR="006D3D6B" w:rsidRPr="006D3D6B">
        <w:rPr>
          <w:rStyle w:val="Hyperlink"/>
          <w:rFonts w:ascii="Times New Roman" w:hAnsi="Times New Roman"/>
          <w:sz w:val="16"/>
          <w:szCs w:val="16"/>
        </w:rPr>
        <w:t>,</w:t>
      </w:r>
      <w:r w:rsidRPr="006D3D6B">
        <w:rPr>
          <w:rFonts w:ascii="Times New Roman" w:hAnsi="Times New Roman"/>
          <w:sz w:val="16"/>
          <w:szCs w:val="16"/>
        </w:rPr>
        <w:t xml:space="preserve"> accessed </w:t>
      </w:r>
      <w:r w:rsidRPr="00A437DF">
        <w:rPr>
          <w:rFonts w:ascii="Times New Roman" w:hAnsi="Times New Roman"/>
          <w:sz w:val="16"/>
          <w:szCs w:val="16"/>
        </w:rPr>
        <w:t>22 April 2021</w:t>
      </w:r>
      <w:r w:rsidR="009123B2" w:rsidRPr="00A437DF">
        <w:rPr>
          <w:rFonts w:ascii="Times New Roman" w:hAnsi="Times New Roman"/>
          <w:sz w:val="16"/>
          <w:szCs w:val="16"/>
        </w:rPr>
        <w:t>.</w:t>
      </w:r>
    </w:p>
  </w:footnote>
  <w:footnote w:id="5">
    <w:p w14:paraId="3CABCF49" w14:textId="79C001CA" w:rsidR="007561A2" w:rsidRPr="006D3D6B" w:rsidRDefault="007561A2" w:rsidP="00D6147C">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006D3D6B" w:rsidRPr="00930B96">
        <w:rPr>
          <w:rFonts w:ascii="Times New Roman" w:hAnsi="Times New Roman"/>
          <w:sz w:val="16"/>
          <w:szCs w:val="16"/>
        </w:rPr>
        <w:t xml:space="preserve"> </w:t>
      </w:r>
      <w:hyperlink r:id="rId4" w:history="1">
        <w:r w:rsidR="006D3D6B" w:rsidRPr="006D3D6B">
          <w:rPr>
            <w:rStyle w:val="Hyperlink"/>
            <w:rFonts w:ascii="Times New Roman" w:hAnsi="Times New Roman"/>
            <w:sz w:val="16"/>
            <w:szCs w:val="16"/>
          </w:rPr>
          <w:t>http://hdr.undp.org/sites/default/files/hdr2020.pdf</w:t>
        </w:r>
      </w:hyperlink>
      <w:r w:rsidR="009123B2" w:rsidRPr="006D3D6B">
        <w:rPr>
          <w:rStyle w:val="Hyperlink"/>
          <w:rFonts w:ascii="Times New Roman" w:hAnsi="Times New Roman"/>
          <w:sz w:val="16"/>
          <w:szCs w:val="16"/>
        </w:rPr>
        <w:t>.</w:t>
      </w:r>
      <w:r w:rsidRPr="006D3D6B">
        <w:rPr>
          <w:rFonts w:ascii="Times New Roman" w:hAnsi="Times New Roman"/>
          <w:sz w:val="16"/>
          <w:szCs w:val="16"/>
        </w:rPr>
        <w:t xml:space="preserve"> </w:t>
      </w:r>
    </w:p>
  </w:footnote>
  <w:footnote w:id="6">
    <w:p w14:paraId="701CB980" w14:textId="23E6A763" w:rsidR="00F53F90" w:rsidRPr="00930B96" w:rsidRDefault="00F53F90">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w:t>
      </w:r>
      <w:r w:rsidRPr="00FF7A20">
        <w:rPr>
          <w:rFonts w:ascii="Times New Roman" w:hAnsi="Times New Roman"/>
          <w:sz w:val="16"/>
          <w:szCs w:val="16"/>
        </w:rPr>
        <w:t>I</w:t>
      </w:r>
      <w:r w:rsidR="00DB0D54" w:rsidRPr="00FF7A20">
        <w:rPr>
          <w:rFonts w:ascii="Times New Roman" w:hAnsi="Times New Roman"/>
          <w:sz w:val="16"/>
          <w:szCs w:val="16"/>
        </w:rPr>
        <w:t>I</w:t>
      </w:r>
      <w:r w:rsidRPr="00FF7A20">
        <w:rPr>
          <w:rFonts w:ascii="Times New Roman" w:hAnsi="Times New Roman"/>
          <w:sz w:val="16"/>
          <w:szCs w:val="16"/>
        </w:rPr>
        <w:t>AG Index,</w:t>
      </w:r>
      <w:r w:rsidRPr="00930B96">
        <w:rPr>
          <w:rFonts w:ascii="Times New Roman" w:hAnsi="Times New Roman"/>
          <w:sz w:val="16"/>
          <w:szCs w:val="16"/>
        </w:rPr>
        <w:t xml:space="preserve"> 2020.</w:t>
      </w:r>
    </w:p>
  </w:footnote>
  <w:footnote w:id="7">
    <w:p w14:paraId="2FB6D27E" w14:textId="6F45EE62" w:rsidR="00F53F90" w:rsidRPr="00930B96" w:rsidRDefault="00F53F90">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H</w:t>
      </w:r>
      <w:r w:rsidR="006D3D6B" w:rsidRPr="006D3D6B">
        <w:rPr>
          <w:rFonts w:ascii="Times New Roman" w:hAnsi="Times New Roman"/>
          <w:sz w:val="16"/>
          <w:szCs w:val="16"/>
        </w:rPr>
        <w:t xml:space="preserve">uman </w:t>
      </w:r>
      <w:r w:rsidRPr="00930B96">
        <w:rPr>
          <w:rFonts w:ascii="Times New Roman" w:hAnsi="Times New Roman"/>
          <w:sz w:val="16"/>
          <w:szCs w:val="16"/>
        </w:rPr>
        <w:t>D</w:t>
      </w:r>
      <w:r w:rsidR="006D3D6B" w:rsidRPr="006D3D6B">
        <w:rPr>
          <w:rFonts w:ascii="Times New Roman" w:hAnsi="Times New Roman"/>
          <w:sz w:val="16"/>
          <w:szCs w:val="16"/>
        </w:rPr>
        <w:t xml:space="preserve">evelopment </w:t>
      </w:r>
      <w:r w:rsidRPr="00930B96">
        <w:rPr>
          <w:rFonts w:ascii="Times New Roman" w:hAnsi="Times New Roman"/>
          <w:sz w:val="16"/>
          <w:szCs w:val="16"/>
        </w:rPr>
        <w:t>R</w:t>
      </w:r>
      <w:r w:rsidR="006D3D6B" w:rsidRPr="006D3D6B">
        <w:rPr>
          <w:rFonts w:ascii="Times New Roman" w:hAnsi="Times New Roman"/>
          <w:sz w:val="16"/>
          <w:szCs w:val="16"/>
        </w:rPr>
        <w:t>eport</w:t>
      </w:r>
      <w:r w:rsidRPr="00930B96">
        <w:rPr>
          <w:rFonts w:ascii="Times New Roman" w:hAnsi="Times New Roman"/>
          <w:sz w:val="16"/>
          <w:szCs w:val="16"/>
        </w:rPr>
        <w:t xml:space="preserve"> 2020</w:t>
      </w:r>
      <w:r w:rsidR="006D3D6B" w:rsidRPr="006D3D6B">
        <w:rPr>
          <w:rFonts w:ascii="Times New Roman" w:hAnsi="Times New Roman"/>
          <w:sz w:val="16"/>
          <w:szCs w:val="16"/>
        </w:rPr>
        <w:t>.</w:t>
      </w:r>
    </w:p>
  </w:footnote>
  <w:footnote w:id="8">
    <w:p w14:paraId="187E5A49" w14:textId="653CEA0C" w:rsidR="007561A2" w:rsidRPr="006D3D6B" w:rsidRDefault="007561A2" w:rsidP="00096576">
      <w:pPr>
        <w:pStyle w:val="FootnoteText"/>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https://www.peaceagreements.org/viewmasterdocument/2097</w:t>
      </w:r>
      <w:r w:rsidR="009123B2" w:rsidRPr="006D3D6B">
        <w:rPr>
          <w:rFonts w:ascii="Times New Roman" w:hAnsi="Times New Roman"/>
          <w:sz w:val="16"/>
          <w:szCs w:val="16"/>
        </w:rPr>
        <w:t>.</w:t>
      </w:r>
    </w:p>
  </w:footnote>
  <w:footnote w:id="9">
    <w:p w14:paraId="3E5C52E0" w14:textId="77777777" w:rsidR="007561A2" w:rsidRPr="006D3D6B" w:rsidRDefault="007561A2" w:rsidP="006048DC">
      <w:pPr>
        <w:pStyle w:val="FootnoteText"/>
        <w:jc w:val="both"/>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See IMF Article IV Consultations in 2019</w:t>
      </w:r>
    </w:p>
  </w:footnote>
  <w:footnote w:id="10">
    <w:p w14:paraId="2AE93242" w14:textId="705EC001" w:rsidR="00D449F1" w:rsidRPr="00930B96" w:rsidRDefault="00D449F1">
      <w:pPr>
        <w:pStyle w:val="FootnoteText"/>
        <w:rPr>
          <w:rFonts w:ascii="Times New Roman" w:hAnsi="Times New Roman"/>
          <w:sz w:val="16"/>
          <w:szCs w:val="16"/>
        </w:rPr>
      </w:pPr>
      <w:r w:rsidRPr="00930B96">
        <w:rPr>
          <w:rStyle w:val="FootnoteReference"/>
          <w:rFonts w:ascii="Times New Roman" w:hAnsi="Times New Roman"/>
          <w:sz w:val="16"/>
          <w:szCs w:val="16"/>
        </w:rPr>
        <w:footnoteRef/>
      </w:r>
      <w:r w:rsidRPr="00930B96">
        <w:rPr>
          <w:rFonts w:ascii="Times New Roman" w:hAnsi="Times New Roman"/>
          <w:sz w:val="16"/>
          <w:szCs w:val="16"/>
        </w:rPr>
        <w:t xml:space="preserve"> I</w:t>
      </w:r>
      <w:r w:rsidR="006D3D6B">
        <w:rPr>
          <w:rFonts w:ascii="Times New Roman" w:hAnsi="Times New Roman"/>
          <w:sz w:val="16"/>
          <w:szCs w:val="16"/>
        </w:rPr>
        <w:t>nternational Labour Organization</w:t>
      </w:r>
      <w:r w:rsidRPr="00930B96">
        <w:rPr>
          <w:rFonts w:ascii="Times New Roman" w:hAnsi="Times New Roman"/>
          <w:sz w:val="16"/>
          <w:szCs w:val="16"/>
        </w:rPr>
        <w:t>,</w:t>
      </w:r>
      <w:r w:rsidR="006D3D6B">
        <w:rPr>
          <w:rFonts w:ascii="Times New Roman" w:hAnsi="Times New Roman"/>
          <w:sz w:val="16"/>
          <w:szCs w:val="16"/>
        </w:rPr>
        <w:t xml:space="preserve"> </w:t>
      </w:r>
      <w:r w:rsidRPr="00930B96">
        <w:rPr>
          <w:rFonts w:ascii="Times New Roman" w:hAnsi="Times New Roman"/>
          <w:sz w:val="16"/>
          <w:szCs w:val="16"/>
        </w:rPr>
        <w:t>2019,</w:t>
      </w:r>
    </w:p>
  </w:footnote>
  <w:footnote w:id="11">
    <w:p w14:paraId="1326CD89" w14:textId="08E2EF6D" w:rsidR="007561A2" w:rsidRPr="00930B96" w:rsidRDefault="007561A2" w:rsidP="006048DC">
      <w:pPr>
        <w:tabs>
          <w:tab w:val="num" w:pos="709"/>
        </w:tabs>
        <w:contextualSpacing/>
        <w:jc w:val="both"/>
        <w:rPr>
          <w:sz w:val="16"/>
          <w:szCs w:val="16"/>
        </w:rPr>
      </w:pPr>
      <w:r w:rsidRPr="006D3D6B">
        <w:rPr>
          <w:rStyle w:val="FootnoteReference"/>
          <w:sz w:val="16"/>
          <w:szCs w:val="16"/>
        </w:rPr>
        <w:footnoteRef/>
      </w:r>
      <w:r w:rsidRPr="006D3D6B">
        <w:rPr>
          <w:sz w:val="16"/>
          <w:szCs w:val="16"/>
        </w:rPr>
        <w:t xml:space="preserve"> </w:t>
      </w:r>
      <w:r w:rsidR="006D3D6B" w:rsidRPr="00930B96">
        <w:rPr>
          <w:bCs/>
          <w:sz w:val="16"/>
          <w:szCs w:val="16"/>
        </w:rPr>
        <w:t>Country programme document output</w:t>
      </w:r>
      <w:r w:rsidRPr="00930B96">
        <w:rPr>
          <w:bCs/>
          <w:sz w:val="16"/>
          <w:szCs w:val="16"/>
        </w:rPr>
        <w:t xml:space="preserve"> 3.1: </w:t>
      </w:r>
      <w:r w:rsidRPr="006D3D6B">
        <w:rPr>
          <w:sz w:val="16"/>
          <w:szCs w:val="16"/>
        </w:rPr>
        <w:t>National institutions are able to collect, analyse and use data for planning and decision</w:t>
      </w:r>
      <w:r w:rsidR="006D3D6B">
        <w:rPr>
          <w:sz w:val="16"/>
          <w:szCs w:val="16"/>
        </w:rPr>
        <w:t>-</w:t>
      </w:r>
      <w:r w:rsidRPr="006D3D6B">
        <w:rPr>
          <w:sz w:val="16"/>
          <w:szCs w:val="16"/>
        </w:rPr>
        <w:t xml:space="preserve">making, including </w:t>
      </w:r>
      <w:r w:rsidR="006D3D6B">
        <w:rPr>
          <w:sz w:val="16"/>
          <w:szCs w:val="16"/>
        </w:rPr>
        <w:t>for Goals</w:t>
      </w:r>
      <w:r w:rsidR="006D3D6B" w:rsidRPr="006D3D6B">
        <w:rPr>
          <w:sz w:val="16"/>
          <w:szCs w:val="16"/>
        </w:rPr>
        <w:t xml:space="preserve"> </w:t>
      </w:r>
      <w:r w:rsidRPr="00ED5E5F">
        <w:rPr>
          <w:sz w:val="16"/>
          <w:szCs w:val="16"/>
        </w:rPr>
        <w:t>implementation. (J</w:t>
      </w:r>
      <w:r w:rsidR="0046713C" w:rsidRPr="00ED5E5F">
        <w:rPr>
          <w:sz w:val="16"/>
          <w:szCs w:val="16"/>
        </w:rPr>
        <w:t xml:space="preserve">oint </w:t>
      </w:r>
      <w:r w:rsidRPr="00ED5E5F">
        <w:rPr>
          <w:sz w:val="16"/>
          <w:szCs w:val="16"/>
        </w:rPr>
        <w:t>P</w:t>
      </w:r>
      <w:r w:rsidR="0046713C" w:rsidRPr="00ED5E5F">
        <w:rPr>
          <w:sz w:val="16"/>
          <w:szCs w:val="16"/>
        </w:rPr>
        <w:t>rogramme</w:t>
      </w:r>
      <w:r w:rsidRPr="006D3D6B">
        <w:rPr>
          <w:sz w:val="16"/>
          <w:szCs w:val="16"/>
        </w:rPr>
        <w:t xml:space="preserve">: </w:t>
      </w:r>
      <w:r w:rsidRPr="006D3D6B">
        <w:rPr>
          <w:bCs/>
          <w:sz w:val="16"/>
          <w:szCs w:val="16"/>
        </w:rPr>
        <w:t>UNFPA is the lead agency, and UNDP, UNICEF, WHO and ILO are participating agencies.)</w:t>
      </w:r>
    </w:p>
  </w:footnote>
  <w:footnote w:id="12">
    <w:p w14:paraId="24B8A83E" w14:textId="5276E7D1" w:rsidR="007561A2" w:rsidRPr="00930B96" w:rsidRDefault="007561A2" w:rsidP="006048DC">
      <w:pPr>
        <w:pStyle w:val="FootnoteText"/>
        <w:jc w:val="both"/>
        <w:rPr>
          <w:rFonts w:ascii="Times New Roman" w:hAnsi="Times New Roman"/>
          <w:sz w:val="16"/>
          <w:szCs w:val="16"/>
        </w:rPr>
      </w:pPr>
      <w:r w:rsidRPr="006D3D6B">
        <w:rPr>
          <w:rStyle w:val="FootnoteReference"/>
          <w:rFonts w:ascii="Times New Roman" w:hAnsi="Times New Roman"/>
          <w:sz w:val="16"/>
          <w:szCs w:val="16"/>
        </w:rPr>
        <w:footnoteRef/>
      </w:r>
      <w:r w:rsidRPr="006D3D6B">
        <w:rPr>
          <w:rFonts w:ascii="Times New Roman" w:hAnsi="Times New Roman"/>
          <w:sz w:val="16"/>
          <w:szCs w:val="16"/>
        </w:rPr>
        <w:t xml:space="preserve"> UNDP Strategic Plan (2017-</w:t>
      </w:r>
      <w:r w:rsidR="00FB4683">
        <w:rPr>
          <w:rFonts w:ascii="Times New Roman" w:hAnsi="Times New Roman"/>
          <w:sz w:val="16"/>
          <w:szCs w:val="16"/>
        </w:rPr>
        <w:t>20</w:t>
      </w:r>
      <w:r w:rsidRPr="006D3D6B">
        <w:rPr>
          <w:rFonts w:ascii="Times New Roman" w:hAnsi="Times New Roman"/>
          <w:sz w:val="16"/>
          <w:szCs w:val="16"/>
        </w:rPr>
        <w:t xml:space="preserve">21) and the successor </w:t>
      </w:r>
      <w:r w:rsidR="00FB4683">
        <w:rPr>
          <w:rFonts w:ascii="Times New Roman" w:hAnsi="Times New Roman"/>
          <w:sz w:val="16"/>
          <w:szCs w:val="16"/>
        </w:rPr>
        <w:t>Strategic Plan</w:t>
      </w:r>
      <w:r w:rsidR="00FB4683" w:rsidRPr="006D3D6B">
        <w:rPr>
          <w:rFonts w:ascii="Times New Roman" w:hAnsi="Times New Roman"/>
          <w:sz w:val="16"/>
          <w:szCs w:val="16"/>
        </w:rPr>
        <w:t xml:space="preserve"> </w:t>
      </w:r>
      <w:r w:rsidRPr="006D3D6B">
        <w:rPr>
          <w:rFonts w:ascii="Times New Roman" w:hAnsi="Times New Roman"/>
          <w:sz w:val="16"/>
          <w:szCs w:val="16"/>
        </w:rPr>
        <w:t>2022-</w:t>
      </w:r>
      <w:r w:rsidR="00FB4683">
        <w:rPr>
          <w:rFonts w:ascii="Times New Roman" w:hAnsi="Times New Roman"/>
          <w:sz w:val="16"/>
          <w:szCs w:val="16"/>
        </w:rPr>
        <w:t>20</w:t>
      </w:r>
      <w:r w:rsidRPr="006D3D6B">
        <w:rPr>
          <w:rFonts w:ascii="Times New Roman" w:hAnsi="Times New Roman"/>
          <w:sz w:val="16"/>
          <w:szCs w:val="16"/>
        </w:rPr>
        <w:t>25</w:t>
      </w:r>
      <w:r w:rsidR="00841F69">
        <w:rPr>
          <w:rFonts w:ascii="Times New Roman" w:hAnsi="Times New Roman"/>
          <w:sz w:val="16"/>
          <w:szCs w:val="16"/>
        </w:rPr>
        <w:t>.</w:t>
      </w:r>
    </w:p>
  </w:footnote>
  <w:footnote w:id="13">
    <w:p w14:paraId="6E73A73E" w14:textId="6C992EB2" w:rsidR="007561A2" w:rsidRPr="00045610" w:rsidRDefault="007561A2" w:rsidP="00145533">
      <w:pPr>
        <w:rPr>
          <w:sz w:val="16"/>
          <w:szCs w:val="16"/>
        </w:rPr>
      </w:pPr>
      <w:r w:rsidRPr="00FB4683">
        <w:rPr>
          <w:rStyle w:val="FootnoteReference"/>
          <w:sz w:val="16"/>
          <w:szCs w:val="16"/>
        </w:rPr>
        <w:footnoteRef/>
      </w:r>
      <w:r w:rsidRPr="00FB4683">
        <w:rPr>
          <w:sz w:val="16"/>
          <w:szCs w:val="16"/>
        </w:rPr>
        <w:t xml:space="preserve"> </w:t>
      </w:r>
      <w:r w:rsidR="00FB4683">
        <w:rPr>
          <w:sz w:val="16"/>
          <w:szCs w:val="16"/>
        </w:rPr>
        <w:t>The six impact areas: (</w:t>
      </w:r>
      <w:r w:rsidRPr="00045610">
        <w:rPr>
          <w:sz w:val="16"/>
          <w:szCs w:val="16"/>
        </w:rPr>
        <w:t xml:space="preserve">1) </w:t>
      </w:r>
      <w:r w:rsidRPr="00045610">
        <w:rPr>
          <w:color w:val="000000"/>
          <w:sz w:val="16"/>
          <w:szCs w:val="16"/>
        </w:rPr>
        <w:t xml:space="preserve">Natural </w:t>
      </w:r>
      <w:r w:rsidR="00FB4683">
        <w:rPr>
          <w:color w:val="000000"/>
          <w:sz w:val="16"/>
          <w:szCs w:val="16"/>
        </w:rPr>
        <w:t>r</w:t>
      </w:r>
      <w:r w:rsidRPr="00045610">
        <w:rPr>
          <w:color w:val="000000"/>
          <w:sz w:val="16"/>
          <w:szCs w:val="16"/>
        </w:rPr>
        <w:t xml:space="preserve">esource </w:t>
      </w:r>
      <w:r w:rsidR="00FB4683">
        <w:rPr>
          <w:color w:val="000000"/>
          <w:sz w:val="16"/>
          <w:szCs w:val="16"/>
        </w:rPr>
        <w:t>g</w:t>
      </w:r>
      <w:r w:rsidRPr="00045610">
        <w:rPr>
          <w:color w:val="000000"/>
          <w:sz w:val="16"/>
          <w:szCs w:val="16"/>
        </w:rPr>
        <w:t xml:space="preserve">overnance; </w:t>
      </w:r>
      <w:r w:rsidR="00FB4683">
        <w:rPr>
          <w:color w:val="000000"/>
          <w:sz w:val="16"/>
          <w:szCs w:val="16"/>
        </w:rPr>
        <w:t>(</w:t>
      </w:r>
      <w:r w:rsidRPr="00045610">
        <w:rPr>
          <w:color w:val="000000"/>
          <w:sz w:val="16"/>
          <w:szCs w:val="16"/>
        </w:rPr>
        <w:t xml:space="preserve">2) </w:t>
      </w:r>
      <w:r w:rsidR="00FB4683">
        <w:rPr>
          <w:color w:val="000000"/>
          <w:sz w:val="16"/>
          <w:szCs w:val="16"/>
        </w:rPr>
        <w:t>s</w:t>
      </w:r>
      <w:r w:rsidRPr="00045610">
        <w:rPr>
          <w:color w:val="000000"/>
          <w:sz w:val="16"/>
          <w:szCs w:val="16"/>
        </w:rPr>
        <w:t xml:space="preserve">tructural </w:t>
      </w:r>
      <w:r w:rsidR="00FB4683">
        <w:rPr>
          <w:color w:val="000000"/>
          <w:sz w:val="16"/>
          <w:szCs w:val="16"/>
        </w:rPr>
        <w:t>t</w:t>
      </w:r>
      <w:r w:rsidRPr="00045610">
        <w:rPr>
          <w:color w:val="000000"/>
          <w:sz w:val="16"/>
          <w:szCs w:val="16"/>
        </w:rPr>
        <w:t xml:space="preserve">ransformation; </w:t>
      </w:r>
      <w:r w:rsidR="00FB4683">
        <w:rPr>
          <w:color w:val="000000"/>
          <w:sz w:val="16"/>
          <w:szCs w:val="16"/>
        </w:rPr>
        <w:t>(</w:t>
      </w:r>
      <w:r w:rsidRPr="00045610">
        <w:rPr>
          <w:color w:val="000000"/>
          <w:sz w:val="16"/>
          <w:szCs w:val="16"/>
        </w:rPr>
        <w:t xml:space="preserve">3) </w:t>
      </w:r>
      <w:r w:rsidR="00FB4683">
        <w:rPr>
          <w:color w:val="000000"/>
          <w:sz w:val="16"/>
          <w:szCs w:val="16"/>
        </w:rPr>
        <w:t>y</w:t>
      </w:r>
      <w:r w:rsidRPr="00045610">
        <w:rPr>
          <w:color w:val="000000"/>
          <w:sz w:val="16"/>
          <w:szCs w:val="16"/>
        </w:rPr>
        <w:t xml:space="preserve">outh </w:t>
      </w:r>
      <w:r w:rsidR="00FB4683">
        <w:rPr>
          <w:color w:val="000000"/>
          <w:sz w:val="16"/>
          <w:szCs w:val="16"/>
        </w:rPr>
        <w:t>and</w:t>
      </w:r>
      <w:r w:rsidRPr="00045610">
        <w:rPr>
          <w:color w:val="000000"/>
          <w:sz w:val="16"/>
          <w:szCs w:val="16"/>
        </w:rPr>
        <w:t xml:space="preserve"> </w:t>
      </w:r>
      <w:r w:rsidR="00FB4683">
        <w:rPr>
          <w:color w:val="000000"/>
          <w:sz w:val="16"/>
          <w:szCs w:val="16"/>
        </w:rPr>
        <w:t>w</w:t>
      </w:r>
      <w:r w:rsidRPr="00045610">
        <w:rPr>
          <w:color w:val="000000"/>
          <w:sz w:val="16"/>
          <w:szCs w:val="16"/>
        </w:rPr>
        <w:t xml:space="preserve">omen </w:t>
      </w:r>
      <w:r w:rsidR="00FB4683">
        <w:rPr>
          <w:color w:val="000000"/>
          <w:sz w:val="16"/>
          <w:szCs w:val="16"/>
        </w:rPr>
        <w:t>e</w:t>
      </w:r>
      <w:r w:rsidRPr="00045610">
        <w:rPr>
          <w:color w:val="000000"/>
          <w:sz w:val="16"/>
          <w:szCs w:val="16"/>
        </w:rPr>
        <w:t xml:space="preserve">mployment and </w:t>
      </w:r>
      <w:r w:rsidR="00FB4683">
        <w:rPr>
          <w:color w:val="000000"/>
          <w:sz w:val="16"/>
          <w:szCs w:val="16"/>
        </w:rPr>
        <w:t>e</w:t>
      </w:r>
      <w:r w:rsidRPr="00045610">
        <w:rPr>
          <w:color w:val="000000"/>
          <w:sz w:val="16"/>
          <w:szCs w:val="16"/>
        </w:rPr>
        <w:t xml:space="preserve">mpowerment; </w:t>
      </w:r>
      <w:r w:rsidR="00FB4683">
        <w:rPr>
          <w:color w:val="000000"/>
          <w:sz w:val="16"/>
          <w:szCs w:val="16"/>
        </w:rPr>
        <w:t>(</w:t>
      </w:r>
      <w:r w:rsidRPr="00045610">
        <w:rPr>
          <w:color w:val="000000"/>
          <w:sz w:val="16"/>
          <w:szCs w:val="16"/>
        </w:rPr>
        <w:t xml:space="preserve">4) </w:t>
      </w:r>
      <w:r w:rsidR="00FB4683">
        <w:rPr>
          <w:color w:val="000000"/>
          <w:sz w:val="16"/>
          <w:szCs w:val="16"/>
        </w:rPr>
        <w:t>c</w:t>
      </w:r>
      <w:r w:rsidRPr="00045610">
        <w:rPr>
          <w:color w:val="000000"/>
          <w:sz w:val="16"/>
          <w:szCs w:val="16"/>
        </w:rPr>
        <w:t xml:space="preserve">limate </w:t>
      </w:r>
      <w:r w:rsidR="00FB4683">
        <w:rPr>
          <w:color w:val="000000"/>
          <w:sz w:val="16"/>
          <w:szCs w:val="16"/>
        </w:rPr>
        <w:t>c</w:t>
      </w:r>
      <w:r w:rsidRPr="00045610">
        <w:rPr>
          <w:color w:val="000000"/>
          <w:sz w:val="16"/>
          <w:szCs w:val="16"/>
        </w:rPr>
        <w:t xml:space="preserve">hange </w:t>
      </w:r>
      <w:r w:rsidR="00FB4683">
        <w:rPr>
          <w:color w:val="000000"/>
          <w:sz w:val="16"/>
          <w:szCs w:val="16"/>
        </w:rPr>
        <w:t>m</w:t>
      </w:r>
      <w:r w:rsidRPr="00045610">
        <w:rPr>
          <w:color w:val="000000"/>
          <w:sz w:val="16"/>
          <w:szCs w:val="16"/>
        </w:rPr>
        <w:t xml:space="preserve">itigation </w:t>
      </w:r>
      <w:r w:rsidR="00FB4683">
        <w:rPr>
          <w:color w:val="000000"/>
          <w:sz w:val="16"/>
          <w:szCs w:val="16"/>
        </w:rPr>
        <w:t>and a</w:t>
      </w:r>
      <w:r w:rsidRPr="00045610">
        <w:rPr>
          <w:color w:val="000000"/>
          <w:sz w:val="16"/>
          <w:szCs w:val="16"/>
        </w:rPr>
        <w:t xml:space="preserve">daptation; </w:t>
      </w:r>
      <w:r w:rsidR="00FB4683">
        <w:rPr>
          <w:color w:val="000000"/>
          <w:sz w:val="16"/>
          <w:szCs w:val="16"/>
        </w:rPr>
        <w:t>(</w:t>
      </w:r>
      <w:r w:rsidRPr="00045610">
        <w:rPr>
          <w:color w:val="000000"/>
          <w:sz w:val="16"/>
          <w:szCs w:val="16"/>
        </w:rPr>
        <w:t xml:space="preserve">5) </w:t>
      </w:r>
      <w:r w:rsidR="00FB4683">
        <w:rPr>
          <w:color w:val="000000"/>
          <w:sz w:val="16"/>
          <w:szCs w:val="16"/>
        </w:rPr>
        <w:t>a</w:t>
      </w:r>
      <w:r w:rsidRPr="00045610">
        <w:rPr>
          <w:color w:val="000000"/>
          <w:sz w:val="16"/>
          <w:szCs w:val="16"/>
        </w:rPr>
        <w:t xml:space="preserve">ffordable and </w:t>
      </w:r>
      <w:r w:rsidR="00FB4683">
        <w:rPr>
          <w:color w:val="000000"/>
          <w:sz w:val="16"/>
          <w:szCs w:val="16"/>
        </w:rPr>
        <w:t>s</w:t>
      </w:r>
      <w:r w:rsidRPr="00045610">
        <w:rPr>
          <w:color w:val="000000"/>
          <w:sz w:val="16"/>
          <w:szCs w:val="16"/>
        </w:rPr>
        <w:t xml:space="preserve">ustainable </w:t>
      </w:r>
      <w:r w:rsidR="00FB4683">
        <w:rPr>
          <w:color w:val="000000"/>
          <w:sz w:val="16"/>
          <w:szCs w:val="16"/>
        </w:rPr>
        <w:t>e</w:t>
      </w:r>
      <w:r w:rsidRPr="00045610">
        <w:rPr>
          <w:color w:val="000000"/>
          <w:sz w:val="16"/>
          <w:szCs w:val="16"/>
        </w:rPr>
        <w:t xml:space="preserve">nergy; and </w:t>
      </w:r>
      <w:r w:rsidR="00FB4683">
        <w:rPr>
          <w:color w:val="000000"/>
          <w:sz w:val="16"/>
          <w:szCs w:val="16"/>
        </w:rPr>
        <w:t>(</w:t>
      </w:r>
      <w:r w:rsidRPr="00045610">
        <w:rPr>
          <w:color w:val="000000"/>
          <w:sz w:val="16"/>
          <w:szCs w:val="16"/>
        </w:rPr>
        <w:t xml:space="preserve">6) </w:t>
      </w:r>
      <w:r w:rsidR="00FB4683">
        <w:rPr>
          <w:color w:val="000000"/>
          <w:sz w:val="16"/>
          <w:szCs w:val="16"/>
        </w:rPr>
        <w:t>p</w:t>
      </w:r>
      <w:r w:rsidRPr="00045610">
        <w:rPr>
          <w:color w:val="000000"/>
          <w:sz w:val="16"/>
          <w:szCs w:val="16"/>
        </w:rPr>
        <w:t xml:space="preserve">eace and </w:t>
      </w:r>
      <w:r w:rsidR="00FB4683">
        <w:rPr>
          <w:color w:val="000000"/>
          <w:sz w:val="16"/>
          <w:szCs w:val="16"/>
        </w:rPr>
        <w:t>s</w:t>
      </w:r>
      <w:r w:rsidRPr="00045610">
        <w:rPr>
          <w:color w:val="000000"/>
          <w:sz w:val="16"/>
          <w:szCs w:val="16"/>
        </w:rPr>
        <w:t>ecurity.</w:t>
      </w:r>
    </w:p>
  </w:footnote>
  <w:footnote w:id="14">
    <w:p w14:paraId="007C62C5" w14:textId="0F6DC5CC" w:rsidR="007561A2" w:rsidRPr="00045610" w:rsidRDefault="007561A2" w:rsidP="00145533">
      <w:pPr>
        <w:rPr>
          <w:sz w:val="16"/>
          <w:szCs w:val="16"/>
        </w:rPr>
      </w:pPr>
      <w:r w:rsidRPr="00FB4683">
        <w:rPr>
          <w:rStyle w:val="FootnoteReference"/>
          <w:sz w:val="16"/>
          <w:szCs w:val="16"/>
        </w:rPr>
        <w:footnoteRef/>
      </w:r>
      <w:r w:rsidRPr="00FB4683">
        <w:rPr>
          <w:sz w:val="16"/>
          <w:szCs w:val="16"/>
        </w:rPr>
        <w:t xml:space="preserve"> The </w:t>
      </w:r>
      <w:r w:rsidR="00FB4683">
        <w:rPr>
          <w:color w:val="000000"/>
          <w:sz w:val="16"/>
          <w:szCs w:val="16"/>
        </w:rPr>
        <w:t>six f</w:t>
      </w:r>
      <w:r w:rsidRPr="00FB4683">
        <w:rPr>
          <w:color w:val="000000"/>
          <w:sz w:val="16"/>
          <w:szCs w:val="16"/>
        </w:rPr>
        <w:t xml:space="preserve">oundational </w:t>
      </w:r>
      <w:r w:rsidR="00FB4683">
        <w:rPr>
          <w:color w:val="000000"/>
          <w:sz w:val="16"/>
          <w:szCs w:val="16"/>
        </w:rPr>
        <w:t>e</w:t>
      </w:r>
      <w:r w:rsidRPr="00FB4683">
        <w:rPr>
          <w:color w:val="000000"/>
          <w:sz w:val="16"/>
          <w:szCs w:val="16"/>
        </w:rPr>
        <w:t>nablers</w:t>
      </w:r>
      <w:r w:rsidRPr="00045610">
        <w:rPr>
          <w:color w:val="000000"/>
          <w:sz w:val="16"/>
          <w:szCs w:val="16"/>
        </w:rPr>
        <w:t xml:space="preserve">: </w:t>
      </w:r>
      <w:r w:rsidR="00FB4683" w:rsidRPr="00045610">
        <w:rPr>
          <w:color w:val="000000"/>
          <w:sz w:val="16"/>
          <w:szCs w:val="16"/>
        </w:rPr>
        <w:t>(</w:t>
      </w:r>
      <w:r w:rsidRPr="00045610">
        <w:rPr>
          <w:color w:val="000000"/>
          <w:sz w:val="16"/>
          <w:szCs w:val="16"/>
        </w:rPr>
        <w:t xml:space="preserve">1) Governance of </w:t>
      </w:r>
      <w:r w:rsidR="00FB4683">
        <w:rPr>
          <w:color w:val="000000"/>
          <w:sz w:val="16"/>
          <w:szCs w:val="16"/>
        </w:rPr>
        <w:t>t</w:t>
      </w:r>
      <w:r w:rsidRPr="00045610">
        <w:rPr>
          <w:color w:val="000000"/>
          <w:sz w:val="16"/>
          <w:szCs w:val="16"/>
        </w:rPr>
        <w:t xml:space="preserve">hings; </w:t>
      </w:r>
      <w:r w:rsidR="00FB4683">
        <w:rPr>
          <w:color w:val="000000"/>
          <w:sz w:val="16"/>
          <w:szCs w:val="16"/>
        </w:rPr>
        <w:t>(</w:t>
      </w:r>
      <w:r w:rsidRPr="00045610">
        <w:rPr>
          <w:color w:val="000000"/>
          <w:sz w:val="16"/>
          <w:szCs w:val="16"/>
        </w:rPr>
        <w:t xml:space="preserve">2) </w:t>
      </w:r>
      <w:r w:rsidR="00FB4683">
        <w:rPr>
          <w:color w:val="000000"/>
          <w:sz w:val="16"/>
          <w:szCs w:val="16"/>
        </w:rPr>
        <w:t>d</w:t>
      </w:r>
      <w:r w:rsidRPr="00045610">
        <w:rPr>
          <w:color w:val="000000"/>
          <w:sz w:val="16"/>
          <w:szCs w:val="16"/>
        </w:rPr>
        <w:t xml:space="preserve">igital </w:t>
      </w:r>
      <w:r w:rsidR="00FB4683">
        <w:rPr>
          <w:color w:val="000000"/>
          <w:sz w:val="16"/>
          <w:szCs w:val="16"/>
        </w:rPr>
        <w:t>t</w:t>
      </w:r>
      <w:r w:rsidRPr="00045610">
        <w:rPr>
          <w:color w:val="000000"/>
          <w:sz w:val="16"/>
          <w:szCs w:val="16"/>
        </w:rPr>
        <w:t xml:space="preserve">ransformation; </w:t>
      </w:r>
      <w:r w:rsidR="00FB4683">
        <w:rPr>
          <w:color w:val="000000"/>
          <w:sz w:val="16"/>
          <w:szCs w:val="16"/>
        </w:rPr>
        <w:t>(</w:t>
      </w:r>
      <w:r w:rsidRPr="00045610">
        <w:rPr>
          <w:color w:val="000000"/>
          <w:sz w:val="16"/>
          <w:szCs w:val="16"/>
        </w:rPr>
        <w:t xml:space="preserve">3) </w:t>
      </w:r>
      <w:r w:rsidR="00FB4683">
        <w:rPr>
          <w:color w:val="000000"/>
          <w:sz w:val="16"/>
          <w:szCs w:val="16"/>
        </w:rPr>
        <w:t>s</w:t>
      </w:r>
      <w:r w:rsidRPr="00045610">
        <w:rPr>
          <w:color w:val="000000"/>
          <w:sz w:val="16"/>
          <w:szCs w:val="16"/>
        </w:rPr>
        <w:t>ustainable/</w:t>
      </w:r>
      <w:r w:rsidR="00FB4683">
        <w:rPr>
          <w:color w:val="000000"/>
          <w:sz w:val="16"/>
          <w:szCs w:val="16"/>
        </w:rPr>
        <w:t>i</w:t>
      </w:r>
      <w:r w:rsidRPr="00045610">
        <w:rPr>
          <w:color w:val="000000"/>
          <w:sz w:val="16"/>
          <w:szCs w:val="16"/>
        </w:rPr>
        <w:t xml:space="preserve">nnovative </w:t>
      </w:r>
      <w:r w:rsidR="00FB4683">
        <w:rPr>
          <w:color w:val="000000"/>
          <w:sz w:val="16"/>
          <w:szCs w:val="16"/>
        </w:rPr>
        <w:t>f</w:t>
      </w:r>
      <w:r w:rsidRPr="00045610">
        <w:rPr>
          <w:color w:val="000000"/>
          <w:sz w:val="16"/>
          <w:szCs w:val="16"/>
        </w:rPr>
        <w:t xml:space="preserve">inancing; </w:t>
      </w:r>
      <w:r w:rsidR="00FB4683">
        <w:rPr>
          <w:color w:val="000000"/>
          <w:sz w:val="16"/>
          <w:szCs w:val="16"/>
        </w:rPr>
        <w:t>(</w:t>
      </w:r>
      <w:r w:rsidRPr="00045610">
        <w:rPr>
          <w:color w:val="000000"/>
          <w:sz w:val="16"/>
          <w:szCs w:val="16"/>
        </w:rPr>
        <w:t xml:space="preserve">4) </w:t>
      </w:r>
      <w:r w:rsidR="00FB4683">
        <w:rPr>
          <w:color w:val="000000"/>
          <w:sz w:val="16"/>
          <w:szCs w:val="16"/>
        </w:rPr>
        <w:t>s</w:t>
      </w:r>
      <w:r w:rsidRPr="00045610">
        <w:rPr>
          <w:color w:val="000000"/>
          <w:sz w:val="16"/>
          <w:szCs w:val="16"/>
        </w:rPr>
        <w:t xml:space="preserve">trategic </w:t>
      </w:r>
      <w:r w:rsidR="00FB4683">
        <w:rPr>
          <w:color w:val="000000"/>
          <w:sz w:val="16"/>
          <w:szCs w:val="16"/>
        </w:rPr>
        <w:t>c</w:t>
      </w:r>
      <w:r w:rsidRPr="00045610">
        <w:rPr>
          <w:color w:val="000000"/>
          <w:sz w:val="16"/>
          <w:szCs w:val="16"/>
        </w:rPr>
        <w:t xml:space="preserve">ommunications </w:t>
      </w:r>
      <w:r w:rsidR="00FB4683">
        <w:rPr>
          <w:color w:val="000000"/>
          <w:sz w:val="16"/>
          <w:szCs w:val="16"/>
        </w:rPr>
        <w:t>and p</w:t>
      </w:r>
      <w:r w:rsidRPr="00045610">
        <w:rPr>
          <w:color w:val="000000"/>
          <w:sz w:val="16"/>
          <w:szCs w:val="16"/>
        </w:rPr>
        <w:t xml:space="preserve">artnerships; </w:t>
      </w:r>
      <w:r w:rsidR="00FB4683">
        <w:rPr>
          <w:color w:val="000000"/>
          <w:sz w:val="16"/>
          <w:szCs w:val="16"/>
        </w:rPr>
        <w:t>(</w:t>
      </w:r>
      <w:r w:rsidRPr="00045610">
        <w:rPr>
          <w:color w:val="000000"/>
          <w:sz w:val="16"/>
          <w:szCs w:val="16"/>
        </w:rPr>
        <w:t xml:space="preserve">5) South-South </w:t>
      </w:r>
      <w:r w:rsidR="00FB4683">
        <w:rPr>
          <w:color w:val="000000"/>
          <w:sz w:val="16"/>
          <w:szCs w:val="16"/>
        </w:rPr>
        <w:t>c</w:t>
      </w:r>
      <w:r w:rsidRPr="00045610">
        <w:rPr>
          <w:color w:val="000000"/>
          <w:sz w:val="16"/>
          <w:szCs w:val="16"/>
        </w:rPr>
        <w:t xml:space="preserve">ooperation; and </w:t>
      </w:r>
      <w:r w:rsidR="00FB4683">
        <w:rPr>
          <w:color w:val="000000"/>
          <w:sz w:val="16"/>
          <w:szCs w:val="16"/>
        </w:rPr>
        <w:t>(</w:t>
      </w:r>
      <w:r w:rsidRPr="00045610">
        <w:rPr>
          <w:color w:val="000000"/>
          <w:sz w:val="16"/>
          <w:szCs w:val="16"/>
        </w:rPr>
        <w:t xml:space="preserve">6) </w:t>
      </w:r>
      <w:r w:rsidR="00FB4683">
        <w:rPr>
          <w:color w:val="000000"/>
          <w:sz w:val="16"/>
          <w:szCs w:val="16"/>
        </w:rPr>
        <w:t>d</w:t>
      </w:r>
      <w:r w:rsidRPr="00045610">
        <w:rPr>
          <w:color w:val="000000"/>
          <w:sz w:val="16"/>
          <w:szCs w:val="16"/>
        </w:rPr>
        <w:t xml:space="preserve">evelopment </w:t>
      </w:r>
      <w:r w:rsidR="00FB4683">
        <w:rPr>
          <w:color w:val="000000"/>
          <w:sz w:val="16"/>
          <w:szCs w:val="16"/>
        </w:rPr>
        <w:t>i</w:t>
      </w:r>
      <w:r w:rsidRPr="00045610">
        <w:rPr>
          <w:color w:val="000000"/>
          <w:sz w:val="16"/>
          <w:szCs w:val="16"/>
        </w:rPr>
        <w:t>ntelligence</w:t>
      </w:r>
      <w:r w:rsidRPr="00FB4683">
        <w:rPr>
          <w:color w:val="000000"/>
          <w:sz w:val="16"/>
          <w:szCs w:val="16"/>
        </w:rPr>
        <w:t>.</w:t>
      </w:r>
    </w:p>
  </w:footnote>
  <w:footnote w:id="15">
    <w:p w14:paraId="3873A2B2" w14:textId="4520C86A" w:rsidR="007561A2" w:rsidRPr="00045610" w:rsidRDefault="007561A2" w:rsidP="00145533">
      <w:pPr>
        <w:pStyle w:val="FootnoteText"/>
        <w:rPr>
          <w:rFonts w:ascii="Times New Roman" w:hAnsi="Times New Roman"/>
          <w:sz w:val="16"/>
          <w:szCs w:val="16"/>
        </w:rPr>
      </w:pPr>
      <w:r w:rsidRPr="00FB4683">
        <w:rPr>
          <w:rStyle w:val="FootnoteReference"/>
          <w:rFonts w:ascii="Times New Roman" w:hAnsi="Times New Roman"/>
          <w:sz w:val="16"/>
          <w:szCs w:val="16"/>
        </w:rPr>
        <w:footnoteRef/>
      </w:r>
      <w:r w:rsidRPr="00045610">
        <w:rPr>
          <w:rFonts w:ascii="Times New Roman" w:hAnsi="Times New Roman"/>
          <w:sz w:val="16"/>
          <w:szCs w:val="16"/>
        </w:rPr>
        <w:t xml:space="preserve"> </w:t>
      </w:r>
      <w:hyperlink r:id="rId5" w:history="1">
        <w:r w:rsidRPr="00A437DF">
          <w:rPr>
            <w:rStyle w:val="Hyperlink"/>
            <w:rFonts w:ascii="Times New Roman" w:hAnsi="Times New Roman"/>
            <w:color w:val="auto"/>
            <w:sz w:val="16"/>
            <w:szCs w:val="16"/>
          </w:rPr>
          <w:t>https://unsdg.un.org/resources/un-framework-immediate-socio-economic-response-covid-19</w:t>
        </w:r>
      </w:hyperlink>
      <w:r w:rsidR="00FB4683">
        <w:rPr>
          <w:rStyle w:val="Hyperlink"/>
          <w:rFonts w:ascii="Times New Roman" w:hAnsi="Times New Roman"/>
          <w:color w:val="auto"/>
          <w:sz w:val="16"/>
          <w:szCs w:val="16"/>
        </w:rPr>
        <w:t>.</w:t>
      </w:r>
      <w:r w:rsidRPr="00045610">
        <w:rPr>
          <w:rFonts w:ascii="Times New Roman" w:hAnsi="Times New Roman"/>
          <w:sz w:val="16"/>
          <w:szCs w:val="16"/>
        </w:rPr>
        <w:t xml:space="preserve"> </w:t>
      </w:r>
    </w:p>
  </w:footnote>
  <w:footnote w:id="16">
    <w:p w14:paraId="30C45E51" w14:textId="68CE8684" w:rsidR="007561A2" w:rsidRPr="00745957" w:rsidRDefault="007561A2" w:rsidP="00745957">
      <w:pPr>
        <w:ind w:right="1210"/>
        <w:jc w:val="both"/>
        <w:rPr>
          <w:rFonts w:eastAsiaTheme="minorHAnsi"/>
        </w:rPr>
      </w:pPr>
      <w:r w:rsidRPr="00931DC5">
        <w:rPr>
          <w:rStyle w:val="FootnoteReference"/>
          <w:sz w:val="16"/>
          <w:szCs w:val="16"/>
        </w:rPr>
        <w:footnoteRef/>
      </w:r>
      <w:r>
        <w:t xml:space="preserve"> </w:t>
      </w:r>
      <w:r w:rsidRPr="009F1C72">
        <w:rPr>
          <w:rFonts w:eastAsiaTheme="minorHAnsi"/>
          <w:sz w:val="16"/>
          <w:szCs w:val="16"/>
        </w:rPr>
        <w:t>National Statistics Office, Office of Auditor General, Ministry of Justice, Ministry of Information, Ministry of Foreign Affairs, Ministry of Finance and National Development, and National Confederation of Eritrean Workers.</w:t>
      </w:r>
      <w:r w:rsidRPr="003C2AAB">
        <w:rPr>
          <w:rFonts w:eastAsiaTheme="minorHAnsi"/>
        </w:rPr>
        <w:t xml:space="preserve"> </w:t>
      </w:r>
    </w:p>
  </w:footnote>
  <w:footnote w:id="17">
    <w:p w14:paraId="1412AEF0" w14:textId="3E1DE1EA" w:rsidR="007561A2" w:rsidRDefault="007561A2">
      <w:pPr>
        <w:pStyle w:val="FootnoteText"/>
      </w:pPr>
      <w:r w:rsidRPr="004C1D5B">
        <w:rPr>
          <w:rStyle w:val="FootnoteReference"/>
          <w:rFonts w:ascii="Times New Roman" w:hAnsi="Times New Roman"/>
          <w:sz w:val="16"/>
          <w:szCs w:val="16"/>
        </w:rPr>
        <w:footnoteRef/>
      </w:r>
      <w:r w:rsidRPr="004C1D5B">
        <w:rPr>
          <w:rFonts w:ascii="Times New Roman" w:hAnsi="Times New Roman"/>
          <w:sz w:val="16"/>
          <w:szCs w:val="16"/>
        </w:rPr>
        <w:t xml:space="preserve"> </w:t>
      </w:r>
      <w:hyperlink r:id="rId6" w:history="1">
        <w:r w:rsidRPr="004C1D5B">
          <w:rPr>
            <w:rStyle w:val="Hyperlink"/>
            <w:rFonts w:ascii="Times New Roman" w:hAnsi="Times New Roman"/>
            <w:sz w:val="16"/>
            <w:szCs w:val="16"/>
          </w:rPr>
          <w:t>https://dashboards.sdgindex.org/profiles/ERI</w:t>
        </w:r>
      </w:hyperlink>
    </w:p>
  </w:footnote>
  <w:footnote w:id="18">
    <w:p w14:paraId="33E83AF6" w14:textId="5069D210" w:rsidR="007561A2" w:rsidRPr="00152F44" w:rsidRDefault="007561A2" w:rsidP="00B97754">
      <w:pPr>
        <w:pStyle w:val="FootnoteText"/>
        <w:rPr>
          <w:rFonts w:ascii="Times New Roman" w:hAnsi="Times New Roman"/>
          <w:sz w:val="16"/>
          <w:szCs w:val="16"/>
        </w:rPr>
      </w:pPr>
      <w:r w:rsidRPr="00152F44">
        <w:rPr>
          <w:rStyle w:val="FootnoteReference"/>
          <w:rFonts w:ascii="Times New Roman" w:hAnsi="Times New Roman"/>
          <w:sz w:val="16"/>
          <w:szCs w:val="16"/>
        </w:rPr>
        <w:footnoteRef/>
      </w:r>
      <w:r w:rsidR="00D90C60">
        <w:rPr>
          <w:rFonts w:ascii="Times New Roman" w:hAnsi="Times New Roman"/>
          <w:sz w:val="16"/>
          <w:szCs w:val="16"/>
        </w:rPr>
        <w:t xml:space="preserve"> </w:t>
      </w:r>
      <w:r w:rsidRPr="00152F44">
        <w:rPr>
          <w:rFonts w:ascii="Times New Roman" w:hAnsi="Times New Roman"/>
          <w:sz w:val="16"/>
          <w:szCs w:val="16"/>
        </w:rPr>
        <w:t>0</w:t>
      </w:r>
      <w:r w:rsidR="000553AB">
        <w:rPr>
          <w:rFonts w:ascii="Times New Roman" w:hAnsi="Times New Roman"/>
          <w:sz w:val="16"/>
          <w:szCs w:val="16"/>
        </w:rPr>
        <w:t>,</w:t>
      </w:r>
      <w:r w:rsidRPr="00152F44">
        <w:rPr>
          <w:rFonts w:ascii="Times New Roman" w:hAnsi="Times New Roman"/>
          <w:sz w:val="16"/>
          <w:szCs w:val="16"/>
        </w:rPr>
        <w:t xml:space="preserve"> not established; 1</w:t>
      </w:r>
      <w:r w:rsidR="000553AB">
        <w:rPr>
          <w:rFonts w:ascii="Times New Roman" w:hAnsi="Times New Roman"/>
          <w:sz w:val="16"/>
          <w:szCs w:val="16"/>
        </w:rPr>
        <w:t>,</w:t>
      </w:r>
      <w:r w:rsidRPr="00152F44">
        <w:rPr>
          <w:rFonts w:ascii="Times New Roman" w:hAnsi="Times New Roman"/>
          <w:sz w:val="16"/>
          <w:szCs w:val="16"/>
        </w:rPr>
        <w:t xml:space="preserve"> initiated; 2</w:t>
      </w:r>
      <w:r w:rsidR="000553AB">
        <w:rPr>
          <w:rFonts w:ascii="Times New Roman" w:hAnsi="Times New Roman"/>
          <w:sz w:val="16"/>
          <w:szCs w:val="16"/>
        </w:rPr>
        <w:t>,</w:t>
      </w:r>
      <w:r w:rsidRPr="00152F44">
        <w:rPr>
          <w:rFonts w:ascii="Times New Roman" w:hAnsi="Times New Roman"/>
          <w:sz w:val="16"/>
          <w:szCs w:val="16"/>
        </w:rPr>
        <w:t xml:space="preserve"> low functional; 3</w:t>
      </w:r>
      <w:r w:rsidR="000553AB">
        <w:rPr>
          <w:rFonts w:ascii="Times New Roman" w:hAnsi="Times New Roman"/>
          <w:sz w:val="16"/>
          <w:szCs w:val="16"/>
        </w:rPr>
        <w:t>,</w:t>
      </w:r>
      <w:r w:rsidRPr="00152F44">
        <w:rPr>
          <w:rFonts w:ascii="Times New Roman" w:hAnsi="Times New Roman"/>
          <w:sz w:val="16"/>
          <w:szCs w:val="16"/>
        </w:rPr>
        <w:t xml:space="preserve"> high functional; 4</w:t>
      </w:r>
      <w:r w:rsidR="000553AB">
        <w:rPr>
          <w:rFonts w:ascii="Times New Roman" w:hAnsi="Times New Roman"/>
          <w:sz w:val="16"/>
          <w:szCs w:val="16"/>
        </w:rPr>
        <w:t>,</w:t>
      </w:r>
      <w:r w:rsidRPr="00152F44">
        <w:rPr>
          <w:rFonts w:ascii="Times New Roman" w:hAnsi="Times New Roman"/>
          <w:sz w:val="16"/>
          <w:szCs w:val="16"/>
        </w:rPr>
        <w:t xml:space="preserve"> fully functional. </w:t>
      </w:r>
    </w:p>
  </w:footnote>
  <w:footnote w:id="19">
    <w:p w14:paraId="63D691D2" w14:textId="3C26F965" w:rsidR="007561A2" w:rsidRPr="00DA6F8A" w:rsidRDefault="007561A2" w:rsidP="00F5652D">
      <w:pPr>
        <w:pStyle w:val="FootnoteText"/>
        <w:rPr>
          <w:rFonts w:ascii="Times New Roman" w:hAnsi="Times New Roman"/>
          <w:sz w:val="16"/>
          <w:szCs w:val="16"/>
        </w:rPr>
      </w:pPr>
      <w:r w:rsidRPr="00DA6F8A">
        <w:rPr>
          <w:rStyle w:val="FootnoteReference"/>
          <w:rFonts w:ascii="Times New Roman" w:hAnsi="Times New Roman"/>
          <w:sz w:val="16"/>
          <w:szCs w:val="16"/>
        </w:rPr>
        <w:footnoteRef/>
      </w:r>
      <w:r w:rsidRPr="00DA6F8A">
        <w:rPr>
          <w:rFonts w:ascii="Times New Roman" w:hAnsi="Times New Roman"/>
          <w:sz w:val="16"/>
          <w:szCs w:val="16"/>
        </w:rPr>
        <w:t xml:space="preserve"> 0</w:t>
      </w:r>
      <w:r w:rsidR="000553AB">
        <w:rPr>
          <w:rFonts w:ascii="Times New Roman" w:hAnsi="Times New Roman"/>
          <w:sz w:val="16"/>
          <w:szCs w:val="16"/>
        </w:rPr>
        <w:t>,</w:t>
      </w:r>
      <w:r w:rsidRPr="00DA6F8A">
        <w:rPr>
          <w:rFonts w:ascii="Times New Roman" w:hAnsi="Times New Roman"/>
          <w:sz w:val="16"/>
          <w:szCs w:val="16"/>
        </w:rPr>
        <w:t xml:space="preserve"> not established; 1</w:t>
      </w:r>
      <w:r w:rsidR="000553AB">
        <w:rPr>
          <w:rFonts w:ascii="Times New Roman" w:hAnsi="Times New Roman"/>
          <w:sz w:val="16"/>
          <w:szCs w:val="16"/>
        </w:rPr>
        <w:t>,</w:t>
      </w:r>
      <w:r w:rsidRPr="00DA6F8A">
        <w:rPr>
          <w:rFonts w:ascii="Times New Roman" w:hAnsi="Times New Roman"/>
          <w:sz w:val="16"/>
          <w:szCs w:val="16"/>
        </w:rPr>
        <w:t xml:space="preserve"> initiated; 2</w:t>
      </w:r>
      <w:r w:rsidR="000553AB">
        <w:rPr>
          <w:rFonts w:ascii="Times New Roman" w:hAnsi="Times New Roman"/>
          <w:sz w:val="16"/>
          <w:szCs w:val="16"/>
        </w:rPr>
        <w:t>,</w:t>
      </w:r>
      <w:r w:rsidRPr="00DA6F8A">
        <w:rPr>
          <w:rFonts w:ascii="Times New Roman" w:hAnsi="Times New Roman"/>
          <w:sz w:val="16"/>
          <w:szCs w:val="16"/>
        </w:rPr>
        <w:t xml:space="preserve"> low functional; 3</w:t>
      </w:r>
      <w:r w:rsidR="000553AB">
        <w:rPr>
          <w:rFonts w:ascii="Times New Roman" w:hAnsi="Times New Roman"/>
          <w:sz w:val="16"/>
          <w:szCs w:val="16"/>
        </w:rPr>
        <w:t>,</w:t>
      </w:r>
      <w:r w:rsidRPr="00DA6F8A">
        <w:rPr>
          <w:rFonts w:ascii="Times New Roman" w:hAnsi="Times New Roman"/>
          <w:sz w:val="16"/>
          <w:szCs w:val="16"/>
        </w:rPr>
        <w:t xml:space="preserve"> high functional; 4</w:t>
      </w:r>
      <w:r w:rsidR="000553AB">
        <w:rPr>
          <w:rFonts w:ascii="Times New Roman" w:hAnsi="Times New Roman"/>
          <w:sz w:val="16"/>
          <w:szCs w:val="16"/>
        </w:rPr>
        <w:t>,</w:t>
      </w:r>
      <w:r w:rsidRPr="00DA6F8A">
        <w:rPr>
          <w:rFonts w:ascii="Times New Roman" w:hAnsi="Times New Roman"/>
          <w:sz w:val="16"/>
          <w:szCs w:val="16"/>
        </w:rPr>
        <w:t xml:space="preserve"> fully functional.  </w:t>
      </w:r>
    </w:p>
  </w:footnote>
  <w:footnote w:id="20">
    <w:p w14:paraId="7A1D36D2" w14:textId="77A53D24" w:rsidR="007561A2" w:rsidRPr="00BA2BC4" w:rsidRDefault="007561A2" w:rsidP="00BA2BC4">
      <w:pPr>
        <w:pStyle w:val="FootnoteText"/>
        <w:rPr>
          <w:rFonts w:ascii="Times New Roman" w:hAnsi="Times New Roman"/>
          <w:sz w:val="16"/>
          <w:szCs w:val="16"/>
        </w:rPr>
      </w:pPr>
      <w:r w:rsidRPr="00233740">
        <w:rPr>
          <w:rStyle w:val="FootnoteReference"/>
          <w:rFonts w:ascii="Times New Roman" w:hAnsi="Times New Roman"/>
          <w:sz w:val="16"/>
          <w:szCs w:val="16"/>
        </w:rPr>
        <w:footnoteRef/>
      </w:r>
      <w:r w:rsidRPr="00233740">
        <w:rPr>
          <w:rFonts w:ascii="Times New Roman" w:hAnsi="Times New Roman"/>
          <w:sz w:val="16"/>
          <w:szCs w:val="16"/>
        </w:rPr>
        <w:t xml:space="preserve"> </w:t>
      </w:r>
      <w:hyperlink r:id="rId7" w:history="1">
        <w:r w:rsidRPr="00233740">
          <w:rPr>
            <w:rStyle w:val="Hyperlink"/>
            <w:rFonts w:ascii="Times New Roman" w:hAnsi="Times New Roman"/>
            <w:sz w:val="16"/>
            <w:szCs w:val="16"/>
          </w:rPr>
          <w:t>https://dashboards.sdgindex.org/profiles/ERI</w:t>
        </w:r>
      </w:hyperlink>
    </w:p>
  </w:footnote>
  <w:footnote w:id="21">
    <w:p w14:paraId="6F02F9AF" w14:textId="39917EA6" w:rsidR="007561A2" w:rsidRPr="00BA2BC4" w:rsidRDefault="007561A2" w:rsidP="00BA2BC4">
      <w:pPr>
        <w:pStyle w:val="FootnoteText"/>
        <w:rPr>
          <w:rFonts w:ascii="Times New Roman" w:hAnsi="Times New Roman"/>
          <w:sz w:val="16"/>
          <w:szCs w:val="16"/>
        </w:rPr>
      </w:pPr>
      <w:r w:rsidRPr="00BA2BC4">
        <w:rPr>
          <w:rStyle w:val="FootnoteReference"/>
          <w:rFonts w:ascii="Times New Roman" w:hAnsi="Times New Roman"/>
          <w:sz w:val="16"/>
          <w:szCs w:val="16"/>
        </w:rPr>
        <w:footnoteRef/>
      </w:r>
      <w:r w:rsidRPr="00BA2BC4">
        <w:rPr>
          <w:rFonts w:ascii="Times New Roman" w:hAnsi="Times New Roman"/>
          <w:sz w:val="16"/>
          <w:szCs w:val="16"/>
        </w:rPr>
        <w:t xml:space="preserve"> Ibid</w:t>
      </w:r>
      <w:r w:rsidR="00A5034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612"/>
    </w:tblGrid>
    <w:tr w:rsidR="0091094F" w:rsidRPr="0091094F" w14:paraId="5923EA2A" w14:textId="77777777" w:rsidTr="007A2AD5">
      <w:trPr>
        <w:trHeight w:hRule="exact" w:val="864"/>
      </w:trPr>
      <w:tc>
        <w:tcPr>
          <w:tcW w:w="4838" w:type="dxa"/>
          <w:shd w:val="clear" w:color="auto" w:fill="auto"/>
          <w:vAlign w:val="bottom"/>
        </w:tcPr>
        <w:p w14:paraId="4EB11689" w14:textId="16023796" w:rsidR="0091094F" w:rsidRPr="0091094F" w:rsidRDefault="0091094F" w:rsidP="0091094F">
          <w:pPr>
            <w:tabs>
              <w:tab w:val="center" w:pos="4320"/>
              <w:tab w:val="right" w:pos="8640"/>
            </w:tabs>
            <w:spacing w:after="80"/>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p>
      </w:tc>
      <w:tc>
        <w:tcPr>
          <w:tcW w:w="4612" w:type="dxa"/>
          <w:shd w:val="clear" w:color="auto" w:fill="auto"/>
          <w:vAlign w:val="bottom"/>
        </w:tcPr>
        <w:p w14:paraId="7ABA538B" w14:textId="77777777" w:rsidR="0091094F" w:rsidRPr="0091094F" w:rsidRDefault="0091094F" w:rsidP="0091094F">
          <w:pPr>
            <w:tabs>
              <w:tab w:val="center" w:pos="4320"/>
              <w:tab w:val="right" w:pos="8640"/>
            </w:tabs>
            <w:rPr>
              <w:rFonts w:eastAsia="Calibri"/>
              <w:noProof/>
              <w:sz w:val="17"/>
            </w:rPr>
          </w:pPr>
        </w:p>
      </w:tc>
    </w:tr>
  </w:tbl>
  <w:p w14:paraId="3C9CFDEA" w14:textId="77777777" w:rsidR="0091094F" w:rsidRPr="0091094F" w:rsidRDefault="0091094F">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92"/>
    </w:tblGrid>
    <w:tr w:rsidR="0091094F" w:rsidRPr="0091094F" w14:paraId="06720AD4" w14:textId="77777777" w:rsidTr="007A2AD5">
      <w:trPr>
        <w:trHeight w:hRule="exact" w:val="864"/>
      </w:trPr>
      <w:tc>
        <w:tcPr>
          <w:tcW w:w="4838" w:type="dxa"/>
          <w:shd w:val="clear" w:color="auto" w:fill="auto"/>
          <w:vAlign w:val="bottom"/>
        </w:tcPr>
        <w:p w14:paraId="662C6A89" w14:textId="77777777" w:rsidR="0091094F" w:rsidRPr="0091094F" w:rsidRDefault="0091094F" w:rsidP="0091094F">
          <w:pPr>
            <w:tabs>
              <w:tab w:val="center" w:pos="4320"/>
              <w:tab w:val="right" w:pos="8640"/>
            </w:tabs>
            <w:rPr>
              <w:rFonts w:eastAsia="Calibri"/>
              <w:noProof/>
              <w:sz w:val="17"/>
            </w:rPr>
          </w:pPr>
        </w:p>
      </w:tc>
      <w:tc>
        <w:tcPr>
          <w:tcW w:w="4792" w:type="dxa"/>
          <w:shd w:val="clear" w:color="auto" w:fill="auto"/>
          <w:vAlign w:val="bottom"/>
        </w:tcPr>
        <w:p w14:paraId="50FFF54A" w14:textId="50CE1048" w:rsidR="0091094F" w:rsidRPr="0091094F" w:rsidRDefault="0091094F" w:rsidP="0091094F">
          <w:pPr>
            <w:tabs>
              <w:tab w:val="center" w:pos="4320"/>
              <w:tab w:val="right" w:pos="8640"/>
            </w:tabs>
            <w:spacing w:after="80"/>
            <w:jc w:val="right"/>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r w:rsidRPr="0091094F">
            <w:rPr>
              <w:rFonts w:eastAsia="Calibri"/>
              <w:b/>
              <w:noProof/>
              <w:sz w:val="17"/>
            </w:rPr>
            <w:fldChar w:fldCharType="begin"/>
          </w:r>
          <w:r w:rsidRPr="0091094F">
            <w:rPr>
              <w:rFonts w:eastAsia="Calibri"/>
              <w:b/>
              <w:noProof/>
              <w:sz w:val="17"/>
            </w:rPr>
            <w:instrText xml:space="preserve"> DOCVARIABLE "sss1" \* MERGEFORMAT </w:instrText>
          </w:r>
          <w:r w:rsidRPr="0091094F">
            <w:rPr>
              <w:rFonts w:eastAsia="Calibri"/>
              <w:b/>
              <w:noProof/>
              <w:sz w:val="17"/>
            </w:rPr>
            <w:fldChar w:fldCharType="end"/>
          </w:r>
        </w:p>
      </w:tc>
    </w:tr>
  </w:tbl>
  <w:p w14:paraId="58ADA564" w14:textId="77777777" w:rsidR="0091094F" w:rsidRPr="007C0A82" w:rsidRDefault="0091094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107E5" w:rsidRPr="00A107E5" w14:paraId="0FA47A19" w14:textId="77777777" w:rsidTr="007A2AD5">
      <w:trPr>
        <w:trHeight w:hRule="exact" w:val="864"/>
      </w:trPr>
      <w:tc>
        <w:tcPr>
          <w:tcW w:w="1267" w:type="dxa"/>
          <w:tcBorders>
            <w:bottom w:val="single" w:sz="4" w:space="0" w:color="auto"/>
          </w:tcBorders>
          <w:shd w:val="clear" w:color="auto" w:fill="auto"/>
          <w:vAlign w:val="bottom"/>
        </w:tcPr>
        <w:p w14:paraId="0CB1D3D7" w14:textId="77777777" w:rsidR="00A107E5" w:rsidRPr="00A107E5" w:rsidRDefault="00A107E5" w:rsidP="00A107E5">
          <w:pPr>
            <w:tabs>
              <w:tab w:val="center" w:pos="4320"/>
              <w:tab w:val="right" w:pos="8640"/>
            </w:tabs>
            <w:spacing w:after="120"/>
            <w:ind w:left="-450"/>
            <w:rPr>
              <w:rFonts w:eastAsia="Calibri"/>
              <w:noProof/>
              <w:sz w:val="17"/>
            </w:rPr>
          </w:pPr>
        </w:p>
      </w:tc>
      <w:tc>
        <w:tcPr>
          <w:tcW w:w="1872" w:type="dxa"/>
          <w:tcBorders>
            <w:bottom w:val="single" w:sz="4" w:space="0" w:color="auto"/>
          </w:tcBorders>
          <w:shd w:val="clear" w:color="auto" w:fill="auto"/>
          <w:vAlign w:val="bottom"/>
        </w:tcPr>
        <w:p w14:paraId="1D18A7DD" w14:textId="77777777" w:rsidR="00A107E5" w:rsidRPr="00A107E5" w:rsidRDefault="00A107E5" w:rsidP="00A1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A107E5">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55EC8B12" w14:textId="77777777" w:rsidR="00A107E5" w:rsidRPr="00A107E5" w:rsidRDefault="00A107E5" w:rsidP="00A107E5">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6EA01DCF" w14:textId="13A47D62" w:rsidR="00A107E5" w:rsidRPr="00A107E5" w:rsidRDefault="00A107E5" w:rsidP="00A107E5">
          <w:pPr>
            <w:suppressAutoHyphens/>
            <w:spacing w:after="80"/>
            <w:jc w:val="right"/>
            <w:rPr>
              <w:rFonts w:eastAsia="Calibri"/>
              <w:spacing w:val="4"/>
              <w:w w:val="103"/>
              <w:kern w:val="14"/>
              <w:position w:val="-4"/>
              <w:lang w:val="en-GB"/>
            </w:rPr>
          </w:pPr>
          <w:r w:rsidRPr="00A107E5">
            <w:rPr>
              <w:rFonts w:eastAsia="Calibri"/>
              <w:spacing w:val="4"/>
              <w:w w:val="103"/>
              <w:kern w:val="14"/>
              <w:position w:val="-4"/>
              <w:sz w:val="40"/>
              <w:lang w:val="en-GB"/>
            </w:rPr>
            <w:t>DP</w:t>
          </w:r>
          <w:r w:rsidRPr="00A107E5">
            <w:rPr>
              <w:rFonts w:eastAsia="Calibri"/>
              <w:spacing w:val="4"/>
              <w:w w:val="103"/>
              <w:kern w:val="14"/>
              <w:position w:val="-4"/>
              <w:lang w:val="en-GB"/>
            </w:rPr>
            <w:t>/DCP/</w:t>
          </w:r>
          <w:r>
            <w:rPr>
              <w:rFonts w:eastAsia="Calibri"/>
              <w:spacing w:val="4"/>
              <w:w w:val="103"/>
              <w:kern w:val="14"/>
              <w:position w:val="-4"/>
              <w:lang w:val="en-GB"/>
            </w:rPr>
            <w:t>ERI</w:t>
          </w:r>
          <w:r w:rsidRPr="00A107E5">
            <w:rPr>
              <w:rFonts w:eastAsia="Calibri"/>
              <w:spacing w:val="4"/>
              <w:w w:val="103"/>
              <w:kern w:val="14"/>
              <w:position w:val="-4"/>
              <w:lang w:val="en-GB"/>
            </w:rPr>
            <w:t>/4</w:t>
          </w:r>
        </w:p>
      </w:tc>
    </w:tr>
    <w:tr w:rsidR="00A107E5" w:rsidRPr="00A107E5" w14:paraId="479163EA" w14:textId="77777777" w:rsidTr="007A2AD5">
      <w:trPr>
        <w:gridAfter w:val="1"/>
        <w:wAfter w:w="28" w:type="dxa"/>
        <w:trHeight w:hRule="exact" w:val="2880"/>
      </w:trPr>
      <w:tc>
        <w:tcPr>
          <w:tcW w:w="1267" w:type="dxa"/>
          <w:tcBorders>
            <w:top w:val="single" w:sz="4" w:space="0" w:color="auto"/>
            <w:bottom w:val="single" w:sz="12" w:space="0" w:color="auto"/>
          </w:tcBorders>
          <w:shd w:val="clear" w:color="auto" w:fill="auto"/>
        </w:tcPr>
        <w:p w14:paraId="33ECDA23" w14:textId="77777777" w:rsidR="00A107E5" w:rsidRPr="00A107E5" w:rsidRDefault="00A107E5" w:rsidP="00A107E5">
          <w:pPr>
            <w:tabs>
              <w:tab w:val="center" w:pos="4320"/>
              <w:tab w:val="right" w:pos="8640"/>
            </w:tabs>
            <w:spacing w:before="120"/>
            <w:jc w:val="center"/>
            <w:rPr>
              <w:rFonts w:eastAsia="Calibri"/>
              <w:noProof/>
              <w:sz w:val="17"/>
            </w:rPr>
          </w:pPr>
          <w:r w:rsidRPr="00A107E5">
            <w:rPr>
              <w:rFonts w:eastAsia="Calibri"/>
              <w:noProof/>
              <w:sz w:val="17"/>
            </w:rPr>
            <w:t xml:space="preserve"> </w:t>
          </w:r>
          <w:r w:rsidRPr="00A107E5">
            <w:rPr>
              <w:rFonts w:eastAsia="Calibri"/>
              <w:noProof/>
              <w:sz w:val="17"/>
              <w:lang w:val="en-GB" w:eastAsia="en-GB"/>
            </w:rPr>
            <w:drawing>
              <wp:inline distT="0" distB="0" distL="0" distR="0" wp14:anchorId="2FB2DFD3" wp14:editId="7C4176FE">
                <wp:extent cx="713232" cy="59710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794E61" w14:textId="77777777" w:rsidR="00A107E5" w:rsidRPr="00A107E5" w:rsidRDefault="00A107E5" w:rsidP="00A1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r w:rsidRPr="00A107E5">
            <w:rPr>
              <w:rFonts w:eastAsia="Calibri"/>
              <w:b/>
              <w:spacing w:val="-4"/>
              <w:w w:val="98"/>
              <w:kern w:val="14"/>
              <w:sz w:val="34"/>
              <w:lang w:val="en-GB"/>
            </w:rPr>
            <w:t>Executive Board of the</w:t>
          </w:r>
          <w:r w:rsidRPr="00A107E5">
            <w:rPr>
              <w:rFonts w:eastAsia="Calibri"/>
              <w:b/>
              <w:spacing w:val="-4"/>
              <w:w w:val="98"/>
              <w:kern w:val="14"/>
              <w:sz w:val="34"/>
              <w:lang w:val="en-GB"/>
            </w:rPr>
            <w:br/>
            <w:t>United Nations Development</w:t>
          </w:r>
          <w:r w:rsidRPr="00A107E5">
            <w:rPr>
              <w:rFonts w:eastAsia="Calibri"/>
              <w:b/>
              <w:spacing w:val="-4"/>
              <w:w w:val="98"/>
              <w:kern w:val="14"/>
              <w:sz w:val="34"/>
              <w:lang w:val="en-GB"/>
            </w:rPr>
            <w:br/>
            <w:t>Programme, the United Nations</w:t>
          </w:r>
          <w:r w:rsidRPr="00A107E5">
            <w:rPr>
              <w:rFonts w:eastAsia="Calibri"/>
              <w:b/>
              <w:spacing w:val="-4"/>
              <w:w w:val="98"/>
              <w:kern w:val="14"/>
              <w:sz w:val="34"/>
              <w:lang w:val="en-GB"/>
            </w:rPr>
            <w:br/>
            <w:t xml:space="preserve">Population Fund and the </w:t>
          </w:r>
          <w:r w:rsidRPr="00A107E5">
            <w:rPr>
              <w:rFonts w:eastAsia="Calibri"/>
              <w:b/>
              <w:spacing w:val="-4"/>
              <w:w w:val="98"/>
              <w:kern w:val="14"/>
              <w:sz w:val="34"/>
              <w:lang w:val="en-GB"/>
            </w:rPr>
            <w:br/>
            <w:t>United Nations Office for</w:t>
          </w:r>
          <w:r w:rsidRPr="00A107E5">
            <w:rPr>
              <w:rFonts w:eastAsia="Calibr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68C094A9" w14:textId="77777777" w:rsidR="00A107E5" w:rsidRPr="00A107E5" w:rsidRDefault="00A107E5" w:rsidP="00A107E5">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3F1404CA" w14:textId="77777777" w:rsidR="00A107E5" w:rsidRPr="00A107E5" w:rsidRDefault="00A107E5" w:rsidP="00A107E5">
          <w:pPr>
            <w:spacing w:before="240"/>
            <w:rPr>
              <w:rFonts w:eastAsia="Calibri"/>
              <w:color w:val="010000"/>
              <w:spacing w:val="4"/>
              <w:w w:val="103"/>
              <w:kern w:val="14"/>
              <w:lang w:val="en-GB"/>
            </w:rPr>
          </w:pPr>
          <w:r w:rsidRPr="00A107E5">
            <w:rPr>
              <w:rFonts w:eastAsia="Calibri"/>
              <w:color w:val="010000"/>
              <w:spacing w:val="4"/>
              <w:w w:val="103"/>
              <w:kern w:val="14"/>
              <w:lang w:val="en-GB"/>
            </w:rPr>
            <w:t>Distr.: General</w:t>
          </w:r>
        </w:p>
        <w:p w14:paraId="7E089AB6" w14:textId="5C423FA8" w:rsidR="00A107E5" w:rsidRPr="00A107E5" w:rsidRDefault="00412CE1" w:rsidP="00A107E5">
          <w:pPr>
            <w:rPr>
              <w:rFonts w:eastAsia="Calibri"/>
              <w:color w:val="010000"/>
              <w:spacing w:val="4"/>
              <w:w w:val="103"/>
              <w:kern w:val="14"/>
              <w:lang w:val="en-GB"/>
            </w:rPr>
          </w:pPr>
          <w:r>
            <w:rPr>
              <w:rFonts w:eastAsia="Calibri"/>
              <w:color w:val="010000"/>
              <w:spacing w:val="4"/>
              <w:w w:val="103"/>
              <w:kern w:val="14"/>
              <w:lang w:val="en-GB"/>
            </w:rPr>
            <w:t>7</w:t>
          </w:r>
          <w:r w:rsidR="00A107E5" w:rsidRPr="00A107E5">
            <w:rPr>
              <w:rFonts w:eastAsia="Calibri"/>
              <w:color w:val="010000"/>
              <w:spacing w:val="4"/>
              <w:w w:val="103"/>
              <w:kern w:val="14"/>
              <w:lang w:val="en-GB"/>
            </w:rPr>
            <w:t xml:space="preserve"> June 2021</w:t>
          </w:r>
        </w:p>
        <w:p w14:paraId="2B243673" w14:textId="77777777" w:rsidR="00A107E5" w:rsidRPr="00A107E5" w:rsidRDefault="00A107E5" w:rsidP="00A107E5">
          <w:pPr>
            <w:suppressAutoHyphens/>
            <w:spacing w:line="240" w:lineRule="exact"/>
            <w:rPr>
              <w:rFonts w:eastAsia="Calibri"/>
              <w:spacing w:val="4"/>
              <w:w w:val="103"/>
              <w:kern w:val="14"/>
              <w:lang w:val="en-GB"/>
            </w:rPr>
          </w:pPr>
        </w:p>
        <w:p w14:paraId="274996D9" w14:textId="77777777" w:rsidR="00A107E5" w:rsidRPr="00A107E5" w:rsidRDefault="00A107E5" w:rsidP="00A107E5">
          <w:pPr>
            <w:rPr>
              <w:rFonts w:eastAsia="Calibri"/>
              <w:color w:val="010000"/>
              <w:spacing w:val="4"/>
              <w:w w:val="103"/>
              <w:kern w:val="14"/>
              <w:lang w:val="en-GB"/>
            </w:rPr>
          </w:pPr>
          <w:r w:rsidRPr="00A107E5">
            <w:rPr>
              <w:rFonts w:eastAsia="Calibri"/>
              <w:color w:val="010000"/>
              <w:spacing w:val="4"/>
              <w:w w:val="103"/>
              <w:kern w:val="14"/>
              <w:lang w:val="en-GB"/>
            </w:rPr>
            <w:t>Original: English</w:t>
          </w:r>
        </w:p>
        <w:p w14:paraId="4D2CB7BB" w14:textId="77777777" w:rsidR="00A107E5" w:rsidRPr="00A107E5" w:rsidRDefault="00A107E5" w:rsidP="00A107E5">
          <w:pPr>
            <w:suppressAutoHyphens/>
            <w:spacing w:line="240" w:lineRule="exact"/>
            <w:rPr>
              <w:rFonts w:eastAsia="Calibri"/>
              <w:spacing w:val="4"/>
              <w:w w:val="103"/>
              <w:kern w:val="14"/>
              <w:lang w:val="en-GB"/>
            </w:rPr>
          </w:pPr>
        </w:p>
      </w:tc>
    </w:tr>
  </w:tbl>
  <w:p w14:paraId="1304797A" w14:textId="77777777" w:rsidR="00A107E5" w:rsidRPr="0091094F" w:rsidRDefault="00A107E5">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06757D" w:rsidRPr="0091094F" w14:paraId="6055495D" w14:textId="77777777" w:rsidTr="0006757D">
      <w:trPr>
        <w:trHeight w:hRule="exact" w:val="864"/>
      </w:trPr>
      <w:tc>
        <w:tcPr>
          <w:tcW w:w="4838" w:type="dxa"/>
          <w:shd w:val="clear" w:color="auto" w:fill="auto"/>
          <w:vAlign w:val="bottom"/>
        </w:tcPr>
        <w:p w14:paraId="75F85E12" w14:textId="77777777" w:rsidR="0006757D" w:rsidRPr="0091094F" w:rsidRDefault="0006757D" w:rsidP="0091094F">
          <w:pPr>
            <w:tabs>
              <w:tab w:val="center" w:pos="4320"/>
              <w:tab w:val="right" w:pos="8640"/>
            </w:tabs>
            <w:spacing w:after="80"/>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p>
      </w:tc>
      <w:tc>
        <w:tcPr>
          <w:tcW w:w="8032" w:type="dxa"/>
          <w:shd w:val="clear" w:color="auto" w:fill="auto"/>
          <w:vAlign w:val="bottom"/>
        </w:tcPr>
        <w:p w14:paraId="543DC256" w14:textId="77777777" w:rsidR="0006757D" w:rsidRPr="0091094F" w:rsidRDefault="0006757D" w:rsidP="0091094F">
          <w:pPr>
            <w:tabs>
              <w:tab w:val="center" w:pos="4320"/>
              <w:tab w:val="right" w:pos="8640"/>
            </w:tabs>
            <w:rPr>
              <w:rFonts w:eastAsia="Calibri"/>
              <w:noProof/>
              <w:sz w:val="17"/>
            </w:rPr>
          </w:pPr>
        </w:p>
      </w:tc>
    </w:tr>
  </w:tbl>
  <w:p w14:paraId="42EC52BF" w14:textId="77777777" w:rsidR="0006757D" w:rsidRPr="0091094F" w:rsidRDefault="0006757D">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8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7942"/>
    </w:tblGrid>
    <w:tr w:rsidR="007C0A82" w:rsidRPr="0091094F" w14:paraId="75EBD75B" w14:textId="77777777" w:rsidTr="007C0A82">
      <w:trPr>
        <w:trHeight w:hRule="exact" w:val="864"/>
      </w:trPr>
      <w:tc>
        <w:tcPr>
          <w:tcW w:w="4838" w:type="dxa"/>
          <w:shd w:val="clear" w:color="auto" w:fill="auto"/>
          <w:vAlign w:val="bottom"/>
        </w:tcPr>
        <w:p w14:paraId="2BC41046" w14:textId="77777777" w:rsidR="007C0A82" w:rsidRPr="0091094F" w:rsidRDefault="007C0A82" w:rsidP="0091094F">
          <w:pPr>
            <w:tabs>
              <w:tab w:val="center" w:pos="4320"/>
              <w:tab w:val="right" w:pos="8640"/>
            </w:tabs>
            <w:rPr>
              <w:rFonts w:eastAsia="Calibri"/>
              <w:noProof/>
              <w:sz w:val="17"/>
            </w:rPr>
          </w:pPr>
        </w:p>
      </w:tc>
      <w:tc>
        <w:tcPr>
          <w:tcW w:w="7942" w:type="dxa"/>
          <w:shd w:val="clear" w:color="auto" w:fill="auto"/>
          <w:vAlign w:val="bottom"/>
        </w:tcPr>
        <w:p w14:paraId="1BB1252C" w14:textId="77777777" w:rsidR="007C0A82" w:rsidRPr="0091094F" w:rsidRDefault="007C0A82" w:rsidP="0091094F">
          <w:pPr>
            <w:tabs>
              <w:tab w:val="center" w:pos="4320"/>
              <w:tab w:val="right" w:pos="8640"/>
            </w:tabs>
            <w:spacing w:after="80"/>
            <w:jc w:val="right"/>
            <w:rPr>
              <w:rFonts w:eastAsia="Calibri"/>
              <w:b/>
              <w:noProof/>
              <w:sz w:val="17"/>
            </w:rPr>
          </w:pPr>
          <w:r w:rsidRPr="0091094F">
            <w:rPr>
              <w:rFonts w:eastAsia="Calibri"/>
              <w:b/>
              <w:noProof/>
              <w:sz w:val="17"/>
            </w:rPr>
            <w:t>DP/DCP/</w:t>
          </w:r>
          <w:r>
            <w:rPr>
              <w:rFonts w:eastAsia="Calibri"/>
              <w:b/>
              <w:noProof/>
              <w:sz w:val="17"/>
            </w:rPr>
            <w:t>ERI</w:t>
          </w:r>
          <w:r w:rsidRPr="0091094F">
            <w:rPr>
              <w:rFonts w:eastAsia="Calibri"/>
              <w:b/>
              <w:noProof/>
              <w:sz w:val="17"/>
            </w:rPr>
            <w:t>/4</w:t>
          </w:r>
          <w:r w:rsidRPr="0091094F">
            <w:rPr>
              <w:rFonts w:eastAsia="Calibri"/>
              <w:b/>
              <w:noProof/>
              <w:sz w:val="17"/>
            </w:rPr>
            <w:fldChar w:fldCharType="begin"/>
          </w:r>
          <w:r w:rsidRPr="0091094F">
            <w:rPr>
              <w:rFonts w:eastAsia="Calibri"/>
              <w:b/>
              <w:noProof/>
              <w:sz w:val="17"/>
            </w:rPr>
            <w:instrText xml:space="preserve"> DOCVARIABLE "sss1" \* MERGEFORMAT </w:instrText>
          </w:r>
          <w:r w:rsidRPr="0091094F">
            <w:rPr>
              <w:rFonts w:eastAsia="Calibri"/>
              <w:b/>
              <w:noProof/>
              <w:sz w:val="17"/>
            </w:rPr>
            <w:fldChar w:fldCharType="end"/>
          </w:r>
        </w:p>
      </w:tc>
    </w:tr>
  </w:tbl>
  <w:p w14:paraId="73B1BE1C" w14:textId="77777777" w:rsidR="007C0A82" w:rsidRPr="007C0A82" w:rsidRDefault="007C0A8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E01"/>
    <w:multiLevelType w:val="multilevel"/>
    <w:tmpl w:val="7B260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3034AC7"/>
    <w:multiLevelType w:val="hybridMultilevel"/>
    <w:tmpl w:val="48ECD8A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33E1813"/>
    <w:multiLevelType w:val="multilevel"/>
    <w:tmpl w:val="7370FE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5291A61"/>
    <w:multiLevelType w:val="multilevel"/>
    <w:tmpl w:val="67CEE98E"/>
    <w:lvl w:ilvl="0">
      <w:start w:val="3"/>
      <w:numFmt w:val="decimal"/>
      <w:lvlText w:val="%1."/>
      <w:lvlJc w:val="left"/>
      <w:pPr>
        <w:ind w:left="378" w:hanging="378"/>
      </w:pPr>
      <w:rPr>
        <w:rFonts w:hint="default"/>
      </w:rPr>
    </w:lvl>
    <w:lvl w:ilvl="1">
      <w:start w:val="1"/>
      <w:numFmt w:val="decimal"/>
      <w:lvlText w:val="%1.%2."/>
      <w:lvlJc w:val="left"/>
      <w:pPr>
        <w:ind w:left="378" w:hanging="378"/>
      </w:pPr>
      <w:rPr>
        <w:rFonts w:hint="default"/>
      </w:rPr>
    </w:lvl>
    <w:lvl w:ilvl="2">
      <w:start w:val="4"/>
      <w:numFmt w:val="decimal"/>
      <w:lvlText w:val="%1.%2.%3."/>
      <w:lvlJc w:val="left"/>
      <w:pPr>
        <w:ind w:left="378" w:hanging="37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7EB62D3"/>
    <w:multiLevelType w:val="hybridMultilevel"/>
    <w:tmpl w:val="EE3C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C29A1"/>
    <w:multiLevelType w:val="multilevel"/>
    <w:tmpl w:val="698CA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F5A2E72"/>
    <w:multiLevelType w:val="multilevel"/>
    <w:tmpl w:val="90266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0F612B21"/>
    <w:multiLevelType w:val="multilevel"/>
    <w:tmpl w:val="93C21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5E06053"/>
    <w:multiLevelType w:val="hybridMultilevel"/>
    <w:tmpl w:val="77FE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6CB"/>
    <w:multiLevelType w:val="multilevel"/>
    <w:tmpl w:val="6E703E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2DC0CDA"/>
    <w:multiLevelType w:val="multilevel"/>
    <w:tmpl w:val="53101DF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 w15:restartNumberingAfterBreak="0">
    <w:nsid w:val="2C3D5EE9"/>
    <w:multiLevelType w:val="hybridMultilevel"/>
    <w:tmpl w:val="FA366D90"/>
    <w:lvl w:ilvl="0" w:tplc="CC86D9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54D9D"/>
    <w:multiLevelType w:val="hybridMultilevel"/>
    <w:tmpl w:val="F3440B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F442A55"/>
    <w:multiLevelType w:val="multilevel"/>
    <w:tmpl w:val="9454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531E796C"/>
    <w:multiLevelType w:val="multilevel"/>
    <w:tmpl w:val="DD3A9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10498"/>
    <w:multiLevelType w:val="hybridMultilevel"/>
    <w:tmpl w:val="76D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00604"/>
    <w:multiLevelType w:val="multilevel"/>
    <w:tmpl w:val="F0DCD2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5D734625"/>
    <w:multiLevelType w:val="hybridMultilevel"/>
    <w:tmpl w:val="2F60C61A"/>
    <w:lvl w:ilvl="0" w:tplc="79BCB632">
      <w:start w:val="1"/>
      <w:numFmt w:val="decimal"/>
      <w:lvlText w:val="%1."/>
      <w:lvlJc w:val="left"/>
      <w:pPr>
        <w:ind w:left="153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6320E"/>
    <w:multiLevelType w:val="multilevel"/>
    <w:tmpl w:val="F10E3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1BF3120"/>
    <w:multiLevelType w:val="multilevel"/>
    <w:tmpl w:val="97984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625352A2"/>
    <w:multiLevelType w:val="hybridMultilevel"/>
    <w:tmpl w:val="4BCC2C8A"/>
    <w:lvl w:ilvl="0" w:tplc="04D22AC4">
      <w:start w:val="1"/>
      <w:numFmt w:val="upperRoman"/>
      <w:lvlText w:val="%1."/>
      <w:lvlJc w:val="left"/>
      <w:pPr>
        <w:ind w:left="1530" w:hanging="72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38D55F4"/>
    <w:multiLevelType w:val="hybridMultilevel"/>
    <w:tmpl w:val="D3CC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34A1E"/>
    <w:multiLevelType w:val="multilevel"/>
    <w:tmpl w:val="2F14A24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8"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4315B"/>
    <w:multiLevelType w:val="multilevel"/>
    <w:tmpl w:val="3A9E19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9"/>
  </w:num>
  <w:num w:numId="2">
    <w:abstractNumId w:val="30"/>
  </w:num>
  <w:num w:numId="3">
    <w:abstractNumId w:val="20"/>
  </w:num>
  <w:num w:numId="4">
    <w:abstractNumId w:val="15"/>
  </w:num>
  <w:num w:numId="5">
    <w:abstractNumId w:val="8"/>
  </w:num>
  <w:num w:numId="6">
    <w:abstractNumId w:val="13"/>
  </w:num>
  <w:num w:numId="7">
    <w:abstractNumId w:val="29"/>
  </w:num>
  <w:num w:numId="8">
    <w:abstractNumId w:val="28"/>
  </w:num>
  <w:num w:numId="9">
    <w:abstractNumId w:val="31"/>
  </w:num>
  <w:num w:numId="10">
    <w:abstractNumId w:val="18"/>
  </w:num>
  <w:num w:numId="11">
    <w:abstractNumId w:val="2"/>
  </w:num>
  <w:num w:numId="12">
    <w:abstractNumId w:val="32"/>
  </w:num>
  <w:num w:numId="13">
    <w:abstractNumId w:val="10"/>
  </w:num>
  <w:num w:numId="14">
    <w:abstractNumId w:val="0"/>
  </w:num>
  <w:num w:numId="15">
    <w:abstractNumId w:val="7"/>
  </w:num>
  <w:num w:numId="16">
    <w:abstractNumId w:val="24"/>
  </w:num>
  <w:num w:numId="17">
    <w:abstractNumId w:val="4"/>
  </w:num>
  <w:num w:numId="18">
    <w:abstractNumId w:val="22"/>
  </w:num>
  <w:num w:numId="19">
    <w:abstractNumId w:val="12"/>
  </w:num>
  <w:num w:numId="20">
    <w:abstractNumId w:val="6"/>
  </w:num>
  <w:num w:numId="21">
    <w:abstractNumId w:val="11"/>
  </w:num>
  <w:num w:numId="22">
    <w:abstractNumId w:val="27"/>
  </w:num>
  <w:num w:numId="23">
    <w:abstractNumId w:val="17"/>
  </w:num>
  <w:num w:numId="24">
    <w:abstractNumId w:val="23"/>
  </w:num>
  <w:num w:numId="25">
    <w:abstractNumId w:val="21"/>
  </w:num>
  <w:num w:numId="26">
    <w:abstractNumId w:val="1"/>
  </w:num>
  <w:num w:numId="27">
    <w:abstractNumId w:val="9"/>
  </w:num>
  <w:num w:numId="28">
    <w:abstractNumId w:val="26"/>
  </w:num>
  <w:num w:numId="29">
    <w:abstractNumId w:val="14"/>
  </w:num>
  <w:num w:numId="30">
    <w:abstractNumId w:val="3"/>
  </w:num>
  <w:num w:numId="31">
    <w:abstractNumId w:val="5"/>
  </w:num>
  <w:num w:numId="32">
    <w:abstractNumId w:val="16"/>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zc0NzI1MTc0tjBX0lEKTi0uzszPAykwqgUA+WlyziwAAAA="/>
  </w:docVars>
  <w:rsids>
    <w:rsidRoot w:val="00D9153B"/>
    <w:rsid w:val="000010B5"/>
    <w:rsid w:val="000027D2"/>
    <w:rsid w:val="0000312F"/>
    <w:rsid w:val="000033EC"/>
    <w:rsid w:val="00003E8B"/>
    <w:rsid w:val="00005E26"/>
    <w:rsid w:val="00006E59"/>
    <w:rsid w:val="00007421"/>
    <w:rsid w:val="00012F75"/>
    <w:rsid w:val="00012FE9"/>
    <w:rsid w:val="0001309E"/>
    <w:rsid w:val="000139FC"/>
    <w:rsid w:val="000153EB"/>
    <w:rsid w:val="00015B31"/>
    <w:rsid w:val="00015FDE"/>
    <w:rsid w:val="00016217"/>
    <w:rsid w:val="00016861"/>
    <w:rsid w:val="00017D05"/>
    <w:rsid w:val="000200CF"/>
    <w:rsid w:val="000205F1"/>
    <w:rsid w:val="00022047"/>
    <w:rsid w:val="00022523"/>
    <w:rsid w:val="000237C1"/>
    <w:rsid w:val="00023AEE"/>
    <w:rsid w:val="00024AC0"/>
    <w:rsid w:val="000256BF"/>
    <w:rsid w:val="00026E7E"/>
    <w:rsid w:val="000274B9"/>
    <w:rsid w:val="0002758B"/>
    <w:rsid w:val="000276A0"/>
    <w:rsid w:val="0003257C"/>
    <w:rsid w:val="000330DB"/>
    <w:rsid w:val="000335C1"/>
    <w:rsid w:val="00033635"/>
    <w:rsid w:val="00033D10"/>
    <w:rsid w:val="0003429F"/>
    <w:rsid w:val="0003562A"/>
    <w:rsid w:val="00036095"/>
    <w:rsid w:val="000367E0"/>
    <w:rsid w:val="00036AF4"/>
    <w:rsid w:val="00036ED9"/>
    <w:rsid w:val="00037DD7"/>
    <w:rsid w:val="00037E32"/>
    <w:rsid w:val="00041C10"/>
    <w:rsid w:val="00043804"/>
    <w:rsid w:val="000441A1"/>
    <w:rsid w:val="00045610"/>
    <w:rsid w:val="00046D35"/>
    <w:rsid w:val="00050869"/>
    <w:rsid w:val="00050F83"/>
    <w:rsid w:val="00051132"/>
    <w:rsid w:val="00051E3C"/>
    <w:rsid w:val="00052692"/>
    <w:rsid w:val="000553AB"/>
    <w:rsid w:val="00055596"/>
    <w:rsid w:val="00056014"/>
    <w:rsid w:val="000561C1"/>
    <w:rsid w:val="00056204"/>
    <w:rsid w:val="000570D1"/>
    <w:rsid w:val="000571A9"/>
    <w:rsid w:val="00060290"/>
    <w:rsid w:val="000611AB"/>
    <w:rsid w:val="00062003"/>
    <w:rsid w:val="00063E24"/>
    <w:rsid w:val="0006689F"/>
    <w:rsid w:val="0006757D"/>
    <w:rsid w:val="00072229"/>
    <w:rsid w:val="000728F8"/>
    <w:rsid w:val="00073CF1"/>
    <w:rsid w:val="00074BD0"/>
    <w:rsid w:val="00074D9A"/>
    <w:rsid w:val="00074DB9"/>
    <w:rsid w:val="00074E81"/>
    <w:rsid w:val="000753C4"/>
    <w:rsid w:val="00075C75"/>
    <w:rsid w:val="00075DF0"/>
    <w:rsid w:val="0007621D"/>
    <w:rsid w:val="000762CA"/>
    <w:rsid w:val="000803A4"/>
    <w:rsid w:val="000806E3"/>
    <w:rsid w:val="000815C3"/>
    <w:rsid w:val="00082866"/>
    <w:rsid w:val="0008339E"/>
    <w:rsid w:val="00090AD1"/>
    <w:rsid w:val="00090F4F"/>
    <w:rsid w:val="00091476"/>
    <w:rsid w:val="00091984"/>
    <w:rsid w:val="00091D02"/>
    <w:rsid w:val="000927B8"/>
    <w:rsid w:val="00092879"/>
    <w:rsid w:val="00093533"/>
    <w:rsid w:val="00094E87"/>
    <w:rsid w:val="00096576"/>
    <w:rsid w:val="00097FB2"/>
    <w:rsid w:val="000A0C74"/>
    <w:rsid w:val="000A1242"/>
    <w:rsid w:val="000A148B"/>
    <w:rsid w:val="000A151D"/>
    <w:rsid w:val="000A24C5"/>
    <w:rsid w:val="000A30A1"/>
    <w:rsid w:val="000A395C"/>
    <w:rsid w:val="000A3A38"/>
    <w:rsid w:val="000A3F7F"/>
    <w:rsid w:val="000A47FD"/>
    <w:rsid w:val="000A64F1"/>
    <w:rsid w:val="000A7192"/>
    <w:rsid w:val="000B0228"/>
    <w:rsid w:val="000B2E16"/>
    <w:rsid w:val="000B33A7"/>
    <w:rsid w:val="000B3972"/>
    <w:rsid w:val="000B3A13"/>
    <w:rsid w:val="000B458D"/>
    <w:rsid w:val="000B4BB2"/>
    <w:rsid w:val="000B4CEE"/>
    <w:rsid w:val="000B6379"/>
    <w:rsid w:val="000C17F2"/>
    <w:rsid w:val="000C2082"/>
    <w:rsid w:val="000C21A7"/>
    <w:rsid w:val="000C4E54"/>
    <w:rsid w:val="000C76B0"/>
    <w:rsid w:val="000C7BBE"/>
    <w:rsid w:val="000D2475"/>
    <w:rsid w:val="000D3391"/>
    <w:rsid w:val="000D442C"/>
    <w:rsid w:val="000D4DC4"/>
    <w:rsid w:val="000E0AAF"/>
    <w:rsid w:val="000E12F7"/>
    <w:rsid w:val="000E403A"/>
    <w:rsid w:val="000E48DD"/>
    <w:rsid w:val="000E4FD9"/>
    <w:rsid w:val="000E55D6"/>
    <w:rsid w:val="000E612D"/>
    <w:rsid w:val="000E6AB1"/>
    <w:rsid w:val="000E745A"/>
    <w:rsid w:val="000E7E9E"/>
    <w:rsid w:val="000F0044"/>
    <w:rsid w:val="000F0401"/>
    <w:rsid w:val="000F0EFD"/>
    <w:rsid w:val="000F5541"/>
    <w:rsid w:val="000F6154"/>
    <w:rsid w:val="000F703B"/>
    <w:rsid w:val="000F72ED"/>
    <w:rsid w:val="000F7A4C"/>
    <w:rsid w:val="001025AB"/>
    <w:rsid w:val="00103698"/>
    <w:rsid w:val="00105B4F"/>
    <w:rsid w:val="00106EF8"/>
    <w:rsid w:val="0010748A"/>
    <w:rsid w:val="001075BF"/>
    <w:rsid w:val="001079CD"/>
    <w:rsid w:val="001101A2"/>
    <w:rsid w:val="00110B33"/>
    <w:rsid w:val="00111017"/>
    <w:rsid w:val="00111489"/>
    <w:rsid w:val="00111792"/>
    <w:rsid w:val="00111797"/>
    <w:rsid w:val="00111B19"/>
    <w:rsid w:val="0011396D"/>
    <w:rsid w:val="001145D5"/>
    <w:rsid w:val="001149E3"/>
    <w:rsid w:val="00114A64"/>
    <w:rsid w:val="00115C69"/>
    <w:rsid w:val="00115F59"/>
    <w:rsid w:val="00116C1A"/>
    <w:rsid w:val="00121137"/>
    <w:rsid w:val="00121554"/>
    <w:rsid w:val="00121F3E"/>
    <w:rsid w:val="0012229E"/>
    <w:rsid w:val="00122442"/>
    <w:rsid w:val="00123849"/>
    <w:rsid w:val="00123A5E"/>
    <w:rsid w:val="00123B64"/>
    <w:rsid w:val="00124E30"/>
    <w:rsid w:val="00125010"/>
    <w:rsid w:val="001251C8"/>
    <w:rsid w:val="00125266"/>
    <w:rsid w:val="00125B82"/>
    <w:rsid w:val="0013037A"/>
    <w:rsid w:val="001305E6"/>
    <w:rsid w:val="001308DA"/>
    <w:rsid w:val="001315CD"/>
    <w:rsid w:val="0013239A"/>
    <w:rsid w:val="00132D93"/>
    <w:rsid w:val="001334D3"/>
    <w:rsid w:val="00136A35"/>
    <w:rsid w:val="0013761A"/>
    <w:rsid w:val="001431F6"/>
    <w:rsid w:val="0014423A"/>
    <w:rsid w:val="00145533"/>
    <w:rsid w:val="00145ECE"/>
    <w:rsid w:val="00147042"/>
    <w:rsid w:val="001471A7"/>
    <w:rsid w:val="001506F6"/>
    <w:rsid w:val="001508E6"/>
    <w:rsid w:val="00152F44"/>
    <w:rsid w:val="001539CB"/>
    <w:rsid w:val="00154032"/>
    <w:rsid w:val="001547D3"/>
    <w:rsid w:val="001559BD"/>
    <w:rsid w:val="00157F09"/>
    <w:rsid w:val="00157F79"/>
    <w:rsid w:val="001614B1"/>
    <w:rsid w:val="00163927"/>
    <w:rsid w:val="00163E84"/>
    <w:rsid w:val="00164BA4"/>
    <w:rsid w:val="00165A12"/>
    <w:rsid w:val="001668AA"/>
    <w:rsid w:val="00166957"/>
    <w:rsid w:val="001675B1"/>
    <w:rsid w:val="001676B8"/>
    <w:rsid w:val="0016789D"/>
    <w:rsid w:val="00167C87"/>
    <w:rsid w:val="00171F01"/>
    <w:rsid w:val="001720F9"/>
    <w:rsid w:val="00172EE3"/>
    <w:rsid w:val="00174F19"/>
    <w:rsid w:val="00177E7E"/>
    <w:rsid w:val="00180BB5"/>
    <w:rsid w:val="00182FBF"/>
    <w:rsid w:val="0018356F"/>
    <w:rsid w:val="001874A7"/>
    <w:rsid w:val="001876C5"/>
    <w:rsid w:val="00187D68"/>
    <w:rsid w:val="00190155"/>
    <w:rsid w:val="001906B5"/>
    <w:rsid w:val="001913A7"/>
    <w:rsid w:val="00191B75"/>
    <w:rsid w:val="00192198"/>
    <w:rsid w:val="00192211"/>
    <w:rsid w:val="00194163"/>
    <w:rsid w:val="00194359"/>
    <w:rsid w:val="00194FEB"/>
    <w:rsid w:val="001959F1"/>
    <w:rsid w:val="001970A4"/>
    <w:rsid w:val="00197AD1"/>
    <w:rsid w:val="001A140C"/>
    <w:rsid w:val="001A17DA"/>
    <w:rsid w:val="001A2C8C"/>
    <w:rsid w:val="001B0020"/>
    <w:rsid w:val="001B1090"/>
    <w:rsid w:val="001B2A00"/>
    <w:rsid w:val="001B2AE7"/>
    <w:rsid w:val="001B2F37"/>
    <w:rsid w:val="001B3F87"/>
    <w:rsid w:val="001B4026"/>
    <w:rsid w:val="001B424F"/>
    <w:rsid w:val="001B598C"/>
    <w:rsid w:val="001B6419"/>
    <w:rsid w:val="001B76A6"/>
    <w:rsid w:val="001C07F8"/>
    <w:rsid w:val="001C1147"/>
    <w:rsid w:val="001C2D7D"/>
    <w:rsid w:val="001C2E09"/>
    <w:rsid w:val="001C2F59"/>
    <w:rsid w:val="001C6C08"/>
    <w:rsid w:val="001D0646"/>
    <w:rsid w:val="001D14C1"/>
    <w:rsid w:val="001D1B55"/>
    <w:rsid w:val="001D1CB3"/>
    <w:rsid w:val="001D2056"/>
    <w:rsid w:val="001D220F"/>
    <w:rsid w:val="001D42D1"/>
    <w:rsid w:val="001D5374"/>
    <w:rsid w:val="001D547F"/>
    <w:rsid w:val="001D5F99"/>
    <w:rsid w:val="001D6256"/>
    <w:rsid w:val="001D64E5"/>
    <w:rsid w:val="001D6EB8"/>
    <w:rsid w:val="001E05EC"/>
    <w:rsid w:val="001E0DB3"/>
    <w:rsid w:val="001E2165"/>
    <w:rsid w:val="001E4809"/>
    <w:rsid w:val="001E4F4F"/>
    <w:rsid w:val="001E5C15"/>
    <w:rsid w:val="001E6334"/>
    <w:rsid w:val="001F27F4"/>
    <w:rsid w:val="001F3DC0"/>
    <w:rsid w:val="001F4C5A"/>
    <w:rsid w:val="001F4EA9"/>
    <w:rsid w:val="001F4F73"/>
    <w:rsid w:val="001F6425"/>
    <w:rsid w:val="001F6772"/>
    <w:rsid w:val="001F69DA"/>
    <w:rsid w:val="001F7421"/>
    <w:rsid w:val="00200195"/>
    <w:rsid w:val="00200B5F"/>
    <w:rsid w:val="0020184A"/>
    <w:rsid w:val="00201EEF"/>
    <w:rsid w:val="00202476"/>
    <w:rsid w:val="00202B58"/>
    <w:rsid w:val="00203295"/>
    <w:rsid w:val="00203E6A"/>
    <w:rsid w:val="002047C8"/>
    <w:rsid w:val="00204C47"/>
    <w:rsid w:val="00205172"/>
    <w:rsid w:val="002052B3"/>
    <w:rsid w:val="00205453"/>
    <w:rsid w:val="002058F9"/>
    <w:rsid w:val="0020650A"/>
    <w:rsid w:val="00207F32"/>
    <w:rsid w:val="00210A49"/>
    <w:rsid w:val="00212613"/>
    <w:rsid w:val="00212B1F"/>
    <w:rsid w:val="002131C8"/>
    <w:rsid w:val="00213340"/>
    <w:rsid w:val="00213D7C"/>
    <w:rsid w:val="00214513"/>
    <w:rsid w:val="002147F0"/>
    <w:rsid w:val="002155B7"/>
    <w:rsid w:val="0021766A"/>
    <w:rsid w:val="00220C88"/>
    <w:rsid w:val="002225D3"/>
    <w:rsid w:val="00222A35"/>
    <w:rsid w:val="0022301D"/>
    <w:rsid w:val="002236F0"/>
    <w:rsid w:val="00224B2C"/>
    <w:rsid w:val="00225F36"/>
    <w:rsid w:val="00226B8E"/>
    <w:rsid w:val="00226F3A"/>
    <w:rsid w:val="002272E2"/>
    <w:rsid w:val="00227920"/>
    <w:rsid w:val="00227E55"/>
    <w:rsid w:val="002301C1"/>
    <w:rsid w:val="002304B3"/>
    <w:rsid w:val="00232AA0"/>
    <w:rsid w:val="00233740"/>
    <w:rsid w:val="00234BB8"/>
    <w:rsid w:val="00234CDF"/>
    <w:rsid w:val="0023539E"/>
    <w:rsid w:val="0023562A"/>
    <w:rsid w:val="00236B91"/>
    <w:rsid w:val="00236BF6"/>
    <w:rsid w:val="00241085"/>
    <w:rsid w:val="00241EC4"/>
    <w:rsid w:val="002424C0"/>
    <w:rsid w:val="00242617"/>
    <w:rsid w:val="00242CAA"/>
    <w:rsid w:val="0024503B"/>
    <w:rsid w:val="0024573D"/>
    <w:rsid w:val="00245D74"/>
    <w:rsid w:val="00246D03"/>
    <w:rsid w:val="00246DDF"/>
    <w:rsid w:val="00254EAD"/>
    <w:rsid w:val="002573CC"/>
    <w:rsid w:val="00260A46"/>
    <w:rsid w:val="00260FAA"/>
    <w:rsid w:val="00262338"/>
    <w:rsid w:val="00262C8F"/>
    <w:rsid w:val="00263694"/>
    <w:rsid w:val="00263938"/>
    <w:rsid w:val="002646D7"/>
    <w:rsid w:val="00264990"/>
    <w:rsid w:val="00264D2F"/>
    <w:rsid w:val="00266C6B"/>
    <w:rsid w:val="002671D7"/>
    <w:rsid w:val="00267D06"/>
    <w:rsid w:val="0027259C"/>
    <w:rsid w:val="00273543"/>
    <w:rsid w:val="00274C82"/>
    <w:rsid w:val="002757D6"/>
    <w:rsid w:val="0027643A"/>
    <w:rsid w:val="0027654D"/>
    <w:rsid w:val="00277C08"/>
    <w:rsid w:val="002810DF"/>
    <w:rsid w:val="002812AB"/>
    <w:rsid w:val="002816D8"/>
    <w:rsid w:val="00281F8F"/>
    <w:rsid w:val="00282761"/>
    <w:rsid w:val="00282A8C"/>
    <w:rsid w:val="002854EE"/>
    <w:rsid w:val="0028565C"/>
    <w:rsid w:val="002875DE"/>
    <w:rsid w:val="00287E07"/>
    <w:rsid w:val="00290EB3"/>
    <w:rsid w:val="002910B8"/>
    <w:rsid w:val="0029200F"/>
    <w:rsid w:val="00292846"/>
    <w:rsid w:val="00292A90"/>
    <w:rsid w:val="00293E9E"/>
    <w:rsid w:val="002971D6"/>
    <w:rsid w:val="002A0228"/>
    <w:rsid w:val="002A0C5A"/>
    <w:rsid w:val="002A25B0"/>
    <w:rsid w:val="002A2779"/>
    <w:rsid w:val="002A2F08"/>
    <w:rsid w:val="002A3641"/>
    <w:rsid w:val="002A495F"/>
    <w:rsid w:val="002A4CE1"/>
    <w:rsid w:val="002A706F"/>
    <w:rsid w:val="002A70EA"/>
    <w:rsid w:val="002A7363"/>
    <w:rsid w:val="002A7F43"/>
    <w:rsid w:val="002B16FE"/>
    <w:rsid w:val="002B2060"/>
    <w:rsid w:val="002B365E"/>
    <w:rsid w:val="002B3E6C"/>
    <w:rsid w:val="002B489A"/>
    <w:rsid w:val="002B6341"/>
    <w:rsid w:val="002B7B40"/>
    <w:rsid w:val="002C031A"/>
    <w:rsid w:val="002C0526"/>
    <w:rsid w:val="002C27A8"/>
    <w:rsid w:val="002C2AC2"/>
    <w:rsid w:val="002C333E"/>
    <w:rsid w:val="002C36C8"/>
    <w:rsid w:val="002C51A0"/>
    <w:rsid w:val="002C57E0"/>
    <w:rsid w:val="002C7971"/>
    <w:rsid w:val="002D0584"/>
    <w:rsid w:val="002D2E2A"/>
    <w:rsid w:val="002D4274"/>
    <w:rsid w:val="002D4F19"/>
    <w:rsid w:val="002D5295"/>
    <w:rsid w:val="002D52BF"/>
    <w:rsid w:val="002D5B42"/>
    <w:rsid w:val="002D6630"/>
    <w:rsid w:val="002D68FA"/>
    <w:rsid w:val="002D7ECA"/>
    <w:rsid w:val="002E0141"/>
    <w:rsid w:val="002E03B9"/>
    <w:rsid w:val="002E0B5D"/>
    <w:rsid w:val="002E0B76"/>
    <w:rsid w:val="002E1495"/>
    <w:rsid w:val="002E2466"/>
    <w:rsid w:val="002E2900"/>
    <w:rsid w:val="002E3C0D"/>
    <w:rsid w:val="002E43EC"/>
    <w:rsid w:val="002E4883"/>
    <w:rsid w:val="002E5B3C"/>
    <w:rsid w:val="002E7A79"/>
    <w:rsid w:val="002F127B"/>
    <w:rsid w:val="002F1D9E"/>
    <w:rsid w:val="002F210B"/>
    <w:rsid w:val="002F2C6E"/>
    <w:rsid w:val="002F3C88"/>
    <w:rsid w:val="002F4067"/>
    <w:rsid w:val="002F47EB"/>
    <w:rsid w:val="002F67FA"/>
    <w:rsid w:val="002F7339"/>
    <w:rsid w:val="002F7461"/>
    <w:rsid w:val="003025E2"/>
    <w:rsid w:val="00303CB0"/>
    <w:rsid w:val="00303E55"/>
    <w:rsid w:val="00306D24"/>
    <w:rsid w:val="00307712"/>
    <w:rsid w:val="00310FF8"/>
    <w:rsid w:val="00311E9E"/>
    <w:rsid w:val="0031404A"/>
    <w:rsid w:val="00314B7C"/>
    <w:rsid w:val="00314E49"/>
    <w:rsid w:val="00315445"/>
    <w:rsid w:val="00315BC0"/>
    <w:rsid w:val="00317183"/>
    <w:rsid w:val="003204AE"/>
    <w:rsid w:val="003208EF"/>
    <w:rsid w:val="00322A66"/>
    <w:rsid w:val="00323136"/>
    <w:rsid w:val="00323D35"/>
    <w:rsid w:val="00324846"/>
    <w:rsid w:val="00324ABD"/>
    <w:rsid w:val="00324D9B"/>
    <w:rsid w:val="003272A6"/>
    <w:rsid w:val="003273CB"/>
    <w:rsid w:val="0033125E"/>
    <w:rsid w:val="00332ED2"/>
    <w:rsid w:val="0033325E"/>
    <w:rsid w:val="00335C99"/>
    <w:rsid w:val="00336913"/>
    <w:rsid w:val="0033718C"/>
    <w:rsid w:val="00337407"/>
    <w:rsid w:val="00337BB8"/>
    <w:rsid w:val="00337D8E"/>
    <w:rsid w:val="00340A6A"/>
    <w:rsid w:val="00340E02"/>
    <w:rsid w:val="00341053"/>
    <w:rsid w:val="00341F33"/>
    <w:rsid w:val="00342E94"/>
    <w:rsid w:val="00343D93"/>
    <w:rsid w:val="00343E6E"/>
    <w:rsid w:val="00343E9A"/>
    <w:rsid w:val="00344CA7"/>
    <w:rsid w:val="003450C8"/>
    <w:rsid w:val="00345BA7"/>
    <w:rsid w:val="0034782B"/>
    <w:rsid w:val="00350FCD"/>
    <w:rsid w:val="00351E5C"/>
    <w:rsid w:val="00351F5A"/>
    <w:rsid w:val="003538F7"/>
    <w:rsid w:val="00353B39"/>
    <w:rsid w:val="0035580F"/>
    <w:rsid w:val="00355B1F"/>
    <w:rsid w:val="00356841"/>
    <w:rsid w:val="00357CB4"/>
    <w:rsid w:val="003604EE"/>
    <w:rsid w:val="00362298"/>
    <w:rsid w:val="0036286B"/>
    <w:rsid w:val="00363371"/>
    <w:rsid w:val="00363EED"/>
    <w:rsid w:val="00364989"/>
    <w:rsid w:val="003664C0"/>
    <w:rsid w:val="00366769"/>
    <w:rsid w:val="00367A28"/>
    <w:rsid w:val="00367E04"/>
    <w:rsid w:val="003732FE"/>
    <w:rsid w:val="003761F2"/>
    <w:rsid w:val="00376A05"/>
    <w:rsid w:val="003774FE"/>
    <w:rsid w:val="00384089"/>
    <w:rsid w:val="00390E30"/>
    <w:rsid w:val="00391390"/>
    <w:rsid w:val="00392388"/>
    <w:rsid w:val="00392823"/>
    <w:rsid w:val="003937B4"/>
    <w:rsid w:val="003938AC"/>
    <w:rsid w:val="00393ABE"/>
    <w:rsid w:val="00393E46"/>
    <w:rsid w:val="0039458D"/>
    <w:rsid w:val="00394D61"/>
    <w:rsid w:val="00395201"/>
    <w:rsid w:val="00396A3E"/>
    <w:rsid w:val="00397DD4"/>
    <w:rsid w:val="003A05FC"/>
    <w:rsid w:val="003A1F5A"/>
    <w:rsid w:val="003A20C4"/>
    <w:rsid w:val="003A2ECE"/>
    <w:rsid w:val="003A3611"/>
    <w:rsid w:val="003A381D"/>
    <w:rsid w:val="003A4252"/>
    <w:rsid w:val="003A51C2"/>
    <w:rsid w:val="003A539A"/>
    <w:rsid w:val="003A62A4"/>
    <w:rsid w:val="003A7476"/>
    <w:rsid w:val="003A7D86"/>
    <w:rsid w:val="003B0AA1"/>
    <w:rsid w:val="003B2362"/>
    <w:rsid w:val="003B243D"/>
    <w:rsid w:val="003B304F"/>
    <w:rsid w:val="003B5CF1"/>
    <w:rsid w:val="003B5D18"/>
    <w:rsid w:val="003B795D"/>
    <w:rsid w:val="003C26A6"/>
    <w:rsid w:val="003C26C1"/>
    <w:rsid w:val="003C2AAB"/>
    <w:rsid w:val="003C44C4"/>
    <w:rsid w:val="003C49D6"/>
    <w:rsid w:val="003C5C11"/>
    <w:rsid w:val="003C6A5A"/>
    <w:rsid w:val="003C6AAD"/>
    <w:rsid w:val="003C76E4"/>
    <w:rsid w:val="003C775E"/>
    <w:rsid w:val="003D0C07"/>
    <w:rsid w:val="003D1D4D"/>
    <w:rsid w:val="003D2D68"/>
    <w:rsid w:val="003D3682"/>
    <w:rsid w:val="003D37DD"/>
    <w:rsid w:val="003D45DF"/>
    <w:rsid w:val="003D47C6"/>
    <w:rsid w:val="003D7D6C"/>
    <w:rsid w:val="003D7E38"/>
    <w:rsid w:val="003D7EAC"/>
    <w:rsid w:val="003E1AFA"/>
    <w:rsid w:val="003E375F"/>
    <w:rsid w:val="003E379A"/>
    <w:rsid w:val="003E4EA4"/>
    <w:rsid w:val="003E52B0"/>
    <w:rsid w:val="003E64DC"/>
    <w:rsid w:val="003E7943"/>
    <w:rsid w:val="003E7A43"/>
    <w:rsid w:val="003F0B58"/>
    <w:rsid w:val="003F0B62"/>
    <w:rsid w:val="003F0D40"/>
    <w:rsid w:val="003F2236"/>
    <w:rsid w:val="003F27B7"/>
    <w:rsid w:val="003F29F6"/>
    <w:rsid w:val="003F4051"/>
    <w:rsid w:val="003F5812"/>
    <w:rsid w:val="003F5878"/>
    <w:rsid w:val="003F625A"/>
    <w:rsid w:val="003F6AA4"/>
    <w:rsid w:val="003F6EA1"/>
    <w:rsid w:val="00400E4A"/>
    <w:rsid w:val="0040183B"/>
    <w:rsid w:val="004028E7"/>
    <w:rsid w:val="00402BBC"/>
    <w:rsid w:val="00402E9A"/>
    <w:rsid w:val="00403FA8"/>
    <w:rsid w:val="00404040"/>
    <w:rsid w:val="00404213"/>
    <w:rsid w:val="004048AC"/>
    <w:rsid w:val="00404B8E"/>
    <w:rsid w:val="004068C2"/>
    <w:rsid w:val="00406E61"/>
    <w:rsid w:val="00407DD6"/>
    <w:rsid w:val="00412559"/>
    <w:rsid w:val="00412CE1"/>
    <w:rsid w:val="004145F0"/>
    <w:rsid w:val="00415E7F"/>
    <w:rsid w:val="00416220"/>
    <w:rsid w:val="00420288"/>
    <w:rsid w:val="00420E40"/>
    <w:rsid w:val="00421C78"/>
    <w:rsid w:val="004224CE"/>
    <w:rsid w:val="00422D01"/>
    <w:rsid w:val="00423D5E"/>
    <w:rsid w:val="00424A78"/>
    <w:rsid w:val="004254DB"/>
    <w:rsid w:val="00425903"/>
    <w:rsid w:val="00427EEA"/>
    <w:rsid w:val="00431836"/>
    <w:rsid w:val="004321E6"/>
    <w:rsid w:val="0043278E"/>
    <w:rsid w:val="004332A4"/>
    <w:rsid w:val="004332ED"/>
    <w:rsid w:val="00433431"/>
    <w:rsid w:val="004360AC"/>
    <w:rsid w:val="00436B83"/>
    <w:rsid w:val="00441061"/>
    <w:rsid w:val="0044171D"/>
    <w:rsid w:val="0044560C"/>
    <w:rsid w:val="004501C9"/>
    <w:rsid w:val="00450C70"/>
    <w:rsid w:val="00451279"/>
    <w:rsid w:val="00453344"/>
    <w:rsid w:val="00454E76"/>
    <w:rsid w:val="004555FC"/>
    <w:rsid w:val="00456196"/>
    <w:rsid w:val="00457080"/>
    <w:rsid w:val="00460891"/>
    <w:rsid w:val="004634FD"/>
    <w:rsid w:val="00464FB2"/>
    <w:rsid w:val="004662A8"/>
    <w:rsid w:val="00466CDC"/>
    <w:rsid w:val="0046713C"/>
    <w:rsid w:val="0046745E"/>
    <w:rsid w:val="00470768"/>
    <w:rsid w:val="004725ED"/>
    <w:rsid w:val="00473580"/>
    <w:rsid w:val="004736BE"/>
    <w:rsid w:val="0047556D"/>
    <w:rsid w:val="00475789"/>
    <w:rsid w:val="00476170"/>
    <w:rsid w:val="004801D4"/>
    <w:rsid w:val="00480284"/>
    <w:rsid w:val="00480641"/>
    <w:rsid w:val="004820B0"/>
    <w:rsid w:val="00482117"/>
    <w:rsid w:val="00482ADC"/>
    <w:rsid w:val="00482E2F"/>
    <w:rsid w:val="00484BE0"/>
    <w:rsid w:val="004859B4"/>
    <w:rsid w:val="00486ACD"/>
    <w:rsid w:val="00490B8D"/>
    <w:rsid w:val="0049255A"/>
    <w:rsid w:val="00492C65"/>
    <w:rsid w:val="004938A2"/>
    <w:rsid w:val="0049403F"/>
    <w:rsid w:val="00494323"/>
    <w:rsid w:val="00494349"/>
    <w:rsid w:val="00494485"/>
    <w:rsid w:val="004965B5"/>
    <w:rsid w:val="0049682B"/>
    <w:rsid w:val="0049762B"/>
    <w:rsid w:val="004A0F27"/>
    <w:rsid w:val="004A0F37"/>
    <w:rsid w:val="004A0F68"/>
    <w:rsid w:val="004A1569"/>
    <w:rsid w:val="004A3608"/>
    <w:rsid w:val="004A4FBD"/>
    <w:rsid w:val="004A6025"/>
    <w:rsid w:val="004A76FF"/>
    <w:rsid w:val="004A7810"/>
    <w:rsid w:val="004A7E93"/>
    <w:rsid w:val="004B021E"/>
    <w:rsid w:val="004B3CFB"/>
    <w:rsid w:val="004B5D6B"/>
    <w:rsid w:val="004B7001"/>
    <w:rsid w:val="004B76F8"/>
    <w:rsid w:val="004B77EB"/>
    <w:rsid w:val="004B78E1"/>
    <w:rsid w:val="004C0B1D"/>
    <w:rsid w:val="004C1D5B"/>
    <w:rsid w:val="004C1FA6"/>
    <w:rsid w:val="004C2869"/>
    <w:rsid w:val="004C5A9C"/>
    <w:rsid w:val="004C5CFD"/>
    <w:rsid w:val="004C71C5"/>
    <w:rsid w:val="004D1078"/>
    <w:rsid w:val="004D12C0"/>
    <w:rsid w:val="004D18EA"/>
    <w:rsid w:val="004D2B29"/>
    <w:rsid w:val="004D3713"/>
    <w:rsid w:val="004D4A1C"/>
    <w:rsid w:val="004D6254"/>
    <w:rsid w:val="004D70FD"/>
    <w:rsid w:val="004D78AA"/>
    <w:rsid w:val="004D7E99"/>
    <w:rsid w:val="004E00CE"/>
    <w:rsid w:val="004E2BDB"/>
    <w:rsid w:val="004E307B"/>
    <w:rsid w:val="004F0966"/>
    <w:rsid w:val="004F50AF"/>
    <w:rsid w:val="004F5248"/>
    <w:rsid w:val="004F5B6A"/>
    <w:rsid w:val="004F681D"/>
    <w:rsid w:val="004F6E14"/>
    <w:rsid w:val="0050228C"/>
    <w:rsid w:val="00502857"/>
    <w:rsid w:val="00503169"/>
    <w:rsid w:val="00503414"/>
    <w:rsid w:val="005044A9"/>
    <w:rsid w:val="00504F68"/>
    <w:rsid w:val="005054DC"/>
    <w:rsid w:val="00505994"/>
    <w:rsid w:val="00505FD4"/>
    <w:rsid w:val="005062F0"/>
    <w:rsid w:val="00506BE6"/>
    <w:rsid w:val="00506E25"/>
    <w:rsid w:val="00507A41"/>
    <w:rsid w:val="0051073C"/>
    <w:rsid w:val="0051132C"/>
    <w:rsid w:val="005119D0"/>
    <w:rsid w:val="00513483"/>
    <w:rsid w:val="00514A55"/>
    <w:rsid w:val="00514EF5"/>
    <w:rsid w:val="0051782D"/>
    <w:rsid w:val="00517AC7"/>
    <w:rsid w:val="00520351"/>
    <w:rsid w:val="0052087E"/>
    <w:rsid w:val="00521761"/>
    <w:rsid w:val="0052315E"/>
    <w:rsid w:val="00523B73"/>
    <w:rsid w:val="005253CC"/>
    <w:rsid w:val="00526B1B"/>
    <w:rsid w:val="00527798"/>
    <w:rsid w:val="00530ED3"/>
    <w:rsid w:val="005318F1"/>
    <w:rsid w:val="00533D2D"/>
    <w:rsid w:val="0053438E"/>
    <w:rsid w:val="005343E5"/>
    <w:rsid w:val="005346B7"/>
    <w:rsid w:val="0053470C"/>
    <w:rsid w:val="005355EE"/>
    <w:rsid w:val="00535B16"/>
    <w:rsid w:val="005362AC"/>
    <w:rsid w:val="005366D0"/>
    <w:rsid w:val="00537E27"/>
    <w:rsid w:val="00540B4D"/>
    <w:rsid w:val="00540FFA"/>
    <w:rsid w:val="00541CBB"/>
    <w:rsid w:val="00542930"/>
    <w:rsid w:val="00543508"/>
    <w:rsid w:val="005435B3"/>
    <w:rsid w:val="00545568"/>
    <w:rsid w:val="00550243"/>
    <w:rsid w:val="00550849"/>
    <w:rsid w:val="00550866"/>
    <w:rsid w:val="00550BAD"/>
    <w:rsid w:val="005516B7"/>
    <w:rsid w:val="005533B5"/>
    <w:rsid w:val="00553E62"/>
    <w:rsid w:val="00554BF3"/>
    <w:rsid w:val="00555015"/>
    <w:rsid w:val="0055655F"/>
    <w:rsid w:val="0055657D"/>
    <w:rsid w:val="00556FC0"/>
    <w:rsid w:val="005579B9"/>
    <w:rsid w:val="00560D0D"/>
    <w:rsid w:val="005611AE"/>
    <w:rsid w:val="005632F1"/>
    <w:rsid w:val="00564332"/>
    <w:rsid w:val="005644AD"/>
    <w:rsid w:val="00565FB1"/>
    <w:rsid w:val="005662FB"/>
    <w:rsid w:val="00567781"/>
    <w:rsid w:val="00567CE3"/>
    <w:rsid w:val="00567ECC"/>
    <w:rsid w:val="0057019C"/>
    <w:rsid w:val="00570998"/>
    <w:rsid w:val="005713B1"/>
    <w:rsid w:val="005714AC"/>
    <w:rsid w:val="005731A4"/>
    <w:rsid w:val="0057363E"/>
    <w:rsid w:val="00573EAA"/>
    <w:rsid w:val="0057624B"/>
    <w:rsid w:val="0057644D"/>
    <w:rsid w:val="0057649A"/>
    <w:rsid w:val="005768DD"/>
    <w:rsid w:val="00577947"/>
    <w:rsid w:val="00583090"/>
    <w:rsid w:val="005835F4"/>
    <w:rsid w:val="00583EFE"/>
    <w:rsid w:val="00584076"/>
    <w:rsid w:val="005841A3"/>
    <w:rsid w:val="00586D9A"/>
    <w:rsid w:val="00587FBF"/>
    <w:rsid w:val="0059080F"/>
    <w:rsid w:val="00590EAE"/>
    <w:rsid w:val="0059112A"/>
    <w:rsid w:val="0059116B"/>
    <w:rsid w:val="00591240"/>
    <w:rsid w:val="0059170B"/>
    <w:rsid w:val="00591B65"/>
    <w:rsid w:val="00592A14"/>
    <w:rsid w:val="00593216"/>
    <w:rsid w:val="00593589"/>
    <w:rsid w:val="00594BC3"/>
    <w:rsid w:val="00594FF2"/>
    <w:rsid w:val="00596CA7"/>
    <w:rsid w:val="00596DC8"/>
    <w:rsid w:val="00596E16"/>
    <w:rsid w:val="00597A78"/>
    <w:rsid w:val="00597DC7"/>
    <w:rsid w:val="005A07A4"/>
    <w:rsid w:val="005A0BBB"/>
    <w:rsid w:val="005A16A3"/>
    <w:rsid w:val="005A1C48"/>
    <w:rsid w:val="005A253A"/>
    <w:rsid w:val="005A2AD8"/>
    <w:rsid w:val="005A3152"/>
    <w:rsid w:val="005A3578"/>
    <w:rsid w:val="005A40AF"/>
    <w:rsid w:val="005A57ED"/>
    <w:rsid w:val="005A64BF"/>
    <w:rsid w:val="005A6661"/>
    <w:rsid w:val="005A7325"/>
    <w:rsid w:val="005B0565"/>
    <w:rsid w:val="005B2470"/>
    <w:rsid w:val="005B4421"/>
    <w:rsid w:val="005B4EEF"/>
    <w:rsid w:val="005B513F"/>
    <w:rsid w:val="005B7483"/>
    <w:rsid w:val="005B7929"/>
    <w:rsid w:val="005C0643"/>
    <w:rsid w:val="005C1F4B"/>
    <w:rsid w:val="005C23AF"/>
    <w:rsid w:val="005C25D1"/>
    <w:rsid w:val="005C2978"/>
    <w:rsid w:val="005C35A9"/>
    <w:rsid w:val="005C464B"/>
    <w:rsid w:val="005C4E5F"/>
    <w:rsid w:val="005C74A0"/>
    <w:rsid w:val="005D0286"/>
    <w:rsid w:val="005D052C"/>
    <w:rsid w:val="005D0C6A"/>
    <w:rsid w:val="005D16FE"/>
    <w:rsid w:val="005D1E9C"/>
    <w:rsid w:val="005D4084"/>
    <w:rsid w:val="005D4777"/>
    <w:rsid w:val="005D4C2B"/>
    <w:rsid w:val="005D5784"/>
    <w:rsid w:val="005E22CD"/>
    <w:rsid w:val="005E5C0D"/>
    <w:rsid w:val="005E5F79"/>
    <w:rsid w:val="005E6B93"/>
    <w:rsid w:val="005E6EAA"/>
    <w:rsid w:val="005E7953"/>
    <w:rsid w:val="005E7E82"/>
    <w:rsid w:val="005F2136"/>
    <w:rsid w:val="005F2C42"/>
    <w:rsid w:val="005F4343"/>
    <w:rsid w:val="005F6BAB"/>
    <w:rsid w:val="005F6C28"/>
    <w:rsid w:val="005F7AB6"/>
    <w:rsid w:val="005F7E3C"/>
    <w:rsid w:val="00600FA8"/>
    <w:rsid w:val="006048DC"/>
    <w:rsid w:val="00604E97"/>
    <w:rsid w:val="006063DA"/>
    <w:rsid w:val="00606CD0"/>
    <w:rsid w:val="00606CE3"/>
    <w:rsid w:val="00607821"/>
    <w:rsid w:val="0060793E"/>
    <w:rsid w:val="00611DD3"/>
    <w:rsid w:val="00611EF0"/>
    <w:rsid w:val="00612219"/>
    <w:rsid w:val="00612E04"/>
    <w:rsid w:val="00616646"/>
    <w:rsid w:val="00616CC0"/>
    <w:rsid w:val="006173A4"/>
    <w:rsid w:val="006179DB"/>
    <w:rsid w:val="00617C44"/>
    <w:rsid w:val="00617E5E"/>
    <w:rsid w:val="00620086"/>
    <w:rsid w:val="00622074"/>
    <w:rsid w:val="00622CE4"/>
    <w:rsid w:val="006234A7"/>
    <w:rsid w:val="00623F8E"/>
    <w:rsid w:val="00624B1F"/>
    <w:rsid w:val="00625917"/>
    <w:rsid w:val="0062789F"/>
    <w:rsid w:val="006301BE"/>
    <w:rsid w:val="0063096E"/>
    <w:rsid w:val="00630C7F"/>
    <w:rsid w:val="00632DB2"/>
    <w:rsid w:val="00633349"/>
    <w:rsid w:val="00633D61"/>
    <w:rsid w:val="0063402B"/>
    <w:rsid w:val="00636570"/>
    <w:rsid w:val="00636A0E"/>
    <w:rsid w:val="00637859"/>
    <w:rsid w:val="00637901"/>
    <w:rsid w:val="006379E2"/>
    <w:rsid w:val="00637E1B"/>
    <w:rsid w:val="006402DF"/>
    <w:rsid w:val="0064164B"/>
    <w:rsid w:val="006427B3"/>
    <w:rsid w:val="0064416A"/>
    <w:rsid w:val="00644468"/>
    <w:rsid w:val="00645F5E"/>
    <w:rsid w:val="006468D3"/>
    <w:rsid w:val="00647B1E"/>
    <w:rsid w:val="00647C0A"/>
    <w:rsid w:val="00647C55"/>
    <w:rsid w:val="0065008B"/>
    <w:rsid w:val="00653721"/>
    <w:rsid w:val="00653A3B"/>
    <w:rsid w:val="00653FD9"/>
    <w:rsid w:val="006543A2"/>
    <w:rsid w:val="00654D42"/>
    <w:rsid w:val="00656328"/>
    <w:rsid w:val="00656986"/>
    <w:rsid w:val="00660279"/>
    <w:rsid w:val="00660558"/>
    <w:rsid w:val="00660A94"/>
    <w:rsid w:val="006622B9"/>
    <w:rsid w:val="00662E1E"/>
    <w:rsid w:val="0066371E"/>
    <w:rsid w:val="0066455B"/>
    <w:rsid w:val="00667035"/>
    <w:rsid w:val="00667F51"/>
    <w:rsid w:val="00670BC4"/>
    <w:rsid w:val="00671659"/>
    <w:rsid w:val="006718ED"/>
    <w:rsid w:val="00671D6E"/>
    <w:rsid w:val="006724AD"/>
    <w:rsid w:val="00672A99"/>
    <w:rsid w:val="00672BAB"/>
    <w:rsid w:val="0067314A"/>
    <w:rsid w:val="00673D1E"/>
    <w:rsid w:val="0067557E"/>
    <w:rsid w:val="00675E9D"/>
    <w:rsid w:val="006779CF"/>
    <w:rsid w:val="00677A8F"/>
    <w:rsid w:val="00677D63"/>
    <w:rsid w:val="00677F8A"/>
    <w:rsid w:val="00680704"/>
    <w:rsid w:val="00681424"/>
    <w:rsid w:val="006821E3"/>
    <w:rsid w:val="0068261F"/>
    <w:rsid w:val="00683AD6"/>
    <w:rsid w:val="006842AE"/>
    <w:rsid w:val="00684425"/>
    <w:rsid w:val="0068637F"/>
    <w:rsid w:val="00686B6E"/>
    <w:rsid w:val="006875BA"/>
    <w:rsid w:val="0069097D"/>
    <w:rsid w:val="00690DED"/>
    <w:rsid w:val="00691371"/>
    <w:rsid w:val="00693FEA"/>
    <w:rsid w:val="00694C68"/>
    <w:rsid w:val="006A498F"/>
    <w:rsid w:val="006A5773"/>
    <w:rsid w:val="006A5804"/>
    <w:rsid w:val="006A58F0"/>
    <w:rsid w:val="006A6262"/>
    <w:rsid w:val="006B0372"/>
    <w:rsid w:val="006B0764"/>
    <w:rsid w:val="006B081C"/>
    <w:rsid w:val="006B31DA"/>
    <w:rsid w:val="006B4467"/>
    <w:rsid w:val="006B6C46"/>
    <w:rsid w:val="006B6E78"/>
    <w:rsid w:val="006B75D2"/>
    <w:rsid w:val="006B7970"/>
    <w:rsid w:val="006B79F9"/>
    <w:rsid w:val="006C0039"/>
    <w:rsid w:val="006C1927"/>
    <w:rsid w:val="006C2585"/>
    <w:rsid w:val="006C4008"/>
    <w:rsid w:val="006C4810"/>
    <w:rsid w:val="006C48FF"/>
    <w:rsid w:val="006C4E2C"/>
    <w:rsid w:val="006C5931"/>
    <w:rsid w:val="006C5D52"/>
    <w:rsid w:val="006C73EF"/>
    <w:rsid w:val="006D02F8"/>
    <w:rsid w:val="006D0F35"/>
    <w:rsid w:val="006D1723"/>
    <w:rsid w:val="006D17CE"/>
    <w:rsid w:val="006D3D6B"/>
    <w:rsid w:val="006D4B24"/>
    <w:rsid w:val="006D524F"/>
    <w:rsid w:val="006D5D3F"/>
    <w:rsid w:val="006D60ED"/>
    <w:rsid w:val="006D652F"/>
    <w:rsid w:val="006D7118"/>
    <w:rsid w:val="006D717A"/>
    <w:rsid w:val="006E01A3"/>
    <w:rsid w:val="006E1166"/>
    <w:rsid w:val="006E24D9"/>
    <w:rsid w:val="006E25BA"/>
    <w:rsid w:val="006E596E"/>
    <w:rsid w:val="006E6398"/>
    <w:rsid w:val="006E65E0"/>
    <w:rsid w:val="006F033F"/>
    <w:rsid w:val="006F0C83"/>
    <w:rsid w:val="006F24D8"/>
    <w:rsid w:val="006F2BE5"/>
    <w:rsid w:val="006F2E8C"/>
    <w:rsid w:val="006F33B8"/>
    <w:rsid w:val="006F4C9C"/>
    <w:rsid w:val="006F6127"/>
    <w:rsid w:val="006F640F"/>
    <w:rsid w:val="006F762A"/>
    <w:rsid w:val="00701B6B"/>
    <w:rsid w:val="007026CB"/>
    <w:rsid w:val="00702D07"/>
    <w:rsid w:val="0070384F"/>
    <w:rsid w:val="00703A9E"/>
    <w:rsid w:val="00703D6D"/>
    <w:rsid w:val="00704095"/>
    <w:rsid w:val="00704152"/>
    <w:rsid w:val="00704FB5"/>
    <w:rsid w:val="00705B2A"/>
    <w:rsid w:val="00706B71"/>
    <w:rsid w:val="0071022A"/>
    <w:rsid w:val="0071277A"/>
    <w:rsid w:val="00712EE5"/>
    <w:rsid w:val="00713493"/>
    <w:rsid w:val="00713494"/>
    <w:rsid w:val="00713E0F"/>
    <w:rsid w:val="00713EA7"/>
    <w:rsid w:val="00714031"/>
    <w:rsid w:val="0071466E"/>
    <w:rsid w:val="00714A6C"/>
    <w:rsid w:val="00714CD3"/>
    <w:rsid w:val="0071582C"/>
    <w:rsid w:val="00715D36"/>
    <w:rsid w:val="00716174"/>
    <w:rsid w:val="007162CE"/>
    <w:rsid w:val="007165CD"/>
    <w:rsid w:val="0072019D"/>
    <w:rsid w:val="007203D8"/>
    <w:rsid w:val="007206A8"/>
    <w:rsid w:val="0072108F"/>
    <w:rsid w:val="0072116D"/>
    <w:rsid w:val="007214F1"/>
    <w:rsid w:val="0072226F"/>
    <w:rsid w:val="0072291E"/>
    <w:rsid w:val="00725B78"/>
    <w:rsid w:val="00727082"/>
    <w:rsid w:val="00730934"/>
    <w:rsid w:val="0073233C"/>
    <w:rsid w:val="00732D0C"/>
    <w:rsid w:val="00733EAD"/>
    <w:rsid w:val="00734F54"/>
    <w:rsid w:val="00736D93"/>
    <w:rsid w:val="00737085"/>
    <w:rsid w:val="00737C04"/>
    <w:rsid w:val="00737F64"/>
    <w:rsid w:val="00741823"/>
    <w:rsid w:val="007422C9"/>
    <w:rsid w:val="00744110"/>
    <w:rsid w:val="00744595"/>
    <w:rsid w:val="00745957"/>
    <w:rsid w:val="0074695A"/>
    <w:rsid w:val="0074775A"/>
    <w:rsid w:val="00747A52"/>
    <w:rsid w:val="00750F1E"/>
    <w:rsid w:val="00751857"/>
    <w:rsid w:val="00751C12"/>
    <w:rsid w:val="00752691"/>
    <w:rsid w:val="007528F2"/>
    <w:rsid w:val="007561A2"/>
    <w:rsid w:val="007575C4"/>
    <w:rsid w:val="00757D63"/>
    <w:rsid w:val="0076176A"/>
    <w:rsid w:val="00762A1B"/>
    <w:rsid w:val="00762D6D"/>
    <w:rsid w:val="00762E4B"/>
    <w:rsid w:val="00763700"/>
    <w:rsid w:val="0076427C"/>
    <w:rsid w:val="00765217"/>
    <w:rsid w:val="007659AA"/>
    <w:rsid w:val="00766334"/>
    <w:rsid w:val="00766E9E"/>
    <w:rsid w:val="00771C37"/>
    <w:rsid w:val="007722F1"/>
    <w:rsid w:val="0077266C"/>
    <w:rsid w:val="00772802"/>
    <w:rsid w:val="0077311C"/>
    <w:rsid w:val="00775066"/>
    <w:rsid w:val="00776406"/>
    <w:rsid w:val="0078005A"/>
    <w:rsid w:val="00780A00"/>
    <w:rsid w:val="00781251"/>
    <w:rsid w:val="007812AC"/>
    <w:rsid w:val="00781B6F"/>
    <w:rsid w:val="00781D11"/>
    <w:rsid w:val="00781F9C"/>
    <w:rsid w:val="007820ED"/>
    <w:rsid w:val="00782DFD"/>
    <w:rsid w:val="00784424"/>
    <w:rsid w:val="00785474"/>
    <w:rsid w:val="0078772C"/>
    <w:rsid w:val="00787B99"/>
    <w:rsid w:val="007907C8"/>
    <w:rsid w:val="0079114B"/>
    <w:rsid w:val="007925B6"/>
    <w:rsid w:val="007929EB"/>
    <w:rsid w:val="007934F5"/>
    <w:rsid w:val="0079421C"/>
    <w:rsid w:val="007945FD"/>
    <w:rsid w:val="00795044"/>
    <w:rsid w:val="0079526D"/>
    <w:rsid w:val="00795A2C"/>
    <w:rsid w:val="00795EEA"/>
    <w:rsid w:val="00796C24"/>
    <w:rsid w:val="00797309"/>
    <w:rsid w:val="00797390"/>
    <w:rsid w:val="007A05B6"/>
    <w:rsid w:val="007A1C0A"/>
    <w:rsid w:val="007A1C59"/>
    <w:rsid w:val="007A2EFA"/>
    <w:rsid w:val="007A4397"/>
    <w:rsid w:val="007A51D1"/>
    <w:rsid w:val="007A5B41"/>
    <w:rsid w:val="007B002C"/>
    <w:rsid w:val="007B277D"/>
    <w:rsid w:val="007B323D"/>
    <w:rsid w:val="007B3A76"/>
    <w:rsid w:val="007B5208"/>
    <w:rsid w:val="007B5792"/>
    <w:rsid w:val="007B79DA"/>
    <w:rsid w:val="007C070A"/>
    <w:rsid w:val="007C0A82"/>
    <w:rsid w:val="007C2593"/>
    <w:rsid w:val="007C26AA"/>
    <w:rsid w:val="007C2934"/>
    <w:rsid w:val="007C31E2"/>
    <w:rsid w:val="007C4D9B"/>
    <w:rsid w:val="007C5CE1"/>
    <w:rsid w:val="007C6F85"/>
    <w:rsid w:val="007D0569"/>
    <w:rsid w:val="007D16B1"/>
    <w:rsid w:val="007D19E4"/>
    <w:rsid w:val="007D1F52"/>
    <w:rsid w:val="007D2001"/>
    <w:rsid w:val="007D6361"/>
    <w:rsid w:val="007D7400"/>
    <w:rsid w:val="007D7761"/>
    <w:rsid w:val="007D79FF"/>
    <w:rsid w:val="007D7DE1"/>
    <w:rsid w:val="007E02A7"/>
    <w:rsid w:val="007E0C0A"/>
    <w:rsid w:val="007E1EE9"/>
    <w:rsid w:val="007E468A"/>
    <w:rsid w:val="007E513B"/>
    <w:rsid w:val="007E51A5"/>
    <w:rsid w:val="007E5629"/>
    <w:rsid w:val="007E6FC3"/>
    <w:rsid w:val="007E776C"/>
    <w:rsid w:val="007E7F4C"/>
    <w:rsid w:val="007F2EC6"/>
    <w:rsid w:val="007F3018"/>
    <w:rsid w:val="007F6862"/>
    <w:rsid w:val="008013FC"/>
    <w:rsid w:val="00801AE6"/>
    <w:rsid w:val="00801F42"/>
    <w:rsid w:val="00804905"/>
    <w:rsid w:val="00804D6F"/>
    <w:rsid w:val="00804E7A"/>
    <w:rsid w:val="008051A3"/>
    <w:rsid w:val="008060C3"/>
    <w:rsid w:val="008063A1"/>
    <w:rsid w:val="008065EC"/>
    <w:rsid w:val="00807ABD"/>
    <w:rsid w:val="00807F00"/>
    <w:rsid w:val="0081077B"/>
    <w:rsid w:val="00812095"/>
    <w:rsid w:val="008134BD"/>
    <w:rsid w:val="008139A5"/>
    <w:rsid w:val="00814656"/>
    <w:rsid w:val="00815493"/>
    <w:rsid w:val="0081602A"/>
    <w:rsid w:val="00816064"/>
    <w:rsid w:val="0082052A"/>
    <w:rsid w:val="00820E45"/>
    <w:rsid w:val="00821E2C"/>
    <w:rsid w:val="00822835"/>
    <w:rsid w:val="0082399B"/>
    <w:rsid w:val="0082459B"/>
    <w:rsid w:val="00824CB0"/>
    <w:rsid w:val="00825329"/>
    <w:rsid w:val="00826292"/>
    <w:rsid w:val="008264C8"/>
    <w:rsid w:val="00826758"/>
    <w:rsid w:val="0082751C"/>
    <w:rsid w:val="008313D1"/>
    <w:rsid w:val="008320CD"/>
    <w:rsid w:val="00833261"/>
    <w:rsid w:val="008353E0"/>
    <w:rsid w:val="008365F0"/>
    <w:rsid w:val="00841534"/>
    <w:rsid w:val="00841F69"/>
    <w:rsid w:val="008441B2"/>
    <w:rsid w:val="008462F1"/>
    <w:rsid w:val="00846930"/>
    <w:rsid w:val="00850FDE"/>
    <w:rsid w:val="00852876"/>
    <w:rsid w:val="00854200"/>
    <w:rsid w:val="008543F5"/>
    <w:rsid w:val="00854E9B"/>
    <w:rsid w:val="00855004"/>
    <w:rsid w:val="00855A77"/>
    <w:rsid w:val="008572C4"/>
    <w:rsid w:val="0085733E"/>
    <w:rsid w:val="0085765A"/>
    <w:rsid w:val="0085790E"/>
    <w:rsid w:val="008604A8"/>
    <w:rsid w:val="00860E64"/>
    <w:rsid w:val="008616F7"/>
    <w:rsid w:val="00861AFA"/>
    <w:rsid w:val="00863C61"/>
    <w:rsid w:val="00865522"/>
    <w:rsid w:val="00865ADF"/>
    <w:rsid w:val="008662A9"/>
    <w:rsid w:val="0086644C"/>
    <w:rsid w:val="008666B5"/>
    <w:rsid w:val="008703B3"/>
    <w:rsid w:val="00871F13"/>
    <w:rsid w:val="00872717"/>
    <w:rsid w:val="008757A1"/>
    <w:rsid w:val="00875FC8"/>
    <w:rsid w:val="00876985"/>
    <w:rsid w:val="008771AF"/>
    <w:rsid w:val="00877F15"/>
    <w:rsid w:val="008808E6"/>
    <w:rsid w:val="00882B2B"/>
    <w:rsid w:val="00882E63"/>
    <w:rsid w:val="00883780"/>
    <w:rsid w:val="00883B99"/>
    <w:rsid w:val="00883D0D"/>
    <w:rsid w:val="00885066"/>
    <w:rsid w:val="00885F85"/>
    <w:rsid w:val="0088665E"/>
    <w:rsid w:val="008870D9"/>
    <w:rsid w:val="00887F48"/>
    <w:rsid w:val="00892383"/>
    <w:rsid w:val="008923C8"/>
    <w:rsid w:val="008924B5"/>
    <w:rsid w:val="00893260"/>
    <w:rsid w:val="008932A8"/>
    <w:rsid w:val="00893756"/>
    <w:rsid w:val="00894A9E"/>
    <w:rsid w:val="008950F6"/>
    <w:rsid w:val="00896815"/>
    <w:rsid w:val="008A0744"/>
    <w:rsid w:val="008A0A6E"/>
    <w:rsid w:val="008A0D0F"/>
    <w:rsid w:val="008A1D5D"/>
    <w:rsid w:val="008A2350"/>
    <w:rsid w:val="008A2FB3"/>
    <w:rsid w:val="008A398B"/>
    <w:rsid w:val="008A5601"/>
    <w:rsid w:val="008A59AD"/>
    <w:rsid w:val="008A64D7"/>
    <w:rsid w:val="008B0EEB"/>
    <w:rsid w:val="008B38D7"/>
    <w:rsid w:val="008B431D"/>
    <w:rsid w:val="008B51FD"/>
    <w:rsid w:val="008B6269"/>
    <w:rsid w:val="008B6766"/>
    <w:rsid w:val="008B70F5"/>
    <w:rsid w:val="008B7186"/>
    <w:rsid w:val="008B7192"/>
    <w:rsid w:val="008B7B34"/>
    <w:rsid w:val="008C1939"/>
    <w:rsid w:val="008C3396"/>
    <w:rsid w:val="008C3E79"/>
    <w:rsid w:val="008C621C"/>
    <w:rsid w:val="008C697C"/>
    <w:rsid w:val="008C7448"/>
    <w:rsid w:val="008C75ED"/>
    <w:rsid w:val="008C7649"/>
    <w:rsid w:val="008D0915"/>
    <w:rsid w:val="008D1C9F"/>
    <w:rsid w:val="008D5634"/>
    <w:rsid w:val="008D5CBD"/>
    <w:rsid w:val="008E03B0"/>
    <w:rsid w:val="008E0986"/>
    <w:rsid w:val="008E0991"/>
    <w:rsid w:val="008E1D4A"/>
    <w:rsid w:val="008E338E"/>
    <w:rsid w:val="008E3CAB"/>
    <w:rsid w:val="008E57FE"/>
    <w:rsid w:val="008F1818"/>
    <w:rsid w:val="008F2665"/>
    <w:rsid w:val="008F4885"/>
    <w:rsid w:val="008F507E"/>
    <w:rsid w:val="008F5251"/>
    <w:rsid w:val="008F6376"/>
    <w:rsid w:val="00900CC2"/>
    <w:rsid w:val="00901770"/>
    <w:rsid w:val="009019FB"/>
    <w:rsid w:val="00902AA5"/>
    <w:rsid w:val="00902ECA"/>
    <w:rsid w:val="00904B6A"/>
    <w:rsid w:val="009052B7"/>
    <w:rsid w:val="00905A48"/>
    <w:rsid w:val="00905B05"/>
    <w:rsid w:val="00906433"/>
    <w:rsid w:val="0090753C"/>
    <w:rsid w:val="0090759D"/>
    <w:rsid w:val="0091094F"/>
    <w:rsid w:val="0091156F"/>
    <w:rsid w:val="00911B66"/>
    <w:rsid w:val="009123B2"/>
    <w:rsid w:val="00912A7E"/>
    <w:rsid w:val="00914B85"/>
    <w:rsid w:val="00914DD8"/>
    <w:rsid w:val="00914F5B"/>
    <w:rsid w:val="00915330"/>
    <w:rsid w:val="0091545E"/>
    <w:rsid w:val="00916E69"/>
    <w:rsid w:val="00917525"/>
    <w:rsid w:val="0091777D"/>
    <w:rsid w:val="00917A74"/>
    <w:rsid w:val="00917C39"/>
    <w:rsid w:val="0092057D"/>
    <w:rsid w:val="0092113B"/>
    <w:rsid w:val="009218DE"/>
    <w:rsid w:val="00921E16"/>
    <w:rsid w:val="00922D00"/>
    <w:rsid w:val="009231AC"/>
    <w:rsid w:val="009233CC"/>
    <w:rsid w:val="00923F17"/>
    <w:rsid w:val="00925D6F"/>
    <w:rsid w:val="009266DA"/>
    <w:rsid w:val="00927F35"/>
    <w:rsid w:val="00930090"/>
    <w:rsid w:val="00930269"/>
    <w:rsid w:val="00930B96"/>
    <w:rsid w:val="00930DE8"/>
    <w:rsid w:val="009318DD"/>
    <w:rsid w:val="00931DC5"/>
    <w:rsid w:val="00932908"/>
    <w:rsid w:val="009352C3"/>
    <w:rsid w:val="00935413"/>
    <w:rsid w:val="00935F5D"/>
    <w:rsid w:val="0093669F"/>
    <w:rsid w:val="009368E0"/>
    <w:rsid w:val="009378F1"/>
    <w:rsid w:val="0094260B"/>
    <w:rsid w:val="00942661"/>
    <w:rsid w:val="0094305B"/>
    <w:rsid w:val="00943F88"/>
    <w:rsid w:val="00945307"/>
    <w:rsid w:val="0094558D"/>
    <w:rsid w:val="0094697C"/>
    <w:rsid w:val="00946FCE"/>
    <w:rsid w:val="00950739"/>
    <w:rsid w:val="0095145C"/>
    <w:rsid w:val="009515BC"/>
    <w:rsid w:val="0095349A"/>
    <w:rsid w:val="00953B5B"/>
    <w:rsid w:val="00953ED0"/>
    <w:rsid w:val="00954173"/>
    <w:rsid w:val="0095492E"/>
    <w:rsid w:val="00955F7D"/>
    <w:rsid w:val="0096242F"/>
    <w:rsid w:val="00962E3B"/>
    <w:rsid w:val="00962FF5"/>
    <w:rsid w:val="009638D1"/>
    <w:rsid w:val="00964A4E"/>
    <w:rsid w:val="00965006"/>
    <w:rsid w:val="00965B02"/>
    <w:rsid w:val="00965C07"/>
    <w:rsid w:val="00965D2D"/>
    <w:rsid w:val="009665AD"/>
    <w:rsid w:val="00966A8E"/>
    <w:rsid w:val="00970A16"/>
    <w:rsid w:val="00970EF3"/>
    <w:rsid w:val="00971206"/>
    <w:rsid w:val="00971847"/>
    <w:rsid w:val="009718DB"/>
    <w:rsid w:val="00972964"/>
    <w:rsid w:val="00972AEA"/>
    <w:rsid w:val="00973764"/>
    <w:rsid w:val="0097384E"/>
    <w:rsid w:val="0097762F"/>
    <w:rsid w:val="00977C0A"/>
    <w:rsid w:val="009816B8"/>
    <w:rsid w:val="00981A5A"/>
    <w:rsid w:val="00982442"/>
    <w:rsid w:val="00982C2F"/>
    <w:rsid w:val="009835D1"/>
    <w:rsid w:val="00983B45"/>
    <w:rsid w:val="00983B5C"/>
    <w:rsid w:val="00984F9D"/>
    <w:rsid w:val="0098766F"/>
    <w:rsid w:val="0098796F"/>
    <w:rsid w:val="00993912"/>
    <w:rsid w:val="00994050"/>
    <w:rsid w:val="009962CF"/>
    <w:rsid w:val="009969D6"/>
    <w:rsid w:val="00997EE1"/>
    <w:rsid w:val="009A0482"/>
    <w:rsid w:val="009A1434"/>
    <w:rsid w:val="009A1AFC"/>
    <w:rsid w:val="009A3517"/>
    <w:rsid w:val="009A4543"/>
    <w:rsid w:val="009A5DB1"/>
    <w:rsid w:val="009A6503"/>
    <w:rsid w:val="009A7733"/>
    <w:rsid w:val="009A7C5A"/>
    <w:rsid w:val="009A7E51"/>
    <w:rsid w:val="009B04FB"/>
    <w:rsid w:val="009B12B9"/>
    <w:rsid w:val="009B21B9"/>
    <w:rsid w:val="009B2FAD"/>
    <w:rsid w:val="009B420F"/>
    <w:rsid w:val="009B4CD0"/>
    <w:rsid w:val="009B4DA7"/>
    <w:rsid w:val="009B50D8"/>
    <w:rsid w:val="009B65DD"/>
    <w:rsid w:val="009C1E5D"/>
    <w:rsid w:val="009C205F"/>
    <w:rsid w:val="009C21C6"/>
    <w:rsid w:val="009C28B4"/>
    <w:rsid w:val="009C2BDC"/>
    <w:rsid w:val="009C383B"/>
    <w:rsid w:val="009C3A80"/>
    <w:rsid w:val="009C41EC"/>
    <w:rsid w:val="009C5238"/>
    <w:rsid w:val="009D048A"/>
    <w:rsid w:val="009D12B4"/>
    <w:rsid w:val="009D1E70"/>
    <w:rsid w:val="009D2135"/>
    <w:rsid w:val="009D2FA7"/>
    <w:rsid w:val="009D3673"/>
    <w:rsid w:val="009D4166"/>
    <w:rsid w:val="009D4CAE"/>
    <w:rsid w:val="009D55F9"/>
    <w:rsid w:val="009D5837"/>
    <w:rsid w:val="009D5A11"/>
    <w:rsid w:val="009D765F"/>
    <w:rsid w:val="009D7760"/>
    <w:rsid w:val="009E08B1"/>
    <w:rsid w:val="009E16E6"/>
    <w:rsid w:val="009E1C0D"/>
    <w:rsid w:val="009E1E62"/>
    <w:rsid w:val="009E2953"/>
    <w:rsid w:val="009E30CE"/>
    <w:rsid w:val="009E409A"/>
    <w:rsid w:val="009E4BA2"/>
    <w:rsid w:val="009E4CDF"/>
    <w:rsid w:val="009E72C9"/>
    <w:rsid w:val="009F04C3"/>
    <w:rsid w:val="009F0760"/>
    <w:rsid w:val="009F1C72"/>
    <w:rsid w:val="009F2B45"/>
    <w:rsid w:val="009F3B29"/>
    <w:rsid w:val="009F4860"/>
    <w:rsid w:val="009F4EAD"/>
    <w:rsid w:val="00A00057"/>
    <w:rsid w:val="00A00485"/>
    <w:rsid w:val="00A01A5F"/>
    <w:rsid w:val="00A025AC"/>
    <w:rsid w:val="00A02895"/>
    <w:rsid w:val="00A02C96"/>
    <w:rsid w:val="00A02E65"/>
    <w:rsid w:val="00A0323C"/>
    <w:rsid w:val="00A0340A"/>
    <w:rsid w:val="00A0440C"/>
    <w:rsid w:val="00A047AE"/>
    <w:rsid w:val="00A04C82"/>
    <w:rsid w:val="00A0585F"/>
    <w:rsid w:val="00A0694A"/>
    <w:rsid w:val="00A077AC"/>
    <w:rsid w:val="00A07A33"/>
    <w:rsid w:val="00A107E5"/>
    <w:rsid w:val="00A10A30"/>
    <w:rsid w:val="00A1137C"/>
    <w:rsid w:val="00A113D7"/>
    <w:rsid w:val="00A11F0F"/>
    <w:rsid w:val="00A1299F"/>
    <w:rsid w:val="00A16126"/>
    <w:rsid w:val="00A165DB"/>
    <w:rsid w:val="00A20043"/>
    <w:rsid w:val="00A2083D"/>
    <w:rsid w:val="00A21C6C"/>
    <w:rsid w:val="00A2221B"/>
    <w:rsid w:val="00A2365A"/>
    <w:rsid w:val="00A24133"/>
    <w:rsid w:val="00A24B81"/>
    <w:rsid w:val="00A25CE0"/>
    <w:rsid w:val="00A262BF"/>
    <w:rsid w:val="00A27809"/>
    <w:rsid w:val="00A302EC"/>
    <w:rsid w:val="00A30533"/>
    <w:rsid w:val="00A31691"/>
    <w:rsid w:val="00A317B0"/>
    <w:rsid w:val="00A31BF6"/>
    <w:rsid w:val="00A34591"/>
    <w:rsid w:val="00A34E44"/>
    <w:rsid w:val="00A35B8F"/>
    <w:rsid w:val="00A3640F"/>
    <w:rsid w:val="00A36F70"/>
    <w:rsid w:val="00A37ECF"/>
    <w:rsid w:val="00A40951"/>
    <w:rsid w:val="00A40CE2"/>
    <w:rsid w:val="00A410C3"/>
    <w:rsid w:val="00A42FAE"/>
    <w:rsid w:val="00A43356"/>
    <w:rsid w:val="00A43553"/>
    <w:rsid w:val="00A437DF"/>
    <w:rsid w:val="00A47176"/>
    <w:rsid w:val="00A475C5"/>
    <w:rsid w:val="00A4768C"/>
    <w:rsid w:val="00A501F1"/>
    <w:rsid w:val="00A5034F"/>
    <w:rsid w:val="00A50A68"/>
    <w:rsid w:val="00A50C7B"/>
    <w:rsid w:val="00A50D3B"/>
    <w:rsid w:val="00A50E38"/>
    <w:rsid w:val="00A510C6"/>
    <w:rsid w:val="00A518AA"/>
    <w:rsid w:val="00A521A7"/>
    <w:rsid w:val="00A525E7"/>
    <w:rsid w:val="00A52F9E"/>
    <w:rsid w:val="00A539ED"/>
    <w:rsid w:val="00A55865"/>
    <w:rsid w:val="00A56348"/>
    <w:rsid w:val="00A5703F"/>
    <w:rsid w:val="00A57D39"/>
    <w:rsid w:val="00A6071A"/>
    <w:rsid w:val="00A61825"/>
    <w:rsid w:val="00A6196C"/>
    <w:rsid w:val="00A6234A"/>
    <w:rsid w:val="00A6316B"/>
    <w:rsid w:val="00A64423"/>
    <w:rsid w:val="00A65316"/>
    <w:rsid w:val="00A674FF"/>
    <w:rsid w:val="00A70F69"/>
    <w:rsid w:val="00A72611"/>
    <w:rsid w:val="00A73ABB"/>
    <w:rsid w:val="00A7428C"/>
    <w:rsid w:val="00A74504"/>
    <w:rsid w:val="00A751A1"/>
    <w:rsid w:val="00A76A23"/>
    <w:rsid w:val="00A76D2C"/>
    <w:rsid w:val="00A7705B"/>
    <w:rsid w:val="00A773EC"/>
    <w:rsid w:val="00A77746"/>
    <w:rsid w:val="00A806AA"/>
    <w:rsid w:val="00A83BF6"/>
    <w:rsid w:val="00A84BAC"/>
    <w:rsid w:val="00A87B4F"/>
    <w:rsid w:val="00A87F31"/>
    <w:rsid w:val="00A90D27"/>
    <w:rsid w:val="00A9103B"/>
    <w:rsid w:val="00A91284"/>
    <w:rsid w:val="00A918A7"/>
    <w:rsid w:val="00A9266A"/>
    <w:rsid w:val="00A92871"/>
    <w:rsid w:val="00A93B13"/>
    <w:rsid w:val="00A94153"/>
    <w:rsid w:val="00A955EB"/>
    <w:rsid w:val="00A9591E"/>
    <w:rsid w:val="00A96663"/>
    <w:rsid w:val="00AA1F49"/>
    <w:rsid w:val="00AA24C4"/>
    <w:rsid w:val="00AA3A2E"/>
    <w:rsid w:val="00AA4099"/>
    <w:rsid w:val="00AA4D5A"/>
    <w:rsid w:val="00AA4E75"/>
    <w:rsid w:val="00AA68DE"/>
    <w:rsid w:val="00AA6913"/>
    <w:rsid w:val="00AB2190"/>
    <w:rsid w:val="00AB39EB"/>
    <w:rsid w:val="00AB3F27"/>
    <w:rsid w:val="00AB3FD9"/>
    <w:rsid w:val="00AB51CA"/>
    <w:rsid w:val="00AB69FD"/>
    <w:rsid w:val="00AB7DE7"/>
    <w:rsid w:val="00AC01D4"/>
    <w:rsid w:val="00AC03AB"/>
    <w:rsid w:val="00AC0650"/>
    <w:rsid w:val="00AC135F"/>
    <w:rsid w:val="00AC1551"/>
    <w:rsid w:val="00AC1BE7"/>
    <w:rsid w:val="00AC275F"/>
    <w:rsid w:val="00AC3EE4"/>
    <w:rsid w:val="00AC50A4"/>
    <w:rsid w:val="00AC5A95"/>
    <w:rsid w:val="00AC6074"/>
    <w:rsid w:val="00AC6471"/>
    <w:rsid w:val="00AC771A"/>
    <w:rsid w:val="00AD1751"/>
    <w:rsid w:val="00AD1F37"/>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5C8B"/>
    <w:rsid w:val="00AE66BB"/>
    <w:rsid w:val="00AE6F4C"/>
    <w:rsid w:val="00AE7D4F"/>
    <w:rsid w:val="00AE7FE4"/>
    <w:rsid w:val="00AF0117"/>
    <w:rsid w:val="00AF0C67"/>
    <w:rsid w:val="00AF1591"/>
    <w:rsid w:val="00AF17D3"/>
    <w:rsid w:val="00AF1D77"/>
    <w:rsid w:val="00AF1E01"/>
    <w:rsid w:val="00AF1E50"/>
    <w:rsid w:val="00AF2B79"/>
    <w:rsid w:val="00AF3612"/>
    <w:rsid w:val="00AF38BA"/>
    <w:rsid w:val="00AF4F67"/>
    <w:rsid w:val="00AF51C6"/>
    <w:rsid w:val="00AF5811"/>
    <w:rsid w:val="00AF6509"/>
    <w:rsid w:val="00B00BBE"/>
    <w:rsid w:val="00B01162"/>
    <w:rsid w:val="00B01504"/>
    <w:rsid w:val="00B0177A"/>
    <w:rsid w:val="00B01A67"/>
    <w:rsid w:val="00B02A1E"/>
    <w:rsid w:val="00B0456E"/>
    <w:rsid w:val="00B06A05"/>
    <w:rsid w:val="00B06BF6"/>
    <w:rsid w:val="00B06F7F"/>
    <w:rsid w:val="00B070D7"/>
    <w:rsid w:val="00B100F0"/>
    <w:rsid w:val="00B13B5C"/>
    <w:rsid w:val="00B1402E"/>
    <w:rsid w:val="00B142FD"/>
    <w:rsid w:val="00B14865"/>
    <w:rsid w:val="00B15D95"/>
    <w:rsid w:val="00B21D50"/>
    <w:rsid w:val="00B229BE"/>
    <w:rsid w:val="00B22F9B"/>
    <w:rsid w:val="00B23747"/>
    <w:rsid w:val="00B23E0A"/>
    <w:rsid w:val="00B24090"/>
    <w:rsid w:val="00B2418F"/>
    <w:rsid w:val="00B257E3"/>
    <w:rsid w:val="00B260C7"/>
    <w:rsid w:val="00B26DCC"/>
    <w:rsid w:val="00B27494"/>
    <w:rsid w:val="00B279B9"/>
    <w:rsid w:val="00B27BFD"/>
    <w:rsid w:val="00B305A7"/>
    <w:rsid w:val="00B307CA"/>
    <w:rsid w:val="00B30F33"/>
    <w:rsid w:val="00B30FD0"/>
    <w:rsid w:val="00B3152F"/>
    <w:rsid w:val="00B34F48"/>
    <w:rsid w:val="00B41182"/>
    <w:rsid w:val="00B417C3"/>
    <w:rsid w:val="00B45DF2"/>
    <w:rsid w:val="00B5105F"/>
    <w:rsid w:val="00B51BA0"/>
    <w:rsid w:val="00B535BD"/>
    <w:rsid w:val="00B53701"/>
    <w:rsid w:val="00B53AF6"/>
    <w:rsid w:val="00B542A2"/>
    <w:rsid w:val="00B5509D"/>
    <w:rsid w:val="00B56A26"/>
    <w:rsid w:val="00B573E6"/>
    <w:rsid w:val="00B60C82"/>
    <w:rsid w:val="00B6110A"/>
    <w:rsid w:val="00B6176A"/>
    <w:rsid w:val="00B6301A"/>
    <w:rsid w:val="00B64799"/>
    <w:rsid w:val="00B64CAD"/>
    <w:rsid w:val="00B64D58"/>
    <w:rsid w:val="00B651F4"/>
    <w:rsid w:val="00B651FA"/>
    <w:rsid w:val="00B66751"/>
    <w:rsid w:val="00B66B7C"/>
    <w:rsid w:val="00B66CD7"/>
    <w:rsid w:val="00B67AA6"/>
    <w:rsid w:val="00B7066C"/>
    <w:rsid w:val="00B707BD"/>
    <w:rsid w:val="00B70E24"/>
    <w:rsid w:val="00B71105"/>
    <w:rsid w:val="00B717D8"/>
    <w:rsid w:val="00B718E0"/>
    <w:rsid w:val="00B72081"/>
    <w:rsid w:val="00B72DF3"/>
    <w:rsid w:val="00B74146"/>
    <w:rsid w:val="00B747A3"/>
    <w:rsid w:val="00B75A27"/>
    <w:rsid w:val="00B75E52"/>
    <w:rsid w:val="00B760EB"/>
    <w:rsid w:val="00B76AB3"/>
    <w:rsid w:val="00B76F6C"/>
    <w:rsid w:val="00B8019A"/>
    <w:rsid w:val="00B8080B"/>
    <w:rsid w:val="00B811EF"/>
    <w:rsid w:val="00B81568"/>
    <w:rsid w:val="00B8310D"/>
    <w:rsid w:val="00B831B9"/>
    <w:rsid w:val="00B84493"/>
    <w:rsid w:val="00B84C8B"/>
    <w:rsid w:val="00B86EF1"/>
    <w:rsid w:val="00B90674"/>
    <w:rsid w:val="00B907C9"/>
    <w:rsid w:val="00B91FFF"/>
    <w:rsid w:val="00B92A8E"/>
    <w:rsid w:val="00B934E3"/>
    <w:rsid w:val="00B94323"/>
    <w:rsid w:val="00B94444"/>
    <w:rsid w:val="00B952B9"/>
    <w:rsid w:val="00B9566B"/>
    <w:rsid w:val="00B95F92"/>
    <w:rsid w:val="00B961B7"/>
    <w:rsid w:val="00B963D4"/>
    <w:rsid w:val="00B96F81"/>
    <w:rsid w:val="00B97448"/>
    <w:rsid w:val="00B9772B"/>
    <w:rsid w:val="00B97754"/>
    <w:rsid w:val="00BA2BC4"/>
    <w:rsid w:val="00BA2DEF"/>
    <w:rsid w:val="00BA35F2"/>
    <w:rsid w:val="00BA42FB"/>
    <w:rsid w:val="00BA4768"/>
    <w:rsid w:val="00BA4861"/>
    <w:rsid w:val="00BA4A92"/>
    <w:rsid w:val="00BA516F"/>
    <w:rsid w:val="00BA628C"/>
    <w:rsid w:val="00BA7059"/>
    <w:rsid w:val="00BA7C6A"/>
    <w:rsid w:val="00BA7C9B"/>
    <w:rsid w:val="00BA7F3A"/>
    <w:rsid w:val="00BB0051"/>
    <w:rsid w:val="00BB0200"/>
    <w:rsid w:val="00BB02C6"/>
    <w:rsid w:val="00BB1082"/>
    <w:rsid w:val="00BB140A"/>
    <w:rsid w:val="00BB2127"/>
    <w:rsid w:val="00BB2C72"/>
    <w:rsid w:val="00BB3805"/>
    <w:rsid w:val="00BB4589"/>
    <w:rsid w:val="00BB4EB6"/>
    <w:rsid w:val="00BB52A5"/>
    <w:rsid w:val="00BB5893"/>
    <w:rsid w:val="00BB6740"/>
    <w:rsid w:val="00BB6A42"/>
    <w:rsid w:val="00BB7EA1"/>
    <w:rsid w:val="00BB7F81"/>
    <w:rsid w:val="00BC0124"/>
    <w:rsid w:val="00BC269B"/>
    <w:rsid w:val="00BC27D2"/>
    <w:rsid w:val="00BC299D"/>
    <w:rsid w:val="00BC380D"/>
    <w:rsid w:val="00BC6003"/>
    <w:rsid w:val="00BC6D0F"/>
    <w:rsid w:val="00BD031C"/>
    <w:rsid w:val="00BD35E1"/>
    <w:rsid w:val="00BD3A56"/>
    <w:rsid w:val="00BD54FC"/>
    <w:rsid w:val="00BD63C3"/>
    <w:rsid w:val="00BD67CE"/>
    <w:rsid w:val="00BD6D68"/>
    <w:rsid w:val="00BD76A4"/>
    <w:rsid w:val="00BE0186"/>
    <w:rsid w:val="00BE1AE5"/>
    <w:rsid w:val="00BE1C8A"/>
    <w:rsid w:val="00BE383C"/>
    <w:rsid w:val="00BE4857"/>
    <w:rsid w:val="00BE5847"/>
    <w:rsid w:val="00BE5BE0"/>
    <w:rsid w:val="00BE5D1D"/>
    <w:rsid w:val="00BE697B"/>
    <w:rsid w:val="00BE70E8"/>
    <w:rsid w:val="00BF0E76"/>
    <w:rsid w:val="00BF19DC"/>
    <w:rsid w:val="00BF25CF"/>
    <w:rsid w:val="00BF2B3E"/>
    <w:rsid w:val="00BF2DAF"/>
    <w:rsid w:val="00BF4E1B"/>
    <w:rsid w:val="00BF4E82"/>
    <w:rsid w:val="00BF5AB9"/>
    <w:rsid w:val="00BF6386"/>
    <w:rsid w:val="00BF67B0"/>
    <w:rsid w:val="00C01083"/>
    <w:rsid w:val="00C0480F"/>
    <w:rsid w:val="00C04C9A"/>
    <w:rsid w:val="00C1043C"/>
    <w:rsid w:val="00C10D90"/>
    <w:rsid w:val="00C11795"/>
    <w:rsid w:val="00C129C7"/>
    <w:rsid w:val="00C12A51"/>
    <w:rsid w:val="00C12C65"/>
    <w:rsid w:val="00C12CD1"/>
    <w:rsid w:val="00C12F22"/>
    <w:rsid w:val="00C15494"/>
    <w:rsid w:val="00C1591E"/>
    <w:rsid w:val="00C15D9D"/>
    <w:rsid w:val="00C173EE"/>
    <w:rsid w:val="00C20D36"/>
    <w:rsid w:val="00C21038"/>
    <w:rsid w:val="00C215B9"/>
    <w:rsid w:val="00C2286B"/>
    <w:rsid w:val="00C2396B"/>
    <w:rsid w:val="00C245D0"/>
    <w:rsid w:val="00C25CE2"/>
    <w:rsid w:val="00C26865"/>
    <w:rsid w:val="00C2785F"/>
    <w:rsid w:val="00C307F6"/>
    <w:rsid w:val="00C30BA6"/>
    <w:rsid w:val="00C31467"/>
    <w:rsid w:val="00C3229E"/>
    <w:rsid w:val="00C33F0C"/>
    <w:rsid w:val="00C34CCB"/>
    <w:rsid w:val="00C34D57"/>
    <w:rsid w:val="00C35515"/>
    <w:rsid w:val="00C35807"/>
    <w:rsid w:val="00C35845"/>
    <w:rsid w:val="00C35A4B"/>
    <w:rsid w:val="00C36696"/>
    <w:rsid w:val="00C36720"/>
    <w:rsid w:val="00C36777"/>
    <w:rsid w:val="00C37518"/>
    <w:rsid w:val="00C3766F"/>
    <w:rsid w:val="00C379D8"/>
    <w:rsid w:val="00C37F00"/>
    <w:rsid w:val="00C406BF"/>
    <w:rsid w:val="00C40702"/>
    <w:rsid w:val="00C4119F"/>
    <w:rsid w:val="00C4150D"/>
    <w:rsid w:val="00C41A37"/>
    <w:rsid w:val="00C421C9"/>
    <w:rsid w:val="00C42432"/>
    <w:rsid w:val="00C42A3A"/>
    <w:rsid w:val="00C43665"/>
    <w:rsid w:val="00C437C6"/>
    <w:rsid w:val="00C4517F"/>
    <w:rsid w:val="00C45232"/>
    <w:rsid w:val="00C46E94"/>
    <w:rsid w:val="00C46FB4"/>
    <w:rsid w:val="00C4713F"/>
    <w:rsid w:val="00C51004"/>
    <w:rsid w:val="00C51509"/>
    <w:rsid w:val="00C51797"/>
    <w:rsid w:val="00C52097"/>
    <w:rsid w:val="00C5291C"/>
    <w:rsid w:val="00C52BA5"/>
    <w:rsid w:val="00C52F47"/>
    <w:rsid w:val="00C53323"/>
    <w:rsid w:val="00C54D8C"/>
    <w:rsid w:val="00C5524B"/>
    <w:rsid w:val="00C55611"/>
    <w:rsid w:val="00C569ED"/>
    <w:rsid w:val="00C57493"/>
    <w:rsid w:val="00C6017B"/>
    <w:rsid w:val="00C605E6"/>
    <w:rsid w:val="00C64D07"/>
    <w:rsid w:val="00C66CEF"/>
    <w:rsid w:val="00C670FE"/>
    <w:rsid w:val="00C71087"/>
    <w:rsid w:val="00C71E3C"/>
    <w:rsid w:val="00C73C17"/>
    <w:rsid w:val="00C75492"/>
    <w:rsid w:val="00C774AC"/>
    <w:rsid w:val="00C77C78"/>
    <w:rsid w:val="00C80923"/>
    <w:rsid w:val="00C8146C"/>
    <w:rsid w:val="00C8231E"/>
    <w:rsid w:val="00C8378F"/>
    <w:rsid w:val="00C846DD"/>
    <w:rsid w:val="00C85CA6"/>
    <w:rsid w:val="00C866BE"/>
    <w:rsid w:val="00C873DA"/>
    <w:rsid w:val="00C90A7F"/>
    <w:rsid w:val="00C90D22"/>
    <w:rsid w:val="00C91348"/>
    <w:rsid w:val="00C9147E"/>
    <w:rsid w:val="00C925ED"/>
    <w:rsid w:val="00C9339F"/>
    <w:rsid w:val="00C93A3F"/>
    <w:rsid w:val="00C94B56"/>
    <w:rsid w:val="00C96618"/>
    <w:rsid w:val="00C966EF"/>
    <w:rsid w:val="00C96A10"/>
    <w:rsid w:val="00C9753B"/>
    <w:rsid w:val="00CA0C87"/>
    <w:rsid w:val="00CA19CD"/>
    <w:rsid w:val="00CA1F28"/>
    <w:rsid w:val="00CA20F3"/>
    <w:rsid w:val="00CA22E8"/>
    <w:rsid w:val="00CA2747"/>
    <w:rsid w:val="00CA4A62"/>
    <w:rsid w:val="00CA561E"/>
    <w:rsid w:val="00CA5B58"/>
    <w:rsid w:val="00CA647F"/>
    <w:rsid w:val="00CA659E"/>
    <w:rsid w:val="00CA6A39"/>
    <w:rsid w:val="00CA6A42"/>
    <w:rsid w:val="00CA7DAD"/>
    <w:rsid w:val="00CB0770"/>
    <w:rsid w:val="00CB23DD"/>
    <w:rsid w:val="00CB253A"/>
    <w:rsid w:val="00CB2757"/>
    <w:rsid w:val="00CB2CE8"/>
    <w:rsid w:val="00CB2FBA"/>
    <w:rsid w:val="00CB2FE7"/>
    <w:rsid w:val="00CB37AF"/>
    <w:rsid w:val="00CB3B57"/>
    <w:rsid w:val="00CB42AE"/>
    <w:rsid w:val="00CB5100"/>
    <w:rsid w:val="00CB5D3B"/>
    <w:rsid w:val="00CB6768"/>
    <w:rsid w:val="00CB768F"/>
    <w:rsid w:val="00CC0848"/>
    <w:rsid w:val="00CC17DB"/>
    <w:rsid w:val="00CC2F01"/>
    <w:rsid w:val="00CC46AC"/>
    <w:rsid w:val="00CC46B4"/>
    <w:rsid w:val="00CC586C"/>
    <w:rsid w:val="00CC6453"/>
    <w:rsid w:val="00CD290B"/>
    <w:rsid w:val="00CD2D22"/>
    <w:rsid w:val="00CD2D8A"/>
    <w:rsid w:val="00CD31EA"/>
    <w:rsid w:val="00CD3EBD"/>
    <w:rsid w:val="00CD4B6F"/>
    <w:rsid w:val="00CD4C8F"/>
    <w:rsid w:val="00CD692F"/>
    <w:rsid w:val="00CD7D30"/>
    <w:rsid w:val="00CE0392"/>
    <w:rsid w:val="00CE20AC"/>
    <w:rsid w:val="00CE2303"/>
    <w:rsid w:val="00CE3E88"/>
    <w:rsid w:val="00CE5481"/>
    <w:rsid w:val="00CE5866"/>
    <w:rsid w:val="00CE59D9"/>
    <w:rsid w:val="00CF003F"/>
    <w:rsid w:val="00CF0045"/>
    <w:rsid w:val="00CF1FCA"/>
    <w:rsid w:val="00CF219D"/>
    <w:rsid w:val="00CF419C"/>
    <w:rsid w:val="00CF4A72"/>
    <w:rsid w:val="00CF5A33"/>
    <w:rsid w:val="00CF7194"/>
    <w:rsid w:val="00CF74AE"/>
    <w:rsid w:val="00CF7C90"/>
    <w:rsid w:val="00CF7EA0"/>
    <w:rsid w:val="00D00600"/>
    <w:rsid w:val="00D00A29"/>
    <w:rsid w:val="00D00C99"/>
    <w:rsid w:val="00D011FE"/>
    <w:rsid w:val="00D02612"/>
    <w:rsid w:val="00D0329F"/>
    <w:rsid w:val="00D04372"/>
    <w:rsid w:val="00D04F9C"/>
    <w:rsid w:val="00D05A10"/>
    <w:rsid w:val="00D05DB1"/>
    <w:rsid w:val="00D05E91"/>
    <w:rsid w:val="00D06299"/>
    <w:rsid w:val="00D0724A"/>
    <w:rsid w:val="00D1045D"/>
    <w:rsid w:val="00D1139B"/>
    <w:rsid w:val="00D13212"/>
    <w:rsid w:val="00D133AA"/>
    <w:rsid w:val="00D135D2"/>
    <w:rsid w:val="00D13B0B"/>
    <w:rsid w:val="00D13CCF"/>
    <w:rsid w:val="00D14565"/>
    <w:rsid w:val="00D14CF7"/>
    <w:rsid w:val="00D1576E"/>
    <w:rsid w:val="00D15BBC"/>
    <w:rsid w:val="00D15CFF"/>
    <w:rsid w:val="00D15E67"/>
    <w:rsid w:val="00D16CE9"/>
    <w:rsid w:val="00D20ABB"/>
    <w:rsid w:val="00D23117"/>
    <w:rsid w:val="00D235A4"/>
    <w:rsid w:val="00D24AEE"/>
    <w:rsid w:val="00D25315"/>
    <w:rsid w:val="00D26A33"/>
    <w:rsid w:val="00D3073E"/>
    <w:rsid w:val="00D31676"/>
    <w:rsid w:val="00D316C8"/>
    <w:rsid w:val="00D337D5"/>
    <w:rsid w:val="00D33FB9"/>
    <w:rsid w:val="00D34817"/>
    <w:rsid w:val="00D365BB"/>
    <w:rsid w:val="00D3795A"/>
    <w:rsid w:val="00D37AB5"/>
    <w:rsid w:val="00D37F4D"/>
    <w:rsid w:val="00D40C74"/>
    <w:rsid w:val="00D414D7"/>
    <w:rsid w:val="00D431A9"/>
    <w:rsid w:val="00D43282"/>
    <w:rsid w:val="00D43EA4"/>
    <w:rsid w:val="00D44508"/>
    <w:rsid w:val="00D449F1"/>
    <w:rsid w:val="00D47810"/>
    <w:rsid w:val="00D50263"/>
    <w:rsid w:val="00D5128E"/>
    <w:rsid w:val="00D5208D"/>
    <w:rsid w:val="00D52FD0"/>
    <w:rsid w:val="00D54385"/>
    <w:rsid w:val="00D606D9"/>
    <w:rsid w:val="00D6147C"/>
    <w:rsid w:val="00D6259C"/>
    <w:rsid w:val="00D63B91"/>
    <w:rsid w:val="00D64A4A"/>
    <w:rsid w:val="00D64C43"/>
    <w:rsid w:val="00D6679C"/>
    <w:rsid w:val="00D72F5D"/>
    <w:rsid w:val="00D7314E"/>
    <w:rsid w:val="00D7370C"/>
    <w:rsid w:val="00D73EE6"/>
    <w:rsid w:val="00D742D2"/>
    <w:rsid w:val="00D744DC"/>
    <w:rsid w:val="00D74556"/>
    <w:rsid w:val="00D74711"/>
    <w:rsid w:val="00D74C6C"/>
    <w:rsid w:val="00D75CF7"/>
    <w:rsid w:val="00D75F59"/>
    <w:rsid w:val="00D776A3"/>
    <w:rsid w:val="00D776C3"/>
    <w:rsid w:val="00D80153"/>
    <w:rsid w:val="00D814BC"/>
    <w:rsid w:val="00D81AC7"/>
    <w:rsid w:val="00D83E45"/>
    <w:rsid w:val="00D842CD"/>
    <w:rsid w:val="00D8495C"/>
    <w:rsid w:val="00D85111"/>
    <w:rsid w:val="00D86737"/>
    <w:rsid w:val="00D8696A"/>
    <w:rsid w:val="00D87CDC"/>
    <w:rsid w:val="00D90419"/>
    <w:rsid w:val="00D90551"/>
    <w:rsid w:val="00D90C60"/>
    <w:rsid w:val="00D90F5A"/>
    <w:rsid w:val="00D91235"/>
    <w:rsid w:val="00D9153B"/>
    <w:rsid w:val="00D9160A"/>
    <w:rsid w:val="00D94EFA"/>
    <w:rsid w:val="00D95903"/>
    <w:rsid w:val="00D95D78"/>
    <w:rsid w:val="00DA0810"/>
    <w:rsid w:val="00DA3FCE"/>
    <w:rsid w:val="00DA4B42"/>
    <w:rsid w:val="00DA6F8A"/>
    <w:rsid w:val="00DA7B35"/>
    <w:rsid w:val="00DA7EEA"/>
    <w:rsid w:val="00DB0D54"/>
    <w:rsid w:val="00DB188B"/>
    <w:rsid w:val="00DB2BE7"/>
    <w:rsid w:val="00DB3BFD"/>
    <w:rsid w:val="00DB4203"/>
    <w:rsid w:val="00DB6A2F"/>
    <w:rsid w:val="00DB6B88"/>
    <w:rsid w:val="00DB7CA1"/>
    <w:rsid w:val="00DC094F"/>
    <w:rsid w:val="00DC24B5"/>
    <w:rsid w:val="00DC25DA"/>
    <w:rsid w:val="00DC3B0A"/>
    <w:rsid w:val="00DC4325"/>
    <w:rsid w:val="00DC4915"/>
    <w:rsid w:val="00DC4C59"/>
    <w:rsid w:val="00DC5149"/>
    <w:rsid w:val="00DC5B77"/>
    <w:rsid w:val="00DC68E1"/>
    <w:rsid w:val="00DC726D"/>
    <w:rsid w:val="00DC7FCE"/>
    <w:rsid w:val="00DD0452"/>
    <w:rsid w:val="00DD092C"/>
    <w:rsid w:val="00DD1145"/>
    <w:rsid w:val="00DD16D5"/>
    <w:rsid w:val="00DD181C"/>
    <w:rsid w:val="00DD1B88"/>
    <w:rsid w:val="00DD334C"/>
    <w:rsid w:val="00DD3C08"/>
    <w:rsid w:val="00DD52CE"/>
    <w:rsid w:val="00DD563E"/>
    <w:rsid w:val="00DE0476"/>
    <w:rsid w:val="00DE1B2F"/>
    <w:rsid w:val="00DE1C5A"/>
    <w:rsid w:val="00DE2AAC"/>
    <w:rsid w:val="00DE56FA"/>
    <w:rsid w:val="00DE5E04"/>
    <w:rsid w:val="00DE6634"/>
    <w:rsid w:val="00DF00C8"/>
    <w:rsid w:val="00DF1125"/>
    <w:rsid w:val="00DF22E5"/>
    <w:rsid w:val="00DF27AC"/>
    <w:rsid w:val="00DF28E7"/>
    <w:rsid w:val="00DF2FD1"/>
    <w:rsid w:val="00DF399A"/>
    <w:rsid w:val="00DF447B"/>
    <w:rsid w:val="00DF4DCA"/>
    <w:rsid w:val="00DF5479"/>
    <w:rsid w:val="00DF6280"/>
    <w:rsid w:val="00DF7B14"/>
    <w:rsid w:val="00DF7B16"/>
    <w:rsid w:val="00DF7D05"/>
    <w:rsid w:val="00E00009"/>
    <w:rsid w:val="00E01EF4"/>
    <w:rsid w:val="00E02CF2"/>
    <w:rsid w:val="00E04947"/>
    <w:rsid w:val="00E069F7"/>
    <w:rsid w:val="00E06C35"/>
    <w:rsid w:val="00E06ECA"/>
    <w:rsid w:val="00E0710D"/>
    <w:rsid w:val="00E07F71"/>
    <w:rsid w:val="00E101C6"/>
    <w:rsid w:val="00E114D8"/>
    <w:rsid w:val="00E11903"/>
    <w:rsid w:val="00E11DE7"/>
    <w:rsid w:val="00E1256E"/>
    <w:rsid w:val="00E1347F"/>
    <w:rsid w:val="00E14C0A"/>
    <w:rsid w:val="00E15068"/>
    <w:rsid w:val="00E1621B"/>
    <w:rsid w:val="00E163D6"/>
    <w:rsid w:val="00E21019"/>
    <w:rsid w:val="00E21114"/>
    <w:rsid w:val="00E22B84"/>
    <w:rsid w:val="00E24333"/>
    <w:rsid w:val="00E24A54"/>
    <w:rsid w:val="00E25E8A"/>
    <w:rsid w:val="00E26045"/>
    <w:rsid w:val="00E26BDB"/>
    <w:rsid w:val="00E27304"/>
    <w:rsid w:val="00E304D5"/>
    <w:rsid w:val="00E320CE"/>
    <w:rsid w:val="00E33084"/>
    <w:rsid w:val="00E3364E"/>
    <w:rsid w:val="00E337F5"/>
    <w:rsid w:val="00E339E4"/>
    <w:rsid w:val="00E34EBC"/>
    <w:rsid w:val="00E3529F"/>
    <w:rsid w:val="00E352D0"/>
    <w:rsid w:val="00E37211"/>
    <w:rsid w:val="00E37848"/>
    <w:rsid w:val="00E4034D"/>
    <w:rsid w:val="00E404B3"/>
    <w:rsid w:val="00E41EE7"/>
    <w:rsid w:val="00E42084"/>
    <w:rsid w:val="00E44854"/>
    <w:rsid w:val="00E45106"/>
    <w:rsid w:val="00E4540D"/>
    <w:rsid w:val="00E50B82"/>
    <w:rsid w:val="00E51630"/>
    <w:rsid w:val="00E536CE"/>
    <w:rsid w:val="00E53B35"/>
    <w:rsid w:val="00E55268"/>
    <w:rsid w:val="00E552CC"/>
    <w:rsid w:val="00E55555"/>
    <w:rsid w:val="00E55808"/>
    <w:rsid w:val="00E559EA"/>
    <w:rsid w:val="00E5696D"/>
    <w:rsid w:val="00E56E45"/>
    <w:rsid w:val="00E57460"/>
    <w:rsid w:val="00E5753A"/>
    <w:rsid w:val="00E61052"/>
    <w:rsid w:val="00E6161C"/>
    <w:rsid w:val="00E62DEC"/>
    <w:rsid w:val="00E63233"/>
    <w:rsid w:val="00E6372F"/>
    <w:rsid w:val="00E63FE6"/>
    <w:rsid w:val="00E65960"/>
    <w:rsid w:val="00E65F8A"/>
    <w:rsid w:val="00E6638D"/>
    <w:rsid w:val="00E66B4F"/>
    <w:rsid w:val="00E66ECB"/>
    <w:rsid w:val="00E67486"/>
    <w:rsid w:val="00E727CE"/>
    <w:rsid w:val="00E73D84"/>
    <w:rsid w:val="00E749E1"/>
    <w:rsid w:val="00E75B9A"/>
    <w:rsid w:val="00E77E78"/>
    <w:rsid w:val="00E8007A"/>
    <w:rsid w:val="00E804CF"/>
    <w:rsid w:val="00E80578"/>
    <w:rsid w:val="00E80B43"/>
    <w:rsid w:val="00E833CB"/>
    <w:rsid w:val="00E83995"/>
    <w:rsid w:val="00E83CBA"/>
    <w:rsid w:val="00E83D2E"/>
    <w:rsid w:val="00E83FB2"/>
    <w:rsid w:val="00E8430F"/>
    <w:rsid w:val="00E844D4"/>
    <w:rsid w:val="00E861F7"/>
    <w:rsid w:val="00E87CEE"/>
    <w:rsid w:val="00E90615"/>
    <w:rsid w:val="00E91FE0"/>
    <w:rsid w:val="00E92731"/>
    <w:rsid w:val="00E92CD1"/>
    <w:rsid w:val="00E93AA1"/>
    <w:rsid w:val="00E951DA"/>
    <w:rsid w:val="00E9568B"/>
    <w:rsid w:val="00E95AC2"/>
    <w:rsid w:val="00E97167"/>
    <w:rsid w:val="00E97787"/>
    <w:rsid w:val="00E978F8"/>
    <w:rsid w:val="00E97DBB"/>
    <w:rsid w:val="00EA0169"/>
    <w:rsid w:val="00EA093A"/>
    <w:rsid w:val="00EA3781"/>
    <w:rsid w:val="00EA3BCF"/>
    <w:rsid w:val="00EA5023"/>
    <w:rsid w:val="00EA5328"/>
    <w:rsid w:val="00EA7061"/>
    <w:rsid w:val="00EA7C5B"/>
    <w:rsid w:val="00EB1313"/>
    <w:rsid w:val="00EB13FE"/>
    <w:rsid w:val="00EB254B"/>
    <w:rsid w:val="00EB27D8"/>
    <w:rsid w:val="00EB39F1"/>
    <w:rsid w:val="00EB460F"/>
    <w:rsid w:val="00EB472E"/>
    <w:rsid w:val="00EB5434"/>
    <w:rsid w:val="00EB5D53"/>
    <w:rsid w:val="00EB5D6C"/>
    <w:rsid w:val="00EB6A9B"/>
    <w:rsid w:val="00EB733B"/>
    <w:rsid w:val="00EB76D6"/>
    <w:rsid w:val="00EC0178"/>
    <w:rsid w:val="00EC0397"/>
    <w:rsid w:val="00EC049F"/>
    <w:rsid w:val="00EC0E52"/>
    <w:rsid w:val="00EC11E3"/>
    <w:rsid w:val="00EC1E10"/>
    <w:rsid w:val="00EC288F"/>
    <w:rsid w:val="00EC342F"/>
    <w:rsid w:val="00EC4DD8"/>
    <w:rsid w:val="00ED024E"/>
    <w:rsid w:val="00ED194C"/>
    <w:rsid w:val="00ED23E8"/>
    <w:rsid w:val="00ED2C26"/>
    <w:rsid w:val="00ED3898"/>
    <w:rsid w:val="00ED38BF"/>
    <w:rsid w:val="00ED5DB2"/>
    <w:rsid w:val="00ED5E5F"/>
    <w:rsid w:val="00ED5EC2"/>
    <w:rsid w:val="00ED657B"/>
    <w:rsid w:val="00ED6615"/>
    <w:rsid w:val="00EE0151"/>
    <w:rsid w:val="00EE0DF2"/>
    <w:rsid w:val="00EE1053"/>
    <w:rsid w:val="00EE1124"/>
    <w:rsid w:val="00EE21DD"/>
    <w:rsid w:val="00EE56DF"/>
    <w:rsid w:val="00EE587F"/>
    <w:rsid w:val="00EE5D13"/>
    <w:rsid w:val="00EE5ED7"/>
    <w:rsid w:val="00EE64CC"/>
    <w:rsid w:val="00EE6D6B"/>
    <w:rsid w:val="00EE6E26"/>
    <w:rsid w:val="00EF1A24"/>
    <w:rsid w:val="00EF1BF1"/>
    <w:rsid w:val="00EF3706"/>
    <w:rsid w:val="00EF4539"/>
    <w:rsid w:val="00EF46C5"/>
    <w:rsid w:val="00EF4BD5"/>
    <w:rsid w:val="00EF4F91"/>
    <w:rsid w:val="00EF5716"/>
    <w:rsid w:val="00EF6FE5"/>
    <w:rsid w:val="00EF71E1"/>
    <w:rsid w:val="00F003B9"/>
    <w:rsid w:val="00F005C2"/>
    <w:rsid w:val="00F005CD"/>
    <w:rsid w:val="00F0090C"/>
    <w:rsid w:val="00F00D47"/>
    <w:rsid w:val="00F01BD5"/>
    <w:rsid w:val="00F024E3"/>
    <w:rsid w:val="00F0264E"/>
    <w:rsid w:val="00F026DB"/>
    <w:rsid w:val="00F02815"/>
    <w:rsid w:val="00F03BF8"/>
    <w:rsid w:val="00F041B2"/>
    <w:rsid w:val="00F04881"/>
    <w:rsid w:val="00F0505F"/>
    <w:rsid w:val="00F05237"/>
    <w:rsid w:val="00F05255"/>
    <w:rsid w:val="00F05D9A"/>
    <w:rsid w:val="00F05EAF"/>
    <w:rsid w:val="00F06D7C"/>
    <w:rsid w:val="00F07AE1"/>
    <w:rsid w:val="00F1049D"/>
    <w:rsid w:val="00F10A0A"/>
    <w:rsid w:val="00F111FA"/>
    <w:rsid w:val="00F119F0"/>
    <w:rsid w:val="00F145DC"/>
    <w:rsid w:val="00F147FD"/>
    <w:rsid w:val="00F15FC1"/>
    <w:rsid w:val="00F160E0"/>
    <w:rsid w:val="00F166CE"/>
    <w:rsid w:val="00F170B1"/>
    <w:rsid w:val="00F17762"/>
    <w:rsid w:val="00F212C5"/>
    <w:rsid w:val="00F22027"/>
    <w:rsid w:val="00F23C5A"/>
    <w:rsid w:val="00F23E91"/>
    <w:rsid w:val="00F261BC"/>
    <w:rsid w:val="00F277D4"/>
    <w:rsid w:val="00F305AF"/>
    <w:rsid w:val="00F30A70"/>
    <w:rsid w:val="00F31104"/>
    <w:rsid w:val="00F31C3C"/>
    <w:rsid w:val="00F32CEA"/>
    <w:rsid w:val="00F33E65"/>
    <w:rsid w:val="00F34E93"/>
    <w:rsid w:val="00F376F5"/>
    <w:rsid w:val="00F407BE"/>
    <w:rsid w:val="00F43F5A"/>
    <w:rsid w:val="00F44511"/>
    <w:rsid w:val="00F4474B"/>
    <w:rsid w:val="00F5097D"/>
    <w:rsid w:val="00F50C12"/>
    <w:rsid w:val="00F513E5"/>
    <w:rsid w:val="00F5219B"/>
    <w:rsid w:val="00F527A6"/>
    <w:rsid w:val="00F53138"/>
    <w:rsid w:val="00F534C0"/>
    <w:rsid w:val="00F53F90"/>
    <w:rsid w:val="00F54930"/>
    <w:rsid w:val="00F5523B"/>
    <w:rsid w:val="00F5652D"/>
    <w:rsid w:val="00F565FE"/>
    <w:rsid w:val="00F623B6"/>
    <w:rsid w:val="00F6280F"/>
    <w:rsid w:val="00F62819"/>
    <w:rsid w:val="00F6394B"/>
    <w:rsid w:val="00F65610"/>
    <w:rsid w:val="00F6653B"/>
    <w:rsid w:val="00F708D9"/>
    <w:rsid w:val="00F720FB"/>
    <w:rsid w:val="00F721C2"/>
    <w:rsid w:val="00F737C9"/>
    <w:rsid w:val="00F747B4"/>
    <w:rsid w:val="00F74B66"/>
    <w:rsid w:val="00F75F12"/>
    <w:rsid w:val="00F80602"/>
    <w:rsid w:val="00F81376"/>
    <w:rsid w:val="00F814DF"/>
    <w:rsid w:val="00F817B3"/>
    <w:rsid w:val="00F81935"/>
    <w:rsid w:val="00F81E48"/>
    <w:rsid w:val="00F8269D"/>
    <w:rsid w:val="00F84C20"/>
    <w:rsid w:val="00F85CB4"/>
    <w:rsid w:val="00F85D79"/>
    <w:rsid w:val="00F87614"/>
    <w:rsid w:val="00F900EF"/>
    <w:rsid w:val="00F90FA0"/>
    <w:rsid w:val="00F92112"/>
    <w:rsid w:val="00F9230A"/>
    <w:rsid w:val="00F92366"/>
    <w:rsid w:val="00F92753"/>
    <w:rsid w:val="00F92F85"/>
    <w:rsid w:val="00F9598E"/>
    <w:rsid w:val="00F96B32"/>
    <w:rsid w:val="00F96D97"/>
    <w:rsid w:val="00F9702B"/>
    <w:rsid w:val="00F9735A"/>
    <w:rsid w:val="00FA42F4"/>
    <w:rsid w:val="00FA4E5F"/>
    <w:rsid w:val="00FA6502"/>
    <w:rsid w:val="00FA7B72"/>
    <w:rsid w:val="00FB0730"/>
    <w:rsid w:val="00FB0BC1"/>
    <w:rsid w:val="00FB14A0"/>
    <w:rsid w:val="00FB2C5C"/>
    <w:rsid w:val="00FB3345"/>
    <w:rsid w:val="00FB34A3"/>
    <w:rsid w:val="00FB4683"/>
    <w:rsid w:val="00FB4E4A"/>
    <w:rsid w:val="00FB59BF"/>
    <w:rsid w:val="00FB6CA5"/>
    <w:rsid w:val="00FB6D3A"/>
    <w:rsid w:val="00FB760E"/>
    <w:rsid w:val="00FB7924"/>
    <w:rsid w:val="00FB7F35"/>
    <w:rsid w:val="00FC11D6"/>
    <w:rsid w:val="00FC187E"/>
    <w:rsid w:val="00FC2106"/>
    <w:rsid w:val="00FC2AAB"/>
    <w:rsid w:val="00FC48DD"/>
    <w:rsid w:val="00FC569E"/>
    <w:rsid w:val="00FC5E85"/>
    <w:rsid w:val="00FC67E5"/>
    <w:rsid w:val="00FC6BFF"/>
    <w:rsid w:val="00FC7B5F"/>
    <w:rsid w:val="00FC7BE8"/>
    <w:rsid w:val="00FD04EB"/>
    <w:rsid w:val="00FD1036"/>
    <w:rsid w:val="00FD1062"/>
    <w:rsid w:val="00FD131D"/>
    <w:rsid w:val="00FD1C4B"/>
    <w:rsid w:val="00FD1CEC"/>
    <w:rsid w:val="00FD3049"/>
    <w:rsid w:val="00FD5177"/>
    <w:rsid w:val="00FD5398"/>
    <w:rsid w:val="00FD79EB"/>
    <w:rsid w:val="00FE1C81"/>
    <w:rsid w:val="00FE35E1"/>
    <w:rsid w:val="00FE3AFC"/>
    <w:rsid w:val="00FE53F6"/>
    <w:rsid w:val="00FE6D86"/>
    <w:rsid w:val="00FE7AD4"/>
    <w:rsid w:val="00FE7FB0"/>
    <w:rsid w:val="00FF07CC"/>
    <w:rsid w:val="00FF0DA7"/>
    <w:rsid w:val="00FF3276"/>
    <w:rsid w:val="00FF3F03"/>
    <w:rsid w:val="00FF4397"/>
    <w:rsid w:val="00FF5256"/>
    <w:rsid w:val="00FF5B26"/>
    <w:rsid w:val="00FF69CB"/>
    <w:rsid w:val="00FF7A20"/>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257C07FF-22B2-4A27-BA1C-DA434889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3470C"/>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482ADC"/>
    <w:pPr>
      <w:autoSpaceDE w:val="0"/>
      <w:autoSpaceDN w:val="0"/>
      <w:adjustRightInd w:val="0"/>
    </w:pPr>
    <w:rPr>
      <w:rFonts w:eastAsiaTheme="minorHAnsi"/>
      <w:color w:val="000000"/>
      <w:sz w:val="24"/>
      <w:szCs w:val="24"/>
      <w:lang w:eastAsia="en-US"/>
    </w:rPr>
  </w:style>
  <w:style w:type="paragraph" w:styleId="PlainText">
    <w:name w:val="Plain Text"/>
    <w:basedOn w:val="Normal"/>
    <w:link w:val="PlainTextChar1"/>
    <w:uiPriority w:val="99"/>
    <w:rsid w:val="00482ADC"/>
    <w:rPr>
      <w:rFonts w:ascii="Consolas" w:hAnsi="Consolas"/>
      <w:lang w:val="en-GB" w:eastAsia="en-GB"/>
    </w:rPr>
  </w:style>
  <w:style w:type="character" w:customStyle="1" w:styleId="PlainTextChar">
    <w:name w:val="Plain Text Char"/>
    <w:basedOn w:val="DefaultParagraphFont"/>
    <w:semiHidden/>
    <w:rsid w:val="00482ADC"/>
    <w:rPr>
      <w:rFonts w:ascii="Consolas" w:hAnsi="Consolas"/>
      <w:sz w:val="21"/>
      <w:szCs w:val="21"/>
      <w:lang w:val="en-US" w:eastAsia="en-US"/>
    </w:rPr>
  </w:style>
  <w:style w:type="character" w:customStyle="1" w:styleId="PlainTextChar1">
    <w:name w:val="Plain Text Char1"/>
    <w:basedOn w:val="DefaultParagraphFont"/>
    <w:link w:val="PlainText"/>
    <w:uiPriority w:val="99"/>
    <w:locked/>
    <w:rsid w:val="00482ADC"/>
    <w:rPr>
      <w:rFonts w:ascii="Consolas" w:hAnsi="Consolas"/>
    </w:rPr>
  </w:style>
  <w:style w:type="character" w:styleId="UnresolvedMention">
    <w:name w:val="Unresolved Mention"/>
    <w:basedOn w:val="DefaultParagraphFont"/>
    <w:rsid w:val="001959F1"/>
    <w:rPr>
      <w:color w:val="605E5C"/>
      <w:shd w:val="clear" w:color="auto" w:fill="E1DFDD"/>
    </w:rPr>
  </w:style>
  <w:style w:type="paragraph" w:customStyle="1" w:styleId="Pa171">
    <w:name w:val="Pa17_1"/>
    <w:basedOn w:val="Default"/>
    <w:next w:val="Default"/>
    <w:uiPriority w:val="99"/>
    <w:rsid w:val="00233740"/>
    <w:pPr>
      <w:spacing w:line="131" w:lineRule="atLeast"/>
    </w:pPr>
    <w:rPr>
      <w:rFonts w:ascii="InterstateCondensed Light" w:eastAsia="Times New Roman" w:hAnsi="InterstateCondensed Light"/>
      <w:color w:val="auto"/>
      <w:lang w:val="en-US" w:eastAsia="en-GB"/>
    </w:rPr>
  </w:style>
  <w:style w:type="character" w:customStyle="1" w:styleId="A6">
    <w:name w:val="A6"/>
    <w:uiPriority w:val="99"/>
    <w:rsid w:val="00F212C5"/>
    <w:rPr>
      <w:rFonts w:cs="InterstateCondensed Light"/>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79289125">
      <w:bodyDiv w:val="1"/>
      <w:marLeft w:val="0"/>
      <w:marRight w:val="0"/>
      <w:marTop w:val="0"/>
      <w:marBottom w:val="0"/>
      <w:divBdr>
        <w:top w:val="none" w:sz="0" w:space="0" w:color="auto"/>
        <w:left w:val="none" w:sz="0" w:space="0" w:color="auto"/>
        <w:bottom w:val="none" w:sz="0" w:space="0" w:color="auto"/>
        <w:right w:val="none" w:sz="0" w:space="0" w:color="auto"/>
      </w:divBdr>
      <w:divsChild>
        <w:div w:id="314336370">
          <w:marLeft w:val="360"/>
          <w:marRight w:val="0"/>
          <w:marTop w:val="200"/>
          <w:marBottom w:val="0"/>
          <w:divBdr>
            <w:top w:val="none" w:sz="0" w:space="0" w:color="auto"/>
            <w:left w:val="none" w:sz="0" w:space="0" w:color="auto"/>
            <w:bottom w:val="none" w:sz="0" w:space="0" w:color="auto"/>
            <w:right w:val="none" w:sz="0" w:space="0" w:color="auto"/>
          </w:divBdr>
        </w:div>
        <w:div w:id="871040501">
          <w:marLeft w:val="360"/>
          <w:marRight w:val="0"/>
          <w:marTop w:val="200"/>
          <w:marBottom w:val="0"/>
          <w:divBdr>
            <w:top w:val="none" w:sz="0" w:space="0" w:color="auto"/>
            <w:left w:val="none" w:sz="0" w:space="0" w:color="auto"/>
            <w:bottom w:val="none" w:sz="0" w:space="0" w:color="auto"/>
            <w:right w:val="none" w:sz="0" w:space="0" w:color="auto"/>
          </w:divBdr>
        </w:div>
        <w:div w:id="965353782">
          <w:marLeft w:val="360"/>
          <w:marRight w:val="0"/>
          <w:marTop w:val="200"/>
          <w:marBottom w:val="0"/>
          <w:divBdr>
            <w:top w:val="none" w:sz="0" w:space="0" w:color="auto"/>
            <w:left w:val="none" w:sz="0" w:space="0" w:color="auto"/>
            <w:bottom w:val="none" w:sz="0" w:space="0" w:color="auto"/>
            <w:right w:val="none" w:sz="0" w:space="0" w:color="auto"/>
          </w:divBdr>
        </w:div>
        <w:div w:id="987787036">
          <w:marLeft w:val="360"/>
          <w:marRight w:val="0"/>
          <w:marTop w:val="200"/>
          <w:marBottom w:val="0"/>
          <w:divBdr>
            <w:top w:val="none" w:sz="0" w:space="0" w:color="auto"/>
            <w:left w:val="none" w:sz="0" w:space="0" w:color="auto"/>
            <w:bottom w:val="none" w:sz="0" w:space="0" w:color="auto"/>
            <w:right w:val="none" w:sz="0" w:space="0" w:color="auto"/>
          </w:divBdr>
        </w:div>
        <w:div w:id="1063605993">
          <w:marLeft w:val="360"/>
          <w:marRight w:val="0"/>
          <w:marTop w:val="200"/>
          <w:marBottom w:val="0"/>
          <w:divBdr>
            <w:top w:val="none" w:sz="0" w:space="0" w:color="auto"/>
            <w:left w:val="none" w:sz="0" w:space="0" w:color="auto"/>
            <w:bottom w:val="none" w:sz="0" w:space="0" w:color="auto"/>
            <w:right w:val="none" w:sz="0" w:space="0" w:color="auto"/>
          </w:divBdr>
        </w:div>
        <w:div w:id="1607691939">
          <w:marLeft w:val="360"/>
          <w:marRight w:val="0"/>
          <w:marTop w:val="200"/>
          <w:marBottom w:val="0"/>
          <w:divBdr>
            <w:top w:val="none" w:sz="0" w:space="0" w:color="auto"/>
            <w:left w:val="none" w:sz="0" w:space="0" w:color="auto"/>
            <w:bottom w:val="none" w:sz="0" w:space="0" w:color="auto"/>
            <w:right w:val="none" w:sz="0" w:space="0" w:color="auto"/>
          </w:divBdr>
        </w:div>
      </w:divsChild>
    </w:div>
    <w:div w:id="747115228">
      <w:bodyDiv w:val="1"/>
      <w:marLeft w:val="0"/>
      <w:marRight w:val="0"/>
      <w:marTop w:val="0"/>
      <w:marBottom w:val="0"/>
      <w:divBdr>
        <w:top w:val="none" w:sz="0" w:space="0" w:color="auto"/>
        <w:left w:val="none" w:sz="0" w:space="0" w:color="auto"/>
        <w:bottom w:val="none" w:sz="0" w:space="0" w:color="auto"/>
        <w:right w:val="none" w:sz="0" w:space="0" w:color="auto"/>
      </w:divBdr>
    </w:div>
    <w:div w:id="1121800119">
      <w:bodyDiv w:val="1"/>
      <w:marLeft w:val="0"/>
      <w:marRight w:val="0"/>
      <w:marTop w:val="0"/>
      <w:marBottom w:val="0"/>
      <w:divBdr>
        <w:top w:val="none" w:sz="0" w:space="0" w:color="auto"/>
        <w:left w:val="none" w:sz="0" w:space="0" w:color="auto"/>
        <w:bottom w:val="none" w:sz="0" w:space="0" w:color="auto"/>
        <w:right w:val="none" w:sz="0" w:space="0" w:color="auto"/>
      </w:divBdr>
      <w:divsChild>
        <w:div w:id="281614981">
          <w:marLeft w:val="360"/>
          <w:marRight w:val="0"/>
          <w:marTop w:val="200"/>
          <w:marBottom w:val="0"/>
          <w:divBdr>
            <w:top w:val="none" w:sz="0" w:space="0" w:color="auto"/>
            <w:left w:val="none" w:sz="0" w:space="0" w:color="auto"/>
            <w:bottom w:val="none" w:sz="0" w:space="0" w:color="auto"/>
            <w:right w:val="none" w:sz="0" w:space="0" w:color="auto"/>
          </w:divBdr>
        </w:div>
        <w:div w:id="428547993">
          <w:marLeft w:val="360"/>
          <w:marRight w:val="0"/>
          <w:marTop w:val="200"/>
          <w:marBottom w:val="0"/>
          <w:divBdr>
            <w:top w:val="none" w:sz="0" w:space="0" w:color="auto"/>
            <w:left w:val="none" w:sz="0" w:space="0" w:color="auto"/>
            <w:bottom w:val="none" w:sz="0" w:space="0" w:color="auto"/>
            <w:right w:val="none" w:sz="0" w:space="0" w:color="auto"/>
          </w:divBdr>
        </w:div>
        <w:div w:id="913665082">
          <w:marLeft w:val="360"/>
          <w:marRight w:val="0"/>
          <w:marTop w:val="200"/>
          <w:marBottom w:val="0"/>
          <w:divBdr>
            <w:top w:val="none" w:sz="0" w:space="0" w:color="auto"/>
            <w:left w:val="none" w:sz="0" w:space="0" w:color="auto"/>
            <w:bottom w:val="none" w:sz="0" w:space="0" w:color="auto"/>
            <w:right w:val="none" w:sz="0" w:space="0" w:color="auto"/>
          </w:divBdr>
        </w:div>
        <w:div w:id="937099928">
          <w:marLeft w:val="360"/>
          <w:marRight w:val="0"/>
          <w:marTop w:val="200"/>
          <w:marBottom w:val="0"/>
          <w:divBdr>
            <w:top w:val="none" w:sz="0" w:space="0" w:color="auto"/>
            <w:left w:val="none" w:sz="0" w:space="0" w:color="auto"/>
            <w:bottom w:val="none" w:sz="0" w:space="0" w:color="auto"/>
            <w:right w:val="none" w:sz="0" w:space="0" w:color="auto"/>
          </w:divBdr>
        </w:div>
        <w:div w:id="1109934821">
          <w:marLeft w:val="360"/>
          <w:marRight w:val="0"/>
          <w:marTop w:val="200"/>
          <w:marBottom w:val="0"/>
          <w:divBdr>
            <w:top w:val="none" w:sz="0" w:space="0" w:color="auto"/>
            <w:left w:val="none" w:sz="0" w:space="0" w:color="auto"/>
            <w:bottom w:val="none" w:sz="0" w:space="0" w:color="auto"/>
            <w:right w:val="none" w:sz="0" w:space="0" w:color="auto"/>
          </w:divBdr>
        </w:div>
        <w:div w:id="1627466774">
          <w:marLeft w:val="360"/>
          <w:marRight w:val="0"/>
          <w:marTop w:val="20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fdb.org/en/countries/east-africa/eritrea/eritrea-economic-outlook" TargetMode="External"/><Relationship Id="rId7" Type="http://schemas.openxmlformats.org/officeDocument/2006/relationships/hyperlink" Target="https://dashboards.sdgindex.org/profiles/ERI" TargetMode="External"/><Relationship Id="rId2" Type="http://schemas.openxmlformats.org/officeDocument/2006/relationships/hyperlink" Target="https://www.macrotrends.net/countries/ERI/eritrea/economic-growth-rate" TargetMode="External"/><Relationship Id="rId1" Type="http://schemas.openxmlformats.org/officeDocument/2006/relationships/hyperlink" Target="https://tradingeconomics.com/eritrea/gdp-growth-annual" TargetMode="External"/><Relationship Id="rId6" Type="http://schemas.openxmlformats.org/officeDocument/2006/relationships/hyperlink" Target="https://dashboards.sdgindex.org/profiles/ERI" TargetMode="External"/><Relationship Id="rId5" Type="http://schemas.openxmlformats.org/officeDocument/2006/relationships/hyperlink" Target="https://unsdg.un.org/resources/un-framework-immediate-socio-economic-response-covid-19" TargetMode="External"/><Relationship Id="rId4" Type="http://schemas.openxmlformats.org/officeDocument/2006/relationships/hyperlink" Target="http://hdr.undp.org/sites/default/files/hdr2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FILEVERSION xmlns="8264c5cc-ec60-4b56-8111-ce635d3d139a">1536</UNDP_POPP_FILEVERSION>
    <UNDP_POPP_REFITEM_VERSION xmlns="8264c5cc-ec60-4b56-8111-ce635d3d139a">1</UNDP_POPP_REFITEM_VERSION>
    <UNDP_POPP_DOCUMENT_TEMPLATE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_dlc_DocId xmlns="8264c5cc-ec60-4b56-8111-ce635d3d139a">POPP-11-2717</_dlc_DocId>
    <_dlc_DocIdUrl xmlns="8264c5cc-ec60-4b56-8111-ce635d3d139a">
      <Url>https://popp.undp.org/_layouts/15/DocIdRedir.aspx?ID=POPP-11-2717</Url>
      <Description>POPP-11-2717</Description>
    </_dlc_DocIdUrl>
    <DLCPolicyLabelValue xmlns="e560140e-7b2f-4392-90df-e7567e3021a3">Effective Date: {Effective Date}                                                Version #: 1.0</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6DE5B44-F1C5-4464-8635-45CED0FE8519}">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64B47271-9FC6-47BF-8D16-E3AA5A7E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52F0F65-3DB3-7A48-9ABC-64A76274F053}">
  <ds:schemaRefs>
    <ds:schemaRef ds:uri="http://schemas.openxmlformats.org/officeDocument/2006/bibliography"/>
  </ds:schemaRefs>
</ds:datastoreItem>
</file>

<file path=customXml/itemProps6.xml><?xml version="1.0" encoding="utf-8"?>
<ds:datastoreItem xmlns:ds="http://schemas.openxmlformats.org/officeDocument/2006/customXml" ds:itemID="{AD890A5E-47ED-4E33-B519-FE814602FA4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5449</Words>
  <Characters>33551</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38923</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6</cp:revision>
  <cp:lastPrinted>2014-09-16T19:01:00Z</cp:lastPrinted>
  <dcterms:created xsi:type="dcterms:W3CDTF">2021-06-02T17:25:00Z</dcterms:created>
  <dcterms:modified xsi:type="dcterms:W3CDTF">2021-06-02T17:36:00Z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