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5D2F" w14:textId="77777777" w:rsidR="00C4334F" w:rsidRPr="00E01BBE" w:rsidRDefault="00C4334F" w:rsidP="00C4334F">
      <w:pPr>
        <w:tabs>
          <w:tab w:val="left" w:pos="8789"/>
        </w:tabs>
        <w:spacing w:before="60"/>
        <w:ind w:right="288"/>
        <w:rPr>
          <w:b/>
          <w:color w:val="000000"/>
        </w:rPr>
      </w:pPr>
      <w:r>
        <w:rPr>
          <w:b/>
          <w:color w:val="000000"/>
        </w:rPr>
        <w:t>Second</w:t>
      </w:r>
      <w:r w:rsidRPr="00E01BBE">
        <w:rPr>
          <w:b/>
          <w:color w:val="000000"/>
        </w:rPr>
        <w:t xml:space="preserve"> regular session 2022</w:t>
      </w:r>
    </w:p>
    <w:p w14:paraId="508496AF" w14:textId="12320DAF" w:rsidR="00C4334F" w:rsidRPr="00E01BBE" w:rsidRDefault="00A876D7" w:rsidP="00C433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 xml:space="preserve">29 August – 1 </w:t>
      </w:r>
      <w:r w:rsidR="00C4334F">
        <w:rPr>
          <w:color w:val="000000"/>
        </w:rPr>
        <w:t xml:space="preserve">September </w:t>
      </w:r>
      <w:r w:rsidR="00C4334F" w:rsidRPr="00E01BBE">
        <w:rPr>
          <w:color w:val="000000"/>
        </w:rPr>
        <w:t>2022, New York</w:t>
      </w:r>
    </w:p>
    <w:p w14:paraId="0995A3C6" w14:textId="6C815F1C" w:rsidR="00C4334F" w:rsidRPr="00E01BBE" w:rsidRDefault="00C4334F" w:rsidP="00C433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E01BBE">
        <w:rPr>
          <w:color w:val="000000"/>
        </w:rPr>
        <w:t xml:space="preserve">Item </w:t>
      </w:r>
      <w:r w:rsidR="00A876D7">
        <w:rPr>
          <w:color w:val="000000"/>
        </w:rPr>
        <w:t>3</w:t>
      </w:r>
      <w:r w:rsidRPr="00E01BBE">
        <w:rPr>
          <w:color w:val="000000"/>
        </w:rPr>
        <w:t xml:space="preserve"> of the provisional agenda</w:t>
      </w:r>
    </w:p>
    <w:p w14:paraId="4CB8A17F" w14:textId="77777777" w:rsidR="00C4334F" w:rsidRPr="00E01BBE" w:rsidRDefault="00C4334F" w:rsidP="00C4334F">
      <w:pPr>
        <w:ind w:right="1260"/>
        <w:rPr>
          <w:b/>
          <w:color w:val="000000"/>
        </w:rPr>
      </w:pPr>
      <w:r w:rsidRPr="00E01BBE">
        <w:rPr>
          <w:b/>
          <w:color w:val="000000"/>
        </w:rPr>
        <w:t>Country programmes and related matters</w:t>
      </w:r>
    </w:p>
    <w:p w14:paraId="62185250" w14:textId="77777777" w:rsidR="00C4334F" w:rsidRPr="00E01BBE" w:rsidRDefault="00C4334F" w:rsidP="00C4334F">
      <w:pPr>
        <w:jc w:val="both"/>
        <w:rPr>
          <w:b/>
        </w:rPr>
      </w:pPr>
    </w:p>
    <w:p w14:paraId="5A1AA459" w14:textId="77777777" w:rsidR="00C4334F" w:rsidRPr="00E01BBE" w:rsidRDefault="00C4334F" w:rsidP="00C4334F">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4B1FC9A4" w14:textId="3B30A833" w:rsidR="00C4334F" w:rsidRDefault="00C4334F" w:rsidP="00C4334F">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eastAsia="fr-FR"/>
        </w:rPr>
      </w:pPr>
      <w:r w:rsidRPr="00E01BBE">
        <w:rPr>
          <w:b/>
          <w:sz w:val="28"/>
          <w:szCs w:val="28"/>
        </w:rPr>
        <w:t xml:space="preserve">Draft country programme document for </w:t>
      </w:r>
      <w:r>
        <w:rPr>
          <w:b/>
          <w:sz w:val="28"/>
          <w:szCs w:val="28"/>
        </w:rPr>
        <w:t>Montenegro</w:t>
      </w:r>
      <w:r w:rsidRPr="00E01BBE">
        <w:rPr>
          <w:b/>
          <w:sz w:val="28"/>
          <w:szCs w:val="28"/>
        </w:rPr>
        <w:t xml:space="preserve"> (202</w:t>
      </w:r>
      <w:r>
        <w:rPr>
          <w:b/>
          <w:sz w:val="28"/>
          <w:szCs w:val="28"/>
        </w:rPr>
        <w:t>3</w:t>
      </w:r>
      <w:r w:rsidRPr="00E01BBE">
        <w:rPr>
          <w:b/>
          <w:sz w:val="28"/>
          <w:szCs w:val="28"/>
        </w:rPr>
        <w:t>-202</w:t>
      </w:r>
      <w:r>
        <w:rPr>
          <w:b/>
          <w:sz w:val="28"/>
          <w:szCs w:val="28"/>
        </w:rPr>
        <w:t>7</w:t>
      </w:r>
      <w:r w:rsidRPr="00E01BBE">
        <w:rPr>
          <w:b/>
          <w:sz w:val="28"/>
          <w:szCs w:val="28"/>
        </w:rPr>
        <w:t>)</w:t>
      </w:r>
      <w:r w:rsidRPr="00E01BBE">
        <w:rPr>
          <w:b/>
          <w:sz w:val="28"/>
          <w:szCs w:val="28"/>
        </w:rPr>
        <w:br/>
      </w:r>
    </w:p>
    <w:p w14:paraId="1D877438" w14:textId="77777777" w:rsidR="00C4334F" w:rsidRPr="007C36D9" w:rsidRDefault="00C4334F" w:rsidP="00C4334F">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7C36D9">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C4334F" w:rsidRPr="007C36D9" w14:paraId="64E8D5C7" w14:textId="77777777" w:rsidTr="00256D08">
        <w:tc>
          <w:tcPr>
            <w:tcW w:w="1260" w:type="dxa"/>
            <w:shd w:val="clear" w:color="auto" w:fill="auto"/>
          </w:tcPr>
          <w:p w14:paraId="70824170" w14:textId="77777777" w:rsidR="00C4334F" w:rsidRPr="007C36D9" w:rsidRDefault="00C4334F" w:rsidP="00256D08">
            <w:pPr>
              <w:tabs>
                <w:tab w:val="left" w:pos="1620"/>
              </w:tabs>
              <w:suppressAutoHyphens/>
              <w:spacing w:after="120"/>
              <w:jc w:val="right"/>
              <w:rPr>
                <w:i/>
                <w:color w:val="000000"/>
                <w:spacing w:val="4"/>
                <w:w w:val="103"/>
                <w:kern w:val="14"/>
                <w:sz w:val="14"/>
                <w:lang w:eastAsia="fr-FR"/>
              </w:rPr>
            </w:pPr>
            <w:r w:rsidRPr="007C36D9">
              <w:rPr>
                <w:i/>
                <w:color w:val="000000"/>
                <w:spacing w:val="4"/>
                <w:w w:val="103"/>
                <w:kern w:val="14"/>
                <w:sz w:val="14"/>
                <w:lang w:eastAsia="fr-FR"/>
              </w:rPr>
              <w:t>Chapter</w:t>
            </w:r>
          </w:p>
        </w:tc>
        <w:tc>
          <w:tcPr>
            <w:tcW w:w="8280" w:type="dxa"/>
            <w:gridSpan w:val="2"/>
            <w:shd w:val="clear" w:color="auto" w:fill="auto"/>
          </w:tcPr>
          <w:p w14:paraId="50154F43" w14:textId="77777777" w:rsidR="00C4334F" w:rsidRPr="007C36D9" w:rsidRDefault="00C4334F" w:rsidP="00256D08">
            <w:pPr>
              <w:tabs>
                <w:tab w:val="left" w:pos="1620"/>
              </w:tabs>
              <w:suppressAutoHyphens/>
              <w:spacing w:after="120"/>
              <w:rPr>
                <w:i/>
                <w:color w:val="000000"/>
                <w:spacing w:val="4"/>
                <w:w w:val="103"/>
                <w:kern w:val="14"/>
                <w:sz w:val="14"/>
                <w:lang w:eastAsia="fr-FR"/>
              </w:rPr>
            </w:pPr>
          </w:p>
        </w:tc>
        <w:tc>
          <w:tcPr>
            <w:tcW w:w="362" w:type="dxa"/>
            <w:shd w:val="clear" w:color="auto" w:fill="auto"/>
          </w:tcPr>
          <w:p w14:paraId="5C8E94A1" w14:textId="77777777" w:rsidR="00C4334F" w:rsidRPr="007C36D9" w:rsidRDefault="00C4334F" w:rsidP="00256D08">
            <w:pPr>
              <w:tabs>
                <w:tab w:val="left" w:pos="1620"/>
              </w:tabs>
              <w:suppressAutoHyphens/>
              <w:spacing w:after="120"/>
              <w:jc w:val="right"/>
              <w:rPr>
                <w:i/>
                <w:color w:val="000000"/>
                <w:spacing w:val="4"/>
                <w:w w:val="103"/>
                <w:kern w:val="14"/>
                <w:sz w:val="14"/>
                <w:lang w:eastAsia="fr-FR"/>
              </w:rPr>
            </w:pPr>
            <w:r w:rsidRPr="007C36D9">
              <w:rPr>
                <w:i/>
                <w:iCs/>
                <w:color w:val="000000"/>
                <w:kern w:val="14"/>
                <w:sz w:val="14"/>
                <w:lang w:eastAsia="fr-FR"/>
              </w:rPr>
              <w:t>Page</w:t>
            </w:r>
          </w:p>
        </w:tc>
      </w:tr>
      <w:tr w:rsidR="00C4334F" w:rsidRPr="007C36D9" w14:paraId="1612CFC6" w14:textId="77777777" w:rsidTr="00256D08">
        <w:tc>
          <w:tcPr>
            <w:tcW w:w="9540" w:type="dxa"/>
            <w:gridSpan w:val="3"/>
            <w:shd w:val="clear" w:color="auto" w:fill="auto"/>
          </w:tcPr>
          <w:p w14:paraId="535E25B5" w14:textId="77777777" w:rsidR="00C4334F" w:rsidRPr="007C36D9" w:rsidRDefault="00C4334F" w:rsidP="00C4334F">
            <w:pPr>
              <w:numPr>
                <w:ilvl w:val="0"/>
                <w:numId w:val="23"/>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UNDP within the </w:t>
            </w:r>
            <w:bookmarkStart w:id="0" w:name="_Hlk102471570"/>
            <w:r w:rsidRPr="007C36D9">
              <w:rPr>
                <w:color w:val="000000"/>
                <w:kern w:val="14"/>
                <w:lang w:eastAsia="fr-FR"/>
              </w:rPr>
              <w:t>United Nations Sustainable Development Cooperation Framework</w:t>
            </w:r>
            <w:bookmarkEnd w:id="0"/>
            <w:r w:rsidRPr="007C36D9">
              <w:rPr>
                <w:color w:val="000000"/>
                <w:sz w:val="24"/>
                <w:szCs w:val="24"/>
                <w:lang w:eastAsia="fr-FR"/>
              </w:rPr>
              <w:tab/>
            </w:r>
          </w:p>
        </w:tc>
        <w:tc>
          <w:tcPr>
            <w:tcW w:w="362" w:type="dxa"/>
            <w:vMerge w:val="restart"/>
            <w:shd w:val="clear" w:color="auto" w:fill="auto"/>
            <w:vAlign w:val="bottom"/>
          </w:tcPr>
          <w:p w14:paraId="5DD9789A" w14:textId="77777777" w:rsidR="00C4334F" w:rsidRPr="007C36D9" w:rsidRDefault="00C4334F" w:rsidP="00256D08">
            <w:pPr>
              <w:tabs>
                <w:tab w:val="left" w:pos="1620"/>
              </w:tabs>
              <w:suppressAutoHyphens/>
              <w:spacing w:after="120" w:line="240" w:lineRule="exact"/>
              <w:jc w:val="right"/>
              <w:rPr>
                <w:color w:val="000000"/>
                <w:spacing w:val="4"/>
                <w:w w:val="103"/>
                <w:kern w:val="14"/>
                <w:lang w:eastAsia="fr-FR"/>
              </w:rPr>
            </w:pPr>
            <w:r w:rsidRPr="007C36D9">
              <w:rPr>
                <w:color w:val="000000"/>
                <w:kern w:val="14"/>
                <w:lang w:eastAsia="fr-FR"/>
              </w:rPr>
              <w:t>2</w:t>
            </w:r>
          </w:p>
          <w:p w14:paraId="7AF4A2B4" w14:textId="77777777" w:rsidR="00C4334F" w:rsidRPr="007C36D9" w:rsidRDefault="00C4334F" w:rsidP="00256D08">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4</w:t>
            </w:r>
          </w:p>
        </w:tc>
      </w:tr>
      <w:tr w:rsidR="00C4334F" w:rsidRPr="007C36D9" w14:paraId="57EE233A" w14:textId="77777777" w:rsidTr="00256D08">
        <w:tc>
          <w:tcPr>
            <w:tcW w:w="9540" w:type="dxa"/>
            <w:gridSpan w:val="3"/>
            <w:shd w:val="clear" w:color="auto" w:fill="auto"/>
          </w:tcPr>
          <w:p w14:paraId="6AB9A67C" w14:textId="77777777" w:rsidR="00C4334F" w:rsidRPr="007C36D9" w:rsidRDefault="00C4334F" w:rsidP="00C4334F">
            <w:pPr>
              <w:numPr>
                <w:ilvl w:val="0"/>
                <w:numId w:val="2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Programme priorities and partnerships</w:t>
            </w:r>
            <w:r w:rsidRPr="007C36D9">
              <w:rPr>
                <w:color w:val="000000"/>
                <w:lang w:eastAsia="fr-FR"/>
              </w:rPr>
              <w:t>………………………………………………….</w:t>
            </w:r>
            <w:r w:rsidRPr="007C36D9">
              <w:rPr>
                <w:color w:val="000000"/>
                <w:lang w:eastAsia="fr-FR"/>
              </w:rPr>
              <w:tab/>
              <w:t>……….…</w:t>
            </w:r>
          </w:p>
        </w:tc>
        <w:tc>
          <w:tcPr>
            <w:tcW w:w="362" w:type="dxa"/>
            <w:vMerge/>
            <w:shd w:val="clear" w:color="auto" w:fill="auto"/>
            <w:vAlign w:val="bottom"/>
          </w:tcPr>
          <w:p w14:paraId="6F34CECB" w14:textId="77777777" w:rsidR="00C4334F" w:rsidRPr="007C36D9" w:rsidRDefault="00C4334F" w:rsidP="00256D08">
            <w:pPr>
              <w:tabs>
                <w:tab w:val="left" w:pos="1620"/>
              </w:tabs>
              <w:suppressAutoHyphens/>
              <w:spacing w:after="120" w:line="240" w:lineRule="exact"/>
              <w:jc w:val="right"/>
              <w:rPr>
                <w:color w:val="000000"/>
                <w:spacing w:val="4"/>
                <w:w w:val="103"/>
                <w:kern w:val="14"/>
                <w:lang w:eastAsia="fr-FR"/>
              </w:rPr>
            </w:pPr>
          </w:p>
        </w:tc>
      </w:tr>
      <w:tr w:rsidR="00C4334F" w:rsidRPr="007C36D9" w14:paraId="2BF44E00" w14:textId="77777777" w:rsidTr="00256D08">
        <w:tc>
          <w:tcPr>
            <w:tcW w:w="9540" w:type="dxa"/>
            <w:gridSpan w:val="3"/>
            <w:shd w:val="clear" w:color="auto" w:fill="auto"/>
          </w:tcPr>
          <w:p w14:paraId="65CA4E0C" w14:textId="77777777" w:rsidR="00C4334F" w:rsidRPr="007C36D9" w:rsidRDefault="00C4334F" w:rsidP="00C4334F">
            <w:pPr>
              <w:numPr>
                <w:ilvl w:val="0"/>
                <w:numId w:val="23"/>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7C36D9">
              <w:rPr>
                <w:color w:val="000000"/>
                <w:kern w:val="14"/>
                <w:lang w:eastAsia="fr-FR"/>
              </w:rPr>
              <w:tab/>
              <w:t xml:space="preserve">Programme and risk management </w:t>
            </w:r>
            <w:r w:rsidRPr="007C36D9">
              <w:rPr>
                <w:color w:val="000000"/>
                <w:lang w:eastAsia="fr-FR"/>
              </w:rPr>
              <w:t>……………………………………………….…………………</w:t>
            </w:r>
          </w:p>
        </w:tc>
        <w:tc>
          <w:tcPr>
            <w:tcW w:w="362" w:type="dxa"/>
            <w:vMerge w:val="restart"/>
            <w:shd w:val="clear" w:color="auto" w:fill="auto"/>
            <w:vAlign w:val="bottom"/>
          </w:tcPr>
          <w:p w14:paraId="1D21045E" w14:textId="44642812" w:rsidR="00C4334F" w:rsidRPr="007C36D9" w:rsidRDefault="005A0445" w:rsidP="00256D08">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p w14:paraId="16B1541B" w14:textId="6C748CFC" w:rsidR="00C4334F" w:rsidRPr="007C36D9" w:rsidRDefault="00FD5779" w:rsidP="00256D08">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tc>
      </w:tr>
      <w:tr w:rsidR="00C4334F" w:rsidRPr="007C36D9" w14:paraId="3F4F6106" w14:textId="77777777" w:rsidTr="00256D08">
        <w:tc>
          <w:tcPr>
            <w:tcW w:w="9540" w:type="dxa"/>
            <w:gridSpan w:val="3"/>
            <w:shd w:val="clear" w:color="auto" w:fill="auto"/>
          </w:tcPr>
          <w:p w14:paraId="566126B2" w14:textId="7EAB5643" w:rsidR="00C4334F" w:rsidRPr="007C36D9" w:rsidRDefault="00C4334F" w:rsidP="00C4334F">
            <w:pPr>
              <w:numPr>
                <w:ilvl w:val="0"/>
                <w:numId w:val="2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7C36D9">
              <w:rPr>
                <w:color w:val="000000"/>
                <w:kern w:val="14"/>
                <w:lang w:eastAsia="fr-FR"/>
              </w:rPr>
              <w:tab/>
              <w:t>Monitoring and evaluation</w:t>
            </w:r>
            <w:r w:rsidRPr="007C36D9">
              <w:rPr>
                <w:color w:val="000000"/>
                <w:sz w:val="24"/>
                <w:szCs w:val="24"/>
                <w:lang w:eastAsia="fr-FR"/>
              </w:rPr>
              <w:tab/>
            </w:r>
            <w:r w:rsidRPr="007C36D9">
              <w:rPr>
                <w:color w:val="000000"/>
                <w:lang w:eastAsia="fr-FR"/>
              </w:rPr>
              <w:t>…………………………………………………….……………………</w:t>
            </w:r>
          </w:p>
        </w:tc>
        <w:tc>
          <w:tcPr>
            <w:tcW w:w="362" w:type="dxa"/>
            <w:vMerge/>
            <w:shd w:val="clear" w:color="auto" w:fill="auto"/>
            <w:vAlign w:val="bottom"/>
          </w:tcPr>
          <w:p w14:paraId="68166C8E" w14:textId="77777777" w:rsidR="00C4334F" w:rsidRPr="007C36D9" w:rsidRDefault="00C4334F" w:rsidP="00256D08">
            <w:pPr>
              <w:tabs>
                <w:tab w:val="left" w:pos="1620"/>
              </w:tabs>
              <w:suppressAutoHyphens/>
              <w:spacing w:after="120" w:line="240" w:lineRule="exact"/>
              <w:jc w:val="right"/>
              <w:rPr>
                <w:color w:val="000000"/>
                <w:spacing w:val="4"/>
                <w:w w:val="103"/>
                <w:kern w:val="14"/>
                <w:lang w:eastAsia="fr-FR"/>
              </w:rPr>
            </w:pPr>
          </w:p>
        </w:tc>
      </w:tr>
      <w:tr w:rsidR="00C4334F" w:rsidRPr="007C36D9" w14:paraId="4EDD4076" w14:textId="77777777" w:rsidTr="00256D08">
        <w:tc>
          <w:tcPr>
            <w:tcW w:w="9369" w:type="dxa"/>
            <w:gridSpan w:val="2"/>
            <w:shd w:val="clear" w:color="auto" w:fill="auto"/>
          </w:tcPr>
          <w:p w14:paraId="6349EA0F" w14:textId="77777777" w:rsidR="00C4334F" w:rsidRPr="007C36D9" w:rsidRDefault="00C4334F" w:rsidP="00256D08">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7C36D9">
              <w:rPr>
                <w:color w:val="000000"/>
                <w:kern w:val="14"/>
                <w:lang w:eastAsia="fr-FR"/>
              </w:rPr>
              <w:t>Annex</w:t>
            </w:r>
          </w:p>
        </w:tc>
        <w:tc>
          <w:tcPr>
            <w:tcW w:w="533" w:type="dxa"/>
            <w:gridSpan w:val="2"/>
            <w:shd w:val="clear" w:color="auto" w:fill="auto"/>
            <w:vAlign w:val="bottom"/>
          </w:tcPr>
          <w:p w14:paraId="25A53B36" w14:textId="77777777" w:rsidR="00C4334F" w:rsidRPr="007C36D9" w:rsidRDefault="00C4334F" w:rsidP="00256D08">
            <w:pPr>
              <w:tabs>
                <w:tab w:val="left" w:pos="1620"/>
              </w:tabs>
              <w:suppressAutoHyphens/>
              <w:spacing w:after="120" w:line="240" w:lineRule="exact"/>
              <w:jc w:val="right"/>
              <w:rPr>
                <w:color w:val="000000"/>
                <w:spacing w:val="4"/>
                <w:w w:val="103"/>
                <w:kern w:val="14"/>
                <w:lang w:eastAsia="fr-FR"/>
              </w:rPr>
            </w:pPr>
          </w:p>
        </w:tc>
      </w:tr>
      <w:tr w:rsidR="00C4334F" w:rsidRPr="007C36D9" w14:paraId="5000BF4E" w14:textId="77777777" w:rsidTr="00256D08">
        <w:tc>
          <w:tcPr>
            <w:tcW w:w="9369" w:type="dxa"/>
            <w:gridSpan w:val="2"/>
            <w:shd w:val="clear" w:color="auto" w:fill="auto"/>
          </w:tcPr>
          <w:p w14:paraId="18FED167" w14:textId="204C375C" w:rsidR="00C4334F" w:rsidRPr="007C36D9" w:rsidRDefault="00C4334F" w:rsidP="00256D08">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eastAsia="fr-FR"/>
              </w:rPr>
            </w:pPr>
            <w:r w:rsidRPr="007C36D9">
              <w:rPr>
                <w:color w:val="000000"/>
                <w:kern w:val="14"/>
                <w:lang w:eastAsia="fr-FR"/>
              </w:rPr>
              <w:t xml:space="preserve">Results and resources framework for </w:t>
            </w:r>
            <w:r>
              <w:rPr>
                <w:color w:val="000000"/>
                <w:kern w:val="14"/>
                <w:lang w:eastAsia="fr-FR"/>
              </w:rPr>
              <w:t>Montenegro</w:t>
            </w:r>
            <w:r w:rsidRPr="007C36D9">
              <w:rPr>
                <w:color w:val="000000"/>
                <w:kern w:val="14"/>
                <w:lang w:eastAsia="fr-FR"/>
              </w:rPr>
              <w:t xml:space="preserve"> (202</w:t>
            </w:r>
            <w:r>
              <w:rPr>
                <w:color w:val="000000"/>
                <w:kern w:val="14"/>
                <w:lang w:eastAsia="fr-FR"/>
              </w:rPr>
              <w:t>3</w:t>
            </w:r>
            <w:r w:rsidRPr="007C36D9">
              <w:rPr>
                <w:color w:val="000000"/>
                <w:kern w:val="14"/>
                <w:lang w:eastAsia="fr-FR"/>
              </w:rPr>
              <w:t>-2027)</w:t>
            </w:r>
            <w:r w:rsidRPr="007C36D9">
              <w:rPr>
                <w:color w:val="000000"/>
                <w:sz w:val="24"/>
                <w:szCs w:val="24"/>
                <w:lang w:eastAsia="fr-FR"/>
              </w:rPr>
              <w:tab/>
            </w:r>
          </w:p>
        </w:tc>
        <w:tc>
          <w:tcPr>
            <w:tcW w:w="533" w:type="dxa"/>
            <w:gridSpan w:val="2"/>
            <w:shd w:val="clear" w:color="auto" w:fill="auto"/>
            <w:vAlign w:val="bottom"/>
          </w:tcPr>
          <w:p w14:paraId="02B40A6E" w14:textId="77777777" w:rsidR="00C4334F" w:rsidRPr="007C36D9" w:rsidRDefault="00C4334F" w:rsidP="00256D08">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10</w:t>
            </w:r>
          </w:p>
        </w:tc>
      </w:tr>
    </w:tbl>
    <w:p w14:paraId="2440D3A4" w14:textId="6A995EDD" w:rsidR="00785474" w:rsidRPr="000E4C4E" w:rsidRDefault="00785474" w:rsidP="00D9153B">
      <w:pPr>
        <w:rPr>
          <w:b/>
        </w:rPr>
        <w:sectPr w:rsidR="00785474" w:rsidRPr="000E4C4E" w:rsidSect="005A5CEA">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8" w:footer="1032" w:gutter="0"/>
          <w:pgNumType w:start="1"/>
          <w:cols w:space="720"/>
          <w:titlePg/>
        </w:sectPr>
      </w:pPr>
    </w:p>
    <w:p w14:paraId="00AE14CD" w14:textId="77777777" w:rsidR="00C966C7" w:rsidRPr="000E4C4E" w:rsidRDefault="00C966C7" w:rsidP="00C966C7">
      <w:bookmarkStart w:id="1" w:name="_Hlk97377236"/>
    </w:p>
    <w:p w14:paraId="78282A1D" w14:textId="385EB19F" w:rsidR="00C966C7" w:rsidRPr="000E4AA2" w:rsidRDefault="00C966C7" w:rsidP="000E4AA2">
      <w:pPr>
        <w:pStyle w:val="ListParagraph"/>
        <w:numPr>
          <w:ilvl w:val="0"/>
          <w:numId w:val="24"/>
        </w:numPr>
        <w:ind w:left="1080" w:right="1210" w:hanging="270"/>
        <w:jc w:val="both"/>
        <w:rPr>
          <w:b/>
          <w:bCs/>
          <w:sz w:val="24"/>
          <w:szCs w:val="24"/>
        </w:rPr>
      </w:pPr>
      <w:r w:rsidRPr="000E4AA2">
        <w:rPr>
          <w:b/>
          <w:bCs/>
          <w:sz w:val="24"/>
          <w:szCs w:val="24"/>
        </w:rPr>
        <w:t>UNDP</w:t>
      </w:r>
      <w:r w:rsidR="00202132" w:rsidRPr="000E4AA2">
        <w:rPr>
          <w:b/>
          <w:bCs/>
          <w:sz w:val="24"/>
          <w:szCs w:val="24"/>
        </w:rPr>
        <w:t xml:space="preserve"> within the </w:t>
      </w:r>
      <w:r w:rsidR="000E4AA2" w:rsidRPr="000E4AA2">
        <w:rPr>
          <w:b/>
          <w:bCs/>
          <w:sz w:val="24"/>
          <w:szCs w:val="24"/>
        </w:rPr>
        <w:t>United Nations Sustainable Development Cooperation Framework</w:t>
      </w:r>
    </w:p>
    <w:p w14:paraId="65D4C8BE" w14:textId="2A565376" w:rsidR="00C966C7" w:rsidRPr="000E4C4E" w:rsidRDefault="00C966C7" w:rsidP="007B373F">
      <w:pPr>
        <w:ind w:left="1080" w:right="1210"/>
        <w:jc w:val="both"/>
      </w:pPr>
    </w:p>
    <w:p w14:paraId="2F25FFEC" w14:textId="4CCE4894" w:rsidR="00C966C7" w:rsidRDefault="00C966C7" w:rsidP="000E4AA2">
      <w:pPr>
        <w:pStyle w:val="ListParagraph"/>
        <w:numPr>
          <w:ilvl w:val="0"/>
          <w:numId w:val="2"/>
        </w:numPr>
        <w:ind w:right="1210" w:firstLine="0"/>
        <w:contextualSpacing/>
        <w:jc w:val="both"/>
      </w:pPr>
      <w:r w:rsidRPr="000E4C4E">
        <w:t>Montenegro is an upper</w:t>
      </w:r>
      <w:r w:rsidR="003401DB">
        <w:t>-</w:t>
      </w:r>
      <w:r w:rsidRPr="000E4C4E">
        <w:t xml:space="preserve">middle-income country </w:t>
      </w:r>
      <w:r w:rsidR="003401DB">
        <w:t xml:space="preserve">seeking to join </w:t>
      </w:r>
      <w:r w:rsidRPr="000E4C4E">
        <w:t>the European Union</w:t>
      </w:r>
      <w:r w:rsidR="00F22408">
        <w:t xml:space="preserve"> (EU)</w:t>
      </w:r>
      <w:r w:rsidR="003401DB">
        <w:t xml:space="preserve">. </w:t>
      </w:r>
      <w:r w:rsidR="004B5190">
        <w:t>T</w:t>
      </w:r>
      <w:r w:rsidR="003401DB">
        <w:t>he</w:t>
      </w:r>
      <w:r w:rsidRPr="000E4C4E">
        <w:t xml:space="preserve"> accession process </w:t>
      </w:r>
      <w:r w:rsidR="003401DB">
        <w:t>is</w:t>
      </w:r>
      <w:r w:rsidR="003401DB" w:rsidRPr="000E4C4E">
        <w:t xml:space="preserve"> </w:t>
      </w:r>
      <w:r w:rsidRPr="000E4C4E">
        <w:t xml:space="preserve">the key driver of its development and </w:t>
      </w:r>
      <w:r w:rsidR="003401DB">
        <w:t xml:space="preserve">serves as an </w:t>
      </w:r>
      <w:r w:rsidRPr="000E4C4E">
        <w:t xml:space="preserve">accelerator of </w:t>
      </w:r>
      <w:r w:rsidR="00227C6A">
        <w:t xml:space="preserve">the </w:t>
      </w:r>
      <w:r w:rsidRPr="000E4C4E">
        <w:t>Sustainable Development Goals</w:t>
      </w:r>
      <w:r w:rsidR="00DF6270">
        <w:t xml:space="preserve"> (the Goals)</w:t>
      </w:r>
      <w:r w:rsidRPr="000E4C4E">
        <w:t xml:space="preserve">. </w:t>
      </w:r>
      <w:r w:rsidR="003401DB">
        <w:t>The</w:t>
      </w:r>
      <w:r w:rsidRPr="000E4C4E">
        <w:t xml:space="preserve"> country </w:t>
      </w:r>
      <w:r w:rsidR="003401DB">
        <w:t>has</w:t>
      </w:r>
      <w:r w:rsidRPr="000E4C4E">
        <w:t xml:space="preserve"> 620,000 inhabitants, with a Human Development Index value of 0.829 </w:t>
      </w:r>
      <w:r w:rsidR="00981AC8" w:rsidRPr="000E4C4E">
        <w:t xml:space="preserve">in </w:t>
      </w:r>
      <w:r w:rsidRPr="000E4C4E">
        <w:t>2019</w:t>
      </w:r>
      <w:r w:rsidR="003401DB">
        <w:t>,</w:t>
      </w:r>
      <w:r w:rsidRPr="000E4C4E">
        <w:t xml:space="preserve"> put</w:t>
      </w:r>
      <w:r w:rsidR="003401DB">
        <w:t xml:space="preserve">ting it </w:t>
      </w:r>
      <w:r w:rsidRPr="000E4C4E">
        <w:t>in the very high human development category.</w:t>
      </w:r>
      <w:r w:rsidRPr="000E4C4E">
        <w:rPr>
          <w:rStyle w:val="FootnoteReference"/>
        </w:rPr>
        <w:footnoteReference w:id="2"/>
      </w:r>
      <w:r w:rsidRPr="000E4C4E">
        <w:t xml:space="preserve"> </w:t>
      </w:r>
    </w:p>
    <w:p w14:paraId="5CC787FF" w14:textId="77777777" w:rsidR="000E4AA2" w:rsidRPr="000E4AA2" w:rsidRDefault="000E4AA2" w:rsidP="000E4AA2">
      <w:pPr>
        <w:pStyle w:val="ListParagraph"/>
        <w:ind w:left="1080" w:right="1210"/>
        <w:contextualSpacing/>
        <w:jc w:val="both"/>
        <w:rPr>
          <w:sz w:val="12"/>
          <w:szCs w:val="12"/>
        </w:rPr>
      </w:pPr>
    </w:p>
    <w:p w14:paraId="745108F2" w14:textId="7AD86E9F" w:rsidR="00C966C7" w:rsidRPr="000E4AA2" w:rsidRDefault="00C966C7" w:rsidP="000E4AA2">
      <w:pPr>
        <w:pStyle w:val="ListParagraph"/>
        <w:numPr>
          <w:ilvl w:val="0"/>
          <w:numId w:val="2"/>
        </w:numPr>
        <w:ind w:right="1210" w:firstLine="0"/>
        <w:contextualSpacing/>
        <w:jc w:val="both"/>
        <w:rPr>
          <w:rFonts w:eastAsiaTheme="minorEastAsia"/>
          <w:lang w:val="en-ZA"/>
        </w:rPr>
      </w:pPr>
      <w:r w:rsidRPr="000E4C4E">
        <w:t xml:space="preserve">Over the last decade, Montenegro has enjoyed strong economic growth due to increased investments, consumption and expansion of </w:t>
      </w:r>
      <w:r w:rsidR="003401DB">
        <w:t xml:space="preserve">its tourism sector, which depends on </w:t>
      </w:r>
      <w:r w:rsidRPr="000E4C4E">
        <w:t>natural resources. While poverty levels have steadily declined</w:t>
      </w:r>
      <w:r w:rsidR="003401DB">
        <w:t>,</w:t>
      </w:r>
      <w:r w:rsidRPr="000E4C4E">
        <w:t xml:space="preserve"> to 14.5 per cent in 2019</w:t>
      </w:r>
      <w:r w:rsidR="003401DB">
        <w:t>,</w:t>
      </w:r>
      <w:r w:rsidR="00386CAF" w:rsidRPr="000E4C4E">
        <w:rPr>
          <w:rStyle w:val="FootnoteReference"/>
        </w:rPr>
        <w:footnoteReference w:id="3"/>
      </w:r>
      <w:r w:rsidR="00245588" w:rsidRPr="000E4C4E">
        <w:t xml:space="preserve"> </w:t>
      </w:r>
      <w:r w:rsidR="00477102" w:rsidRPr="000E4C4E">
        <w:t>the recent global rise in food and commodity prices</w:t>
      </w:r>
      <w:r w:rsidRPr="000E4C4E">
        <w:t xml:space="preserve"> </w:t>
      </w:r>
      <w:r w:rsidR="004E0410" w:rsidRPr="000E4C4E">
        <w:t xml:space="preserve">and </w:t>
      </w:r>
      <w:r w:rsidRPr="000E4C4E">
        <w:t>the COVID-19 crisis ha</w:t>
      </w:r>
      <w:r w:rsidR="003401DB">
        <w:t>ve</w:t>
      </w:r>
      <w:r w:rsidRPr="000E4C4E">
        <w:t xml:space="preserve"> exposed structural vulnerabilities in the economy</w:t>
      </w:r>
      <w:r w:rsidR="003401DB">
        <w:t>. P</w:t>
      </w:r>
      <w:r w:rsidRPr="000E4C4E">
        <w:t xml:space="preserve">overty </w:t>
      </w:r>
      <w:r w:rsidR="003401DB">
        <w:t xml:space="preserve">has </w:t>
      </w:r>
      <w:r w:rsidRPr="000E4C4E">
        <w:t>increas</w:t>
      </w:r>
      <w:r w:rsidR="003401DB">
        <w:t>ed</w:t>
      </w:r>
      <w:r w:rsidRPr="000E4C4E">
        <w:t xml:space="preserve"> during </w:t>
      </w:r>
      <w:r w:rsidR="004E0410" w:rsidRPr="000E4C4E">
        <w:t>the</w:t>
      </w:r>
      <w:r w:rsidR="00477102" w:rsidRPr="000E4C4E">
        <w:t xml:space="preserve"> past two years</w:t>
      </w:r>
      <w:r w:rsidR="004E0410" w:rsidRPr="000E4C4E">
        <w:t xml:space="preserve"> </w:t>
      </w:r>
      <w:r w:rsidRPr="000E4C4E">
        <w:t xml:space="preserve">and </w:t>
      </w:r>
      <w:r w:rsidR="003401DB">
        <w:t xml:space="preserve">is </w:t>
      </w:r>
      <w:r w:rsidRPr="000E4C4E">
        <w:t xml:space="preserve">not expected to </w:t>
      </w:r>
      <w:r w:rsidR="003401DB">
        <w:t>fall</w:t>
      </w:r>
      <w:r w:rsidR="003401DB" w:rsidRPr="000E4C4E">
        <w:t xml:space="preserve"> </w:t>
      </w:r>
      <w:r w:rsidRPr="000E4C4E">
        <w:t>to pre-COVID</w:t>
      </w:r>
      <w:r w:rsidR="005C215C" w:rsidRPr="000E4C4E">
        <w:t>-19</w:t>
      </w:r>
      <w:r w:rsidRPr="000E4C4E">
        <w:t xml:space="preserve"> levels until after 2023. UNDP estimates the</w:t>
      </w:r>
      <w:r w:rsidR="00245588" w:rsidRPr="000E4C4E">
        <w:t xml:space="preserve"> COVID-19</w:t>
      </w:r>
      <w:r w:rsidR="00BB6DDE" w:rsidRPr="000E4C4E">
        <w:t xml:space="preserve"> </w:t>
      </w:r>
      <w:r w:rsidRPr="000E4C4E">
        <w:t>crisis has erased six years of human development progress</w:t>
      </w:r>
      <w:r w:rsidRPr="000E4C4E">
        <w:rPr>
          <w:rStyle w:val="FootnoteReference"/>
        </w:rPr>
        <w:footnoteReference w:id="4"/>
      </w:r>
      <w:bookmarkStart w:id="2" w:name="_Hlk93508781"/>
      <w:r w:rsidRPr="000E4C4E">
        <w:t xml:space="preserve"> and expanded the number of vulnerable people</w:t>
      </w:r>
      <w:r w:rsidR="003401DB">
        <w:t>. T</w:t>
      </w:r>
      <w:r w:rsidR="00981AC8" w:rsidRPr="000E4C4E">
        <w:t>he</w:t>
      </w:r>
      <w:r w:rsidR="003401DB">
        <w:t>se</w:t>
      </w:r>
      <w:r w:rsidR="00981AC8" w:rsidRPr="000E4C4E">
        <w:t xml:space="preserve"> </w:t>
      </w:r>
      <w:r w:rsidR="003401DB">
        <w:t>‘</w:t>
      </w:r>
      <w:r w:rsidRPr="000E4C4E">
        <w:t>new poor</w:t>
      </w:r>
      <w:r w:rsidR="003401DB">
        <w:t>’</w:t>
      </w:r>
      <w:r w:rsidRPr="000E4C4E">
        <w:t xml:space="preserve"> rely on the informal sector for employment and/or are not covered by social protection mechanisms.</w:t>
      </w:r>
    </w:p>
    <w:p w14:paraId="40F69A7A" w14:textId="77777777" w:rsidR="000E4AA2" w:rsidRPr="000E4AA2" w:rsidRDefault="000E4AA2" w:rsidP="000E4AA2">
      <w:pPr>
        <w:pStyle w:val="ListParagraph"/>
        <w:rPr>
          <w:rFonts w:eastAsiaTheme="minorEastAsia"/>
          <w:sz w:val="12"/>
          <w:szCs w:val="12"/>
          <w:lang w:val="en-ZA"/>
        </w:rPr>
      </w:pPr>
    </w:p>
    <w:p w14:paraId="7232FEAD" w14:textId="2B1243C1" w:rsidR="00363FBA" w:rsidRDefault="00C966C7" w:rsidP="000E4AA2">
      <w:pPr>
        <w:pStyle w:val="ListParagraph"/>
        <w:numPr>
          <w:ilvl w:val="0"/>
          <w:numId w:val="2"/>
        </w:numPr>
        <w:ind w:right="1210" w:firstLine="0"/>
        <w:contextualSpacing/>
        <w:jc w:val="both"/>
        <w:rPr>
          <w:rFonts w:eastAsiaTheme="minorEastAsia"/>
          <w:lang w:val="en-ZA"/>
        </w:rPr>
      </w:pPr>
      <w:r w:rsidRPr="000E4C4E">
        <w:rPr>
          <w:rFonts w:eastAsiaTheme="minorEastAsia"/>
          <w:lang w:val="en-ZA"/>
        </w:rPr>
        <w:t>The crisis has also intensified economic and social exclusion. Increasing incidents of hate speech</w:t>
      </w:r>
      <w:r w:rsidR="003401DB">
        <w:rPr>
          <w:rFonts w:eastAsiaTheme="minorEastAsia"/>
          <w:lang w:val="en-ZA"/>
        </w:rPr>
        <w:t>,</w:t>
      </w:r>
      <w:r w:rsidRPr="000E4C4E">
        <w:rPr>
          <w:rFonts w:eastAsiaTheme="minorEastAsia"/>
          <w:lang w:val="en-ZA"/>
        </w:rPr>
        <w:t xml:space="preserve"> misogyny </w:t>
      </w:r>
      <w:r w:rsidR="003401DB">
        <w:rPr>
          <w:rFonts w:eastAsiaTheme="minorEastAsia"/>
          <w:lang w:val="en-ZA"/>
        </w:rPr>
        <w:t xml:space="preserve">and homophobia </w:t>
      </w:r>
      <w:r w:rsidRPr="000E4C4E">
        <w:rPr>
          <w:rFonts w:eastAsiaTheme="minorEastAsia"/>
          <w:lang w:val="en-ZA"/>
        </w:rPr>
        <w:t xml:space="preserve">in public discourse pose a threat to social cohesion. </w:t>
      </w:r>
      <w:r w:rsidR="00F84B7B" w:rsidRPr="000E4C4E">
        <w:rPr>
          <w:rFonts w:eastAsiaTheme="minorEastAsia"/>
          <w:lang w:val="en-ZA"/>
        </w:rPr>
        <w:t xml:space="preserve">Women </w:t>
      </w:r>
      <w:r w:rsidR="002D7373">
        <w:rPr>
          <w:rFonts w:eastAsiaTheme="minorEastAsia"/>
          <w:lang w:val="en-ZA"/>
        </w:rPr>
        <w:t>suffer from</w:t>
      </w:r>
      <w:r w:rsidRPr="000E4C4E">
        <w:rPr>
          <w:rFonts w:eastAsiaTheme="minorEastAsia"/>
          <w:lang w:val="en-ZA"/>
        </w:rPr>
        <w:t xml:space="preserve"> patriarchal social norms </w:t>
      </w:r>
      <w:r w:rsidR="002D7373">
        <w:rPr>
          <w:rFonts w:eastAsiaTheme="minorEastAsia"/>
          <w:lang w:val="en-ZA"/>
        </w:rPr>
        <w:t xml:space="preserve">and gender-based violence, and they </w:t>
      </w:r>
      <w:r w:rsidRPr="000E4C4E">
        <w:rPr>
          <w:rFonts w:eastAsiaTheme="minorEastAsia"/>
          <w:lang w:val="en-ZA"/>
        </w:rPr>
        <w:t xml:space="preserve">are more likely to be employed in </w:t>
      </w:r>
      <w:r w:rsidR="00363FBA">
        <w:rPr>
          <w:rFonts w:eastAsiaTheme="minorEastAsia"/>
          <w:lang w:val="en-ZA"/>
        </w:rPr>
        <w:t xml:space="preserve">the </w:t>
      </w:r>
      <w:r w:rsidRPr="000E4C4E">
        <w:rPr>
          <w:rFonts w:eastAsiaTheme="minorEastAsia"/>
          <w:lang w:val="en-ZA"/>
        </w:rPr>
        <w:t>low-wage and informal sectors affected by the crisis</w:t>
      </w:r>
      <w:r w:rsidR="002D7373">
        <w:rPr>
          <w:rFonts w:eastAsiaTheme="minorEastAsia"/>
          <w:lang w:val="en-ZA"/>
        </w:rPr>
        <w:t xml:space="preserve">. Their opportunities to earn income are limited by their responsibilities for unpaid domestic work. </w:t>
      </w:r>
      <w:r w:rsidRPr="000E4C4E">
        <w:rPr>
          <w:rFonts w:eastAsiaTheme="minorEastAsia"/>
          <w:lang w:val="en-ZA"/>
        </w:rPr>
        <w:t>The Gender Equality Index stands at a value of 55</w:t>
      </w:r>
      <w:r w:rsidR="00363FBA">
        <w:rPr>
          <w:rFonts w:eastAsiaTheme="minorEastAsia"/>
          <w:lang w:val="en-ZA"/>
        </w:rPr>
        <w:t>,</w:t>
      </w:r>
      <w:r w:rsidRPr="000E4C4E">
        <w:rPr>
          <w:rFonts w:eastAsiaTheme="minorEastAsia"/>
          <w:lang w:val="en-ZA"/>
        </w:rPr>
        <w:t xml:space="preserve"> below the EU average of 67.4.</w:t>
      </w:r>
      <w:r w:rsidRPr="000E4C4E">
        <w:rPr>
          <w:rStyle w:val="FootnoteReference"/>
          <w:rFonts w:eastAsiaTheme="minorEastAsia"/>
          <w:lang w:val="en-ZA"/>
        </w:rPr>
        <w:footnoteReference w:id="5"/>
      </w:r>
      <w:r w:rsidRPr="000E4C4E">
        <w:rPr>
          <w:rFonts w:eastAsiaTheme="minorEastAsia"/>
          <w:lang w:val="en-ZA"/>
        </w:rPr>
        <w:t xml:space="preserve"> </w:t>
      </w:r>
    </w:p>
    <w:p w14:paraId="29611EF9" w14:textId="77777777" w:rsidR="00363FBA" w:rsidRPr="00A876D7" w:rsidRDefault="00363FBA" w:rsidP="00F4188C">
      <w:pPr>
        <w:pStyle w:val="ListParagraph"/>
        <w:rPr>
          <w:rFonts w:eastAsiaTheme="minorEastAsia"/>
          <w:sz w:val="12"/>
          <w:szCs w:val="12"/>
          <w:lang w:val="en-ZA"/>
        </w:rPr>
      </w:pPr>
    </w:p>
    <w:p w14:paraId="6973F9C8" w14:textId="2F2BDF39" w:rsidR="00C966C7" w:rsidRPr="000E4AA2" w:rsidRDefault="00363FBA" w:rsidP="000E4AA2">
      <w:pPr>
        <w:pStyle w:val="ListParagraph"/>
        <w:numPr>
          <w:ilvl w:val="0"/>
          <w:numId w:val="2"/>
        </w:numPr>
        <w:ind w:right="1210" w:firstLine="0"/>
        <w:contextualSpacing/>
        <w:jc w:val="both"/>
        <w:rPr>
          <w:rFonts w:eastAsiaTheme="minorEastAsia"/>
          <w:lang w:val="en-ZA"/>
        </w:rPr>
      </w:pPr>
      <w:r>
        <w:rPr>
          <w:rFonts w:eastAsiaTheme="minorEastAsia"/>
          <w:lang w:val="en-ZA"/>
        </w:rPr>
        <w:t>The</w:t>
      </w:r>
      <w:r w:rsidR="00C966C7" w:rsidRPr="000E4C4E">
        <w:rPr>
          <w:rFonts w:eastAsiaTheme="minorEastAsia"/>
          <w:lang w:val="en-ZA"/>
        </w:rPr>
        <w:t xml:space="preserve"> economic potential</w:t>
      </w:r>
      <w:r>
        <w:rPr>
          <w:rFonts w:eastAsiaTheme="minorEastAsia"/>
          <w:lang w:val="en-ZA"/>
        </w:rPr>
        <w:t xml:space="preserve"> of youth is significant</w:t>
      </w:r>
      <w:r w:rsidR="00C966C7" w:rsidRPr="000E4C4E">
        <w:rPr>
          <w:rFonts w:eastAsiaTheme="minorEastAsia"/>
          <w:lang w:val="en-ZA"/>
        </w:rPr>
        <w:t>,</w:t>
      </w:r>
      <w:r>
        <w:rPr>
          <w:rFonts w:eastAsiaTheme="minorEastAsia"/>
          <w:lang w:val="en-ZA"/>
        </w:rPr>
        <w:t xml:space="preserve"> but they are</w:t>
      </w:r>
      <w:r w:rsidR="00C966C7" w:rsidRPr="000E4C4E">
        <w:rPr>
          <w:rFonts w:eastAsiaTheme="minorEastAsia"/>
          <w:lang w:val="en-ZA"/>
        </w:rPr>
        <w:t xml:space="preserve"> under-employed</w:t>
      </w:r>
      <w:r w:rsidR="00C966C7" w:rsidRPr="000E4C4E">
        <w:rPr>
          <w:rStyle w:val="FootnoteReference"/>
          <w:rFonts w:eastAsiaTheme="minorEastAsia"/>
          <w:lang w:val="en-ZA"/>
        </w:rPr>
        <w:footnoteReference w:id="6"/>
      </w:r>
      <w:r w:rsidR="00C966C7" w:rsidRPr="000E4C4E">
        <w:rPr>
          <w:rFonts w:eastAsiaTheme="minorEastAsia"/>
          <w:lang w:val="en-ZA"/>
        </w:rPr>
        <w:t xml:space="preserve"> and </w:t>
      </w:r>
      <w:r>
        <w:rPr>
          <w:rFonts w:eastAsiaTheme="minorEastAsia"/>
          <w:lang w:val="en-ZA"/>
        </w:rPr>
        <w:t>have</w:t>
      </w:r>
      <w:r w:rsidRPr="000E4C4E">
        <w:rPr>
          <w:rFonts w:eastAsiaTheme="minorEastAsia"/>
          <w:lang w:val="en-ZA"/>
        </w:rPr>
        <w:t xml:space="preserve"> </w:t>
      </w:r>
      <w:r w:rsidR="00C966C7" w:rsidRPr="000E4C4E">
        <w:rPr>
          <w:rFonts w:eastAsiaTheme="minorEastAsia"/>
          <w:lang w:val="en-ZA"/>
        </w:rPr>
        <w:t>limited civic engagement.</w:t>
      </w:r>
      <w:r w:rsidR="00C966C7" w:rsidRPr="000E4C4E">
        <w:rPr>
          <w:rStyle w:val="FootnoteReference"/>
          <w:rFonts w:eastAsiaTheme="minorEastAsia"/>
          <w:lang w:val="en-ZA"/>
        </w:rPr>
        <w:footnoteReference w:id="7"/>
      </w:r>
      <w:r w:rsidR="00C966C7" w:rsidRPr="000E4C4E">
        <w:rPr>
          <w:rFonts w:eastAsiaTheme="minorEastAsia"/>
          <w:lang w:val="en-ZA"/>
        </w:rPr>
        <w:t xml:space="preserve">  </w:t>
      </w:r>
      <w:r w:rsidR="00C966C7" w:rsidRPr="000E4C4E">
        <w:t>The Roma and Egyptian minorit</w:t>
      </w:r>
      <w:r>
        <w:t>ies</w:t>
      </w:r>
      <w:r w:rsidR="00C966C7" w:rsidRPr="000E4C4E">
        <w:t xml:space="preserve"> and </w:t>
      </w:r>
      <w:r w:rsidR="00227C6A">
        <w:t>people</w:t>
      </w:r>
      <w:r w:rsidR="00227C6A" w:rsidRPr="000E4C4E">
        <w:t xml:space="preserve"> </w:t>
      </w:r>
      <w:r w:rsidR="00C966C7" w:rsidRPr="000E4C4E">
        <w:t xml:space="preserve">with disabilities </w:t>
      </w:r>
      <w:r w:rsidR="00D64114">
        <w:t>are at risk of</w:t>
      </w:r>
      <w:r w:rsidR="00D64114" w:rsidRPr="000E4C4E">
        <w:t xml:space="preserve"> </w:t>
      </w:r>
      <w:r w:rsidR="00C966C7" w:rsidRPr="000E4C4E">
        <w:t>exclusion from education and services, as well as material deprivation resulting from their low participation in formal employment</w:t>
      </w:r>
      <w:r>
        <w:t>. This has been</w:t>
      </w:r>
      <w:r w:rsidR="00C966C7" w:rsidRPr="000E4C4E">
        <w:t xml:space="preserve"> further exacerbated by the economic downturn</w:t>
      </w:r>
      <w:r w:rsidR="00134EB2" w:rsidRPr="000E4C4E">
        <w:t xml:space="preserve"> and COVID-19</w:t>
      </w:r>
      <w:r w:rsidR="00C966C7" w:rsidRPr="000E4C4E">
        <w:t xml:space="preserve">. </w:t>
      </w:r>
      <w:r>
        <w:t>People</w:t>
      </w:r>
      <w:r w:rsidRPr="000E4C4E">
        <w:t xml:space="preserve"> </w:t>
      </w:r>
      <w:r w:rsidR="00C966C7" w:rsidRPr="000E4C4E">
        <w:t xml:space="preserve">with disabilities and elderly </w:t>
      </w:r>
      <w:r>
        <w:t>people endure</w:t>
      </w:r>
      <w:r w:rsidRPr="000E4C4E">
        <w:t xml:space="preserve"> </w:t>
      </w:r>
      <w:r w:rsidR="00C966C7" w:rsidRPr="000E4C4E">
        <w:t>additional hardships and exclusion owing to</w:t>
      </w:r>
      <w:r w:rsidR="004D7520">
        <w:t xml:space="preserve"> insufficient servicing and inadequate social assistance targeting. </w:t>
      </w:r>
      <w:r w:rsidR="00227C6A">
        <w:t xml:space="preserve"> </w:t>
      </w:r>
      <w:r>
        <w:t xml:space="preserve"> G</w:t>
      </w:r>
      <w:r w:rsidR="00C966C7" w:rsidRPr="000E4C4E">
        <w:t>irls and women with disabilities continue to be at higher risk of gender-based violence</w:t>
      </w:r>
      <w:r w:rsidR="00134EB2" w:rsidRPr="000E4C4E">
        <w:t xml:space="preserve"> and discrimination</w:t>
      </w:r>
      <w:r w:rsidR="00C966C7" w:rsidRPr="000E4C4E">
        <w:t>.</w:t>
      </w:r>
    </w:p>
    <w:p w14:paraId="6579A310" w14:textId="77777777" w:rsidR="000E4AA2" w:rsidRPr="000E4AA2" w:rsidRDefault="000E4AA2" w:rsidP="000E4AA2">
      <w:pPr>
        <w:pStyle w:val="ListParagraph"/>
        <w:ind w:left="1080" w:right="1210"/>
        <w:contextualSpacing/>
        <w:jc w:val="both"/>
        <w:rPr>
          <w:rFonts w:eastAsiaTheme="minorEastAsia"/>
          <w:sz w:val="12"/>
          <w:szCs w:val="12"/>
          <w:lang w:val="en-ZA"/>
        </w:rPr>
      </w:pPr>
    </w:p>
    <w:bookmarkEnd w:id="2"/>
    <w:p w14:paraId="305D0A1F" w14:textId="7BB3B1C7" w:rsidR="001A1EA3" w:rsidRDefault="00363FBA" w:rsidP="000E4AA2">
      <w:pPr>
        <w:pStyle w:val="ListParagraph"/>
        <w:numPr>
          <w:ilvl w:val="0"/>
          <w:numId w:val="2"/>
        </w:numPr>
        <w:ind w:right="1210" w:firstLine="0"/>
        <w:contextualSpacing/>
        <w:jc w:val="both"/>
      </w:pPr>
      <w:r>
        <w:t>T</w:t>
      </w:r>
      <w:r w:rsidR="00C966C7" w:rsidRPr="000E4C4E">
        <w:t>he economy experienced double-digit growth in 2021</w:t>
      </w:r>
      <w:r>
        <w:t>,</w:t>
      </w:r>
      <w:r w:rsidR="00C966C7" w:rsidRPr="000E4C4E">
        <w:t xml:space="preserve"> and future growth prospects appear positive</w:t>
      </w:r>
      <w:r>
        <w:t>.</w:t>
      </w:r>
      <w:r w:rsidR="00C966C7" w:rsidRPr="000E4C4E">
        <w:rPr>
          <w:rStyle w:val="FootnoteReference"/>
        </w:rPr>
        <w:footnoteReference w:id="8"/>
      </w:r>
      <w:r>
        <w:t xml:space="preserve"> However, g</w:t>
      </w:r>
      <w:r w:rsidR="00C966C7" w:rsidRPr="000E4C4E">
        <w:t xml:space="preserve">overnment priorities reflect the need to </w:t>
      </w:r>
      <w:r w:rsidR="00C966C7" w:rsidRPr="008E1204">
        <w:t>improve competitiveness, regional connectivity</w:t>
      </w:r>
      <w:r w:rsidR="001A1EA3">
        <w:t xml:space="preserve"> and a</w:t>
      </w:r>
      <w:r w:rsidR="00C966C7" w:rsidRPr="008E1204">
        <w:t xml:space="preserve"> green economy, </w:t>
      </w:r>
      <w:r w:rsidR="001A1EA3">
        <w:t>with the goal of</w:t>
      </w:r>
      <w:r w:rsidR="00C966C7" w:rsidRPr="008E1204">
        <w:t xml:space="preserve"> </w:t>
      </w:r>
      <w:r w:rsidR="00F22408">
        <w:t>‘</w:t>
      </w:r>
      <w:r w:rsidR="00C966C7" w:rsidRPr="008E1204">
        <w:t>smart</w:t>
      </w:r>
      <w:r w:rsidR="00F22408">
        <w:t>’</w:t>
      </w:r>
      <w:r w:rsidR="00C966C7" w:rsidRPr="008E1204">
        <w:t>, sustainable and inclusive growth that will contribute to the quality of life of all citizens</w:t>
      </w:r>
      <w:r w:rsidR="00C966C7" w:rsidRPr="00363FBA">
        <w:t>.</w:t>
      </w:r>
      <w:r w:rsidR="00C966C7" w:rsidRPr="000E4C4E">
        <w:rPr>
          <w:rStyle w:val="FootnoteReference"/>
        </w:rPr>
        <w:footnoteReference w:id="9"/>
      </w:r>
      <w:r w:rsidR="001A1EA3">
        <w:rPr>
          <w:vertAlign w:val="superscript"/>
        </w:rPr>
        <w:t>,</w:t>
      </w:r>
      <w:r w:rsidR="00C966C7" w:rsidRPr="000E4C4E">
        <w:rPr>
          <w:rStyle w:val="FootnoteReference"/>
        </w:rPr>
        <w:footnoteReference w:id="10"/>
      </w:r>
      <w:r w:rsidR="00C966C7" w:rsidRPr="000E4C4E">
        <w:t xml:space="preserve"> </w:t>
      </w:r>
    </w:p>
    <w:p w14:paraId="7C5A02D4" w14:textId="77777777" w:rsidR="001A1EA3" w:rsidRPr="00A876D7" w:rsidRDefault="001A1EA3" w:rsidP="00F22408">
      <w:pPr>
        <w:pStyle w:val="ListParagraph"/>
        <w:rPr>
          <w:sz w:val="12"/>
          <w:szCs w:val="12"/>
        </w:rPr>
      </w:pPr>
    </w:p>
    <w:p w14:paraId="670ECD99" w14:textId="5196E6F3" w:rsidR="00326336" w:rsidRDefault="00C966C7" w:rsidP="00643173">
      <w:pPr>
        <w:pStyle w:val="ListParagraph"/>
        <w:numPr>
          <w:ilvl w:val="0"/>
          <w:numId w:val="2"/>
        </w:numPr>
        <w:ind w:right="1210" w:firstLine="0"/>
        <w:jc w:val="both"/>
      </w:pPr>
      <w:r w:rsidRPr="000E4C4E">
        <w:t xml:space="preserve">The country has made </w:t>
      </w:r>
      <w:r w:rsidR="001A1EA3">
        <w:t>a</w:t>
      </w:r>
      <w:r w:rsidRPr="000E4C4E">
        <w:t xml:space="preserve"> strong commitment to improve environmental management, </w:t>
      </w:r>
      <w:r w:rsidR="001A1EA3">
        <w:t>improve</w:t>
      </w:r>
      <w:r w:rsidR="001A1EA3" w:rsidRPr="000E4C4E">
        <w:t xml:space="preserve"> </w:t>
      </w:r>
      <w:r w:rsidRPr="000E4C4E">
        <w:t>resilience and adaptation, and reduc</w:t>
      </w:r>
      <w:r w:rsidR="001A1EA3">
        <w:t>e g</w:t>
      </w:r>
      <w:r w:rsidRPr="000E4C4E">
        <w:t xml:space="preserve">reenhouse </w:t>
      </w:r>
      <w:r w:rsidR="001A1EA3">
        <w:t>g</w:t>
      </w:r>
      <w:r w:rsidRPr="000E4C4E">
        <w:t xml:space="preserve">as emissions by </w:t>
      </w:r>
      <w:r w:rsidR="001A1EA3">
        <w:t>at lea</w:t>
      </w:r>
      <w:r w:rsidR="00D67601">
        <w:t>s</w:t>
      </w:r>
      <w:r w:rsidR="001A1EA3">
        <w:t>t</w:t>
      </w:r>
      <w:r w:rsidR="001A1EA3" w:rsidRPr="000E4C4E">
        <w:t xml:space="preserve"> </w:t>
      </w:r>
      <w:r w:rsidRPr="000E4C4E">
        <w:t xml:space="preserve">35 per cent by 2030, thus bringing it closer to the </w:t>
      </w:r>
      <w:r w:rsidR="001A1EA3">
        <w:t>E</w:t>
      </w:r>
      <w:r w:rsidR="00F22408">
        <w:t>U</w:t>
      </w:r>
      <w:r w:rsidR="001A1EA3" w:rsidRPr="000E4C4E">
        <w:t xml:space="preserve"> </w:t>
      </w:r>
      <w:r w:rsidRPr="000E4C4E">
        <w:t xml:space="preserve">level.  </w:t>
      </w:r>
      <w:r w:rsidR="001A1EA3">
        <w:t>P</w:t>
      </w:r>
      <w:r w:rsidRPr="000E4C4E">
        <w:t xml:space="preserve">rogress in these areas will need to be paired with structural economic transformation </w:t>
      </w:r>
      <w:r w:rsidR="001A1EA3">
        <w:t>to</w:t>
      </w:r>
      <w:r w:rsidRPr="000E4C4E">
        <w:t xml:space="preserve"> </w:t>
      </w:r>
      <w:r w:rsidR="001A1EA3">
        <w:t>put</w:t>
      </w:r>
      <w:r w:rsidRPr="000E4C4E">
        <w:t xml:space="preserve"> the country on a more resilient growth path with sustainable public finance</w:t>
      </w:r>
      <w:r w:rsidR="001A1EA3">
        <w:t>. This will</w:t>
      </w:r>
      <w:r w:rsidRPr="000E4C4E">
        <w:t xml:space="preserve"> allow Montenegro to invest</w:t>
      </w:r>
      <w:r w:rsidR="001A1EA3">
        <w:t xml:space="preserve"> further</w:t>
      </w:r>
      <w:r w:rsidRPr="000E4C4E">
        <w:t xml:space="preserve"> in human development and address persistent inequalities and social vulnerabilities. </w:t>
      </w:r>
      <w:r w:rsidR="00D67601">
        <w:t>I</w:t>
      </w:r>
      <w:r w:rsidR="00D67601" w:rsidRPr="000E4C4E">
        <w:t xml:space="preserve">mportant drivers of social cohesion </w:t>
      </w:r>
      <w:r w:rsidR="00D67601">
        <w:t>will be i</w:t>
      </w:r>
      <w:r w:rsidRPr="000E4C4E">
        <w:t xml:space="preserve">ncreased public trust linked with </w:t>
      </w:r>
      <w:r w:rsidR="001A1EA3">
        <w:t>more meaningful citizen</w:t>
      </w:r>
      <w:r w:rsidR="001A1EA3" w:rsidRPr="000E4C4E">
        <w:t xml:space="preserve"> </w:t>
      </w:r>
      <w:r w:rsidRPr="000E4C4E">
        <w:t xml:space="preserve">participation in </w:t>
      </w:r>
      <w:r w:rsidRPr="000E4C4E">
        <w:lastRenderedPageBreak/>
        <w:t xml:space="preserve">decision-making processes and </w:t>
      </w:r>
      <w:r w:rsidR="001A1EA3">
        <w:t>more positive</w:t>
      </w:r>
      <w:r w:rsidRPr="000E4C4E">
        <w:t xml:space="preserve"> citizen perceptions of equal treatment under the law</w:t>
      </w:r>
      <w:r w:rsidR="00326336">
        <w:t xml:space="preserve">. </w:t>
      </w:r>
    </w:p>
    <w:p w14:paraId="3E2ADF0F" w14:textId="77777777" w:rsidR="00326336" w:rsidRPr="000D0683" w:rsidRDefault="00326336" w:rsidP="00643173">
      <w:pPr>
        <w:pStyle w:val="ListParagraph"/>
        <w:ind w:left="1080" w:right="1210"/>
        <w:jc w:val="both"/>
        <w:rPr>
          <w:sz w:val="12"/>
          <w:szCs w:val="12"/>
        </w:rPr>
      </w:pPr>
    </w:p>
    <w:p w14:paraId="79B51DF6" w14:textId="5D126F77" w:rsidR="00C966C7" w:rsidRPr="00C53C4B" w:rsidRDefault="00C966C7" w:rsidP="000D0683">
      <w:pPr>
        <w:pStyle w:val="ListParagraph"/>
        <w:numPr>
          <w:ilvl w:val="0"/>
          <w:numId w:val="2"/>
        </w:numPr>
        <w:ind w:right="1210" w:firstLine="0"/>
        <w:contextualSpacing/>
        <w:jc w:val="both"/>
        <w:rPr>
          <w:rFonts w:eastAsiaTheme="minorEastAsia"/>
          <w:lang w:val="en-GB"/>
        </w:rPr>
      </w:pPr>
      <w:r w:rsidRPr="000E4C4E">
        <w:t>Responding to national priorities, the</w:t>
      </w:r>
      <w:r w:rsidR="00EC6822" w:rsidRPr="000E4C4E">
        <w:t xml:space="preserve"> United Nations Sustainable Development Cooperation Framework</w:t>
      </w:r>
      <w:r w:rsidRPr="000E4C4E">
        <w:t xml:space="preserve"> </w:t>
      </w:r>
      <w:r w:rsidR="00EC6822" w:rsidRPr="000E4C4E">
        <w:t>(</w:t>
      </w:r>
      <w:r w:rsidRPr="000E4C4E">
        <w:t>UNSDCF</w:t>
      </w:r>
      <w:r w:rsidR="00EC6822" w:rsidRPr="000E4C4E">
        <w:t>)</w:t>
      </w:r>
      <w:r w:rsidRPr="000E4C4E">
        <w:t xml:space="preserve"> 2023</w:t>
      </w:r>
      <w:r w:rsidR="001A1EA3">
        <w:t>–</w:t>
      </w:r>
      <w:r w:rsidRPr="000E4C4E">
        <w:t xml:space="preserve">2027 was developed as a joint commitment by the United Nations </w:t>
      </w:r>
      <w:r w:rsidR="001A1EA3">
        <w:t>c</w:t>
      </w:r>
      <w:r w:rsidRPr="000E4C4E">
        <w:t xml:space="preserve">ountry </w:t>
      </w:r>
      <w:r w:rsidR="001A1EA3">
        <w:t>t</w:t>
      </w:r>
      <w:r w:rsidRPr="000E4C4E">
        <w:t>eam to accelerate progress towards</w:t>
      </w:r>
      <w:r w:rsidR="001A1EA3">
        <w:t xml:space="preserve"> achievement of</w:t>
      </w:r>
      <w:r w:rsidRPr="000E4C4E">
        <w:t xml:space="preserve"> the 2030 agenda and </w:t>
      </w:r>
      <w:r w:rsidR="00F22408">
        <w:t>EU</w:t>
      </w:r>
      <w:r w:rsidR="001A1EA3" w:rsidRPr="000E4C4E">
        <w:t xml:space="preserve"> </w:t>
      </w:r>
      <w:r w:rsidRPr="000E4C4E">
        <w:t xml:space="preserve">accession. The </w:t>
      </w:r>
      <w:r w:rsidR="00072911">
        <w:t>planned</w:t>
      </w:r>
      <w:r w:rsidR="00072911" w:rsidRPr="000E4C4E">
        <w:t xml:space="preserve"> </w:t>
      </w:r>
      <w:r w:rsidRPr="000E4C4E">
        <w:t xml:space="preserve">contributions </w:t>
      </w:r>
      <w:r w:rsidR="00072911">
        <w:t>aim</w:t>
      </w:r>
      <w:r w:rsidRPr="000E4C4E">
        <w:t xml:space="preserve"> to be flexible and responsive to the </w:t>
      </w:r>
      <w:r w:rsidR="00072911">
        <w:t>g</w:t>
      </w:r>
      <w:r w:rsidRPr="000E4C4E">
        <w:t>overnment’s national development priorities and COVID-19 recovery strategies. Th</w:t>
      </w:r>
      <w:r w:rsidR="00C53C4B">
        <w:t>ey</w:t>
      </w:r>
      <w:r w:rsidRPr="000E4C4E">
        <w:t xml:space="preserve"> will </w:t>
      </w:r>
      <w:r w:rsidR="00C53C4B">
        <w:t>be implemented</w:t>
      </w:r>
      <w:r w:rsidRPr="000E4C4E">
        <w:t xml:space="preserve"> through multi-agency strategies in pursuit of </w:t>
      </w:r>
      <w:r w:rsidR="00C53C4B">
        <w:t xml:space="preserve">the </w:t>
      </w:r>
      <w:r w:rsidRPr="000E4C4E">
        <w:t xml:space="preserve">UNSDCF outcomes to </w:t>
      </w:r>
      <w:r w:rsidR="00C53C4B">
        <w:t xml:space="preserve">(a) </w:t>
      </w:r>
      <w:r w:rsidRPr="00643173">
        <w:t>promote inclusive green growth and protect natural resources</w:t>
      </w:r>
      <w:r w:rsidRPr="00C53C4B">
        <w:t xml:space="preserve">, </w:t>
      </w:r>
      <w:r w:rsidR="00C53C4B" w:rsidRPr="00C53C4B">
        <w:t xml:space="preserve">(b) </w:t>
      </w:r>
      <w:r w:rsidRPr="00643173">
        <w:t>increase social inclusion</w:t>
      </w:r>
      <w:r w:rsidR="00326336">
        <w:t>,</w:t>
      </w:r>
      <w:r w:rsidR="00C53C4B" w:rsidRPr="00643173">
        <w:t xml:space="preserve"> </w:t>
      </w:r>
      <w:r w:rsidRPr="00C53C4B">
        <w:t xml:space="preserve">and </w:t>
      </w:r>
      <w:r w:rsidR="00C53C4B" w:rsidRPr="00C53C4B">
        <w:t xml:space="preserve">(c) </w:t>
      </w:r>
      <w:r w:rsidRPr="00643173">
        <w:t xml:space="preserve">develop more trusted, accountable and </w:t>
      </w:r>
      <w:r w:rsidR="00837EAF" w:rsidRPr="00643173">
        <w:t>gender-responsive</w:t>
      </w:r>
      <w:r w:rsidRPr="00643173">
        <w:t xml:space="preserve"> institutions</w:t>
      </w:r>
      <w:r w:rsidRPr="00C53C4B">
        <w:t xml:space="preserve">.  </w:t>
      </w:r>
    </w:p>
    <w:p w14:paraId="785EDB62" w14:textId="77777777" w:rsidR="000E4AA2" w:rsidRPr="000E4AA2" w:rsidRDefault="000E4AA2" w:rsidP="000E4AA2">
      <w:pPr>
        <w:pStyle w:val="ListParagraph"/>
        <w:rPr>
          <w:rFonts w:eastAsiaTheme="minorEastAsia"/>
          <w:sz w:val="12"/>
          <w:szCs w:val="12"/>
          <w:lang w:val="en-GB"/>
        </w:rPr>
      </w:pPr>
    </w:p>
    <w:p w14:paraId="4CB05517" w14:textId="62CB3131" w:rsidR="00C966C7" w:rsidRDefault="00C966C7" w:rsidP="000E4AA2">
      <w:pPr>
        <w:pStyle w:val="ListParagraph"/>
        <w:numPr>
          <w:ilvl w:val="0"/>
          <w:numId w:val="2"/>
        </w:numPr>
        <w:ind w:right="1210" w:firstLine="0"/>
        <w:contextualSpacing/>
        <w:jc w:val="both"/>
      </w:pPr>
      <w:r w:rsidRPr="000E4C4E">
        <w:t>UNDP</w:t>
      </w:r>
      <w:r w:rsidR="00C53C4B">
        <w:t xml:space="preserve">’s </w:t>
      </w:r>
      <w:r w:rsidRPr="000E4C4E">
        <w:t>contribut</w:t>
      </w:r>
      <w:r w:rsidR="00C53C4B">
        <w:t>ion</w:t>
      </w:r>
      <w:r w:rsidRPr="000E4C4E">
        <w:t xml:space="preserve"> to the UNSDCF </w:t>
      </w:r>
      <w:r w:rsidR="00C53C4B">
        <w:t>will build on</w:t>
      </w:r>
      <w:r w:rsidRPr="000E4C4E">
        <w:t xml:space="preserve"> its comparative advantages and unique value proposition, including operational flexibility and innovation</w:t>
      </w:r>
      <w:r w:rsidR="00C53C4B">
        <w:t>.</w:t>
      </w:r>
      <w:r w:rsidR="00293DE0">
        <w:rPr>
          <w:rStyle w:val="FootnoteReference"/>
        </w:rPr>
        <w:footnoteReference w:id="11"/>
      </w:r>
      <w:r w:rsidR="00375433">
        <w:t xml:space="preserve"> </w:t>
      </w:r>
      <w:r w:rsidRPr="000E4C4E">
        <w:t>Prior evaluations have recommended that UNDP continue to build on its engagement in democratic governance and capacity building</w:t>
      </w:r>
      <w:r w:rsidR="00981AC8" w:rsidRPr="000E4C4E">
        <w:t xml:space="preserve">, </w:t>
      </w:r>
      <w:r w:rsidRPr="000E4C4E">
        <w:t xml:space="preserve">including </w:t>
      </w:r>
      <w:r w:rsidR="00981AC8" w:rsidRPr="000E4C4E">
        <w:t xml:space="preserve">in </w:t>
      </w:r>
      <w:r w:rsidR="00C53C4B">
        <w:t xml:space="preserve">the </w:t>
      </w:r>
      <w:r w:rsidRPr="000E4C4E">
        <w:t>security sector, social inclusion and environmental protection</w:t>
      </w:r>
      <w:r w:rsidR="00C53C4B">
        <w:t xml:space="preserve">. At the same </w:t>
      </w:r>
      <w:proofErr w:type="gramStart"/>
      <w:r w:rsidR="00C53C4B">
        <w:t>time</w:t>
      </w:r>
      <w:proofErr w:type="gramEnd"/>
      <w:r w:rsidR="00C53C4B">
        <w:t xml:space="preserve"> they have</w:t>
      </w:r>
      <w:r w:rsidRPr="000E4C4E">
        <w:t xml:space="preserve"> suggest</w:t>
      </w:r>
      <w:r w:rsidR="00C53C4B">
        <w:t>ed</w:t>
      </w:r>
      <w:r w:rsidRPr="000E4C4E">
        <w:t xml:space="preserve"> that UNDP strengthen its focus on gender equality and women’s empowerment, particularly in its environment and climate change programming.</w:t>
      </w:r>
      <w:r w:rsidR="00B31C6F">
        <w:rPr>
          <w:rStyle w:val="FootnoteReference"/>
        </w:rPr>
        <w:footnoteReference w:id="12"/>
      </w:r>
      <w:r w:rsidRPr="000E4C4E">
        <w:t xml:space="preserve"> UNDP will anchor the country team’s </w:t>
      </w:r>
      <w:r w:rsidRPr="00643173">
        <w:t>integrated development approach</w:t>
      </w:r>
      <w:r w:rsidRPr="000E4C4E">
        <w:t xml:space="preserve"> at central and local levels</w:t>
      </w:r>
      <w:r w:rsidR="00BC11C8">
        <w:t xml:space="preserve">, </w:t>
      </w:r>
      <w:r w:rsidR="00EA057E">
        <w:t>working</w:t>
      </w:r>
      <w:r w:rsidRPr="000E4C4E">
        <w:t xml:space="preserve"> to </w:t>
      </w:r>
      <w:r w:rsidR="00BC11C8">
        <w:t>achieve</w:t>
      </w:r>
      <w:r w:rsidR="00BC11C8" w:rsidRPr="000E4C4E">
        <w:t xml:space="preserve"> </w:t>
      </w:r>
      <w:r w:rsidRPr="000E4C4E">
        <w:t xml:space="preserve">results at scale and pursuing whole-of-system transformation </w:t>
      </w:r>
      <w:r w:rsidR="00BC11C8">
        <w:t>based on</w:t>
      </w:r>
      <w:r w:rsidR="00BC11C8" w:rsidRPr="000E4C4E">
        <w:t xml:space="preserve"> </w:t>
      </w:r>
      <w:r w:rsidRPr="000E4C4E">
        <w:t>a human rights</w:t>
      </w:r>
      <w:r w:rsidR="00BC11C8">
        <w:t xml:space="preserve"> </w:t>
      </w:r>
      <w:r w:rsidRPr="000E4C4E">
        <w:t xml:space="preserve">approach </w:t>
      </w:r>
      <w:r w:rsidR="00BC11C8">
        <w:t xml:space="preserve">that aims </w:t>
      </w:r>
      <w:r w:rsidRPr="000E4C4E">
        <w:t xml:space="preserve">to leave no one behind.  </w:t>
      </w:r>
    </w:p>
    <w:p w14:paraId="0FB350C4" w14:textId="77777777" w:rsidR="000E4AA2" w:rsidRPr="000E4AA2" w:rsidRDefault="000E4AA2" w:rsidP="000E4AA2">
      <w:pPr>
        <w:pStyle w:val="ListParagraph"/>
        <w:rPr>
          <w:sz w:val="12"/>
          <w:szCs w:val="12"/>
        </w:rPr>
      </w:pPr>
    </w:p>
    <w:p w14:paraId="2ECBA2B0" w14:textId="23BB3184" w:rsidR="00C966C7" w:rsidRDefault="00C966C7" w:rsidP="000E4AA2">
      <w:pPr>
        <w:pStyle w:val="ListParagraph"/>
        <w:numPr>
          <w:ilvl w:val="0"/>
          <w:numId w:val="2"/>
        </w:numPr>
        <w:ind w:right="1210" w:firstLine="0"/>
        <w:contextualSpacing/>
        <w:jc w:val="both"/>
      </w:pPr>
      <w:r w:rsidRPr="000E4C4E">
        <w:t xml:space="preserve">In alignment with </w:t>
      </w:r>
      <w:r w:rsidRPr="00A709CE">
        <w:t>the UNDP Strategic Plan 2022</w:t>
      </w:r>
      <w:r w:rsidR="00BC11C8">
        <w:t>–</w:t>
      </w:r>
      <w:r w:rsidRPr="00245A89">
        <w:t>2025,</w:t>
      </w:r>
      <w:r w:rsidRPr="000E4C4E">
        <w:rPr>
          <w:b/>
          <w:bCs/>
          <w:i/>
          <w:iCs/>
        </w:rPr>
        <w:t xml:space="preserve"> </w:t>
      </w:r>
      <w:r w:rsidRPr="000E4C4E">
        <w:t xml:space="preserve">the following </w:t>
      </w:r>
      <w:r w:rsidRPr="00CC66C1">
        <w:t>result enablers</w:t>
      </w:r>
      <w:r w:rsidRPr="00BC11C8">
        <w:t xml:space="preserve"> </w:t>
      </w:r>
      <w:r w:rsidRPr="000E4C4E">
        <w:t xml:space="preserve">represent UNDP’s </w:t>
      </w:r>
      <w:r w:rsidRPr="00F4188C">
        <w:t>comparative advantages</w:t>
      </w:r>
      <w:r w:rsidRPr="000E4C4E">
        <w:t xml:space="preserve"> in strengthening national capacities in areas </w:t>
      </w:r>
      <w:r w:rsidR="00F4188C">
        <w:t>that</w:t>
      </w:r>
      <w:r w:rsidR="00F4188C" w:rsidRPr="00F4188C">
        <w:t xml:space="preserve"> </w:t>
      </w:r>
      <w:r w:rsidRPr="00F4188C">
        <w:t xml:space="preserve">other United Nations </w:t>
      </w:r>
      <w:r w:rsidR="00F4188C">
        <w:t>entities</w:t>
      </w:r>
      <w:r w:rsidR="00F4188C" w:rsidRPr="00A709CE">
        <w:t xml:space="preserve"> </w:t>
      </w:r>
      <w:r w:rsidRPr="00A709CE">
        <w:t>can leverage</w:t>
      </w:r>
      <w:r w:rsidRPr="00BC11C8">
        <w:t xml:space="preserve"> </w:t>
      </w:r>
      <w:r w:rsidRPr="000E4C4E">
        <w:t>to deliver UNSDCF results:</w:t>
      </w:r>
    </w:p>
    <w:p w14:paraId="05909F68" w14:textId="77777777" w:rsidR="000E4AA2" w:rsidRPr="000E4AA2" w:rsidRDefault="000E4AA2" w:rsidP="000E4AA2">
      <w:pPr>
        <w:pStyle w:val="ListParagraph"/>
        <w:rPr>
          <w:sz w:val="12"/>
          <w:szCs w:val="12"/>
        </w:rPr>
      </w:pPr>
    </w:p>
    <w:p w14:paraId="66D8639A" w14:textId="4587BEBB" w:rsidR="000E4AA2" w:rsidRDefault="00CB4B4A" w:rsidP="00E82A52">
      <w:pPr>
        <w:pStyle w:val="ListParagraph"/>
        <w:numPr>
          <w:ilvl w:val="0"/>
          <w:numId w:val="26"/>
        </w:numPr>
        <w:ind w:right="1210"/>
        <w:contextualSpacing/>
        <w:jc w:val="both"/>
      </w:pPr>
      <w:r w:rsidRPr="000E4C4E">
        <w:rPr>
          <w:b/>
          <w:bCs/>
        </w:rPr>
        <w:t>Digitali</w:t>
      </w:r>
      <w:r w:rsidR="00BC11C8">
        <w:rPr>
          <w:b/>
          <w:bCs/>
        </w:rPr>
        <w:t>z</w:t>
      </w:r>
      <w:r w:rsidRPr="000E4C4E">
        <w:rPr>
          <w:b/>
          <w:bCs/>
        </w:rPr>
        <w:t xml:space="preserve">ation: </w:t>
      </w:r>
      <w:r w:rsidR="00C966C7" w:rsidRPr="000E4C4E">
        <w:t xml:space="preserve">Based on its long-standing support in governance and digitalization, UNDP will support </w:t>
      </w:r>
      <w:r w:rsidR="00F4188C">
        <w:t xml:space="preserve">digital transformation in </w:t>
      </w:r>
      <w:r w:rsidR="00C966C7" w:rsidRPr="000E4C4E">
        <w:t xml:space="preserve">the social, economic and governmental </w:t>
      </w:r>
      <w:r w:rsidR="00F4188C">
        <w:t>spheres</w:t>
      </w:r>
      <w:r w:rsidR="00C966C7" w:rsidRPr="000E4C4E">
        <w:t>. UNDP will expand digital capacities and facilitate the co-creation</w:t>
      </w:r>
      <w:r w:rsidR="00375433">
        <w:t>,</w:t>
      </w:r>
      <w:r w:rsidR="00C966C7" w:rsidRPr="000E4C4E">
        <w:t xml:space="preserve"> </w:t>
      </w:r>
      <w:r w:rsidR="00375433">
        <w:t xml:space="preserve">with partners, </w:t>
      </w:r>
      <w:r w:rsidR="00C966C7" w:rsidRPr="000E4C4E">
        <w:t>of solutions with strong accountability frameworks</w:t>
      </w:r>
      <w:r w:rsidR="00A82D31">
        <w:t xml:space="preserve">. </w:t>
      </w:r>
      <w:r w:rsidR="00DC2CA2">
        <w:t>These will</w:t>
      </w:r>
      <w:r w:rsidR="00DC2CA2" w:rsidRPr="000E4C4E">
        <w:t xml:space="preserve"> </w:t>
      </w:r>
      <w:r w:rsidR="00ED3EFC">
        <w:t>lead to</w:t>
      </w:r>
      <w:r w:rsidR="00C966C7" w:rsidRPr="000E4C4E">
        <w:t xml:space="preserve"> digitally connected institutions</w:t>
      </w:r>
      <w:r w:rsidR="00F4188C">
        <w:t>,</w:t>
      </w:r>
      <w:r w:rsidR="00C966C7" w:rsidRPr="000E4C4E">
        <w:t xml:space="preserve"> </w:t>
      </w:r>
      <w:r w:rsidR="00C966C7" w:rsidRPr="001A224D">
        <w:t>both</w:t>
      </w:r>
      <w:r w:rsidR="00C966C7" w:rsidRPr="000E4C4E">
        <w:t xml:space="preserve"> public and private</w:t>
      </w:r>
      <w:r w:rsidR="00A82D31">
        <w:t>. In turn this will</w:t>
      </w:r>
      <w:r w:rsidR="00C966C7" w:rsidRPr="000E4C4E">
        <w:t xml:space="preserve"> </w:t>
      </w:r>
      <w:r w:rsidR="00A82D31">
        <w:t xml:space="preserve">help to </w:t>
      </w:r>
      <w:r w:rsidR="00C966C7" w:rsidRPr="000E4C4E">
        <w:t xml:space="preserve">deliver </w:t>
      </w:r>
      <w:r w:rsidR="00120808" w:rsidRPr="000E4C4E">
        <w:t>people-</w:t>
      </w:r>
      <w:proofErr w:type="spellStart"/>
      <w:r w:rsidR="00120808" w:rsidRPr="000E4C4E">
        <w:t>centred</w:t>
      </w:r>
      <w:proofErr w:type="spellEnd"/>
      <w:r w:rsidR="00120808" w:rsidRPr="000E4C4E">
        <w:t xml:space="preserve">, </w:t>
      </w:r>
      <w:r w:rsidR="00C966C7" w:rsidRPr="000E4C4E">
        <w:t xml:space="preserve">effective and safe services to citizens, accelerate the green and digital transition, and enable an inclusive </w:t>
      </w:r>
      <w:r w:rsidR="004B5190">
        <w:t>F</w:t>
      </w:r>
      <w:r w:rsidR="00C966C7" w:rsidRPr="000E4C4E">
        <w:t xml:space="preserve">ourth Industrial Revolution. </w:t>
      </w:r>
      <w:r w:rsidR="00271472">
        <w:t>S</w:t>
      </w:r>
      <w:r w:rsidR="00C966C7" w:rsidRPr="000E4C4E">
        <w:t>upporting the creation of effective, socially</w:t>
      </w:r>
      <w:r w:rsidR="00DA0C47">
        <w:t xml:space="preserve"> </w:t>
      </w:r>
      <w:r w:rsidR="00C966C7" w:rsidRPr="000E4C4E">
        <w:t xml:space="preserve">responsive </w:t>
      </w:r>
      <w:r w:rsidR="00C966C7" w:rsidRPr="000A5B44">
        <w:t xml:space="preserve">digital ecosystems with </w:t>
      </w:r>
      <w:r w:rsidR="00DA0C47">
        <w:t xml:space="preserve">greater </w:t>
      </w:r>
      <w:r w:rsidR="00C966C7" w:rsidRPr="000A5B44">
        <w:t xml:space="preserve">innovation capabilities and </w:t>
      </w:r>
      <w:r w:rsidR="00C966C7" w:rsidRPr="00CA76D3">
        <w:t>connectivity</w:t>
      </w:r>
      <w:r w:rsidR="00C966C7" w:rsidRPr="000E4C4E">
        <w:t xml:space="preserve"> will create entry points for technical United Nations agencies</w:t>
      </w:r>
      <w:r w:rsidR="00DA0C47">
        <w:t xml:space="preserve"> —</w:t>
      </w:r>
      <w:r w:rsidR="00C966C7" w:rsidRPr="000E4C4E">
        <w:t xml:space="preserve"> as well as the private sector, non-governmental organizations</w:t>
      </w:r>
      <w:r w:rsidR="00DA0C47">
        <w:t xml:space="preserve"> and</w:t>
      </w:r>
      <w:r w:rsidR="00C966C7" w:rsidRPr="000E4C4E">
        <w:t xml:space="preserve"> international financial institutions </w:t>
      </w:r>
      <w:r w:rsidR="00DA0C47">
        <w:t xml:space="preserve">— </w:t>
      </w:r>
      <w:r w:rsidR="00C966C7" w:rsidRPr="000E4C4E">
        <w:t>to drive deeper transformation</w:t>
      </w:r>
      <w:r w:rsidR="00EB405C">
        <w:t xml:space="preserve"> within sectors</w:t>
      </w:r>
      <w:r w:rsidR="00DA0C47">
        <w:t>. This could include, for example, a</w:t>
      </w:r>
      <w:r w:rsidR="00C966C7" w:rsidRPr="000E4C4E">
        <w:t xml:space="preserve"> digital highway for seamless data flows</w:t>
      </w:r>
      <w:r w:rsidR="00DA0C47">
        <w:t>,</w:t>
      </w:r>
      <w:r w:rsidR="00C966C7" w:rsidRPr="000E4C4E">
        <w:t xml:space="preserve"> </w:t>
      </w:r>
      <w:r w:rsidR="00DA0C47">
        <w:t>supporting</w:t>
      </w:r>
      <w:r w:rsidR="00C966C7" w:rsidRPr="000E4C4E">
        <w:t xml:space="preserve"> </w:t>
      </w:r>
      <w:r w:rsidR="00981AC8" w:rsidRPr="000E4C4E">
        <w:t xml:space="preserve">the </w:t>
      </w:r>
      <w:r w:rsidR="00C966C7" w:rsidRPr="000E4C4E">
        <w:t>development of new electronic services in an increasingly digital society</w:t>
      </w:r>
      <w:r w:rsidR="00271472">
        <w:t>.</w:t>
      </w:r>
      <w:r w:rsidR="00C966C7" w:rsidRPr="000E4C4E">
        <w:t xml:space="preserve"> </w:t>
      </w:r>
    </w:p>
    <w:p w14:paraId="75F0CB20" w14:textId="77777777" w:rsidR="000E4AA2" w:rsidRPr="000E4AA2" w:rsidRDefault="000E4AA2" w:rsidP="000E4AA2">
      <w:pPr>
        <w:pStyle w:val="ListParagraph"/>
        <w:ind w:left="1080" w:right="1210"/>
        <w:contextualSpacing/>
        <w:jc w:val="both"/>
        <w:rPr>
          <w:sz w:val="12"/>
          <w:szCs w:val="12"/>
        </w:rPr>
      </w:pPr>
    </w:p>
    <w:p w14:paraId="38829DB2" w14:textId="4893C1C5" w:rsidR="00C966C7" w:rsidRPr="000E4C4E" w:rsidRDefault="00C966C7" w:rsidP="00E82A52">
      <w:pPr>
        <w:pStyle w:val="ListParagraph"/>
        <w:numPr>
          <w:ilvl w:val="0"/>
          <w:numId w:val="26"/>
        </w:numPr>
        <w:ind w:right="1210"/>
        <w:contextualSpacing/>
        <w:jc w:val="both"/>
        <w:rPr>
          <w:b/>
          <w:bCs/>
        </w:rPr>
      </w:pPr>
      <w:r w:rsidRPr="000E4C4E">
        <w:rPr>
          <w:b/>
          <w:bCs/>
        </w:rPr>
        <w:t xml:space="preserve">Innovation: </w:t>
      </w:r>
      <w:r w:rsidRPr="000E4C4E">
        <w:t xml:space="preserve">UNDP will work with </w:t>
      </w:r>
      <w:r w:rsidR="00DA0C47">
        <w:t xml:space="preserve">other </w:t>
      </w:r>
      <w:r w:rsidRPr="000E4C4E">
        <w:t xml:space="preserve">United Nations </w:t>
      </w:r>
      <w:r w:rsidR="00C956CD">
        <w:t>organizations</w:t>
      </w:r>
      <w:r w:rsidR="00CA76D3" w:rsidRPr="000E4C4E">
        <w:t xml:space="preserve"> </w:t>
      </w:r>
      <w:r w:rsidRPr="000E4C4E">
        <w:t xml:space="preserve">and </w:t>
      </w:r>
      <w:r w:rsidR="00DA0C47">
        <w:t>external</w:t>
      </w:r>
      <w:r w:rsidR="00DA0C47" w:rsidRPr="000E4C4E">
        <w:t xml:space="preserve"> </w:t>
      </w:r>
      <w:r w:rsidRPr="000E4C4E">
        <w:t>partners to create a national innovation policy</w:t>
      </w:r>
      <w:r w:rsidR="00B81D20">
        <w:t>. It will have</w:t>
      </w:r>
      <w:r w:rsidRPr="000E4C4E">
        <w:t xml:space="preserve"> an investment framework to </w:t>
      </w:r>
      <w:r w:rsidR="00B81D20">
        <w:t>spur achievement of the</w:t>
      </w:r>
      <w:r w:rsidR="00B81D20" w:rsidRPr="000E4C4E">
        <w:t xml:space="preserve"> </w:t>
      </w:r>
      <w:r w:rsidR="00FC6617" w:rsidRPr="000E4C4E">
        <w:t>Goals</w:t>
      </w:r>
      <w:r w:rsidRPr="000E4C4E">
        <w:t xml:space="preserve"> in a systemic manner. Th</w:t>
      </w:r>
      <w:r w:rsidR="004447D2" w:rsidRPr="000E4C4E">
        <w:t>is</w:t>
      </w:r>
      <w:r w:rsidRPr="000E4C4E">
        <w:t xml:space="preserve"> national framework will: </w:t>
      </w:r>
      <w:r w:rsidR="00B81D20">
        <w:t>(</w:t>
      </w:r>
      <w:r w:rsidRPr="000E4C4E">
        <w:t xml:space="preserve">a) become a backbone for </w:t>
      </w:r>
      <w:r w:rsidR="00CA76D3">
        <w:t>attracting</w:t>
      </w:r>
      <w:r w:rsidR="00015241">
        <w:t xml:space="preserve"> </w:t>
      </w:r>
      <w:r w:rsidRPr="000E4C4E">
        <w:t xml:space="preserve">private sector investment to increase </w:t>
      </w:r>
      <w:r w:rsidR="00B81D20">
        <w:t xml:space="preserve">economic </w:t>
      </w:r>
      <w:r w:rsidRPr="000E4C4E">
        <w:t>productivity</w:t>
      </w:r>
      <w:r w:rsidR="00B81D20">
        <w:t>;</w:t>
      </w:r>
      <w:r w:rsidRPr="000E4C4E">
        <w:t xml:space="preserve"> </w:t>
      </w:r>
      <w:r w:rsidR="00B81D20">
        <w:t>(</w:t>
      </w:r>
      <w:r w:rsidRPr="000E4C4E">
        <w:t xml:space="preserve">b) lay </w:t>
      </w:r>
      <w:r w:rsidR="00B81D20">
        <w:t xml:space="preserve">the </w:t>
      </w:r>
      <w:r w:rsidRPr="000E4C4E">
        <w:t>foundation for accelerating economic diversification through new digital, creative and high-value</w:t>
      </w:r>
      <w:r w:rsidR="00B81D20">
        <w:t>-</w:t>
      </w:r>
      <w:r w:rsidRPr="000E4C4E">
        <w:t>added sectors</w:t>
      </w:r>
      <w:r w:rsidR="00EB405C">
        <w:t>,</w:t>
      </w:r>
      <w:r w:rsidR="00B81D20">
        <w:t xml:space="preserve"> with greater participation by</w:t>
      </w:r>
      <w:r w:rsidRPr="000E4C4E">
        <w:t xml:space="preserve"> women; and </w:t>
      </w:r>
      <w:r w:rsidR="00B81D20">
        <w:t>(</w:t>
      </w:r>
      <w:r w:rsidRPr="000E4C4E">
        <w:t>c) become a platform for engag</w:t>
      </w:r>
      <w:r w:rsidR="00EB405C">
        <w:t>ing</w:t>
      </w:r>
      <w:r w:rsidRPr="000E4C4E">
        <w:t xml:space="preserve"> stakeholders through the recently</w:t>
      </w:r>
      <w:r w:rsidR="00B81D20">
        <w:t xml:space="preserve"> </w:t>
      </w:r>
      <w:r w:rsidRPr="000E4C4E">
        <w:t xml:space="preserve">established Innovation Council </w:t>
      </w:r>
      <w:r w:rsidR="00B81D20">
        <w:t>and</w:t>
      </w:r>
      <w:r w:rsidRPr="000E4C4E">
        <w:t xml:space="preserve"> Innovation Fund</w:t>
      </w:r>
      <w:r w:rsidR="00B81D20">
        <w:t>. The goal is</w:t>
      </w:r>
      <w:r w:rsidRPr="000E4C4E">
        <w:t xml:space="preserve"> to develop capabilities for agile policy responses, </w:t>
      </w:r>
      <w:r w:rsidR="00206B9E">
        <w:t xml:space="preserve">joint </w:t>
      </w:r>
      <w:r w:rsidRPr="000E4C4E">
        <w:t>creation of innovative service solutions and people-</w:t>
      </w:r>
      <w:proofErr w:type="spellStart"/>
      <w:r w:rsidRPr="000E4C4E">
        <w:t>centred</w:t>
      </w:r>
      <w:proofErr w:type="spellEnd"/>
      <w:r w:rsidRPr="000E4C4E">
        <w:t xml:space="preserve"> design.</w:t>
      </w:r>
      <w:r w:rsidRPr="000E4C4E">
        <w:rPr>
          <w:b/>
          <w:bCs/>
        </w:rPr>
        <w:t xml:space="preserve">  </w:t>
      </w:r>
    </w:p>
    <w:p w14:paraId="05E87FC6" w14:textId="77777777" w:rsidR="00C966C7" w:rsidRPr="000D0683" w:rsidRDefault="00C966C7" w:rsidP="000E4AA2">
      <w:pPr>
        <w:pStyle w:val="ListParagraph"/>
        <w:ind w:left="1080" w:right="1210"/>
        <w:rPr>
          <w:rFonts w:eastAsiaTheme="minorEastAsia"/>
          <w:sz w:val="12"/>
          <w:szCs w:val="12"/>
          <w:lang w:val="en-GB"/>
        </w:rPr>
      </w:pPr>
    </w:p>
    <w:p w14:paraId="437A74B2" w14:textId="47511151" w:rsidR="00C966C7" w:rsidRPr="000E4C4E" w:rsidRDefault="00C966C7" w:rsidP="00E82A52">
      <w:pPr>
        <w:pStyle w:val="ListParagraph"/>
        <w:numPr>
          <w:ilvl w:val="0"/>
          <w:numId w:val="26"/>
        </w:numPr>
        <w:spacing w:after="200"/>
        <w:ind w:right="1210"/>
        <w:contextualSpacing/>
        <w:jc w:val="both"/>
      </w:pPr>
      <w:r w:rsidRPr="000E4C4E">
        <w:rPr>
          <w:b/>
          <w:bCs/>
        </w:rPr>
        <w:t xml:space="preserve">Development </w:t>
      </w:r>
      <w:r w:rsidR="00B81D20">
        <w:rPr>
          <w:b/>
          <w:bCs/>
        </w:rPr>
        <w:t>f</w:t>
      </w:r>
      <w:r w:rsidRPr="000E4C4E">
        <w:rPr>
          <w:b/>
          <w:bCs/>
        </w:rPr>
        <w:t xml:space="preserve">inancing: </w:t>
      </w:r>
      <w:r w:rsidRPr="000E4C4E">
        <w:t xml:space="preserve">UNDP will anchor </w:t>
      </w:r>
      <w:r w:rsidR="00B81D20">
        <w:t xml:space="preserve">efforts by </w:t>
      </w:r>
      <w:r w:rsidRPr="000E4C4E">
        <w:t>the United Nation</w:t>
      </w:r>
      <w:r w:rsidR="00EB405C">
        <w:t>s</w:t>
      </w:r>
      <w:r w:rsidRPr="000E4C4E">
        <w:t xml:space="preserve"> system to strengthen capacities for</w:t>
      </w:r>
      <w:r w:rsidR="00B81D20">
        <w:t xml:space="preserve"> reform of</w:t>
      </w:r>
      <w:r w:rsidRPr="000E4C4E">
        <w:t xml:space="preserve"> public finance management at national and local levels</w:t>
      </w:r>
      <w:r w:rsidR="00B81D20">
        <w:t xml:space="preserve">. The </w:t>
      </w:r>
      <w:r w:rsidR="008110D1">
        <w:t>objective</w:t>
      </w:r>
      <w:r w:rsidR="00B81D20">
        <w:t xml:space="preserve"> is</w:t>
      </w:r>
      <w:r w:rsidRPr="000E4C4E">
        <w:t xml:space="preserve"> to increase accountability, efficiency and effectiveness in managing public resources. UNDP will help mobilize, allocate and redirect financing flows </w:t>
      </w:r>
      <w:r w:rsidR="00603360">
        <w:t>by</w:t>
      </w:r>
      <w:r w:rsidR="008C0FD4">
        <w:t xml:space="preserve"> (</w:t>
      </w:r>
      <w:r w:rsidRPr="000E4C4E">
        <w:t>a) creatin</w:t>
      </w:r>
      <w:r w:rsidR="00603360">
        <w:t>g</w:t>
      </w:r>
      <w:r w:rsidRPr="000E4C4E">
        <w:t xml:space="preserve"> </w:t>
      </w:r>
      <w:r w:rsidR="008C0FD4">
        <w:t xml:space="preserve">an </w:t>
      </w:r>
      <w:r w:rsidRPr="000E4C4E">
        <w:t xml:space="preserve">enabling environment for the development of the </w:t>
      </w:r>
      <w:r w:rsidR="00BB0127">
        <w:t>d</w:t>
      </w:r>
      <w:r w:rsidRPr="000E4C4E">
        <w:t>igital finance/</w:t>
      </w:r>
      <w:r w:rsidR="00BB0127">
        <w:t>financial technology</w:t>
      </w:r>
      <w:r w:rsidRPr="000E4C4E">
        <w:t xml:space="preserve"> </w:t>
      </w:r>
      <w:r w:rsidRPr="000E4C4E">
        <w:lastRenderedPageBreak/>
        <w:t xml:space="preserve">industry in Montenegro; </w:t>
      </w:r>
      <w:r w:rsidR="00BB0127">
        <w:t>(</w:t>
      </w:r>
      <w:r w:rsidRPr="000E4C4E">
        <w:t>b) accelerating climate action by increasing the flow of</w:t>
      </w:r>
      <w:r w:rsidR="00BB0127">
        <w:t xml:space="preserve"> </w:t>
      </w:r>
      <w:r w:rsidRPr="000E4C4E">
        <w:t>public and private investment</w:t>
      </w:r>
      <w:r w:rsidR="00BB0127">
        <w:t>,</w:t>
      </w:r>
      <w:r w:rsidRPr="000E4C4E">
        <w:t xml:space="preserve"> </w:t>
      </w:r>
      <w:r w:rsidR="00BB0127">
        <w:t xml:space="preserve">especially </w:t>
      </w:r>
      <w:r w:rsidR="00BB0127" w:rsidRPr="000E4C4E">
        <w:t xml:space="preserve">gender-responsive </w:t>
      </w:r>
      <w:r w:rsidR="00BB0127">
        <w:t xml:space="preserve">investment, </w:t>
      </w:r>
      <w:r w:rsidRPr="000E4C4E">
        <w:t xml:space="preserve">in climate action to achieve the ambitions of the Paris Agreement and </w:t>
      </w:r>
      <w:r w:rsidR="00DF6270">
        <w:t>the</w:t>
      </w:r>
      <w:r w:rsidR="00FC6617" w:rsidRPr="000E4C4E">
        <w:t xml:space="preserve"> Goals</w:t>
      </w:r>
      <w:r w:rsidRPr="000E4C4E">
        <w:t xml:space="preserve">; and </w:t>
      </w:r>
      <w:r w:rsidR="00BB0127">
        <w:t>(</w:t>
      </w:r>
      <w:r w:rsidRPr="000E4C4E">
        <w:t>c) encouraging the growth of innovative businesses, especially those led by women</w:t>
      </w:r>
      <w:r w:rsidR="005A5CEA" w:rsidRPr="000E4C4E">
        <w:t>.</w:t>
      </w:r>
    </w:p>
    <w:p w14:paraId="4BDB991F" w14:textId="77777777" w:rsidR="00C966C7" w:rsidRPr="000E4C4E" w:rsidRDefault="00C966C7" w:rsidP="000E4AA2">
      <w:pPr>
        <w:pStyle w:val="ListParagraph"/>
        <w:spacing w:line="240" w:lineRule="exact"/>
        <w:ind w:left="1080" w:right="1210"/>
        <w:rPr>
          <w:rFonts w:eastAsiaTheme="minorEastAsia"/>
          <w:b/>
          <w:bCs/>
          <w:lang w:val="en-GB"/>
        </w:rPr>
      </w:pPr>
    </w:p>
    <w:p w14:paraId="05D6A915" w14:textId="1AED9AEF" w:rsidR="00C966C7" w:rsidRPr="000E4AA2" w:rsidRDefault="00C966C7" w:rsidP="000E4AA2">
      <w:pPr>
        <w:pStyle w:val="ListParagraph"/>
        <w:numPr>
          <w:ilvl w:val="0"/>
          <w:numId w:val="24"/>
        </w:numPr>
        <w:spacing w:after="200" w:line="240" w:lineRule="exact"/>
        <w:ind w:left="1080" w:right="1210" w:hanging="450"/>
        <w:rPr>
          <w:b/>
          <w:bCs/>
          <w:sz w:val="24"/>
          <w:szCs w:val="24"/>
        </w:rPr>
      </w:pPr>
      <w:r w:rsidRPr="000E4AA2">
        <w:rPr>
          <w:b/>
          <w:bCs/>
          <w:sz w:val="24"/>
          <w:szCs w:val="24"/>
        </w:rPr>
        <w:t xml:space="preserve">Programme </w:t>
      </w:r>
      <w:r w:rsidR="000E4AA2">
        <w:rPr>
          <w:b/>
          <w:bCs/>
          <w:sz w:val="24"/>
          <w:szCs w:val="24"/>
        </w:rPr>
        <w:t>p</w:t>
      </w:r>
      <w:r w:rsidRPr="000E4AA2">
        <w:rPr>
          <w:b/>
          <w:bCs/>
          <w:sz w:val="24"/>
          <w:szCs w:val="24"/>
        </w:rPr>
        <w:t xml:space="preserve">riorities and </w:t>
      </w:r>
      <w:r w:rsidR="000E4AA2">
        <w:rPr>
          <w:b/>
          <w:bCs/>
          <w:sz w:val="24"/>
          <w:szCs w:val="24"/>
        </w:rPr>
        <w:t>p</w:t>
      </w:r>
      <w:r w:rsidRPr="000E4AA2">
        <w:rPr>
          <w:b/>
          <w:bCs/>
          <w:sz w:val="24"/>
          <w:szCs w:val="24"/>
        </w:rPr>
        <w:t>artnerships</w:t>
      </w:r>
    </w:p>
    <w:p w14:paraId="17213B69" w14:textId="4585A884" w:rsidR="00C966C7" w:rsidRDefault="00C966C7" w:rsidP="000E4AA2">
      <w:pPr>
        <w:pStyle w:val="ListParagraph"/>
        <w:numPr>
          <w:ilvl w:val="0"/>
          <w:numId w:val="2"/>
        </w:numPr>
        <w:ind w:right="1210" w:firstLine="0"/>
        <w:contextualSpacing/>
        <w:jc w:val="both"/>
      </w:pPr>
      <w:r w:rsidRPr="000E4C4E">
        <w:t xml:space="preserve">The design of this country programme benefited from consultations held </w:t>
      </w:r>
      <w:r w:rsidR="00EB405C">
        <w:t>to prepare</w:t>
      </w:r>
      <w:r w:rsidR="00BB0127">
        <w:t xml:space="preserve"> </w:t>
      </w:r>
      <w:r w:rsidRPr="000E4C4E">
        <w:t>the UNSDCF</w:t>
      </w:r>
      <w:r w:rsidR="00BB0127">
        <w:t xml:space="preserve"> and </w:t>
      </w:r>
      <w:r w:rsidRPr="000E4C4E">
        <w:t>shap</w:t>
      </w:r>
      <w:r w:rsidR="002F7924">
        <w:t>e</w:t>
      </w:r>
      <w:r w:rsidRPr="000E4C4E">
        <w:t xml:space="preserve"> UNDP’s interventions.  </w:t>
      </w:r>
      <w:r w:rsidR="00BB0127">
        <w:t>The programme</w:t>
      </w:r>
      <w:r w:rsidR="00BB0127" w:rsidRPr="000E4C4E">
        <w:t xml:space="preserve"> </w:t>
      </w:r>
      <w:r w:rsidRPr="000E4C4E">
        <w:t xml:space="preserve">is aligned with the </w:t>
      </w:r>
      <w:r w:rsidR="00BB0127">
        <w:t>g</w:t>
      </w:r>
      <w:r w:rsidRPr="000E4C4E">
        <w:t xml:space="preserve">overnment’s </w:t>
      </w:r>
      <w:r w:rsidR="00BB0127">
        <w:t>m</w:t>
      </w:r>
      <w:r w:rsidRPr="000E4C4E">
        <w:t>edium-</w:t>
      </w:r>
      <w:r w:rsidR="00BB0127">
        <w:t>t</w:t>
      </w:r>
      <w:r w:rsidRPr="000E4C4E">
        <w:t xml:space="preserve">erm </w:t>
      </w:r>
      <w:r w:rsidR="00BB0127">
        <w:t>p</w:t>
      </w:r>
      <w:r w:rsidRPr="000E4C4E">
        <w:t>lan</w:t>
      </w:r>
      <w:r w:rsidR="00223318" w:rsidRPr="000E4C4E">
        <w:t xml:space="preserve">, </w:t>
      </w:r>
      <w:r w:rsidR="00BB0127">
        <w:t>p</w:t>
      </w:r>
      <w:r w:rsidR="00223318" w:rsidRPr="000E4C4E">
        <w:t xml:space="preserve">rogramme </w:t>
      </w:r>
      <w:r w:rsidR="00BB0127">
        <w:t xml:space="preserve">for </w:t>
      </w:r>
      <w:r w:rsidR="00F22408">
        <w:t>EU</w:t>
      </w:r>
      <w:r w:rsidR="00223318" w:rsidRPr="000E4C4E">
        <w:t xml:space="preserve"> </w:t>
      </w:r>
      <w:r w:rsidR="00BB0127">
        <w:t>a</w:t>
      </w:r>
      <w:r w:rsidR="00223318" w:rsidRPr="000E4C4E">
        <w:t>ccession</w:t>
      </w:r>
      <w:r w:rsidR="00BB0127">
        <w:t xml:space="preserve"> and n</w:t>
      </w:r>
      <w:r w:rsidRPr="000E4C4E">
        <w:t xml:space="preserve">ational </w:t>
      </w:r>
      <w:r w:rsidR="00BB0127">
        <w:t>s</w:t>
      </w:r>
      <w:r w:rsidRPr="000E4C4E">
        <w:t xml:space="preserve">trategy for </w:t>
      </w:r>
      <w:r w:rsidR="00BB0127">
        <w:t>s</w:t>
      </w:r>
      <w:r w:rsidRPr="000E4C4E">
        <w:t xml:space="preserve">ustainable </w:t>
      </w:r>
      <w:r w:rsidR="00BB0127">
        <w:t>d</w:t>
      </w:r>
      <w:r w:rsidRPr="000E4C4E">
        <w:t>evelopment</w:t>
      </w:r>
      <w:r w:rsidR="00BB0127">
        <w:t>. It also conforms with</w:t>
      </w:r>
      <w:r w:rsidRPr="000E4C4E">
        <w:t xml:space="preserve"> UNDP regional priorities and contributes to three of the UNSDCF’s four outcomes.</w:t>
      </w:r>
    </w:p>
    <w:p w14:paraId="0EB1E7CF" w14:textId="77777777" w:rsidR="000E4AA2" w:rsidRPr="000E4AA2" w:rsidRDefault="000E4AA2" w:rsidP="000E4AA2">
      <w:pPr>
        <w:pStyle w:val="ListParagraph"/>
        <w:ind w:left="1080" w:right="1210"/>
        <w:contextualSpacing/>
        <w:jc w:val="both"/>
        <w:rPr>
          <w:sz w:val="12"/>
          <w:szCs w:val="12"/>
        </w:rPr>
      </w:pPr>
    </w:p>
    <w:p w14:paraId="65065B02" w14:textId="339EB076" w:rsidR="00C966C7" w:rsidRDefault="00C966C7" w:rsidP="000E4AA2">
      <w:pPr>
        <w:pStyle w:val="ListParagraph"/>
        <w:numPr>
          <w:ilvl w:val="0"/>
          <w:numId w:val="2"/>
        </w:numPr>
        <w:ind w:right="1210" w:firstLine="0"/>
        <w:contextualSpacing/>
        <w:jc w:val="both"/>
      </w:pPr>
      <w:r w:rsidRPr="000E4C4E">
        <w:t>The vision for the country programme as designed with national counterparts focuse</w:t>
      </w:r>
      <w:r w:rsidR="00BB0127">
        <w:t>s</w:t>
      </w:r>
      <w:r w:rsidRPr="000E4C4E">
        <w:t xml:space="preserve"> on reducing</w:t>
      </w:r>
      <w:r w:rsidRPr="000E4C4E">
        <w:rPr>
          <w:b/>
        </w:rPr>
        <w:t xml:space="preserve"> </w:t>
      </w:r>
      <w:r w:rsidRPr="00206B9E">
        <w:rPr>
          <w:bCs/>
        </w:rPr>
        <w:t xml:space="preserve">multidimensional and income poverty, accelerating progress towards </w:t>
      </w:r>
      <w:r w:rsidR="00BB0127">
        <w:rPr>
          <w:bCs/>
        </w:rPr>
        <w:t xml:space="preserve">a </w:t>
      </w:r>
      <w:r w:rsidRPr="00206B9E">
        <w:rPr>
          <w:bCs/>
        </w:rPr>
        <w:t>resource-efficient and sustainable economy, increasing respect for human rights</w:t>
      </w:r>
      <w:r w:rsidR="00BB0127">
        <w:rPr>
          <w:bCs/>
        </w:rPr>
        <w:t xml:space="preserve"> and</w:t>
      </w:r>
      <w:r w:rsidRPr="00206B9E">
        <w:rPr>
          <w:bCs/>
        </w:rPr>
        <w:t xml:space="preserve"> social justice, and inclusion of the most vulnerable </w:t>
      </w:r>
      <w:r w:rsidR="00BB0127">
        <w:rPr>
          <w:bCs/>
        </w:rPr>
        <w:t xml:space="preserve">people </w:t>
      </w:r>
      <w:r w:rsidRPr="00206B9E">
        <w:rPr>
          <w:bCs/>
        </w:rPr>
        <w:t>by 2027.</w:t>
      </w:r>
      <w:r w:rsidRPr="000E4C4E">
        <w:t xml:space="preserve"> </w:t>
      </w:r>
    </w:p>
    <w:p w14:paraId="28E044DA" w14:textId="77777777" w:rsidR="000E4AA2" w:rsidRPr="000E4AA2" w:rsidRDefault="000E4AA2" w:rsidP="000E4AA2">
      <w:pPr>
        <w:pStyle w:val="ListParagraph"/>
        <w:rPr>
          <w:sz w:val="12"/>
          <w:szCs w:val="12"/>
        </w:rPr>
      </w:pPr>
    </w:p>
    <w:p w14:paraId="4CB97654" w14:textId="13090522" w:rsidR="00C966C7" w:rsidRDefault="00C966C7" w:rsidP="000E4AA2">
      <w:pPr>
        <w:pStyle w:val="ListParagraph"/>
        <w:numPr>
          <w:ilvl w:val="0"/>
          <w:numId w:val="2"/>
        </w:numPr>
        <w:ind w:right="1210" w:firstLine="0"/>
        <w:contextualSpacing/>
        <w:jc w:val="both"/>
      </w:pPr>
      <w:r w:rsidRPr="000E4C4E">
        <w:t xml:space="preserve">UNDP will work to realize this vision by leveraging its support across the United Nations system </w:t>
      </w:r>
      <w:r w:rsidR="00BB0127">
        <w:t>through</w:t>
      </w:r>
      <w:r w:rsidR="00BB0127" w:rsidRPr="000E4C4E">
        <w:t xml:space="preserve"> </w:t>
      </w:r>
      <w:r w:rsidRPr="000E4C4E">
        <w:t xml:space="preserve">the enablers </w:t>
      </w:r>
      <w:r w:rsidR="00BB0127">
        <w:t xml:space="preserve">discussed above. The goal is </w:t>
      </w:r>
      <w:r w:rsidRPr="000E4C4E">
        <w:t xml:space="preserve">to deliver four signature solutions </w:t>
      </w:r>
      <w:r w:rsidR="006C2F77">
        <w:t>crucial to</w:t>
      </w:r>
      <w:r w:rsidRPr="000E4C4E">
        <w:t xml:space="preserve"> its substantive contribution to the UNSDCF:</w:t>
      </w:r>
    </w:p>
    <w:p w14:paraId="5F416B3E" w14:textId="77777777" w:rsidR="000E4AA2" w:rsidRPr="000E4AA2" w:rsidRDefault="000E4AA2" w:rsidP="000E4AA2">
      <w:pPr>
        <w:pStyle w:val="ListParagraph"/>
        <w:rPr>
          <w:sz w:val="12"/>
          <w:szCs w:val="12"/>
        </w:rPr>
      </w:pPr>
    </w:p>
    <w:p w14:paraId="7ACE1BD8" w14:textId="7F42D787" w:rsidR="006C2F77" w:rsidRDefault="00C966C7" w:rsidP="00E82A52">
      <w:pPr>
        <w:pStyle w:val="ListParagraph"/>
        <w:numPr>
          <w:ilvl w:val="0"/>
          <w:numId w:val="27"/>
        </w:numPr>
        <w:ind w:right="1210"/>
        <w:contextualSpacing/>
        <w:jc w:val="both"/>
      </w:pPr>
      <w:r w:rsidRPr="000E4C4E">
        <w:rPr>
          <w:b/>
          <w:bCs/>
        </w:rPr>
        <w:t xml:space="preserve">Governance: </w:t>
      </w:r>
      <w:r w:rsidRPr="000E4C4E">
        <w:t xml:space="preserve">UNDP has a well-established </w:t>
      </w:r>
      <w:r w:rsidR="006C2F77">
        <w:t>role</w:t>
      </w:r>
      <w:r w:rsidR="006C2F77" w:rsidRPr="000E4C4E">
        <w:t xml:space="preserve"> </w:t>
      </w:r>
      <w:r w:rsidR="006C2F77">
        <w:t xml:space="preserve">in Montenegro </w:t>
      </w:r>
      <w:r w:rsidRPr="000E4C4E">
        <w:t xml:space="preserve">contributing to </w:t>
      </w:r>
      <w:r w:rsidR="006C2F77">
        <w:t>improvements in</w:t>
      </w:r>
      <w:r w:rsidR="006C2F77" w:rsidRPr="000E4C4E">
        <w:t xml:space="preserve"> </w:t>
      </w:r>
      <w:r w:rsidRPr="000E4C4E">
        <w:t xml:space="preserve">institutional capacity, </w:t>
      </w:r>
      <w:r w:rsidR="000D6B78" w:rsidRPr="000E4C4E">
        <w:t xml:space="preserve">transparency, </w:t>
      </w:r>
      <w:r w:rsidRPr="000E4C4E">
        <w:t>efficiency and accountability</w:t>
      </w:r>
      <w:r w:rsidR="006C2F77">
        <w:t>. This is</w:t>
      </w:r>
      <w:r w:rsidRPr="000E4C4E">
        <w:t xml:space="preserve"> especially </w:t>
      </w:r>
      <w:r w:rsidR="006C2F77">
        <w:t xml:space="preserve">true </w:t>
      </w:r>
      <w:r w:rsidRPr="000E4C4E">
        <w:t xml:space="preserve">in implementing </w:t>
      </w:r>
      <w:r w:rsidR="00245588" w:rsidRPr="000E4C4E">
        <w:t>gender-</w:t>
      </w:r>
      <w:r w:rsidR="00DC2CA2">
        <w:t>responsive</w:t>
      </w:r>
      <w:r w:rsidR="00DC2CA2" w:rsidRPr="000E4C4E">
        <w:t xml:space="preserve"> </w:t>
      </w:r>
      <w:r w:rsidRPr="000E4C4E">
        <w:t>public administration, public finance management and support</w:t>
      </w:r>
      <w:r w:rsidR="006C2F77">
        <w:t xml:space="preserve"> for</w:t>
      </w:r>
      <w:r w:rsidRPr="000E4C4E">
        <w:t xml:space="preserve"> e-governance.</w:t>
      </w:r>
      <w:r w:rsidRPr="000E4C4E">
        <w:rPr>
          <w:vertAlign w:val="superscript"/>
        </w:rPr>
        <w:footnoteReference w:id="13"/>
      </w:r>
      <w:r w:rsidRPr="000E4C4E">
        <w:t xml:space="preserve"> </w:t>
      </w:r>
      <w:r w:rsidR="006C2F77">
        <w:t>T</w:t>
      </w:r>
      <w:r w:rsidRPr="000E4C4E">
        <w:t>o strengthen institution</w:t>
      </w:r>
      <w:r w:rsidR="006C2F77">
        <w:t>al</w:t>
      </w:r>
      <w:r w:rsidRPr="000E4C4E">
        <w:t xml:space="preserve"> abilit</w:t>
      </w:r>
      <w:r w:rsidR="008110D1">
        <w:t>ies</w:t>
      </w:r>
      <w:r w:rsidRPr="000E4C4E">
        <w:t xml:space="preserve"> to address complexities, recover from shocks and gain the public’s trust, UNDP will support the transformation of institutions based on adapt</w:t>
      </w:r>
      <w:r w:rsidR="006C2F77">
        <w:t>able</w:t>
      </w:r>
      <w:r w:rsidRPr="000E4C4E">
        <w:t xml:space="preserve">, effective and open governance principles </w:t>
      </w:r>
      <w:r w:rsidR="006C2F77">
        <w:t>at</w:t>
      </w:r>
      <w:r w:rsidRPr="000E4C4E">
        <w:t xml:space="preserve"> national and local </w:t>
      </w:r>
      <w:r w:rsidR="006C2F77">
        <w:t>levels</w:t>
      </w:r>
      <w:r w:rsidR="006C2F77" w:rsidRPr="000E4C4E">
        <w:t xml:space="preserve"> </w:t>
      </w:r>
      <w:r w:rsidR="00D76217" w:rsidRPr="000E4C4E">
        <w:t xml:space="preserve">and </w:t>
      </w:r>
      <w:r w:rsidR="006C2F77">
        <w:t xml:space="preserve">in the </w:t>
      </w:r>
      <w:r w:rsidR="00D76217" w:rsidRPr="000E4C4E">
        <w:t>justice sector</w:t>
      </w:r>
      <w:r w:rsidRPr="000E4C4E">
        <w:t xml:space="preserve">. This will be done through </w:t>
      </w:r>
      <w:r w:rsidR="006C2F77">
        <w:t>(a</w:t>
      </w:r>
      <w:r w:rsidRPr="000E4C4E">
        <w:t xml:space="preserve">) investments in strengthening public sector capabilities; </w:t>
      </w:r>
      <w:r w:rsidR="006C2F77">
        <w:t>(b</w:t>
      </w:r>
      <w:r w:rsidRPr="000E4C4E">
        <w:t xml:space="preserve">) support </w:t>
      </w:r>
      <w:r w:rsidR="006C2F77">
        <w:t>for</w:t>
      </w:r>
      <w:r w:rsidR="006C2F77" w:rsidRPr="000E4C4E">
        <w:t xml:space="preserve"> </w:t>
      </w:r>
      <w:r w:rsidRPr="000E4C4E">
        <w:t xml:space="preserve">inclusive and gender-responsive </w:t>
      </w:r>
      <w:r w:rsidR="006C2F77">
        <w:t xml:space="preserve">advances in </w:t>
      </w:r>
      <w:r w:rsidRPr="000E4C4E">
        <w:t>digital governance;</w:t>
      </w:r>
      <w:r w:rsidR="006C2F77">
        <w:t xml:space="preserve"> (c</w:t>
      </w:r>
      <w:r w:rsidRPr="000E4C4E">
        <w:t xml:space="preserve">) active involvement of the public, men and women alike, in identifying and resolving challenges; and </w:t>
      </w:r>
      <w:r w:rsidR="006C2F77">
        <w:t>(d</w:t>
      </w:r>
      <w:r w:rsidRPr="000E4C4E">
        <w:t xml:space="preserve">) innovation in the public sector through application of digital and </w:t>
      </w:r>
      <w:r w:rsidR="006C2F77">
        <w:t>financial technolog</w:t>
      </w:r>
      <w:r w:rsidR="008110D1">
        <w:t>ies</w:t>
      </w:r>
      <w:r w:rsidRPr="000E4C4E">
        <w:t>.</w:t>
      </w:r>
    </w:p>
    <w:p w14:paraId="6CF05386" w14:textId="0BEC1429" w:rsidR="00C966C7" w:rsidRPr="000D0683" w:rsidRDefault="00C966C7" w:rsidP="000E4AA2">
      <w:pPr>
        <w:pStyle w:val="ListParagraph"/>
        <w:ind w:left="1080" w:right="1210"/>
        <w:contextualSpacing/>
        <w:jc w:val="both"/>
        <w:rPr>
          <w:sz w:val="12"/>
          <w:szCs w:val="12"/>
        </w:rPr>
      </w:pPr>
      <w:r w:rsidRPr="000E4C4E">
        <w:t xml:space="preserve"> </w:t>
      </w:r>
    </w:p>
    <w:p w14:paraId="3E12A498" w14:textId="67B57416" w:rsidR="00C966C7" w:rsidRPr="000E4C4E" w:rsidRDefault="00C966C7" w:rsidP="00E82A52">
      <w:pPr>
        <w:pStyle w:val="ListParagraph"/>
        <w:numPr>
          <w:ilvl w:val="0"/>
          <w:numId w:val="27"/>
        </w:numPr>
        <w:spacing w:after="120" w:line="240" w:lineRule="exact"/>
        <w:ind w:right="1210"/>
        <w:contextualSpacing/>
        <w:jc w:val="both"/>
      </w:pPr>
      <w:r w:rsidRPr="00E82A52">
        <w:rPr>
          <w:b/>
          <w:bCs/>
        </w:rPr>
        <w:t xml:space="preserve">Poverty and </w:t>
      </w:r>
      <w:r w:rsidR="006C2F77" w:rsidRPr="00E82A52">
        <w:rPr>
          <w:b/>
          <w:bCs/>
        </w:rPr>
        <w:t>i</w:t>
      </w:r>
      <w:r w:rsidRPr="00E82A52">
        <w:rPr>
          <w:b/>
          <w:bCs/>
        </w:rPr>
        <w:t xml:space="preserve">nequality: </w:t>
      </w:r>
      <w:r w:rsidRPr="000E4C4E">
        <w:t xml:space="preserve">UNDP has </w:t>
      </w:r>
      <w:r w:rsidR="00981AC8" w:rsidRPr="000E4C4E">
        <w:t xml:space="preserve">helped </w:t>
      </w:r>
      <w:r w:rsidRPr="000E4C4E">
        <w:t>develop fit-for-</w:t>
      </w:r>
      <w:r w:rsidR="00DC2CA2" w:rsidRPr="000E4C4E">
        <w:t>purpose</w:t>
      </w:r>
      <w:r w:rsidR="00DC2CA2">
        <w:t>,</w:t>
      </w:r>
      <w:r w:rsidR="00DC2CA2" w:rsidRPr="000E4C4E">
        <w:t xml:space="preserve"> integrated</w:t>
      </w:r>
      <w:r w:rsidR="00981AC8" w:rsidRPr="000E4C4E">
        <w:t xml:space="preserve"> </w:t>
      </w:r>
      <w:r w:rsidRPr="000E4C4E">
        <w:t xml:space="preserve">information systems and increased </w:t>
      </w:r>
      <w:r w:rsidR="00603360">
        <w:t xml:space="preserve">the country’s </w:t>
      </w:r>
      <w:r w:rsidR="006C2F77">
        <w:t xml:space="preserve">capacity for </w:t>
      </w:r>
      <w:r w:rsidRPr="000E4C4E">
        <w:t>social service delivery, which ha</w:t>
      </w:r>
      <w:r w:rsidR="006C2F77">
        <w:t>ve</w:t>
      </w:r>
      <w:r w:rsidRPr="000E4C4E">
        <w:t xml:space="preserve"> been vital in transforming the social protection system into one </w:t>
      </w:r>
      <w:r w:rsidR="00E66033">
        <w:t>that</w:t>
      </w:r>
      <w:r w:rsidR="00E66033" w:rsidRPr="000E4C4E">
        <w:t xml:space="preserve"> </w:t>
      </w:r>
      <w:r w:rsidRPr="000E4C4E">
        <w:t>is more responsive to equity considerations.</w:t>
      </w:r>
      <w:r w:rsidRPr="000E4C4E">
        <w:rPr>
          <w:vertAlign w:val="superscript"/>
        </w:rPr>
        <w:footnoteReference w:id="14"/>
      </w:r>
      <w:r w:rsidRPr="00E82A52">
        <w:rPr>
          <w:vertAlign w:val="superscript"/>
        </w:rPr>
        <w:t xml:space="preserve"> </w:t>
      </w:r>
      <w:r w:rsidRPr="000E4C4E">
        <w:t xml:space="preserve">UNDP will work with other United Nations </w:t>
      </w:r>
      <w:r w:rsidR="008110D1">
        <w:t>entities</w:t>
      </w:r>
      <w:r w:rsidR="008110D1" w:rsidRPr="000E4C4E">
        <w:t xml:space="preserve"> </w:t>
      </w:r>
      <w:r w:rsidRPr="000E4C4E">
        <w:t xml:space="preserve">to further develop the social welfare system for the </w:t>
      </w:r>
      <w:r w:rsidR="00E85CED">
        <w:t>twenty-first</w:t>
      </w:r>
      <w:r w:rsidR="00E85CED" w:rsidRPr="000E4C4E">
        <w:t xml:space="preserve"> </w:t>
      </w:r>
      <w:r w:rsidRPr="000E4C4E">
        <w:t>century</w:t>
      </w:r>
      <w:r w:rsidR="005628EA">
        <w:t>. The aim is to</w:t>
      </w:r>
      <w:r w:rsidRPr="000E4C4E">
        <w:t xml:space="preserve"> improve service delivery </w:t>
      </w:r>
      <w:r w:rsidR="00F8509D">
        <w:t>by increasing</w:t>
      </w:r>
      <w:r w:rsidRPr="000E4C4E">
        <w:t xml:space="preserve"> participation </w:t>
      </w:r>
      <w:r w:rsidR="001A224D">
        <w:t>by</w:t>
      </w:r>
      <w:r w:rsidRPr="000E4C4E">
        <w:t xml:space="preserve"> the most vulnerable </w:t>
      </w:r>
      <w:r w:rsidR="005628EA">
        <w:t xml:space="preserve">people, </w:t>
      </w:r>
      <w:r w:rsidR="00981AC8" w:rsidRPr="000E4C4E">
        <w:t xml:space="preserve">such as </w:t>
      </w:r>
      <w:r w:rsidRPr="000E4C4E">
        <w:t xml:space="preserve">marginalized women and men, survivors of </w:t>
      </w:r>
      <w:r w:rsidR="00867CEC" w:rsidRPr="000E4C4E">
        <w:t>gender-based</w:t>
      </w:r>
      <w:r w:rsidRPr="000E4C4E">
        <w:t xml:space="preserve"> violence, youth, </w:t>
      </w:r>
      <w:r w:rsidR="00E85CED">
        <w:t>people</w:t>
      </w:r>
      <w:r w:rsidR="00E85CED" w:rsidRPr="000E4C4E">
        <w:t xml:space="preserve"> </w:t>
      </w:r>
      <w:r w:rsidRPr="000E4C4E">
        <w:t>with disabilities and elderly</w:t>
      </w:r>
      <w:r w:rsidR="005628EA">
        <w:t xml:space="preserve"> people</w:t>
      </w:r>
      <w:r w:rsidRPr="000E4C4E">
        <w:t>. This will involve identifying their needs in order to influence budget planning</w:t>
      </w:r>
      <w:r w:rsidR="00C476D9">
        <w:t xml:space="preserve"> and</w:t>
      </w:r>
      <w:r w:rsidRPr="000E4C4E">
        <w:t xml:space="preserve"> access to quality services, income</w:t>
      </w:r>
      <w:r w:rsidR="00E66033">
        <w:t>-</w:t>
      </w:r>
      <w:r w:rsidRPr="000E4C4E">
        <w:t>generation prospects</w:t>
      </w:r>
      <w:r w:rsidR="00DC2CA2">
        <w:t xml:space="preserve"> </w:t>
      </w:r>
      <w:r w:rsidR="00F8509D">
        <w:t>(</w:t>
      </w:r>
      <w:r w:rsidRPr="000E4C4E">
        <w:t>including in the digital economy</w:t>
      </w:r>
      <w:r w:rsidR="00F8509D">
        <w:t>)</w:t>
      </w:r>
      <w:r w:rsidR="00981AC8" w:rsidRPr="000E4C4E">
        <w:t xml:space="preserve"> </w:t>
      </w:r>
      <w:r w:rsidRPr="000E4C4E">
        <w:t>and social inclusion</w:t>
      </w:r>
      <w:r w:rsidR="00F8509D">
        <w:t>. D</w:t>
      </w:r>
      <w:r w:rsidRPr="000E4C4E">
        <w:t xml:space="preserve">eveloping models linked to national policies </w:t>
      </w:r>
      <w:r w:rsidR="00F8509D">
        <w:t>will aid</w:t>
      </w:r>
      <w:r w:rsidRPr="000E4C4E">
        <w:t xml:space="preserve"> scal</w:t>
      </w:r>
      <w:r w:rsidR="00F8509D">
        <w:t>ing up these efforts</w:t>
      </w:r>
      <w:r w:rsidRPr="000E4C4E">
        <w:t xml:space="preserve">. </w:t>
      </w:r>
    </w:p>
    <w:p w14:paraId="1A898A0D" w14:textId="7D7C5D1D" w:rsidR="00C966C7" w:rsidRDefault="00C966C7" w:rsidP="00E82A52">
      <w:pPr>
        <w:pStyle w:val="ListParagraph"/>
        <w:numPr>
          <w:ilvl w:val="0"/>
          <w:numId w:val="27"/>
        </w:numPr>
        <w:ind w:right="1210"/>
        <w:contextualSpacing/>
        <w:jc w:val="both"/>
      </w:pPr>
      <w:r w:rsidRPr="000E4C4E">
        <w:rPr>
          <w:b/>
          <w:bCs/>
        </w:rPr>
        <w:t xml:space="preserve">Environment: </w:t>
      </w:r>
      <w:r w:rsidRPr="000E4C4E">
        <w:t>UNDP</w:t>
      </w:r>
      <w:r w:rsidR="00F8509D">
        <w:t xml:space="preserve"> has</w:t>
      </w:r>
      <w:r w:rsidRPr="000E4C4E">
        <w:t xml:space="preserve"> support</w:t>
      </w:r>
      <w:r w:rsidR="00F8509D">
        <w:t xml:space="preserve">ed </w:t>
      </w:r>
      <w:r w:rsidRPr="000E4C4E">
        <w:t>Montenegro</w:t>
      </w:r>
      <w:r w:rsidR="00F8509D">
        <w:t xml:space="preserve"> to</w:t>
      </w:r>
      <w:r w:rsidRPr="000E4C4E">
        <w:t xml:space="preserve"> meet its reporting requirements to international treaty bodies on environment/climate change and</w:t>
      </w:r>
      <w:r w:rsidR="009330A8">
        <w:t xml:space="preserve"> increasing</w:t>
      </w:r>
      <w:r w:rsidRPr="000E4C4E">
        <w:t xml:space="preserve"> and implementing its national climate pledges</w:t>
      </w:r>
      <w:r w:rsidR="009330A8">
        <w:t xml:space="preserve">. </w:t>
      </w:r>
      <w:r w:rsidR="00F8509D">
        <w:t>This</w:t>
      </w:r>
      <w:r w:rsidRPr="000E4C4E">
        <w:t xml:space="preserve"> positions UNDP well as a partner for deeper institutional capacity development. UNDP has successfully piloted a number of innovative initiatives </w:t>
      </w:r>
      <w:r w:rsidR="00674159">
        <w:t>to</w:t>
      </w:r>
      <w:r w:rsidRPr="000E4C4E">
        <w:t xml:space="preserve"> reduc</w:t>
      </w:r>
      <w:r w:rsidR="00674159">
        <w:t>e</w:t>
      </w:r>
      <w:r w:rsidRPr="000E4C4E">
        <w:t xml:space="preserve"> the </w:t>
      </w:r>
      <w:r w:rsidR="00674159">
        <w:t xml:space="preserve">country’s </w:t>
      </w:r>
      <w:r w:rsidRPr="000E4C4E">
        <w:t xml:space="preserve">carbon footprint in </w:t>
      </w:r>
      <w:r w:rsidR="00674159">
        <w:t xml:space="preserve">the </w:t>
      </w:r>
      <w:r w:rsidRPr="000E4C4E">
        <w:t xml:space="preserve">tourism and transport sectors. </w:t>
      </w:r>
      <w:r w:rsidR="00674159">
        <w:t xml:space="preserve">This suggests that </w:t>
      </w:r>
      <w:r w:rsidRPr="000E4C4E">
        <w:t>UNDP</w:t>
      </w:r>
      <w:r w:rsidR="00674159">
        <w:t xml:space="preserve"> can better leverage its</w:t>
      </w:r>
      <w:r w:rsidR="00F4597B">
        <w:t xml:space="preserve"> </w:t>
      </w:r>
      <w:r w:rsidRPr="000E4C4E">
        <w:t xml:space="preserve">comparative advantage </w:t>
      </w:r>
      <w:r w:rsidR="00674159">
        <w:t>by</w:t>
      </w:r>
      <w:r w:rsidRPr="000E4C4E">
        <w:t xml:space="preserve"> address</w:t>
      </w:r>
      <w:r w:rsidR="00674159">
        <w:t>ing</w:t>
      </w:r>
      <w:r w:rsidRPr="000E4C4E">
        <w:t xml:space="preserve"> environment/climate change and economic growth under one consolidated portfolio. UNDP will pilot and scale </w:t>
      </w:r>
      <w:r w:rsidR="00674159">
        <w:t xml:space="preserve">up </w:t>
      </w:r>
      <w:r w:rsidRPr="000E4C4E">
        <w:t>initiatives to protect nature</w:t>
      </w:r>
      <w:r w:rsidR="000A2B8C">
        <w:t>,</w:t>
      </w:r>
      <w:r w:rsidRPr="000E4C4E">
        <w:t xml:space="preserve"> promote sustainable </w:t>
      </w:r>
      <w:r w:rsidRPr="000E4C4E">
        <w:lastRenderedPageBreak/>
        <w:t xml:space="preserve">use of resources and </w:t>
      </w:r>
      <w:r w:rsidR="000A2B8C">
        <w:t xml:space="preserve">encourage </w:t>
      </w:r>
      <w:r w:rsidRPr="000E4C4E">
        <w:t>green growth</w:t>
      </w:r>
      <w:r w:rsidR="00674159">
        <w:t xml:space="preserve">. At the same </w:t>
      </w:r>
      <w:proofErr w:type="gramStart"/>
      <w:r w:rsidR="00674159">
        <w:t>time</w:t>
      </w:r>
      <w:proofErr w:type="gramEnd"/>
      <w:r w:rsidR="00674159">
        <w:t xml:space="preserve"> it will</w:t>
      </w:r>
      <w:r w:rsidRPr="000E4C4E">
        <w:t xml:space="preserve"> strengthen resilience to climate-driven disasters and the institutional capacities </w:t>
      </w:r>
      <w:r w:rsidR="00674159">
        <w:t xml:space="preserve">needed </w:t>
      </w:r>
      <w:r w:rsidRPr="000E4C4E">
        <w:t xml:space="preserve">to </w:t>
      </w:r>
      <w:r w:rsidR="00674159">
        <w:t>prepare</w:t>
      </w:r>
      <w:r w:rsidR="00674159" w:rsidRPr="000E4C4E">
        <w:t xml:space="preserve"> </w:t>
      </w:r>
      <w:r w:rsidRPr="000E4C4E">
        <w:t xml:space="preserve">and implement </w:t>
      </w:r>
      <w:r w:rsidR="00674159">
        <w:t xml:space="preserve">development strategies that reduce </w:t>
      </w:r>
      <w:r w:rsidRPr="000E4C4E">
        <w:t>emission</w:t>
      </w:r>
      <w:r w:rsidR="00674159">
        <w:t>s</w:t>
      </w:r>
      <w:r w:rsidRPr="000E4C4E">
        <w:t xml:space="preserve">, </w:t>
      </w:r>
      <w:r w:rsidR="00674159">
        <w:t xml:space="preserve">are resilient to </w:t>
      </w:r>
      <w:r w:rsidRPr="000E4C4E">
        <w:t xml:space="preserve">climate </w:t>
      </w:r>
      <w:r w:rsidR="00674159">
        <w:t xml:space="preserve">change and </w:t>
      </w:r>
      <w:r w:rsidR="00DC2CA2">
        <w:t>accelerate</w:t>
      </w:r>
      <w:r w:rsidRPr="000E4C4E">
        <w:t xml:space="preserve"> sustainable development. Special attention will be given to advocacy to increase the participation of women in designing the country’s climate mitigation and adaptation responses</w:t>
      </w:r>
      <w:r w:rsidR="00674159">
        <w:t>. This requires more efforts to</w:t>
      </w:r>
      <w:r w:rsidR="00DC2CA2">
        <w:t xml:space="preserve"> understand and</w:t>
      </w:r>
      <w:r w:rsidRPr="000E4C4E">
        <w:t xml:space="preserve"> address gender gaps in respon</w:t>
      </w:r>
      <w:r w:rsidR="00C414FC">
        <w:t>ding</w:t>
      </w:r>
      <w:r w:rsidRPr="000E4C4E">
        <w:t xml:space="preserve"> to climate change and evolving green </w:t>
      </w:r>
      <w:proofErr w:type="spellStart"/>
      <w:r w:rsidRPr="000E4C4E">
        <w:t>labour</w:t>
      </w:r>
      <w:proofErr w:type="spellEnd"/>
      <w:r w:rsidRPr="000E4C4E">
        <w:t xml:space="preserve"> market</w:t>
      </w:r>
      <w:r w:rsidR="00DC2CA2">
        <w:t xml:space="preserve"> opportunities</w:t>
      </w:r>
      <w:r w:rsidRPr="000E4C4E">
        <w:t xml:space="preserve">, while protecting vulnerable groups to ensure a gender-just transition. </w:t>
      </w:r>
    </w:p>
    <w:p w14:paraId="47531A2A" w14:textId="77777777" w:rsidR="000E4AA2" w:rsidRPr="000E4AA2" w:rsidRDefault="000E4AA2" w:rsidP="000E4AA2">
      <w:pPr>
        <w:pStyle w:val="ListParagraph"/>
        <w:ind w:left="1080" w:right="1210"/>
        <w:contextualSpacing/>
        <w:jc w:val="both"/>
        <w:rPr>
          <w:sz w:val="12"/>
          <w:szCs w:val="12"/>
        </w:rPr>
      </w:pPr>
    </w:p>
    <w:p w14:paraId="5977885C" w14:textId="5608C12E" w:rsidR="000E4AA2" w:rsidRDefault="00C966C7" w:rsidP="00E82A52">
      <w:pPr>
        <w:pStyle w:val="ListParagraph"/>
        <w:numPr>
          <w:ilvl w:val="0"/>
          <w:numId w:val="27"/>
        </w:numPr>
        <w:ind w:right="1210"/>
        <w:contextualSpacing/>
        <w:jc w:val="both"/>
        <w:rPr>
          <w:b/>
          <w:bCs/>
        </w:rPr>
      </w:pPr>
      <w:r w:rsidRPr="000E4C4E">
        <w:rPr>
          <w:b/>
          <w:bCs/>
        </w:rPr>
        <w:t xml:space="preserve">Gender </w:t>
      </w:r>
      <w:r w:rsidR="004653A0">
        <w:rPr>
          <w:b/>
          <w:bCs/>
        </w:rPr>
        <w:t>e</w:t>
      </w:r>
      <w:r w:rsidRPr="000E4C4E">
        <w:rPr>
          <w:b/>
          <w:bCs/>
        </w:rPr>
        <w:t xml:space="preserve">quality: </w:t>
      </w:r>
      <w:r w:rsidRPr="000E4C4E">
        <w:t xml:space="preserve">UNDP will work with United Nations and other partners across all outcomes to design interventions that accelerate women’s participation in shaping society. These include </w:t>
      </w:r>
      <w:r w:rsidR="004653A0">
        <w:t>(a</w:t>
      </w:r>
      <w:r w:rsidRPr="000E4C4E">
        <w:t>) promoting women’s leadership and participation in decision-making</w:t>
      </w:r>
      <w:r w:rsidR="00B41624">
        <w:t xml:space="preserve"> in the</w:t>
      </w:r>
      <w:r w:rsidRPr="000E4C4E">
        <w:t xml:space="preserve"> public and private sector</w:t>
      </w:r>
      <w:r w:rsidR="00B41624">
        <w:t>s</w:t>
      </w:r>
      <w:r w:rsidR="00365321">
        <w:t>,</w:t>
      </w:r>
      <w:r w:rsidRPr="000E4C4E">
        <w:t xml:space="preserve"> </w:t>
      </w:r>
      <w:r w:rsidR="00B41624">
        <w:t>(b</w:t>
      </w:r>
      <w:r w:rsidRPr="000E4C4E">
        <w:t>) transforming the public and private sectors to deliver for gender equality</w:t>
      </w:r>
      <w:r w:rsidR="00365321">
        <w:t>,</w:t>
      </w:r>
      <w:r w:rsidRPr="000E4C4E">
        <w:t xml:space="preserve"> </w:t>
      </w:r>
      <w:r w:rsidR="00B41624">
        <w:t>(c</w:t>
      </w:r>
      <w:r w:rsidRPr="000E4C4E">
        <w:t>) accelerating women’s entrepreneurship</w:t>
      </w:r>
      <w:r w:rsidR="00365321">
        <w:t>,</w:t>
      </w:r>
      <w:r w:rsidR="00B272AB">
        <w:t xml:space="preserve"> (d</w:t>
      </w:r>
      <w:r w:rsidRPr="000E4C4E">
        <w:t xml:space="preserve">) advocating for recognition of unpaid care work in the country’s </w:t>
      </w:r>
      <w:r w:rsidR="00161113" w:rsidRPr="000E4C4E">
        <w:t xml:space="preserve">financial </w:t>
      </w:r>
      <w:r w:rsidRPr="000E4C4E">
        <w:t>system and decreasing its burden on women</w:t>
      </w:r>
      <w:r w:rsidR="00D133F3">
        <w:t>,</w:t>
      </w:r>
      <w:r w:rsidRPr="000E4C4E">
        <w:t xml:space="preserve"> and </w:t>
      </w:r>
      <w:r w:rsidR="00B272AB">
        <w:t>(e</w:t>
      </w:r>
      <w:r w:rsidRPr="000E4C4E">
        <w:t xml:space="preserve">) closing the gender gap in digitalization, </w:t>
      </w:r>
      <w:r w:rsidR="00B272AB">
        <w:t>s</w:t>
      </w:r>
      <w:r w:rsidR="00B75AE9" w:rsidRPr="000E4C4E">
        <w:t xml:space="preserve">cience, </w:t>
      </w:r>
      <w:r w:rsidR="00B272AB">
        <w:t>t</w:t>
      </w:r>
      <w:r w:rsidR="00B75AE9" w:rsidRPr="000E4C4E">
        <w:t xml:space="preserve">echnology, </w:t>
      </w:r>
      <w:r w:rsidR="00B272AB">
        <w:t>e</w:t>
      </w:r>
      <w:r w:rsidR="00B75AE9" w:rsidRPr="000E4C4E">
        <w:t xml:space="preserve">ngineering and </w:t>
      </w:r>
      <w:r w:rsidR="00B272AB">
        <w:t>m</w:t>
      </w:r>
      <w:r w:rsidR="00B75AE9" w:rsidRPr="000E4C4E">
        <w:t xml:space="preserve">athematics </w:t>
      </w:r>
      <w:r w:rsidRPr="000E4C4E">
        <w:t xml:space="preserve">education and </w:t>
      </w:r>
      <w:r w:rsidR="00B272AB">
        <w:t xml:space="preserve">in the </w:t>
      </w:r>
      <w:r w:rsidRPr="000E4C4E">
        <w:t xml:space="preserve">green transition. UNDP will intensify its contribution to eliminating gender-based violence, including </w:t>
      </w:r>
      <w:r w:rsidR="00B272AB">
        <w:t xml:space="preserve">by </w:t>
      </w:r>
      <w:r w:rsidRPr="000E4C4E">
        <w:t>advocating for adequate financing of civil society providers of services to survivors of gender-based violence and increasing the efficiency of the judiciary to ensure accountability.</w:t>
      </w:r>
      <w:r w:rsidRPr="000E4C4E">
        <w:rPr>
          <w:b/>
          <w:bCs/>
        </w:rPr>
        <w:t xml:space="preserve"> </w:t>
      </w:r>
    </w:p>
    <w:p w14:paraId="16433556" w14:textId="77777777" w:rsidR="000E4AA2" w:rsidRPr="000E4AA2" w:rsidRDefault="000E4AA2" w:rsidP="000E4AA2">
      <w:pPr>
        <w:pStyle w:val="ListParagraph"/>
        <w:ind w:left="1080" w:right="1210"/>
        <w:contextualSpacing/>
        <w:jc w:val="both"/>
        <w:rPr>
          <w:sz w:val="12"/>
          <w:szCs w:val="12"/>
        </w:rPr>
      </w:pPr>
    </w:p>
    <w:p w14:paraId="52BD4173" w14:textId="652F85E8" w:rsidR="00C966C7" w:rsidRPr="000E4C4E" w:rsidRDefault="00C966C7" w:rsidP="000E4AA2">
      <w:pPr>
        <w:pStyle w:val="ListParagraph"/>
        <w:numPr>
          <w:ilvl w:val="0"/>
          <w:numId w:val="2"/>
        </w:numPr>
        <w:spacing w:after="120"/>
        <w:ind w:right="1210" w:firstLine="0"/>
        <w:contextualSpacing/>
        <w:jc w:val="both"/>
      </w:pPr>
      <w:r w:rsidRPr="000E4C4E">
        <w:t xml:space="preserve">These four signature solutions will provide the </w:t>
      </w:r>
      <w:r w:rsidR="00B272AB">
        <w:t xml:space="preserve">framework </w:t>
      </w:r>
      <w:r w:rsidRPr="000E4C4E">
        <w:t>for UNDP’s work in support of the following three UNSDCF outcome areas:</w:t>
      </w:r>
    </w:p>
    <w:p w14:paraId="1681358C" w14:textId="77777777" w:rsidR="00C966C7" w:rsidRPr="000E4C4E" w:rsidRDefault="00C966C7" w:rsidP="000E4AA2">
      <w:pPr>
        <w:spacing w:after="120" w:line="240" w:lineRule="exact"/>
        <w:ind w:left="1080" w:right="1210"/>
        <w:rPr>
          <w:i/>
          <w:iCs/>
        </w:rPr>
      </w:pPr>
      <w:r w:rsidRPr="000E4C4E">
        <w:rPr>
          <w:b/>
          <w:bCs/>
        </w:rPr>
        <w:t>Inclusive green growth and stewardship of natural resources</w:t>
      </w:r>
    </w:p>
    <w:p w14:paraId="122D775D" w14:textId="2EFD635C" w:rsidR="00C966C7" w:rsidRPr="000E4C4E" w:rsidRDefault="00C966C7" w:rsidP="000E4AA2">
      <w:pPr>
        <w:pStyle w:val="ListParagraph"/>
        <w:numPr>
          <w:ilvl w:val="0"/>
          <w:numId w:val="2"/>
        </w:numPr>
        <w:ind w:right="1210" w:firstLine="0"/>
        <w:contextualSpacing/>
        <w:jc w:val="both"/>
      </w:pPr>
      <w:r w:rsidRPr="000E4C4E">
        <w:t xml:space="preserve">To increase environmental considerations </w:t>
      </w:r>
      <w:r w:rsidR="00B272AB">
        <w:t>in</w:t>
      </w:r>
      <w:r w:rsidRPr="000E4C4E">
        <w:t xml:space="preserve"> economic growth strategies in the transition toward</w:t>
      </w:r>
      <w:r w:rsidR="0065508F">
        <w:t>s</w:t>
      </w:r>
      <w:r w:rsidRPr="000E4C4E">
        <w:t xml:space="preserve"> a green economy, UNDP will focus on </w:t>
      </w:r>
      <w:r w:rsidR="0065508F">
        <w:t>‘</w:t>
      </w:r>
      <w:r w:rsidRPr="0065508F">
        <w:t>greening</w:t>
      </w:r>
      <w:r w:rsidR="0065508F">
        <w:t>’</w:t>
      </w:r>
      <w:r w:rsidRPr="000E4C4E">
        <w:t xml:space="preserve"> key economic sectors through more integrated strategies, policies and financing frameworks. UNDP will continue to support the </w:t>
      </w:r>
      <w:r w:rsidR="00B272AB">
        <w:t>g</w:t>
      </w:r>
      <w:r w:rsidRPr="000E4C4E">
        <w:t xml:space="preserve">overnment in fulfilling its requirements </w:t>
      </w:r>
      <w:r w:rsidR="00B272AB">
        <w:t xml:space="preserve">under the United Nations Framework Convention on Climate Change </w:t>
      </w:r>
      <w:r w:rsidRPr="000E4C4E">
        <w:t xml:space="preserve">and </w:t>
      </w:r>
      <w:r w:rsidR="00B272AB">
        <w:t xml:space="preserve">the </w:t>
      </w:r>
      <w:r w:rsidRPr="000E4C4E">
        <w:t xml:space="preserve">Paris Agreement, thus creating conditions for an evidence-based transition to a green economy. This will increase the economy’s resilience and make recovery more sustainable, and </w:t>
      </w:r>
      <w:r w:rsidRPr="00D679F0">
        <w:t>allow for alignment of public and private sector investments that decouple natural resource use from economic growth</w:t>
      </w:r>
      <w:r w:rsidRPr="000E4C4E">
        <w:t>. This work complement</w:t>
      </w:r>
      <w:r w:rsidR="00B272AB">
        <w:t>s</w:t>
      </w:r>
      <w:r w:rsidRPr="000E4C4E">
        <w:t xml:space="preserve"> other development partners’ initiatives, including GIZ support to the development of the </w:t>
      </w:r>
      <w:r w:rsidR="00B272AB">
        <w:t>n</w:t>
      </w:r>
      <w:r w:rsidRPr="000E4C4E">
        <w:t xml:space="preserve">ational </w:t>
      </w:r>
      <w:r w:rsidR="00B272AB">
        <w:t>e</w:t>
      </w:r>
      <w:r w:rsidRPr="000E4C4E">
        <w:t xml:space="preserve">nergy and </w:t>
      </w:r>
      <w:r w:rsidR="00B272AB">
        <w:t>c</w:t>
      </w:r>
      <w:r w:rsidRPr="000E4C4E">
        <w:t xml:space="preserve">limate </w:t>
      </w:r>
      <w:r w:rsidR="00B272AB">
        <w:t>p</w:t>
      </w:r>
      <w:r w:rsidRPr="000E4C4E">
        <w:t xml:space="preserve">lan, </w:t>
      </w:r>
      <w:r w:rsidR="00F22408">
        <w:t>EU</w:t>
      </w:r>
      <w:r w:rsidRPr="000E4C4E">
        <w:t xml:space="preserve"> plans to pursue</w:t>
      </w:r>
      <w:r w:rsidR="00B272AB">
        <w:t xml:space="preserve"> a</w:t>
      </w:r>
      <w:r w:rsidRPr="000E4C4E">
        <w:t xml:space="preserve"> </w:t>
      </w:r>
      <w:r w:rsidR="00B272AB">
        <w:t>l</w:t>
      </w:r>
      <w:r w:rsidRPr="000E4C4E">
        <w:t>ow-</w:t>
      </w:r>
      <w:r w:rsidR="00B272AB">
        <w:t>c</w:t>
      </w:r>
      <w:r w:rsidRPr="000E4C4E">
        <w:t xml:space="preserve">arbon </w:t>
      </w:r>
      <w:r w:rsidR="00B272AB">
        <w:t>d</w:t>
      </w:r>
      <w:r w:rsidRPr="000E4C4E">
        <w:t xml:space="preserve">evelopment </w:t>
      </w:r>
      <w:r w:rsidR="00B272AB">
        <w:t>s</w:t>
      </w:r>
      <w:r w:rsidRPr="000E4C4E">
        <w:t>trategy and N</w:t>
      </w:r>
      <w:r w:rsidR="001434A4">
        <w:t xml:space="preserve">atura </w:t>
      </w:r>
      <w:r w:rsidRPr="000E4C4E">
        <w:t>2000</w:t>
      </w:r>
      <w:r w:rsidR="00D679F0">
        <w:t>.</w:t>
      </w:r>
      <w:r w:rsidR="00D679F0">
        <w:rPr>
          <w:rStyle w:val="FootnoteReference"/>
        </w:rPr>
        <w:footnoteReference w:id="15"/>
      </w:r>
      <w:r w:rsidR="001434A4">
        <w:t xml:space="preserve"> </w:t>
      </w:r>
    </w:p>
    <w:p w14:paraId="7548E78D" w14:textId="77777777" w:rsidR="00C966C7" w:rsidRPr="000E4AA2" w:rsidRDefault="00C966C7" w:rsidP="000E4AA2">
      <w:pPr>
        <w:pStyle w:val="ListParagraph"/>
        <w:ind w:left="1080" w:right="1210"/>
        <w:contextualSpacing/>
        <w:jc w:val="both"/>
        <w:rPr>
          <w:sz w:val="12"/>
          <w:szCs w:val="12"/>
        </w:rPr>
      </w:pPr>
    </w:p>
    <w:p w14:paraId="08E7F1FB" w14:textId="2B1CBEC8" w:rsidR="00C966C7" w:rsidRPr="000E4C4E" w:rsidRDefault="00C966C7" w:rsidP="000E4AA2">
      <w:pPr>
        <w:pStyle w:val="ListParagraph"/>
        <w:numPr>
          <w:ilvl w:val="0"/>
          <w:numId w:val="2"/>
        </w:numPr>
        <w:ind w:right="1210" w:firstLine="0"/>
        <w:contextualSpacing/>
        <w:jc w:val="both"/>
      </w:pPr>
      <w:r w:rsidRPr="000E4C4E">
        <w:t xml:space="preserve">UNDP will work with </w:t>
      </w:r>
      <w:r w:rsidR="001434A4">
        <w:t>the g</w:t>
      </w:r>
      <w:r w:rsidRPr="000E4C4E">
        <w:t xml:space="preserve">overnment to protect, manage and </w:t>
      </w:r>
      <w:r w:rsidR="001434A4">
        <w:t xml:space="preserve">increase the </w:t>
      </w:r>
      <w:r w:rsidRPr="000E4C4E">
        <w:t xml:space="preserve">value </w:t>
      </w:r>
      <w:r w:rsidR="001434A4">
        <w:t xml:space="preserve">of </w:t>
      </w:r>
      <w:r w:rsidRPr="000E4C4E">
        <w:t xml:space="preserve">natural assets by supporting informed policy and regulatory choices that minimize environmental </w:t>
      </w:r>
      <w:r w:rsidR="00D679F0">
        <w:t>harm</w:t>
      </w:r>
      <w:r w:rsidR="00D679F0" w:rsidRPr="000E4C4E">
        <w:t xml:space="preserve"> </w:t>
      </w:r>
      <w:r w:rsidRPr="000E4C4E">
        <w:t>and incorporate incentives for environmentally positive decisions. UNDP’s work on green financing mechanisms will include policy advice on creating market-based conditions and incentives that contribute to improving renewable energy access and efficiency</w:t>
      </w:r>
      <w:r w:rsidR="001434A4">
        <w:t>. This will help to</w:t>
      </w:r>
      <w:r w:rsidRPr="000E4C4E">
        <w:t xml:space="preserve"> reduc</w:t>
      </w:r>
      <w:r w:rsidR="001434A4">
        <w:t>e</w:t>
      </w:r>
      <w:r w:rsidRPr="000E4C4E">
        <w:t xml:space="preserve"> energy poverty</w:t>
      </w:r>
      <w:r w:rsidR="001434A4">
        <w:t xml:space="preserve"> and</w:t>
      </w:r>
      <w:r w:rsidRPr="000E4C4E">
        <w:t xml:space="preserve"> </w:t>
      </w:r>
      <w:r w:rsidR="00D679F0">
        <w:t>contribute to</w:t>
      </w:r>
      <w:r w:rsidRPr="000E4C4E">
        <w:t xml:space="preserve"> </w:t>
      </w:r>
      <w:r w:rsidR="00D679F0">
        <w:t xml:space="preserve">strategies for reducing </w:t>
      </w:r>
      <w:r w:rsidRPr="000E4C4E">
        <w:t xml:space="preserve">air pollution and </w:t>
      </w:r>
      <w:r w:rsidR="001434A4">
        <w:t>greenhouse gas</w:t>
      </w:r>
      <w:r w:rsidR="001434A4" w:rsidRPr="000E4C4E">
        <w:t xml:space="preserve"> </w:t>
      </w:r>
      <w:r w:rsidRPr="000E4C4E">
        <w:t>emissions</w:t>
      </w:r>
      <w:r w:rsidR="00981AC8" w:rsidRPr="000E4C4E">
        <w:t xml:space="preserve">, </w:t>
      </w:r>
      <w:r w:rsidRPr="000E4C4E">
        <w:t>esp</w:t>
      </w:r>
      <w:r w:rsidR="00981AC8" w:rsidRPr="000E4C4E">
        <w:t>ecially</w:t>
      </w:r>
      <w:r w:rsidRPr="000E4C4E">
        <w:t xml:space="preserve"> in</w:t>
      </w:r>
      <w:r w:rsidR="001434A4">
        <w:t xml:space="preserve"> the</w:t>
      </w:r>
      <w:r w:rsidRPr="000E4C4E">
        <w:t xml:space="preserve"> transport sector. This work complements the European Bank for Reconstruction and Development’s Green Economy Financing Facility in the Western Balkans</w:t>
      </w:r>
      <w:r w:rsidR="00ED39EC">
        <w:t>, which</w:t>
      </w:r>
      <w:r w:rsidRPr="000E4C4E">
        <w:t xml:space="preserve"> on-lend</w:t>
      </w:r>
      <w:r w:rsidR="00DC2CA2">
        <w:t>s</w:t>
      </w:r>
      <w:r w:rsidRPr="000E4C4E">
        <w:t xml:space="preserve"> to the residential sector for energy efficiency and renewable energy projects.</w:t>
      </w:r>
    </w:p>
    <w:p w14:paraId="453AD112" w14:textId="77777777" w:rsidR="00C966C7" w:rsidRPr="000E4AA2" w:rsidRDefault="00C966C7" w:rsidP="000E4AA2">
      <w:pPr>
        <w:pStyle w:val="ListParagraph"/>
        <w:ind w:left="1080" w:right="1210"/>
        <w:contextualSpacing/>
        <w:jc w:val="both"/>
        <w:rPr>
          <w:sz w:val="12"/>
          <w:szCs w:val="12"/>
        </w:rPr>
      </w:pPr>
    </w:p>
    <w:p w14:paraId="6CF7AFD1" w14:textId="40D86F77" w:rsidR="000E4AA2" w:rsidRDefault="00C966C7" w:rsidP="000E4AA2">
      <w:pPr>
        <w:pStyle w:val="ListParagraph"/>
        <w:numPr>
          <w:ilvl w:val="0"/>
          <w:numId w:val="2"/>
        </w:numPr>
        <w:ind w:right="1210" w:firstLine="0"/>
        <w:contextualSpacing/>
        <w:jc w:val="both"/>
      </w:pPr>
      <w:r w:rsidRPr="000E4C4E">
        <w:t xml:space="preserve">The pathway to a regulatory environment </w:t>
      </w:r>
      <w:r w:rsidR="00245609">
        <w:t>that encourages</w:t>
      </w:r>
      <w:r w:rsidR="00245609" w:rsidRPr="000E4C4E">
        <w:t xml:space="preserve"> </w:t>
      </w:r>
      <w:r w:rsidRPr="000E4C4E">
        <w:t xml:space="preserve">green and sustainable growth also </w:t>
      </w:r>
      <w:r w:rsidR="00245609">
        <w:t>calls for</w:t>
      </w:r>
      <w:r w:rsidRPr="000E4C4E">
        <w:t xml:space="preserve"> remov</w:t>
      </w:r>
      <w:r w:rsidR="008B7E0F">
        <w:t>ing</w:t>
      </w:r>
      <w:r w:rsidRPr="000E4C4E">
        <w:t xml:space="preserve"> barriers to competitiveness and creating incentives to embrace </w:t>
      </w:r>
      <w:r w:rsidR="00365321">
        <w:t xml:space="preserve">Fourth </w:t>
      </w:r>
      <w:r w:rsidRPr="000E4C4E">
        <w:t>Industrial Revolution concepts, knowledge and skills. This will identify ways to improve the business environment</w:t>
      </w:r>
      <w:r w:rsidR="00365321">
        <w:t>;</w:t>
      </w:r>
      <w:r w:rsidR="008B7E0F">
        <w:t xml:space="preserve"> develop</w:t>
      </w:r>
      <w:r w:rsidRPr="000E4C4E">
        <w:t xml:space="preserve"> new opportunities in greening economic sectors</w:t>
      </w:r>
      <w:r w:rsidR="006209A8">
        <w:t>,</w:t>
      </w:r>
      <w:r w:rsidRPr="000E4C4E">
        <w:t xml:space="preserve"> </w:t>
      </w:r>
      <w:r w:rsidR="00790BE6">
        <w:t xml:space="preserve">such as </w:t>
      </w:r>
      <w:r w:rsidR="00245609">
        <w:t xml:space="preserve">in the </w:t>
      </w:r>
      <w:r w:rsidRPr="000E4C4E">
        <w:t>circular economy</w:t>
      </w:r>
      <w:r w:rsidR="00ED39EC">
        <w:t>,</w:t>
      </w:r>
      <w:r w:rsidRPr="000E4C4E">
        <w:t xml:space="preserve"> </w:t>
      </w:r>
      <w:r w:rsidR="00DC2CA2">
        <w:t>including</w:t>
      </w:r>
      <w:r w:rsidR="00981AC8" w:rsidRPr="000E4C4E">
        <w:t xml:space="preserve"> </w:t>
      </w:r>
      <w:r w:rsidR="00CD75B1">
        <w:t xml:space="preserve">in </w:t>
      </w:r>
      <w:r w:rsidRPr="000E4C4E">
        <w:t>waste management/recycling</w:t>
      </w:r>
      <w:r w:rsidR="006209A8">
        <w:t xml:space="preserve">, </w:t>
      </w:r>
      <w:r w:rsidRPr="000E4C4E">
        <w:t>creative industries and cultural heritage valorization</w:t>
      </w:r>
      <w:r w:rsidR="00CD75B1">
        <w:t>;</w:t>
      </w:r>
      <w:r w:rsidR="006209A8">
        <w:t xml:space="preserve"> </w:t>
      </w:r>
      <w:r w:rsidR="00DC2CA2">
        <w:t>and</w:t>
      </w:r>
      <w:r w:rsidR="00790BE6">
        <w:t xml:space="preserve"> </w:t>
      </w:r>
      <w:r w:rsidRPr="000E4C4E">
        <w:t>drive competitiveness through digitalization</w:t>
      </w:r>
      <w:r w:rsidR="00DC2CA2">
        <w:t>.</w:t>
      </w:r>
      <w:r w:rsidRPr="000E4C4E">
        <w:t xml:space="preserve"> </w:t>
      </w:r>
      <w:r w:rsidR="001C4D94">
        <w:t>It will also</w:t>
      </w:r>
      <w:r w:rsidR="001C4D94" w:rsidRPr="000E4C4E">
        <w:t xml:space="preserve"> </w:t>
      </w:r>
      <w:r w:rsidRPr="000E4C4E">
        <w:t>spur more entrepreneurial activities, especially led by women, in the formal sector.</w:t>
      </w:r>
    </w:p>
    <w:p w14:paraId="2ED1768C" w14:textId="77777777" w:rsidR="000E4AA2" w:rsidRPr="000E4AA2" w:rsidRDefault="000E4AA2" w:rsidP="000E4AA2">
      <w:pPr>
        <w:pStyle w:val="ListParagraph"/>
        <w:rPr>
          <w:sz w:val="12"/>
          <w:szCs w:val="12"/>
        </w:rPr>
      </w:pPr>
    </w:p>
    <w:p w14:paraId="21B5F5EA" w14:textId="5DA3F57D" w:rsidR="00C966C7" w:rsidRPr="000E4C4E" w:rsidRDefault="00C966C7" w:rsidP="000E4AA2">
      <w:pPr>
        <w:pStyle w:val="ListParagraph"/>
        <w:numPr>
          <w:ilvl w:val="0"/>
          <w:numId w:val="2"/>
        </w:numPr>
        <w:ind w:right="1210" w:firstLine="0"/>
        <w:contextualSpacing/>
        <w:jc w:val="both"/>
      </w:pPr>
      <w:r w:rsidRPr="000E4C4E">
        <w:t>UNDP will also develop pilot initiatives to generate evidence for economic empowerment strategies, with particular attention to women and girls</w:t>
      </w:r>
      <w:r w:rsidR="001C4D94">
        <w:t>. This will be</w:t>
      </w:r>
      <w:r w:rsidRPr="000E4C4E">
        <w:t xml:space="preserve"> combined with tech</w:t>
      </w:r>
      <w:r w:rsidR="001C4D94">
        <w:t>nology</w:t>
      </w:r>
      <w:r w:rsidRPr="000E4C4E">
        <w:t xml:space="preserve"> skills training to support a smoother school</w:t>
      </w:r>
      <w:r w:rsidR="009E160E">
        <w:t>-</w:t>
      </w:r>
      <w:r w:rsidRPr="000E4C4E">
        <w:t>to</w:t>
      </w:r>
      <w:r w:rsidR="009E160E">
        <w:t>-work</w:t>
      </w:r>
      <w:r w:rsidRPr="000E4C4E">
        <w:t xml:space="preserve"> transition and greater participation in the COVID</w:t>
      </w:r>
      <w:r w:rsidR="00B75AE9" w:rsidRPr="000E4C4E">
        <w:t>-19</w:t>
      </w:r>
      <w:r w:rsidRPr="000E4C4E">
        <w:t xml:space="preserve"> </w:t>
      </w:r>
      <w:r w:rsidR="00790BE6">
        <w:t xml:space="preserve">economic </w:t>
      </w:r>
      <w:r w:rsidRPr="000E4C4E">
        <w:t>recovery</w:t>
      </w:r>
      <w:r w:rsidR="00790BE6">
        <w:t>.</w:t>
      </w:r>
      <w:r w:rsidRPr="000E4C4E">
        <w:t xml:space="preserve"> UNDP will support a science </w:t>
      </w:r>
      <w:r w:rsidR="00ED39EC">
        <w:t xml:space="preserve">and </w:t>
      </w:r>
      <w:r w:rsidRPr="000E4C4E">
        <w:t>technology park linked to the higher education system, complement</w:t>
      </w:r>
      <w:r w:rsidR="001C4D94">
        <w:t>ing</w:t>
      </w:r>
      <w:r w:rsidRPr="000E4C4E">
        <w:t xml:space="preserve"> the World Bank’s support</w:t>
      </w:r>
      <w:r w:rsidR="001C4D94">
        <w:t xml:space="preserve"> for</w:t>
      </w:r>
      <w:r w:rsidRPr="000E4C4E">
        <w:t xml:space="preserve"> higher education institutions to develop solutions for COVID-19 response and recovery.</w:t>
      </w:r>
    </w:p>
    <w:p w14:paraId="5CA7CEA0" w14:textId="77777777" w:rsidR="00C966C7" w:rsidRPr="000E4AA2" w:rsidRDefault="00C966C7" w:rsidP="000E4AA2">
      <w:pPr>
        <w:pStyle w:val="ListParagraph"/>
        <w:ind w:left="1080" w:right="1210"/>
        <w:contextualSpacing/>
        <w:jc w:val="both"/>
        <w:rPr>
          <w:sz w:val="12"/>
          <w:szCs w:val="12"/>
        </w:rPr>
      </w:pPr>
    </w:p>
    <w:p w14:paraId="2CAEA7F1" w14:textId="0AA774C7" w:rsidR="00C966C7" w:rsidRPr="000E4C4E" w:rsidRDefault="00C966C7" w:rsidP="000E4AA2">
      <w:pPr>
        <w:pStyle w:val="ListParagraph"/>
        <w:numPr>
          <w:ilvl w:val="0"/>
          <w:numId w:val="2"/>
        </w:numPr>
        <w:spacing w:after="120"/>
        <w:ind w:right="1210" w:firstLine="0"/>
        <w:contextualSpacing/>
        <w:jc w:val="both"/>
      </w:pPr>
      <w:r w:rsidRPr="000E4C4E">
        <w:t xml:space="preserve">As a means of </w:t>
      </w:r>
      <w:r w:rsidR="00DD1191">
        <w:t xml:space="preserve">creating </w:t>
      </w:r>
      <w:r w:rsidRPr="000E4C4E">
        <w:t xml:space="preserve">financing </w:t>
      </w:r>
      <w:r w:rsidR="00DD1191">
        <w:t xml:space="preserve">mechanism to spur </w:t>
      </w:r>
      <w:r w:rsidRPr="000E4C4E">
        <w:t xml:space="preserve">the green economy, UNDP will support the national </w:t>
      </w:r>
      <w:r w:rsidR="001C4D94">
        <w:t>i</w:t>
      </w:r>
      <w:r w:rsidRPr="000E4C4E">
        <w:t xml:space="preserve">nnovation </w:t>
      </w:r>
      <w:r w:rsidR="001C4D94">
        <w:t>f</w:t>
      </w:r>
      <w:r w:rsidRPr="000E4C4E">
        <w:t>und</w:t>
      </w:r>
      <w:r w:rsidR="001C4D94">
        <w:t>, which</w:t>
      </w:r>
      <w:r w:rsidRPr="000E4C4E">
        <w:t xml:space="preserve"> will </w:t>
      </w:r>
      <w:r w:rsidR="001C4D94">
        <w:t>help</w:t>
      </w:r>
      <w:r w:rsidR="001C4D94" w:rsidRPr="000E4C4E">
        <w:t xml:space="preserve"> </w:t>
      </w:r>
      <w:r w:rsidRPr="000E4C4E">
        <w:t xml:space="preserve">to build capacities of </w:t>
      </w:r>
      <w:r w:rsidR="001C4D94">
        <w:t>s</w:t>
      </w:r>
      <w:r w:rsidRPr="000E4C4E">
        <w:t xml:space="preserve">mall and </w:t>
      </w:r>
      <w:r w:rsidR="001C4D94">
        <w:t>m</w:t>
      </w:r>
      <w:r w:rsidRPr="000E4C4E">
        <w:t xml:space="preserve">edium </w:t>
      </w:r>
      <w:r w:rsidR="001C4D94">
        <w:t>size e</w:t>
      </w:r>
      <w:r w:rsidR="00867CEC" w:rsidRPr="000E4C4E">
        <w:t xml:space="preserve">nterprises </w:t>
      </w:r>
      <w:r w:rsidRPr="000E4C4E">
        <w:t xml:space="preserve">to embrace innovation and green solutions. In addition, UNDP will help develop a </w:t>
      </w:r>
      <w:r w:rsidR="0024799F">
        <w:t>s</w:t>
      </w:r>
      <w:r w:rsidRPr="000E4C4E">
        <w:t xml:space="preserve">trategic </w:t>
      </w:r>
      <w:r w:rsidR="0024799F">
        <w:t>f</w:t>
      </w:r>
      <w:r w:rsidRPr="000E4C4E">
        <w:t xml:space="preserve">ramework for the </w:t>
      </w:r>
      <w:r w:rsidR="0024799F">
        <w:t>c</w:t>
      </w:r>
      <w:r w:rsidRPr="000E4C4E">
        <w:t xml:space="preserve">ircular </w:t>
      </w:r>
      <w:r w:rsidR="0024799F">
        <w:t>e</w:t>
      </w:r>
      <w:r w:rsidRPr="000E4C4E">
        <w:t xml:space="preserve">conomy to complement </w:t>
      </w:r>
      <w:r w:rsidR="00F22408">
        <w:t>EU</w:t>
      </w:r>
      <w:r w:rsidR="001E5F41" w:rsidRPr="000E4C4E">
        <w:t xml:space="preserve"> priorities</w:t>
      </w:r>
      <w:r w:rsidR="001E5F41" w:rsidRPr="000E4C4E">
        <w:rPr>
          <w:rStyle w:val="FootnoteReference"/>
        </w:rPr>
        <w:footnoteReference w:id="16"/>
      </w:r>
      <w:r w:rsidR="001E5F41" w:rsidRPr="000E4C4E">
        <w:t xml:space="preserve"> and</w:t>
      </w:r>
      <w:r w:rsidRPr="000E4C4E">
        <w:t xml:space="preserve"> </w:t>
      </w:r>
      <w:r w:rsidR="0024799F">
        <w:t xml:space="preserve">circular economy </w:t>
      </w:r>
      <w:r w:rsidRPr="000E4C4E">
        <w:t xml:space="preserve">initiatives of </w:t>
      </w:r>
      <w:r w:rsidR="0024799F">
        <w:t>i</w:t>
      </w:r>
      <w:r w:rsidRPr="000E4C4E">
        <w:t xml:space="preserve">nternational </w:t>
      </w:r>
      <w:r w:rsidR="0024799F">
        <w:t>f</w:t>
      </w:r>
      <w:r w:rsidRPr="000E4C4E">
        <w:t xml:space="preserve">inancial </w:t>
      </w:r>
      <w:r w:rsidR="0024799F">
        <w:t>i</w:t>
      </w:r>
      <w:r w:rsidRPr="000E4C4E">
        <w:t>nstitutions</w:t>
      </w:r>
      <w:r w:rsidR="001E5F41" w:rsidRPr="000E4C4E">
        <w:rPr>
          <w:rStyle w:val="FootnoteReference"/>
        </w:rPr>
        <w:footnoteReference w:id="17"/>
      </w:r>
      <w:r w:rsidR="0024799F" w:rsidRPr="00F22408">
        <w:rPr>
          <w:vertAlign w:val="superscript"/>
        </w:rPr>
        <w:t>,</w:t>
      </w:r>
      <w:r w:rsidR="001E5F41" w:rsidRPr="000E4C4E">
        <w:rPr>
          <w:rStyle w:val="FootnoteReference"/>
        </w:rPr>
        <w:footnoteReference w:id="18"/>
      </w:r>
      <w:r w:rsidRPr="000E4C4E">
        <w:t xml:space="preserve"> in the Western Balkan region.</w:t>
      </w:r>
    </w:p>
    <w:p w14:paraId="7BE80FF2" w14:textId="196C22B0" w:rsidR="00C966C7" w:rsidRPr="000E4C4E" w:rsidRDefault="00C966C7" w:rsidP="000E4AA2">
      <w:pPr>
        <w:spacing w:after="120" w:line="240" w:lineRule="exact"/>
        <w:ind w:left="1080" w:right="1210"/>
        <w:jc w:val="both"/>
        <w:rPr>
          <w:b/>
          <w:bCs/>
        </w:rPr>
      </w:pPr>
      <w:r w:rsidRPr="000E4C4E">
        <w:rPr>
          <w:b/>
          <w:bCs/>
        </w:rPr>
        <w:t xml:space="preserve">Human </w:t>
      </w:r>
      <w:r w:rsidR="0024799F">
        <w:rPr>
          <w:b/>
          <w:bCs/>
        </w:rPr>
        <w:t>d</w:t>
      </w:r>
      <w:r w:rsidRPr="000E4C4E">
        <w:rPr>
          <w:b/>
          <w:bCs/>
        </w:rPr>
        <w:t xml:space="preserve">evelopment and </w:t>
      </w:r>
      <w:r w:rsidR="0024799F">
        <w:rPr>
          <w:b/>
          <w:bCs/>
        </w:rPr>
        <w:t>s</w:t>
      </w:r>
      <w:r w:rsidRPr="000E4C4E">
        <w:rPr>
          <w:b/>
          <w:bCs/>
        </w:rPr>
        <w:t xml:space="preserve">ocial </w:t>
      </w:r>
      <w:r w:rsidR="0024799F">
        <w:rPr>
          <w:b/>
          <w:bCs/>
        </w:rPr>
        <w:t>i</w:t>
      </w:r>
      <w:r w:rsidRPr="000E4C4E">
        <w:rPr>
          <w:b/>
          <w:bCs/>
        </w:rPr>
        <w:t xml:space="preserve">nclusion </w:t>
      </w:r>
    </w:p>
    <w:p w14:paraId="19F9A434" w14:textId="479DF787" w:rsidR="00C966C7" w:rsidRPr="000E4C4E" w:rsidRDefault="00C966C7" w:rsidP="00FB18A8">
      <w:pPr>
        <w:pStyle w:val="ListParagraph"/>
        <w:numPr>
          <w:ilvl w:val="0"/>
          <w:numId w:val="2"/>
        </w:numPr>
        <w:ind w:right="1210" w:firstLine="0"/>
        <w:contextualSpacing/>
        <w:jc w:val="both"/>
      </w:pPr>
      <w:r w:rsidRPr="000E4C4E">
        <w:t>The key to more rights-based, inclusive social assistance and better designed</w:t>
      </w:r>
      <w:r w:rsidR="002F2BA1">
        <w:t xml:space="preserve"> and </w:t>
      </w:r>
      <w:r w:rsidRPr="000E4C4E">
        <w:t>targeted social transfer programmes lies in effective design and implementation, with greater civic input and more integrated data systems. UNDP will promote a systems-based approach to social reforms through</w:t>
      </w:r>
      <w:r w:rsidR="003356B8">
        <w:t xml:space="preserve"> institutionally</w:t>
      </w:r>
      <w:r w:rsidRPr="000E4C4E">
        <w:t xml:space="preserve"> coordinated</w:t>
      </w:r>
      <w:r w:rsidR="002223E0">
        <w:t xml:space="preserve"> </w:t>
      </w:r>
      <w:r w:rsidRPr="000E4C4E">
        <w:t>support to data systems, legislative and capacity</w:t>
      </w:r>
      <w:r w:rsidR="002F2BA1">
        <w:t>-</w:t>
      </w:r>
      <w:r w:rsidRPr="000E4C4E">
        <w:t>building initiatives. UNDP will continue its long-standing engagement in this area, particularly in policy planning/mode</w:t>
      </w:r>
      <w:r w:rsidR="002F2BA1">
        <w:t>l</w:t>
      </w:r>
      <w:r w:rsidRPr="000E4C4E">
        <w:t xml:space="preserve">ling and development of a legislative framework, jointly with </w:t>
      </w:r>
      <w:r w:rsidR="00ED39EC">
        <w:t xml:space="preserve">the </w:t>
      </w:r>
      <w:r w:rsidR="009D607D" w:rsidRPr="000E4C4E">
        <w:t>United Nations Children’s Fund</w:t>
      </w:r>
      <w:r w:rsidRPr="000E4C4E">
        <w:t xml:space="preserve">, in support of </w:t>
      </w:r>
      <w:r w:rsidR="002F2BA1">
        <w:t>g</w:t>
      </w:r>
      <w:r w:rsidRPr="000E4C4E">
        <w:t xml:space="preserve">overnment plans to invest in further social sector reforms. </w:t>
      </w:r>
    </w:p>
    <w:p w14:paraId="191D0D33" w14:textId="77777777" w:rsidR="00C966C7" w:rsidRPr="000E4AA2" w:rsidRDefault="00C966C7" w:rsidP="00FB18A8">
      <w:pPr>
        <w:pStyle w:val="ListParagraph"/>
        <w:ind w:left="1080" w:right="1210"/>
        <w:contextualSpacing/>
        <w:jc w:val="both"/>
        <w:rPr>
          <w:sz w:val="12"/>
          <w:szCs w:val="12"/>
        </w:rPr>
      </w:pPr>
    </w:p>
    <w:p w14:paraId="0A901ABF" w14:textId="44987954" w:rsidR="00C966C7" w:rsidRPr="000E4C4E" w:rsidRDefault="00C966C7" w:rsidP="00FB18A8">
      <w:pPr>
        <w:pStyle w:val="ListParagraph"/>
        <w:numPr>
          <w:ilvl w:val="0"/>
          <w:numId w:val="2"/>
        </w:numPr>
        <w:ind w:right="1210" w:firstLine="0"/>
        <w:contextualSpacing/>
        <w:jc w:val="both"/>
      </w:pPr>
      <w:r w:rsidRPr="000E4C4E">
        <w:t xml:space="preserve">In parallel, UNDP will continue to build capacities of social protection institutions </w:t>
      </w:r>
      <w:r w:rsidR="001A3655">
        <w:t>to</w:t>
      </w:r>
      <w:r w:rsidR="001A3655" w:rsidRPr="000E4C4E">
        <w:t xml:space="preserve"> </w:t>
      </w:r>
      <w:r w:rsidR="001A3655">
        <w:t>improve</w:t>
      </w:r>
      <w:r w:rsidR="001A3655" w:rsidRPr="000E4C4E">
        <w:t xml:space="preserve"> </w:t>
      </w:r>
      <w:r w:rsidRPr="000E4C4E">
        <w:t xml:space="preserve">servicing of </w:t>
      </w:r>
      <w:r w:rsidR="00644CE7" w:rsidRPr="000E4C4E">
        <w:t>beneficiaries</w:t>
      </w:r>
      <w:r w:rsidRPr="000E4C4E">
        <w:t xml:space="preserve">, and </w:t>
      </w:r>
      <w:r w:rsidR="001A3655">
        <w:t>better</w:t>
      </w:r>
      <w:r w:rsidR="001A3655" w:rsidRPr="000E4C4E">
        <w:t xml:space="preserve"> </w:t>
      </w:r>
      <w:r w:rsidRPr="000E4C4E">
        <w:t xml:space="preserve">design and implementation of </w:t>
      </w:r>
      <w:r w:rsidR="002971FF">
        <w:t>‘</w:t>
      </w:r>
      <w:r w:rsidRPr="000E4C4E">
        <w:t>activation</w:t>
      </w:r>
      <w:r w:rsidR="002971FF">
        <w:t>’</w:t>
      </w:r>
      <w:r w:rsidRPr="000E4C4E">
        <w:t xml:space="preserve"> and skills development programmes to </w:t>
      </w:r>
      <w:r w:rsidR="002971FF">
        <w:t xml:space="preserve">engage </w:t>
      </w:r>
      <w:r w:rsidR="00FA3E8B">
        <w:t>them</w:t>
      </w:r>
      <w:r w:rsidR="002971FF">
        <w:t xml:space="preserve"> in work and society and </w:t>
      </w:r>
      <w:r w:rsidRPr="000E4C4E">
        <w:t xml:space="preserve">enable the transition to employment. This will improve social, employment and health services through the application of new tools. For women </w:t>
      </w:r>
      <w:r w:rsidR="001A3655">
        <w:t>—</w:t>
      </w:r>
      <w:r w:rsidR="001A3655" w:rsidRPr="000E4C4E">
        <w:t xml:space="preserve"> </w:t>
      </w:r>
      <w:r w:rsidRPr="000E4C4E">
        <w:t xml:space="preserve">who are under-represented in the </w:t>
      </w:r>
      <w:proofErr w:type="spellStart"/>
      <w:r w:rsidRPr="000E4C4E">
        <w:t>labour</w:t>
      </w:r>
      <w:proofErr w:type="spellEnd"/>
      <w:r w:rsidRPr="000E4C4E">
        <w:t xml:space="preserve"> force, earn less than men and are far more likely to be employed in the informal sector </w:t>
      </w:r>
      <w:r w:rsidR="001A3655">
        <w:t>—</w:t>
      </w:r>
      <w:r w:rsidR="001A3655" w:rsidRPr="000E4C4E">
        <w:t xml:space="preserve"> </w:t>
      </w:r>
      <w:r w:rsidRPr="000E4C4E">
        <w:t>it will help open avenues to upward mobility</w:t>
      </w:r>
      <w:r w:rsidR="001A3655">
        <w:t>, increasing their</w:t>
      </w:r>
      <w:r w:rsidRPr="000E4C4E">
        <w:t xml:space="preserve"> activation</w:t>
      </w:r>
      <w:r w:rsidR="00FA3E8B">
        <w:t xml:space="preserve">, </w:t>
      </w:r>
      <w:r w:rsidR="00FA3E8B" w:rsidRPr="000E4C4E">
        <w:t>employment</w:t>
      </w:r>
      <w:r w:rsidRPr="000E4C4E">
        <w:t xml:space="preserve"> and </w:t>
      </w:r>
      <w:r w:rsidR="00FE3AC8">
        <w:t xml:space="preserve">generation of </w:t>
      </w:r>
      <w:r w:rsidRPr="000E4C4E">
        <w:t>income. This will also provid</w:t>
      </w:r>
      <w:r w:rsidR="001A3655">
        <w:t>e</w:t>
      </w:r>
      <w:r w:rsidRPr="000E4C4E">
        <w:t xml:space="preserve"> skills training to improve </w:t>
      </w:r>
      <w:r w:rsidR="001A3655">
        <w:t xml:space="preserve">young people’s </w:t>
      </w:r>
      <w:r w:rsidRPr="000E4C4E">
        <w:t>employability.</w:t>
      </w:r>
    </w:p>
    <w:p w14:paraId="555ED439" w14:textId="77777777" w:rsidR="00C966C7" w:rsidRPr="000E4AA2" w:rsidRDefault="00C966C7" w:rsidP="000E4AA2">
      <w:pPr>
        <w:pStyle w:val="ListParagraph"/>
        <w:ind w:left="1080" w:right="1210"/>
        <w:contextualSpacing/>
        <w:jc w:val="both"/>
        <w:rPr>
          <w:sz w:val="12"/>
          <w:szCs w:val="12"/>
        </w:rPr>
      </w:pPr>
    </w:p>
    <w:p w14:paraId="32006972" w14:textId="1B9C4A24" w:rsidR="00C966C7" w:rsidRDefault="00C966C7" w:rsidP="000E4AA2">
      <w:pPr>
        <w:pStyle w:val="ListParagraph"/>
        <w:numPr>
          <w:ilvl w:val="0"/>
          <w:numId w:val="2"/>
        </w:numPr>
        <w:ind w:right="1210" w:firstLine="0"/>
        <w:contextualSpacing/>
        <w:jc w:val="both"/>
      </w:pPr>
      <w:r w:rsidRPr="000E4C4E">
        <w:t xml:space="preserve">Another cornerstone of the programme will be to regulate the status, servicing and accessibility of social and employment programmes for </w:t>
      </w:r>
      <w:r w:rsidR="00FB4739">
        <w:t>people</w:t>
      </w:r>
      <w:r w:rsidR="00FB4739" w:rsidRPr="000E4C4E">
        <w:t xml:space="preserve"> </w:t>
      </w:r>
      <w:r w:rsidRPr="000E4C4E">
        <w:t>with disabilities. UNDP will support the country in defining the criteria for determination of disability</w:t>
      </w:r>
      <w:r w:rsidR="001A3655">
        <w:t>,</w:t>
      </w:r>
      <w:r w:rsidRPr="000E4C4E">
        <w:t xml:space="preserve"> thus </w:t>
      </w:r>
      <w:r w:rsidR="0055089B" w:rsidRPr="000E4C4E">
        <w:t xml:space="preserve">enabling </w:t>
      </w:r>
      <w:r w:rsidR="001A3655">
        <w:t xml:space="preserve">a </w:t>
      </w:r>
      <w:r w:rsidR="0055089B" w:rsidRPr="000E4C4E">
        <w:t>transition</w:t>
      </w:r>
      <w:r w:rsidRPr="000E4C4E">
        <w:t xml:space="preserve"> to </w:t>
      </w:r>
      <w:r w:rsidR="001A3655">
        <w:t xml:space="preserve">a </w:t>
      </w:r>
      <w:r w:rsidRPr="000E4C4E">
        <w:t>more just model in line with the Convention</w:t>
      </w:r>
      <w:r w:rsidR="001A3655">
        <w:t xml:space="preserve"> on the Rights of Persons with Disabilities</w:t>
      </w:r>
      <w:r w:rsidRPr="000E4C4E">
        <w:t>. This work will take a holistic approach to align information technology/data systems, legislation, regulations and financing needs, thus addressing stigma, exclusion and inaccessibility of adequate services.</w:t>
      </w:r>
      <w:r w:rsidRPr="000E4C4E">
        <w:rPr>
          <w:vertAlign w:val="superscript"/>
        </w:rPr>
        <w:footnoteReference w:id="19"/>
      </w:r>
      <w:r w:rsidRPr="000E4C4E">
        <w:t xml:space="preserve"> In collaboration with </w:t>
      </w:r>
      <w:r w:rsidR="00A41D69">
        <w:t xml:space="preserve">other </w:t>
      </w:r>
      <w:r w:rsidRPr="000E4C4E">
        <w:t xml:space="preserve">United Nations </w:t>
      </w:r>
      <w:r w:rsidR="004C4B1B">
        <w:t>entities</w:t>
      </w:r>
      <w:r w:rsidRPr="000E4C4E">
        <w:t xml:space="preserve">, UNDP will explore possibilities for accelerating </w:t>
      </w:r>
      <w:r w:rsidR="00A41D69">
        <w:t xml:space="preserve">the </w:t>
      </w:r>
      <w:r w:rsidRPr="000E4C4E">
        <w:t xml:space="preserve">transition from social assistance to social </w:t>
      </w:r>
      <w:r w:rsidR="003356B8">
        <w:t xml:space="preserve">economy. </w:t>
      </w:r>
    </w:p>
    <w:p w14:paraId="08B3AE08" w14:textId="77777777" w:rsidR="000E4AA2" w:rsidRPr="000E4AA2" w:rsidRDefault="000E4AA2" w:rsidP="000E4AA2">
      <w:pPr>
        <w:pStyle w:val="ListParagraph"/>
        <w:rPr>
          <w:sz w:val="12"/>
          <w:szCs w:val="12"/>
        </w:rPr>
      </w:pPr>
    </w:p>
    <w:p w14:paraId="4D16F57C" w14:textId="7E2DA6B6" w:rsidR="00C966C7" w:rsidRPr="00A96B72" w:rsidRDefault="00C966C7" w:rsidP="000E4AA2">
      <w:pPr>
        <w:pStyle w:val="ListParagraph"/>
        <w:numPr>
          <w:ilvl w:val="0"/>
          <w:numId w:val="2"/>
        </w:numPr>
        <w:tabs>
          <w:tab w:val="left" w:pos="0"/>
        </w:tabs>
        <w:spacing w:after="120"/>
        <w:ind w:right="1210" w:firstLine="0"/>
        <w:contextualSpacing/>
        <w:jc w:val="both"/>
      </w:pPr>
      <w:r w:rsidRPr="000E4C4E">
        <w:t>Given the wide scope of work in social</w:t>
      </w:r>
      <w:r w:rsidR="000E4C4E" w:rsidRPr="000E4C4E">
        <w:t xml:space="preserve"> protection</w:t>
      </w:r>
      <w:r w:rsidRPr="000E4C4E">
        <w:t xml:space="preserve">, health and employment, </w:t>
      </w:r>
      <w:r w:rsidR="00A41D69">
        <w:t xml:space="preserve">UNDP will pursue </w:t>
      </w:r>
      <w:r w:rsidRPr="000E4C4E">
        <w:t xml:space="preserve">a collaboration with </w:t>
      </w:r>
      <w:r w:rsidR="00A41D69">
        <w:t xml:space="preserve">the </w:t>
      </w:r>
      <w:r w:rsidR="00F22408">
        <w:t>EU</w:t>
      </w:r>
      <w:r w:rsidRPr="000E4C4E">
        <w:t xml:space="preserve">, World Bank and </w:t>
      </w:r>
      <w:r w:rsidR="00A41D69">
        <w:t xml:space="preserve">other </w:t>
      </w:r>
      <w:r w:rsidRPr="000E4C4E">
        <w:t xml:space="preserve">United Nations </w:t>
      </w:r>
      <w:r w:rsidR="00EF3173">
        <w:t>organizations</w:t>
      </w:r>
      <w:r w:rsidR="00EF3173" w:rsidRPr="000E4C4E">
        <w:t xml:space="preserve"> </w:t>
      </w:r>
      <w:r w:rsidRPr="000E4C4E">
        <w:t>on particular sectoral issues. Gender analysis will be embedded in social reforms, awareness raising for gender equality</w:t>
      </w:r>
      <w:r w:rsidR="00A41D69">
        <w:t xml:space="preserve"> will be increased</w:t>
      </w:r>
      <w:r w:rsidRPr="000E4C4E">
        <w:t xml:space="preserve">, and the legal framework </w:t>
      </w:r>
      <w:r w:rsidR="00A41D69">
        <w:t xml:space="preserve">to address gender-based violence </w:t>
      </w:r>
      <w:r w:rsidRPr="000E4C4E">
        <w:t xml:space="preserve">will be strengthened and services expanded. To increase </w:t>
      </w:r>
      <w:r w:rsidR="00A41D69">
        <w:t xml:space="preserve">the </w:t>
      </w:r>
      <w:r w:rsidRPr="000E4C4E">
        <w:t xml:space="preserve">relevance of reforms, </w:t>
      </w:r>
      <w:r w:rsidRPr="00A96B72">
        <w:t xml:space="preserve">UNDP will collaborate with service-oriented civil society organizations that are working with the most vulnerable groups. </w:t>
      </w:r>
    </w:p>
    <w:p w14:paraId="657986A7" w14:textId="77777777" w:rsidR="00FB18A8" w:rsidRDefault="00FB18A8">
      <w:pPr>
        <w:rPr>
          <w:b/>
          <w:bCs/>
        </w:rPr>
      </w:pPr>
      <w:r>
        <w:rPr>
          <w:b/>
          <w:bCs/>
        </w:rPr>
        <w:br w:type="page"/>
      </w:r>
    </w:p>
    <w:p w14:paraId="63C4156C" w14:textId="6E5C496B" w:rsidR="00C966C7" w:rsidRPr="00A96B72" w:rsidRDefault="00C966C7" w:rsidP="000E4AA2">
      <w:pPr>
        <w:spacing w:after="120" w:line="240" w:lineRule="exact"/>
        <w:ind w:left="1080" w:right="1210"/>
        <w:jc w:val="both"/>
        <w:rPr>
          <w:b/>
          <w:bCs/>
        </w:rPr>
      </w:pPr>
      <w:r w:rsidRPr="00A96B72">
        <w:rPr>
          <w:b/>
          <w:bCs/>
        </w:rPr>
        <w:lastRenderedPageBreak/>
        <w:t xml:space="preserve">Trusted, </w:t>
      </w:r>
      <w:r w:rsidR="00A41D69" w:rsidRPr="00A96B72">
        <w:rPr>
          <w:b/>
          <w:bCs/>
        </w:rPr>
        <w:t>a</w:t>
      </w:r>
      <w:r w:rsidRPr="00A96B72">
        <w:rPr>
          <w:b/>
          <w:bCs/>
        </w:rPr>
        <w:t xml:space="preserve">ccountable, </w:t>
      </w:r>
      <w:r w:rsidR="00A41D69" w:rsidRPr="00A96B72">
        <w:rPr>
          <w:b/>
          <w:bCs/>
        </w:rPr>
        <w:t>p</w:t>
      </w:r>
      <w:r w:rsidRPr="00A96B72">
        <w:rPr>
          <w:b/>
          <w:bCs/>
        </w:rPr>
        <w:t>eople-</w:t>
      </w:r>
      <w:proofErr w:type="spellStart"/>
      <w:r w:rsidRPr="00A96B72">
        <w:rPr>
          <w:b/>
          <w:bCs/>
        </w:rPr>
        <w:t>centred</w:t>
      </w:r>
      <w:proofErr w:type="spellEnd"/>
      <w:r w:rsidRPr="00A96B72">
        <w:rPr>
          <w:b/>
          <w:bCs/>
        </w:rPr>
        <w:t xml:space="preserve"> and </w:t>
      </w:r>
      <w:r w:rsidR="00A41D69" w:rsidRPr="00A96B72">
        <w:rPr>
          <w:b/>
          <w:bCs/>
        </w:rPr>
        <w:t>g</w:t>
      </w:r>
      <w:r w:rsidRPr="00A96B72">
        <w:rPr>
          <w:b/>
          <w:bCs/>
        </w:rPr>
        <w:t>ender-</w:t>
      </w:r>
      <w:r w:rsidR="00A41D69" w:rsidRPr="00A96B72">
        <w:rPr>
          <w:b/>
          <w:bCs/>
        </w:rPr>
        <w:t>r</w:t>
      </w:r>
      <w:r w:rsidRPr="00A96B72">
        <w:rPr>
          <w:b/>
          <w:bCs/>
        </w:rPr>
        <w:t xml:space="preserve">esponsive </w:t>
      </w:r>
      <w:r w:rsidR="00A41D69" w:rsidRPr="00A96B72">
        <w:rPr>
          <w:b/>
          <w:bCs/>
        </w:rPr>
        <w:t>i</w:t>
      </w:r>
      <w:r w:rsidRPr="00A96B72">
        <w:rPr>
          <w:b/>
          <w:bCs/>
        </w:rPr>
        <w:t>nstitutions</w:t>
      </w:r>
    </w:p>
    <w:p w14:paraId="4AF8100B" w14:textId="1DDF4E1C" w:rsidR="00C966C7" w:rsidRPr="00A96B72" w:rsidRDefault="00C966C7" w:rsidP="000E4AA2">
      <w:pPr>
        <w:pStyle w:val="ListParagraph"/>
        <w:numPr>
          <w:ilvl w:val="0"/>
          <w:numId w:val="2"/>
        </w:numPr>
        <w:tabs>
          <w:tab w:val="left" w:pos="0"/>
        </w:tabs>
        <w:spacing w:line="240" w:lineRule="exact"/>
        <w:ind w:right="1210" w:firstLine="0"/>
        <w:contextualSpacing/>
        <w:jc w:val="both"/>
      </w:pPr>
      <w:r w:rsidRPr="00A96B72">
        <w:t xml:space="preserve">UNDP’s contribution will be central to </w:t>
      </w:r>
      <w:r w:rsidR="00091AF7" w:rsidRPr="00A96B72">
        <w:t>exploiting</w:t>
      </w:r>
      <w:r w:rsidR="00A41D69" w:rsidRPr="00A96B72">
        <w:t xml:space="preserve"> </w:t>
      </w:r>
      <w:r w:rsidRPr="00A96B72">
        <w:t>the expertise across the United Nations system to provide comprehensive and integrated support to public administration reform, digital transformation and social cohesion. Much of this work will contribute to results in the other two priority areas</w:t>
      </w:r>
      <w:r w:rsidR="00DC2CA2" w:rsidRPr="00A96B72">
        <w:t>. It is expected that</w:t>
      </w:r>
      <w:r w:rsidRPr="00A96B72">
        <w:t xml:space="preserve"> broader reforms</w:t>
      </w:r>
      <w:r w:rsidR="00DC2CA2" w:rsidRPr="00A96B72">
        <w:t xml:space="preserve"> </w:t>
      </w:r>
      <w:r w:rsidRPr="00A96B72">
        <w:t xml:space="preserve">to improve development planning and capacities </w:t>
      </w:r>
      <w:r w:rsidR="00DC2CA2" w:rsidRPr="00A96B72">
        <w:t xml:space="preserve">through </w:t>
      </w:r>
      <w:r w:rsidRPr="00A96B72">
        <w:t xml:space="preserve">innovative and increasingly digital systems will complement </w:t>
      </w:r>
      <w:r w:rsidR="001A5714" w:rsidRPr="00A96B72">
        <w:t xml:space="preserve">work by </w:t>
      </w:r>
      <w:r w:rsidR="00644CE7" w:rsidRPr="00A96B72">
        <w:t>other U</w:t>
      </w:r>
      <w:r w:rsidR="00DC2CA2" w:rsidRPr="00A96B72">
        <w:t xml:space="preserve">nited </w:t>
      </w:r>
      <w:r w:rsidR="00644CE7" w:rsidRPr="00A96B72">
        <w:t>N</w:t>
      </w:r>
      <w:r w:rsidR="00DC2CA2" w:rsidRPr="00A96B72">
        <w:t xml:space="preserve">ations </w:t>
      </w:r>
      <w:r w:rsidR="001A5714" w:rsidRPr="00A96B72">
        <w:t>entities.</w:t>
      </w:r>
      <w:r w:rsidRPr="00A96B72">
        <w:t xml:space="preserve"> </w:t>
      </w:r>
    </w:p>
    <w:p w14:paraId="58E50D6D" w14:textId="77777777" w:rsidR="000E4AA2" w:rsidRPr="00A96B72" w:rsidRDefault="000E4AA2" w:rsidP="000E4AA2">
      <w:pPr>
        <w:pStyle w:val="ListParagraph"/>
        <w:tabs>
          <w:tab w:val="left" w:pos="0"/>
        </w:tabs>
        <w:ind w:left="1080" w:right="1210"/>
        <w:contextualSpacing/>
        <w:jc w:val="both"/>
        <w:rPr>
          <w:sz w:val="12"/>
          <w:szCs w:val="12"/>
        </w:rPr>
      </w:pPr>
    </w:p>
    <w:p w14:paraId="05FC80A2" w14:textId="0C2404EB" w:rsidR="00C966C7" w:rsidRPr="000E4C4E" w:rsidRDefault="00C966C7" w:rsidP="000E4AA2">
      <w:pPr>
        <w:pStyle w:val="ListParagraph"/>
        <w:numPr>
          <w:ilvl w:val="0"/>
          <w:numId w:val="2"/>
        </w:numPr>
        <w:ind w:right="1210" w:firstLine="0"/>
        <w:contextualSpacing/>
        <w:jc w:val="both"/>
      </w:pPr>
      <w:r w:rsidRPr="00A96B72">
        <w:t xml:space="preserve">UNDP will support </w:t>
      </w:r>
      <w:r w:rsidR="003244B9" w:rsidRPr="00A96B72">
        <w:t>p</w:t>
      </w:r>
      <w:r w:rsidRPr="00A96B72">
        <w:t xml:space="preserve">ublic </w:t>
      </w:r>
      <w:r w:rsidR="003244B9" w:rsidRPr="00A96B72">
        <w:t>a</w:t>
      </w:r>
      <w:r w:rsidRPr="00A96B72">
        <w:t xml:space="preserve">dministration </w:t>
      </w:r>
      <w:r w:rsidR="003244B9" w:rsidRPr="00A96B72">
        <w:t>r</w:t>
      </w:r>
      <w:r w:rsidRPr="00A96B72">
        <w:t xml:space="preserve">eform to design services </w:t>
      </w:r>
      <w:r w:rsidR="003244B9" w:rsidRPr="00A96B72">
        <w:t xml:space="preserve">that </w:t>
      </w:r>
      <w:r w:rsidRPr="00A96B72">
        <w:t>are more people-</w:t>
      </w:r>
      <w:proofErr w:type="spellStart"/>
      <w:r w:rsidRPr="00A96B72">
        <w:t>centred</w:t>
      </w:r>
      <w:proofErr w:type="spellEnd"/>
      <w:r w:rsidRPr="00A96B72">
        <w:t>, gender responsive, adapt</w:t>
      </w:r>
      <w:r w:rsidR="003244B9" w:rsidRPr="00A96B72">
        <w:t>able</w:t>
      </w:r>
      <w:r w:rsidRPr="00A96B72">
        <w:t xml:space="preserve"> and efficient. The primary focus will be on improving inclusive local and national </w:t>
      </w:r>
      <w:r w:rsidR="00226274" w:rsidRPr="00A96B72">
        <w:t xml:space="preserve">strategic </w:t>
      </w:r>
      <w:r w:rsidRPr="00A96B72">
        <w:t xml:space="preserve">planning, </w:t>
      </w:r>
      <w:r w:rsidR="003244B9" w:rsidRPr="00A96B72">
        <w:t xml:space="preserve">participatory </w:t>
      </w:r>
      <w:r w:rsidRPr="00A96B72">
        <w:t xml:space="preserve">results-based management, </w:t>
      </w:r>
      <w:r w:rsidR="003244B9" w:rsidRPr="00A96B72">
        <w:t>and better</w:t>
      </w:r>
      <w:r w:rsidRPr="00A96B72">
        <w:t xml:space="preserve"> monitoring and evaluation</w:t>
      </w:r>
      <w:r w:rsidR="003244B9" w:rsidRPr="00A96B72">
        <w:t>,</w:t>
      </w:r>
      <w:r w:rsidRPr="00A96B72">
        <w:t xml:space="preserve"> with data and evidence at the </w:t>
      </w:r>
      <w:proofErr w:type="spellStart"/>
      <w:r w:rsidRPr="00A96B72">
        <w:t>centre</w:t>
      </w:r>
      <w:proofErr w:type="spellEnd"/>
      <w:r w:rsidRPr="00A96B72">
        <w:t xml:space="preserve"> of decision-making </w:t>
      </w:r>
      <w:r w:rsidR="003244B9" w:rsidRPr="00A96B72">
        <w:t>on policies</w:t>
      </w:r>
      <w:r w:rsidRPr="00A96B72">
        <w:t xml:space="preserve">. UNDP will support the </w:t>
      </w:r>
      <w:r w:rsidR="003244B9" w:rsidRPr="00A96B72">
        <w:t>g</w:t>
      </w:r>
      <w:r w:rsidRPr="00A96B72">
        <w:t xml:space="preserve">overnment in pursuing </w:t>
      </w:r>
      <w:r w:rsidR="003244B9" w:rsidRPr="00A96B72">
        <w:t xml:space="preserve">financial technology </w:t>
      </w:r>
      <w:r w:rsidRPr="00A96B72">
        <w:t xml:space="preserve">solutions </w:t>
      </w:r>
      <w:r w:rsidR="003244B9" w:rsidRPr="00A96B72">
        <w:t>to</w:t>
      </w:r>
      <w:r w:rsidRPr="00A96B72">
        <w:t xml:space="preserve"> improve</w:t>
      </w:r>
      <w:r w:rsidR="003244B9" w:rsidRPr="00A96B72">
        <w:t xml:space="preserve"> the</w:t>
      </w:r>
      <w:r w:rsidRPr="00A96B72">
        <w:t xml:space="preserve"> transparency and efficiency of public finance management. The work will be closely coordinated with initiatives</w:t>
      </w:r>
      <w:r w:rsidRPr="000E4C4E">
        <w:t xml:space="preserve"> implemented by</w:t>
      </w:r>
      <w:r w:rsidR="00A301AC" w:rsidRPr="000E4C4E">
        <w:t xml:space="preserve"> the </w:t>
      </w:r>
      <w:proofErr w:type="spellStart"/>
      <w:r w:rsidR="00A301AC" w:rsidRPr="000E4C4E">
        <w:t>Organisation</w:t>
      </w:r>
      <w:proofErr w:type="spellEnd"/>
      <w:r w:rsidR="00A301AC" w:rsidRPr="000E4C4E">
        <w:t xml:space="preserve"> for Economic Co-operation and Development</w:t>
      </w:r>
      <w:r w:rsidR="003244B9">
        <w:t xml:space="preserve"> through its </w:t>
      </w:r>
      <w:r w:rsidR="00037E2B">
        <w:t>initiative s</w:t>
      </w:r>
      <w:r w:rsidR="00A301AC" w:rsidRPr="000E4C4E">
        <w:t>upport</w:t>
      </w:r>
      <w:r w:rsidR="00037E2B">
        <w:t>ing i</w:t>
      </w:r>
      <w:r w:rsidR="00A301AC" w:rsidRPr="000E4C4E">
        <w:t>mprove</w:t>
      </w:r>
      <w:r w:rsidR="00037E2B">
        <w:t>d</w:t>
      </w:r>
      <w:r w:rsidR="00A301AC" w:rsidRPr="000E4C4E">
        <w:t xml:space="preserve"> </w:t>
      </w:r>
      <w:r w:rsidR="00037E2B">
        <w:t>g</w:t>
      </w:r>
      <w:r w:rsidR="00A301AC" w:rsidRPr="000E4C4E">
        <w:t xml:space="preserve">overnance and </w:t>
      </w:r>
      <w:r w:rsidR="00037E2B">
        <w:t>m</w:t>
      </w:r>
      <w:r w:rsidR="00A301AC" w:rsidRPr="000E4C4E">
        <w:t>anagement</w:t>
      </w:r>
      <w:r w:rsidRPr="000E4C4E">
        <w:t xml:space="preserve"> and the Regional School for Public Administration. UNDP’s work on public financial management</w:t>
      </w:r>
      <w:r w:rsidR="00477467">
        <w:t xml:space="preserve"> through </w:t>
      </w:r>
      <w:r w:rsidR="003356B8">
        <w:t>development of national capacit</w:t>
      </w:r>
      <w:r w:rsidR="000F1985">
        <w:t>y</w:t>
      </w:r>
      <w:r w:rsidR="003356B8">
        <w:t xml:space="preserve"> for </w:t>
      </w:r>
      <w:r w:rsidR="00752F8F">
        <w:t xml:space="preserve">‘foresight’ </w:t>
      </w:r>
      <w:r w:rsidR="00477467">
        <w:t>techniques to anticipate emerging issues and trends</w:t>
      </w:r>
      <w:r w:rsidRPr="000E4C4E">
        <w:t xml:space="preserve">, </w:t>
      </w:r>
      <w:r w:rsidR="00477467">
        <w:t xml:space="preserve">as well as </w:t>
      </w:r>
      <w:r w:rsidRPr="000E4C4E">
        <w:t>accounting standards</w:t>
      </w:r>
      <w:r w:rsidR="000F1985">
        <w:t xml:space="preserve"> and</w:t>
      </w:r>
      <w:r w:rsidRPr="000E4C4E">
        <w:t xml:space="preserve"> revenue management</w:t>
      </w:r>
      <w:r w:rsidR="005A0445">
        <w:t xml:space="preserve">, </w:t>
      </w:r>
      <w:r w:rsidRPr="000E4C4E">
        <w:t>will complement the World Bank’s efforts to improve</w:t>
      </w:r>
      <w:r w:rsidR="00CC65FE">
        <w:t xml:space="preserve"> the</w:t>
      </w:r>
      <w:r w:rsidRPr="000E4C4E">
        <w:t xml:space="preserve"> sustainability and resilience of public finances.</w:t>
      </w:r>
    </w:p>
    <w:p w14:paraId="42DF8C89" w14:textId="77777777" w:rsidR="00C966C7" w:rsidRPr="000E4AA2" w:rsidRDefault="00C966C7" w:rsidP="000E4AA2">
      <w:pPr>
        <w:pStyle w:val="ListParagraph"/>
        <w:tabs>
          <w:tab w:val="left" w:pos="0"/>
        </w:tabs>
        <w:ind w:left="1080" w:right="1210"/>
        <w:contextualSpacing/>
        <w:jc w:val="both"/>
        <w:rPr>
          <w:sz w:val="12"/>
          <w:szCs w:val="12"/>
        </w:rPr>
      </w:pPr>
    </w:p>
    <w:p w14:paraId="151F3AC4" w14:textId="1FCD310C" w:rsidR="00C966C7" w:rsidRDefault="00C966C7" w:rsidP="000E4AA2">
      <w:pPr>
        <w:pStyle w:val="ListParagraph"/>
        <w:numPr>
          <w:ilvl w:val="0"/>
          <w:numId w:val="2"/>
        </w:numPr>
        <w:tabs>
          <w:tab w:val="left" w:pos="0"/>
        </w:tabs>
        <w:ind w:right="1210" w:firstLine="0"/>
        <w:contextualSpacing/>
        <w:jc w:val="both"/>
      </w:pPr>
      <w:r w:rsidRPr="000E4C4E">
        <w:t xml:space="preserve">In order to increase trust </w:t>
      </w:r>
      <w:r w:rsidR="00CC65FE">
        <w:t>with</w:t>
      </w:r>
      <w:r w:rsidRPr="000E4C4E">
        <w:t xml:space="preserve">in institutions and across social groups and communities, UNDP will focus on measures to strengthen integrity and anti-corruption efforts in all three branches of </w:t>
      </w:r>
      <w:r w:rsidR="001A5714">
        <w:t>government</w:t>
      </w:r>
      <w:r w:rsidRPr="000E4C4E">
        <w:t xml:space="preserve">, while also promoting meaningful civic dialogue. To increase social cohesion through forging trust </w:t>
      </w:r>
      <w:r w:rsidR="00CC65FE">
        <w:t>among</w:t>
      </w:r>
      <w:r w:rsidRPr="000E4C4E">
        <w:t xml:space="preserve"> communities, and between people and institutions, UNDP will work with stakeholders to address hate speech, primarily against women, and divisive narratives. This will complement the Council of Europe’s regional initiative on </w:t>
      </w:r>
      <w:r w:rsidR="00CC65FE">
        <w:t xml:space="preserve">inclusion of the </w:t>
      </w:r>
      <w:r w:rsidRPr="000E4C4E">
        <w:t xml:space="preserve">Roma and Egyptian minority and </w:t>
      </w:r>
      <w:r w:rsidR="00CC65FE">
        <w:t xml:space="preserve">on </w:t>
      </w:r>
      <w:r w:rsidRPr="000E4C4E">
        <w:t>access to local services</w:t>
      </w:r>
      <w:r w:rsidR="00CC65FE">
        <w:t xml:space="preserve">. </w:t>
      </w:r>
      <w:r w:rsidRPr="000E4C4E">
        <w:t>UNDP will facilitate regional initiatives promoting women’s empowerment and prevention of hate speech, collaboration on transitional justice, gender equality in the defense sector</w:t>
      </w:r>
      <w:r w:rsidR="00A96B72">
        <w:t xml:space="preserve"> and</w:t>
      </w:r>
      <w:r w:rsidRPr="000E4C4E">
        <w:t xml:space="preserve"> </w:t>
      </w:r>
      <w:r w:rsidR="00F71C2F">
        <w:t xml:space="preserve">youth dialogues, </w:t>
      </w:r>
      <w:r w:rsidRPr="000E4C4E">
        <w:t xml:space="preserve">and improving </w:t>
      </w:r>
      <w:r w:rsidR="00CC65FE">
        <w:t xml:space="preserve">control of </w:t>
      </w:r>
      <w:r w:rsidRPr="000E4C4E">
        <w:t>small arms and light weapons.</w:t>
      </w:r>
    </w:p>
    <w:p w14:paraId="2CCAC435" w14:textId="77777777" w:rsidR="000E4AA2" w:rsidRPr="000E4AA2" w:rsidRDefault="000E4AA2" w:rsidP="000E4AA2">
      <w:pPr>
        <w:pStyle w:val="ListParagraph"/>
        <w:rPr>
          <w:sz w:val="12"/>
          <w:szCs w:val="12"/>
        </w:rPr>
      </w:pPr>
    </w:p>
    <w:p w14:paraId="20C86084" w14:textId="5B3CDECD" w:rsidR="00C966C7" w:rsidRPr="00DF6270" w:rsidRDefault="00C966C7" w:rsidP="000E4AA2">
      <w:pPr>
        <w:pStyle w:val="ListParagraph"/>
        <w:numPr>
          <w:ilvl w:val="0"/>
          <w:numId w:val="2"/>
        </w:numPr>
        <w:tabs>
          <w:tab w:val="left" w:pos="0"/>
        </w:tabs>
        <w:ind w:right="1210" w:firstLine="0"/>
        <w:contextualSpacing/>
        <w:jc w:val="both"/>
      </w:pPr>
      <w:r w:rsidRPr="000E4C4E">
        <w:t>As a further trust-building initiative UNDP will help</w:t>
      </w:r>
      <w:r w:rsidR="00CC65FE">
        <w:t xml:space="preserve"> to</w:t>
      </w:r>
      <w:r w:rsidRPr="000E4C4E">
        <w:t xml:space="preserve"> improve the efficiency of the judicial sector, especially to process cases of </w:t>
      </w:r>
      <w:r w:rsidR="00CC65FE">
        <w:t>gender-based violence</w:t>
      </w:r>
      <w:r w:rsidR="00CC65FE" w:rsidRPr="000E4C4E">
        <w:t xml:space="preserve"> </w:t>
      </w:r>
      <w:r w:rsidRPr="000E4C4E">
        <w:t xml:space="preserve">and hate speech. </w:t>
      </w:r>
      <w:r w:rsidR="00CC65FE">
        <w:t xml:space="preserve">UNDP </w:t>
      </w:r>
      <w:r w:rsidRPr="000E4C4E">
        <w:t>will</w:t>
      </w:r>
      <w:r w:rsidR="00CC65FE">
        <w:t xml:space="preserve"> also participat</w:t>
      </w:r>
      <w:r w:rsidR="00037E2B">
        <w:t>e</w:t>
      </w:r>
      <w:r w:rsidRPr="000E4C4E">
        <w:t xml:space="preserve"> in developing standards for mainstreaming gender equality in public </w:t>
      </w:r>
      <w:r w:rsidRPr="00DF6270">
        <w:t>administration, media</w:t>
      </w:r>
      <w:r w:rsidR="00CC65FE" w:rsidRPr="00DF6270">
        <w:t xml:space="preserve"> and</w:t>
      </w:r>
      <w:r w:rsidRPr="00DF6270">
        <w:t xml:space="preserve"> public discourse. Through this work UNDP will contribute to removing barriers to </w:t>
      </w:r>
      <w:r w:rsidR="00245304">
        <w:t xml:space="preserve">women’s </w:t>
      </w:r>
      <w:r w:rsidRPr="00DF6270">
        <w:t>participation in leadership at all levels of decision-making and in public life.</w:t>
      </w:r>
    </w:p>
    <w:p w14:paraId="422B67F1" w14:textId="77777777" w:rsidR="00C966C7" w:rsidRPr="00DF6270" w:rsidRDefault="00C966C7" w:rsidP="000E4AA2">
      <w:pPr>
        <w:pStyle w:val="ListParagraph"/>
        <w:tabs>
          <w:tab w:val="left" w:pos="0"/>
        </w:tabs>
        <w:ind w:left="1080" w:right="1210"/>
        <w:contextualSpacing/>
        <w:jc w:val="both"/>
        <w:rPr>
          <w:sz w:val="12"/>
          <w:szCs w:val="12"/>
        </w:rPr>
      </w:pPr>
    </w:p>
    <w:p w14:paraId="163F670A" w14:textId="20A98CC4" w:rsidR="00C966C7" w:rsidRPr="00DF6270" w:rsidRDefault="00C966C7" w:rsidP="000E4AA2">
      <w:pPr>
        <w:pStyle w:val="ListParagraph"/>
        <w:numPr>
          <w:ilvl w:val="0"/>
          <w:numId w:val="2"/>
        </w:numPr>
        <w:tabs>
          <w:tab w:val="left" w:pos="0"/>
        </w:tabs>
        <w:ind w:right="1210" w:firstLine="0"/>
        <w:contextualSpacing/>
        <w:jc w:val="both"/>
      </w:pPr>
      <w:r w:rsidRPr="00DF6270">
        <w:t xml:space="preserve">Underpinning all of this work will be UNDP’s comprehensive support to </w:t>
      </w:r>
      <w:r w:rsidRPr="00477467">
        <w:t>the inclusive digital transformation</w:t>
      </w:r>
      <w:r w:rsidRPr="00DF6270">
        <w:t xml:space="preserve"> of Montenegro’s public administration in collaboration with other </w:t>
      </w:r>
      <w:r w:rsidR="00877EAD" w:rsidRPr="00DF6270">
        <w:t>United Nations entities</w:t>
      </w:r>
      <w:r w:rsidRPr="00DF6270">
        <w:t>.</w:t>
      </w:r>
      <w:r w:rsidR="00193394" w:rsidRPr="00DF6270">
        <w:t xml:space="preserve"> </w:t>
      </w:r>
      <w:r w:rsidR="00245304">
        <w:t>Capitalizing on</w:t>
      </w:r>
      <w:r w:rsidR="00245304" w:rsidRPr="00DF6270">
        <w:t xml:space="preserve"> </w:t>
      </w:r>
      <w:r w:rsidR="00193394" w:rsidRPr="00DF6270">
        <w:t>the lessons lear</w:t>
      </w:r>
      <w:r w:rsidR="00877EAD" w:rsidRPr="00DF6270">
        <w:t>ned</w:t>
      </w:r>
      <w:r w:rsidR="00193394" w:rsidRPr="00DF6270">
        <w:t xml:space="preserve"> </w:t>
      </w:r>
      <w:r w:rsidR="00877EAD" w:rsidRPr="00DF6270">
        <w:t>in transforming</w:t>
      </w:r>
      <w:r w:rsidR="00193394" w:rsidRPr="00DF6270">
        <w:t xml:space="preserve"> delivery </w:t>
      </w:r>
      <w:r w:rsidR="00245304">
        <w:t xml:space="preserve">of public services </w:t>
      </w:r>
      <w:r w:rsidR="00193394" w:rsidRPr="00DF6270">
        <w:t>during C</w:t>
      </w:r>
      <w:r w:rsidR="00877EAD" w:rsidRPr="00DF6270">
        <w:t>OVID</w:t>
      </w:r>
      <w:r w:rsidR="00193394" w:rsidRPr="00DF6270">
        <w:t>-</w:t>
      </w:r>
      <w:r w:rsidR="008E7147" w:rsidRPr="00DF6270">
        <w:t>1</w:t>
      </w:r>
      <w:r w:rsidR="00193394" w:rsidRPr="00DF6270">
        <w:t>9</w:t>
      </w:r>
      <w:r w:rsidR="008E7147" w:rsidRPr="00DF6270">
        <w:t>, n</w:t>
      </w:r>
      <w:r w:rsidRPr="00DF6270">
        <w:t>ew digital strategies and services will be implemented across the public administration</w:t>
      </w:r>
      <w:r w:rsidR="00877EAD" w:rsidRPr="00DF6270">
        <w:t xml:space="preserve">. They will be </w:t>
      </w:r>
      <w:r w:rsidRPr="00DF6270">
        <w:t>deepened in particular sectors</w:t>
      </w:r>
      <w:r w:rsidR="00877EAD" w:rsidRPr="00DF6270">
        <w:t>,</w:t>
      </w:r>
      <w:r w:rsidRPr="00DF6270">
        <w:t xml:space="preserve"> </w:t>
      </w:r>
      <w:r w:rsidR="00193394" w:rsidRPr="00DF6270">
        <w:t xml:space="preserve">such as </w:t>
      </w:r>
      <w:r w:rsidRPr="00DF6270">
        <w:t>social protection, health, judiciary</w:t>
      </w:r>
      <w:r w:rsidR="00877EAD" w:rsidRPr="00DF6270">
        <w:t xml:space="preserve"> and</w:t>
      </w:r>
      <w:r w:rsidRPr="00DF6270">
        <w:t xml:space="preserve"> education. The newly developed digital solutions coupled with improved </w:t>
      </w:r>
      <w:r w:rsidR="000F1985">
        <w:t xml:space="preserve">capacities for </w:t>
      </w:r>
      <w:r w:rsidRPr="00DF6270">
        <w:t xml:space="preserve">management of information technology will </w:t>
      </w:r>
      <w:r w:rsidR="00877EAD" w:rsidRPr="00DF6270">
        <w:t xml:space="preserve">help to </w:t>
      </w:r>
      <w:r w:rsidRPr="00DF6270">
        <w:t xml:space="preserve">build resilience against future shocks. UNDP will also support the </w:t>
      </w:r>
      <w:r w:rsidR="00877EAD" w:rsidRPr="00DF6270">
        <w:t>g</w:t>
      </w:r>
      <w:r w:rsidRPr="00DF6270">
        <w:t>overnment in develop</w:t>
      </w:r>
      <w:r w:rsidR="00877EAD" w:rsidRPr="00DF6270">
        <w:t>ing</w:t>
      </w:r>
      <w:r w:rsidRPr="00DF6270">
        <w:t xml:space="preserve"> gender-</w:t>
      </w:r>
      <w:r w:rsidR="008957E0" w:rsidRPr="00DF6270">
        <w:t xml:space="preserve">responsive </w:t>
      </w:r>
      <w:r w:rsidRPr="00DF6270">
        <w:t>digital governance policies and advise on personal data protection and human rights.</w:t>
      </w:r>
    </w:p>
    <w:p w14:paraId="7D317958" w14:textId="77777777" w:rsidR="000E4AA2" w:rsidRPr="00DF6270" w:rsidRDefault="000E4AA2" w:rsidP="000E4AA2">
      <w:pPr>
        <w:pStyle w:val="ListParagraph"/>
      </w:pPr>
    </w:p>
    <w:p w14:paraId="2AE6469D" w14:textId="0DE63A86" w:rsidR="00C966C7" w:rsidRPr="000E4AA2" w:rsidRDefault="00C966C7" w:rsidP="000E4AA2">
      <w:pPr>
        <w:pStyle w:val="ListParagraph"/>
        <w:numPr>
          <w:ilvl w:val="0"/>
          <w:numId w:val="24"/>
        </w:numPr>
        <w:spacing w:after="200" w:line="240" w:lineRule="exact"/>
        <w:ind w:left="1080" w:right="1210" w:hanging="450"/>
        <w:rPr>
          <w:b/>
          <w:bCs/>
          <w:sz w:val="24"/>
          <w:szCs w:val="24"/>
        </w:rPr>
      </w:pPr>
      <w:r w:rsidRPr="00DF6270">
        <w:rPr>
          <w:b/>
          <w:bCs/>
          <w:sz w:val="24"/>
          <w:szCs w:val="24"/>
        </w:rPr>
        <w:t xml:space="preserve">Programme </w:t>
      </w:r>
      <w:r w:rsidR="000E4AA2" w:rsidRPr="00DF6270">
        <w:rPr>
          <w:b/>
          <w:bCs/>
          <w:sz w:val="24"/>
          <w:szCs w:val="24"/>
        </w:rPr>
        <w:t>an</w:t>
      </w:r>
      <w:r w:rsidR="000E4AA2">
        <w:rPr>
          <w:b/>
          <w:bCs/>
          <w:sz w:val="24"/>
          <w:szCs w:val="24"/>
        </w:rPr>
        <w:t xml:space="preserve">d risk </w:t>
      </w:r>
      <w:r w:rsidR="000E4AA2" w:rsidRPr="000E4AA2">
        <w:rPr>
          <w:b/>
          <w:bCs/>
          <w:sz w:val="24"/>
          <w:szCs w:val="24"/>
        </w:rPr>
        <w:t>m</w:t>
      </w:r>
      <w:r w:rsidRPr="000E4AA2">
        <w:rPr>
          <w:b/>
          <w:bCs/>
          <w:sz w:val="24"/>
          <w:szCs w:val="24"/>
        </w:rPr>
        <w:t>anagement</w:t>
      </w:r>
    </w:p>
    <w:p w14:paraId="441E0737" w14:textId="5494BABF" w:rsidR="00C966C7" w:rsidRDefault="00C966C7" w:rsidP="000E4AA2">
      <w:pPr>
        <w:pStyle w:val="ListParagraph"/>
        <w:numPr>
          <w:ilvl w:val="0"/>
          <w:numId w:val="2"/>
        </w:numPr>
        <w:tabs>
          <w:tab w:val="left" w:pos="0"/>
        </w:tabs>
        <w:ind w:right="1210" w:firstLine="0"/>
        <w:contextualSpacing/>
        <w:jc w:val="both"/>
      </w:pPr>
      <w:r w:rsidRPr="000E4C4E">
        <w:t xml:space="preserve">The programme will be governed by a </w:t>
      </w:r>
      <w:r w:rsidR="0010088A">
        <w:t>j</w:t>
      </w:r>
      <w:r w:rsidRPr="000E4C4E">
        <w:t xml:space="preserve">oint </w:t>
      </w:r>
      <w:r w:rsidR="0010088A">
        <w:t>g</w:t>
      </w:r>
      <w:r w:rsidRPr="000E4C4E">
        <w:t xml:space="preserve">overnment-United Nations </w:t>
      </w:r>
      <w:r w:rsidR="0010088A">
        <w:t>s</w:t>
      </w:r>
      <w:r w:rsidRPr="000E4C4E">
        <w:t xml:space="preserve">teering </w:t>
      </w:r>
      <w:r w:rsidR="0010088A">
        <w:t>c</w:t>
      </w:r>
      <w:r w:rsidRPr="000E4C4E">
        <w:t xml:space="preserve">ommittee, co-chaired by the Ministry of Foreign Affairs and the </w:t>
      </w:r>
      <w:r w:rsidR="0010088A">
        <w:t>r</w:t>
      </w:r>
      <w:r w:rsidRPr="000E4C4E">
        <w:t xml:space="preserve">esident </w:t>
      </w:r>
      <w:r w:rsidR="0010088A">
        <w:t>c</w:t>
      </w:r>
      <w:r w:rsidRPr="000E4C4E">
        <w:t>oordinator</w:t>
      </w:r>
      <w:r w:rsidR="0010088A">
        <w:t xml:space="preserve">. It </w:t>
      </w:r>
      <w:r w:rsidRPr="000E4C4E">
        <w:t xml:space="preserve">will undertake </w:t>
      </w:r>
      <w:r w:rsidRPr="00477467">
        <w:t>annual reviews</w:t>
      </w:r>
      <w:r w:rsidRPr="000E4C4E">
        <w:t xml:space="preserve"> of the UNSDCF, inclu</w:t>
      </w:r>
      <w:r w:rsidR="0010088A">
        <w:t>ding</w:t>
      </w:r>
      <w:r w:rsidRPr="000E4C4E">
        <w:t xml:space="preserve"> of the contributions by the UNDP country programme, in coordination with relevant ministries</w:t>
      </w:r>
      <w:r w:rsidR="0010088A">
        <w:t xml:space="preserve">, </w:t>
      </w:r>
      <w:r w:rsidRPr="000E4C4E">
        <w:t xml:space="preserve">municipalities and other stakeholders. The </w:t>
      </w:r>
      <w:r w:rsidR="0010088A">
        <w:lastRenderedPageBreak/>
        <w:t>s</w:t>
      </w:r>
      <w:r w:rsidRPr="000E4C4E">
        <w:t xml:space="preserve">teering </w:t>
      </w:r>
      <w:r w:rsidR="0010088A">
        <w:t>c</w:t>
      </w:r>
      <w:r w:rsidRPr="000E4C4E">
        <w:t xml:space="preserve">ommittee will </w:t>
      </w:r>
      <w:r w:rsidR="0010088A">
        <w:t>make any necessary</w:t>
      </w:r>
      <w:r w:rsidRPr="000E4C4E">
        <w:t xml:space="preserve"> programm</w:t>
      </w:r>
      <w:r w:rsidR="0010088A">
        <w:t>e</w:t>
      </w:r>
      <w:r w:rsidRPr="000E4C4E">
        <w:t xml:space="preserve"> adjustments, especially in response to external shocks and/or changes in national policies or priorities. </w:t>
      </w:r>
    </w:p>
    <w:p w14:paraId="7D6F29D1" w14:textId="77777777" w:rsidR="0010088A" w:rsidRPr="00FB18A8" w:rsidRDefault="0010088A" w:rsidP="00477467">
      <w:pPr>
        <w:pStyle w:val="ListParagraph"/>
        <w:tabs>
          <w:tab w:val="left" w:pos="0"/>
        </w:tabs>
        <w:ind w:left="1080" w:right="1210"/>
        <w:contextualSpacing/>
        <w:jc w:val="both"/>
        <w:rPr>
          <w:sz w:val="12"/>
          <w:szCs w:val="12"/>
        </w:rPr>
      </w:pPr>
    </w:p>
    <w:p w14:paraId="74EF6D96" w14:textId="576C7E74" w:rsidR="00C966C7" w:rsidRPr="000E4AA2" w:rsidRDefault="00C966C7" w:rsidP="000E4AA2">
      <w:pPr>
        <w:pStyle w:val="ListParagraph"/>
        <w:numPr>
          <w:ilvl w:val="0"/>
          <w:numId w:val="2"/>
        </w:numPr>
        <w:tabs>
          <w:tab w:val="left" w:pos="0"/>
        </w:tabs>
        <w:ind w:right="1210" w:firstLine="0"/>
        <w:contextualSpacing/>
        <w:jc w:val="both"/>
      </w:pPr>
      <w:r w:rsidRPr="000E4C4E">
        <w:t xml:space="preserve">UNDP will </w:t>
      </w:r>
      <w:r w:rsidRPr="000E4AA2">
        <w:t>continue to use a portfolio approach to ensure coherence</w:t>
      </w:r>
      <w:r w:rsidR="0010088A">
        <w:t xml:space="preserve"> of the programme</w:t>
      </w:r>
      <w:r w:rsidRPr="000E4AA2">
        <w:t xml:space="preserve">. UNDP will facilitate global and regional exchanges </w:t>
      </w:r>
      <w:r w:rsidR="00453D10">
        <w:t>of</w:t>
      </w:r>
      <w:r w:rsidR="00453D10" w:rsidRPr="000E4AA2">
        <w:t xml:space="preserve"> </w:t>
      </w:r>
      <w:r w:rsidRPr="000E4AA2">
        <w:t>lessons</w:t>
      </w:r>
      <w:r w:rsidR="00453D10">
        <w:t xml:space="preserve"> </w:t>
      </w:r>
      <w:r w:rsidRPr="000E4AA2">
        <w:t>learn</w:t>
      </w:r>
      <w:r w:rsidR="00453D10">
        <w:t>ed</w:t>
      </w:r>
      <w:r w:rsidRPr="000E4AA2">
        <w:t xml:space="preserve"> for Montenegro’s benefit and </w:t>
      </w:r>
      <w:r w:rsidR="00453D10">
        <w:t xml:space="preserve">will </w:t>
      </w:r>
      <w:r w:rsidRPr="000E4AA2">
        <w:t xml:space="preserve">share good practices and experiences from Montenegro. Partners in </w:t>
      </w:r>
      <w:r w:rsidR="00453D10">
        <w:t>these</w:t>
      </w:r>
      <w:r w:rsidR="00453D10" w:rsidRPr="000E4AA2">
        <w:t xml:space="preserve"> </w:t>
      </w:r>
      <w:r w:rsidRPr="000E4AA2">
        <w:t xml:space="preserve">exchanges </w:t>
      </w:r>
      <w:r w:rsidR="00453D10">
        <w:t xml:space="preserve">will </w:t>
      </w:r>
      <w:r w:rsidRPr="000E4AA2">
        <w:t>include Western Balkan countries</w:t>
      </w:r>
      <w:r w:rsidR="0035409F">
        <w:t>/economies</w:t>
      </w:r>
      <w:r w:rsidRPr="000E4AA2">
        <w:t xml:space="preserve"> </w:t>
      </w:r>
      <w:r w:rsidR="00453D10">
        <w:t xml:space="preserve">and those </w:t>
      </w:r>
      <w:r w:rsidRPr="000E4AA2">
        <w:t xml:space="preserve">that recently joined the </w:t>
      </w:r>
      <w:r w:rsidR="00F22408">
        <w:t>EU</w:t>
      </w:r>
      <w:r w:rsidR="00453D10">
        <w:t>; lessons from other countries will be shared</w:t>
      </w:r>
      <w:r w:rsidRPr="000E4AA2">
        <w:t xml:space="preserve"> through South-South and triangular cooperation. </w:t>
      </w:r>
      <w:r w:rsidR="00453D10">
        <w:t xml:space="preserve">Making use of </w:t>
      </w:r>
      <w:r w:rsidRPr="000E4AA2">
        <w:t>recent changes to corporate policies</w:t>
      </w:r>
      <w:r w:rsidR="00453D10">
        <w:t>, UNDP will</w:t>
      </w:r>
      <w:r w:rsidRPr="000E4AA2">
        <w:t xml:space="preserve"> streamline recruitment and procurement to </w:t>
      </w:r>
      <w:r w:rsidR="00453D10">
        <w:t>obtain</w:t>
      </w:r>
      <w:r w:rsidRPr="000E4AA2">
        <w:t xml:space="preserve"> timely support on policy advocacy</w:t>
      </w:r>
      <w:r w:rsidR="00453D10">
        <w:t xml:space="preserve"> and</w:t>
      </w:r>
      <w:r w:rsidR="004B7909" w:rsidRPr="000E4AA2">
        <w:t xml:space="preserve"> </w:t>
      </w:r>
      <w:r w:rsidRPr="000E4AA2">
        <w:t>innovati</w:t>
      </w:r>
      <w:r w:rsidR="00453D10">
        <w:t>ve</w:t>
      </w:r>
      <w:r w:rsidRPr="000E4AA2">
        <w:t xml:space="preserve"> initiatives</w:t>
      </w:r>
      <w:r w:rsidR="004B7909" w:rsidRPr="000E4AA2">
        <w:t xml:space="preserve"> and in response to any shocks</w:t>
      </w:r>
      <w:r w:rsidRPr="000E4AA2">
        <w:t>.</w:t>
      </w:r>
    </w:p>
    <w:p w14:paraId="204BFCD8" w14:textId="77777777" w:rsidR="00C966C7" w:rsidRPr="000E4AA2" w:rsidRDefault="00C966C7" w:rsidP="000E4AA2">
      <w:pPr>
        <w:pStyle w:val="ListParagraph"/>
        <w:tabs>
          <w:tab w:val="left" w:pos="0"/>
        </w:tabs>
        <w:ind w:left="1080" w:right="1210"/>
        <w:contextualSpacing/>
        <w:jc w:val="both"/>
        <w:rPr>
          <w:sz w:val="12"/>
          <w:szCs w:val="12"/>
        </w:rPr>
      </w:pPr>
    </w:p>
    <w:p w14:paraId="1E2FACEF" w14:textId="1E179787" w:rsidR="00C966C7" w:rsidRPr="000E4AA2" w:rsidRDefault="00C966C7" w:rsidP="000E4AA2">
      <w:pPr>
        <w:pStyle w:val="ListParagraph"/>
        <w:numPr>
          <w:ilvl w:val="0"/>
          <w:numId w:val="2"/>
        </w:numPr>
        <w:tabs>
          <w:tab w:val="left" w:pos="0"/>
        </w:tabs>
        <w:ind w:right="1210" w:firstLine="0"/>
        <w:contextualSpacing/>
        <w:jc w:val="both"/>
      </w:pPr>
      <w:r w:rsidRPr="000E4AA2">
        <w:t xml:space="preserve">The main risks pertain to </w:t>
      </w:r>
      <w:r w:rsidR="00453D10">
        <w:t>(a) the degree to which programme interventions can be</w:t>
      </w:r>
      <w:r w:rsidRPr="000E4AA2">
        <w:t xml:space="preserve"> scal</w:t>
      </w:r>
      <w:r w:rsidR="00453D10">
        <w:t>ed up</w:t>
      </w:r>
      <w:r w:rsidRPr="000E4AA2">
        <w:t xml:space="preserve"> and sustain</w:t>
      </w:r>
      <w:r w:rsidR="00453D10">
        <w:t>ed</w:t>
      </w:r>
      <w:r w:rsidR="00215032">
        <w:t>,</w:t>
      </w:r>
      <w:r w:rsidR="00453D10">
        <w:t xml:space="preserve"> (b) </w:t>
      </w:r>
      <w:r w:rsidR="00AC13AD">
        <w:t xml:space="preserve">the possibility that </w:t>
      </w:r>
      <w:r w:rsidRPr="000E4AA2">
        <w:t xml:space="preserve">fiscal pressures </w:t>
      </w:r>
      <w:r w:rsidR="00453D10">
        <w:t>from</w:t>
      </w:r>
      <w:r w:rsidRPr="000E4AA2">
        <w:t xml:space="preserve"> the COVID-19 recovery may crowd out investments needed to maintain and scale </w:t>
      </w:r>
      <w:r w:rsidR="00215032">
        <w:t xml:space="preserve">up </w:t>
      </w:r>
      <w:r w:rsidR="00DC2CA2">
        <w:t>n</w:t>
      </w:r>
      <w:r w:rsidRPr="00245304">
        <w:t>ext</w:t>
      </w:r>
      <w:r w:rsidR="00C312E7">
        <w:t>-</w:t>
      </w:r>
      <w:r w:rsidR="00DC2CA2">
        <w:t>g</w:t>
      </w:r>
      <w:r w:rsidRPr="00245304">
        <w:t>en</w:t>
      </w:r>
      <w:r w:rsidR="00DC2CA2">
        <w:t>eration</w:t>
      </w:r>
      <w:r w:rsidRPr="00245304">
        <w:t xml:space="preserve"> systems</w:t>
      </w:r>
      <w:r w:rsidR="00AC13AD">
        <w:t xml:space="preserve"> and (c) whether </w:t>
      </w:r>
      <w:r w:rsidRPr="000E4AA2">
        <w:t xml:space="preserve">the civil service </w:t>
      </w:r>
      <w:r w:rsidR="00AC13AD">
        <w:t xml:space="preserve">has the </w:t>
      </w:r>
      <w:r w:rsidRPr="000E4AA2">
        <w:t xml:space="preserve">capacity to adopt and drive long-term system improvements. These risks will be mitigated by </w:t>
      </w:r>
      <w:r w:rsidR="00AC13AD">
        <w:t>preparing</w:t>
      </w:r>
      <w:r w:rsidR="00AC13AD" w:rsidRPr="000E4AA2">
        <w:t xml:space="preserve"> </w:t>
      </w:r>
      <w:r w:rsidRPr="000E4AA2">
        <w:t xml:space="preserve">scalability and sustainability strategies and </w:t>
      </w:r>
      <w:r w:rsidR="00AC13AD">
        <w:t xml:space="preserve">through </w:t>
      </w:r>
      <w:r w:rsidRPr="000E4AA2">
        <w:t>monitor</w:t>
      </w:r>
      <w:r w:rsidR="00AC13AD">
        <w:t xml:space="preserve">ing </w:t>
      </w:r>
      <w:r w:rsidRPr="000E4AA2">
        <w:t xml:space="preserve">by </w:t>
      </w:r>
      <w:r w:rsidR="00AC13AD">
        <w:t>p</w:t>
      </w:r>
      <w:r w:rsidRPr="000E4AA2">
        <w:t xml:space="preserve">roject </w:t>
      </w:r>
      <w:r w:rsidR="00AC13AD">
        <w:t>b</w:t>
      </w:r>
      <w:r w:rsidRPr="000E4AA2">
        <w:t xml:space="preserve">oards and the </w:t>
      </w:r>
      <w:r w:rsidR="00AC13AD">
        <w:t>j</w:t>
      </w:r>
      <w:r w:rsidRPr="000E4AA2">
        <w:t xml:space="preserve">oint </w:t>
      </w:r>
      <w:r w:rsidR="00AC13AD">
        <w:t>s</w:t>
      </w:r>
      <w:r w:rsidRPr="000E4AA2">
        <w:t xml:space="preserve">teering </w:t>
      </w:r>
      <w:r w:rsidR="00AC13AD">
        <w:t>c</w:t>
      </w:r>
      <w:r w:rsidRPr="000E4AA2">
        <w:t xml:space="preserve">ommittee. </w:t>
      </w:r>
    </w:p>
    <w:p w14:paraId="260A04B9" w14:textId="77777777" w:rsidR="00C966C7" w:rsidRPr="000E4AA2" w:rsidRDefault="00C966C7" w:rsidP="000E4AA2">
      <w:pPr>
        <w:pStyle w:val="ListParagraph"/>
        <w:tabs>
          <w:tab w:val="left" w:pos="0"/>
        </w:tabs>
        <w:ind w:left="1080" w:right="1210"/>
        <w:contextualSpacing/>
        <w:jc w:val="both"/>
        <w:rPr>
          <w:sz w:val="12"/>
          <w:szCs w:val="12"/>
        </w:rPr>
      </w:pPr>
    </w:p>
    <w:p w14:paraId="38209DE3" w14:textId="764E75E9" w:rsidR="00AC13AD" w:rsidRDefault="00C966C7" w:rsidP="000E4AA2">
      <w:pPr>
        <w:pStyle w:val="ListParagraph"/>
        <w:numPr>
          <w:ilvl w:val="0"/>
          <w:numId w:val="2"/>
        </w:numPr>
        <w:tabs>
          <w:tab w:val="left" w:pos="0"/>
        </w:tabs>
        <w:ind w:right="1210" w:firstLine="0"/>
        <w:contextualSpacing/>
        <w:jc w:val="both"/>
      </w:pPr>
      <w:r w:rsidRPr="000E4AA2">
        <w:t xml:space="preserve">The practice of </w:t>
      </w:r>
      <w:r w:rsidR="00AC13AD">
        <w:t>g</w:t>
      </w:r>
      <w:r w:rsidRPr="000E4AA2">
        <w:t>overnment allocati</w:t>
      </w:r>
      <w:r w:rsidR="00AC13AD">
        <w:t>o</w:t>
      </w:r>
      <w:r w:rsidRPr="000E4AA2">
        <w:t>n</w:t>
      </w:r>
      <w:r w:rsidR="00AC13AD">
        <w:t xml:space="preserve"> of </w:t>
      </w:r>
      <w:r w:rsidRPr="000E4AA2">
        <w:t>seed funding to initiate program</w:t>
      </w:r>
      <w:r w:rsidR="00AC13AD">
        <w:t>me</w:t>
      </w:r>
      <w:r w:rsidRPr="000E4AA2">
        <w:t xml:space="preserve"> support, especially in new areas, proved </w:t>
      </w:r>
      <w:r w:rsidR="00AC13AD">
        <w:t>productive</w:t>
      </w:r>
      <w:r w:rsidR="00C47407">
        <w:t xml:space="preserve"> during the last country programme</w:t>
      </w:r>
      <w:r w:rsidR="00AC13AD">
        <w:t>. This</w:t>
      </w:r>
      <w:r w:rsidRPr="000E4AA2">
        <w:t xml:space="preserve"> </w:t>
      </w:r>
      <w:r w:rsidR="00C47407">
        <w:t>attracted</w:t>
      </w:r>
      <w:r w:rsidRPr="000E4AA2">
        <w:t xml:space="preserve"> additional partner resources and allowed for </w:t>
      </w:r>
      <w:r w:rsidR="00AC13AD">
        <w:t xml:space="preserve">scaling up of </w:t>
      </w:r>
      <w:r w:rsidRPr="000E4AA2">
        <w:t xml:space="preserve">innovative ideas and policy recommendations. </w:t>
      </w:r>
    </w:p>
    <w:p w14:paraId="5655E14F" w14:textId="77777777" w:rsidR="00AC13AD" w:rsidRPr="00FB18A8" w:rsidRDefault="00AC13AD" w:rsidP="00752F8F">
      <w:pPr>
        <w:pStyle w:val="ListParagraph"/>
        <w:rPr>
          <w:sz w:val="12"/>
          <w:szCs w:val="12"/>
        </w:rPr>
      </w:pPr>
    </w:p>
    <w:p w14:paraId="6963F403" w14:textId="2D480EC3" w:rsidR="00C966C7" w:rsidRPr="000E4AA2" w:rsidRDefault="00C966C7" w:rsidP="000E4AA2">
      <w:pPr>
        <w:pStyle w:val="ListParagraph"/>
        <w:numPr>
          <w:ilvl w:val="0"/>
          <w:numId w:val="2"/>
        </w:numPr>
        <w:tabs>
          <w:tab w:val="left" w:pos="0"/>
        </w:tabs>
        <w:ind w:right="1210" w:firstLine="0"/>
        <w:contextualSpacing/>
        <w:jc w:val="both"/>
      </w:pPr>
      <w:r w:rsidRPr="000E4AA2">
        <w:t>UNDP will manage the risk of limited financing partners by pursuing funding opportunities in collaboration with national counterparts, while ensuring</w:t>
      </w:r>
      <w:r w:rsidR="00AC13AD">
        <w:t xml:space="preserve"> a</w:t>
      </w:r>
      <w:r w:rsidRPr="000E4AA2">
        <w:t xml:space="preserve"> balance among three sources of non-core funds: government cost-sharing, vertical funds and </w:t>
      </w:r>
      <w:r w:rsidR="00F22408">
        <w:t>EU</w:t>
      </w:r>
      <w:r w:rsidRPr="000E4AA2">
        <w:t xml:space="preserve"> pre-accession</w:t>
      </w:r>
      <w:r w:rsidR="00AC13AD">
        <w:t xml:space="preserve"> instruments</w:t>
      </w:r>
      <w:r w:rsidRPr="000E4AA2">
        <w:t xml:space="preserve">. Bilateral funding is expected to diminish even further as the country progresses </w:t>
      </w:r>
      <w:r w:rsidR="002E484E">
        <w:t>towards</w:t>
      </w:r>
      <w:r w:rsidRPr="000E4AA2">
        <w:t xml:space="preserve"> accession</w:t>
      </w:r>
      <w:r w:rsidR="002E484E">
        <w:t xml:space="preserve">. This is </w:t>
      </w:r>
      <w:r w:rsidR="00215032">
        <w:t xml:space="preserve">the </w:t>
      </w:r>
      <w:r w:rsidR="002E484E">
        <w:t>reason for</w:t>
      </w:r>
      <w:r w:rsidRPr="000E4AA2">
        <w:t xml:space="preserve"> </w:t>
      </w:r>
      <w:r w:rsidR="002E484E">
        <w:t>the new focus on</w:t>
      </w:r>
      <w:r w:rsidRPr="000E4AA2">
        <w:t xml:space="preserve"> developing </w:t>
      </w:r>
      <w:r w:rsidR="002E484E">
        <w:t xml:space="preserve">the </w:t>
      </w:r>
      <w:r w:rsidRPr="000E4AA2">
        <w:t xml:space="preserve">capacities of national </w:t>
      </w:r>
      <w:r w:rsidR="008E09AE" w:rsidRPr="000E4AA2">
        <w:t xml:space="preserve">institutions and </w:t>
      </w:r>
      <w:r w:rsidR="002E484E">
        <w:t>f</w:t>
      </w:r>
      <w:r w:rsidRPr="000E4AA2">
        <w:t>unds and sustain</w:t>
      </w:r>
      <w:r w:rsidR="003E666E" w:rsidRPr="000E4AA2">
        <w:t>ing</w:t>
      </w:r>
      <w:r w:rsidRPr="000E4AA2">
        <w:t xml:space="preserve"> the</w:t>
      </w:r>
      <w:r w:rsidR="00E76C92">
        <w:t xml:space="preserve"> flow of</w:t>
      </w:r>
      <w:r w:rsidRPr="000E4AA2">
        <w:t xml:space="preserve"> </w:t>
      </w:r>
      <w:r w:rsidRPr="00E76C92">
        <w:t>fund</w:t>
      </w:r>
      <w:r w:rsidR="00E76C92" w:rsidRPr="0035409F">
        <w:t>s</w:t>
      </w:r>
      <w:r w:rsidRPr="000E4AA2">
        <w:t>.</w:t>
      </w:r>
    </w:p>
    <w:p w14:paraId="63DA7795" w14:textId="77777777" w:rsidR="000E4AA2" w:rsidRPr="000E4AA2" w:rsidRDefault="000E4AA2" w:rsidP="000E4AA2">
      <w:pPr>
        <w:pStyle w:val="ListParagraph"/>
        <w:rPr>
          <w:sz w:val="12"/>
          <w:szCs w:val="12"/>
        </w:rPr>
      </w:pPr>
    </w:p>
    <w:p w14:paraId="23CF2B55" w14:textId="77777777" w:rsidR="00C966C7" w:rsidRPr="000E4AA2" w:rsidRDefault="00C966C7" w:rsidP="000E4AA2">
      <w:pPr>
        <w:pStyle w:val="ListParagraph"/>
        <w:numPr>
          <w:ilvl w:val="0"/>
          <w:numId w:val="2"/>
        </w:numPr>
        <w:tabs>
          <w:tab w:val="left" w:pos="0"/>
        </w:tabs>
        <w:ind w:right="1210" w:firstLine="0"/>
        <w:contextualSpacing/>
        <w:jc w:val="both"/>
      </w:pPr>
      <w:r w:rsidRPr="000E4AA2">
        <w:t xml:space="preserve">This country programme document outlines UNDP’s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w:t>
      </w:r>
      <w:hyperlink r:id="rId17">
        <w:r w:rsidRPr="000E4AA2">
          <w:t>Programme and Operations Policies and Procedures</w:t>
        </w:r>
      </w:hyperlink>
      <w:r w:rsidRPr="000E4AA2">
        <w:t xml:space="preserve"> and </w:t>
      </w:r>
      <w:hyperlink r:id="rId18">
        <w:r w:rsidRPr="000E4AA2">
          <w:t>Internal Control Framework</w:t>
        </w:r>
      </w:hyperlink>
      <w:r w:rsidRPr="000E4AA2">
        <w:t>.</w:t>
      </w:r>
    </w:p>
    <w:p w14:paraId="5DBE33C5" w14:textId="77777777" w:rsidR="00C966C7" w:rsidRPr="000E4AA2" w:rsidRDefault="00C966C7" w:rsidP="000E4AA2">
      <w:pPr>
        <w:pStyle w:val="ListParagraph"/>
        <w:tabs>
          <w:tab w:val="left" w:pos="0"/>
        </w:tabs>
        <w:ind w:left="1080" w:right="1210"/>
        <w:contextualSpacing/>
        <w:jc w:val="both"/>
        <w:rPr>
          <w:sz w:val="12"/>
          <w:szCs w:val="12"/>
        </w:rPr>
      </w:pPr>
    </w:p>
    <w:p w14:paraId="64D4FFE1" w14:textId="17D3F571" w:rsidR="00C966C7" w:rsidRPr="000E4AA2" w:rsidRDefault="00C966C7" w:rsidP="000E4AA2">
      <w:pPr>
        <w:pStyle w:val="ListParagraph"/>
        <w:numPr>
          <w:ilvl w:val="0"/>
          <w:numId w:val="2"/>
        </w:numPr>
        <w:tabs>
          <w:tab w:val="left" w:pos="0"/>
        </w:tabs>
        <w:ind w:right="1210" w:firstLine="0"/>
        <w:contextualSpacing/>
        <w:jc w:val="both"/>
      </w:pPr>
      <w:r w:rsidRPr="000E4AA2">
        <w:t xml:space="preserve">The programme will be nationally executed. If necessary, national execution may be replaced by direct execution for part or all of the programme to enable response to </w:t>
      </w:r>
      <w:r w:rsidRPr="0035409F">
        <w:rPr>
          <w:i/>
          <w:iCs/>
        </w:rPr>
        <w:t>force majeure</w:t>
      </w:r>
      <w:r w:rsidRPr="000E4AA2">
        <w:t xml:space="preserve">. Modalities for implementation will be agreed on with </w:t>
      </w:r>
      <w:r w:rsidR="002E484E">
        <w:t xml:space="preserve">the </w:t>
      </w:r>
      <w:r w:rsidRPr="000E4AA2">
        <w:t xml:space="preserve">authorities and </w:t>
      </w:r>
      <w:r w:rsidR="002E484E">
        <w:t xml:space="preserve">will </w:t>
      </w:r>
      <w:r w:rsidRPr="000E4AA2">
        <w:t xml:space="preserve">be selected depending on need. </w:t>
      </w:r>
      <w:r w:rsidR="002E484E">
        <w:t>The h</w:t>
      </w:r>
      <w:r w:rsidRPr="000E4AA2">
        <w:t>armoni</w:t>
      </w:r>
      <w:r w:rsidR="002E484E">
        <w:t>z</w:t>
      </w:r>
      <w:r w:rsidRPr="000E4AA2">
        <w:t xml:space="preserve">ed </w:t>
      </w:r>
      <w:r w:rsidR="002E484E">
        <w:t>a</w:t>
      </w:r>
      <w:r w:rsidRPr="000E4AA2">
        <w:t xml:space="preserve">pproach to </w:t>
      </w:r>
      <w:r w:rsidR="002E484E">
        <w:t>c</w:t>
      </w:r>
      <w:r w:rsidRPr="000E4AA2">
        <w:t xml:space="preserve">ash </w:t>
      </w:r>
      <w:r w:rsidR="002E484E">
        <w:t>t</w:t>
      </w:r>
      <w:r w:rsidRPr="000E4AA2">
        <w:t xml:space="preserve">ransfers will be used in coordination with other United Nations </w:t>
      </w:r>
      <w:r w:rsidR="002E484E">
        <w:t>entities</w:t>
      </w:r>
      <w:r w:rsidR="002E484E" w:rsidRPr="000E4AA2">
        <w:t xml:space="preserve"> </w:t>
      </w:r>
      <w:r w:rsidRPr="000E4AA2">
        <w:t xml:space="preserve">to manage financial risks. Cost definitions and classifications for programme and development effectiveness will be charged to the </w:t>
      </w:r>
      <w:r w:rsidR="002E484E">
        <w:t>relevant</w:t>
      </w:r>
      <w:r w:rsidR="002E484E" w:rsidRPr="000E4AA2">
        <w:t xml:space="preserve"> </w:t>
      </w:r>
      <w:r w:rsidRPr="000E4AA2">
        <w:t>projects.</w:t>
      </w:r>
    </w:p>
    <w:p w14:paraId="5A69497B" w14:textId="77777777" w:rsidR="00C966C7" w:rsidRPr="000E4AA2" w:rsidRDefault="00C966C7" w:rsidP="000E4AA2">
      <w:pPr>
        <w:pStyle w:val="ListParagraph"/>
        <w:tabs>
          <w:tab w:val="left" w:pos="0"/>
        </w:tabs>
        <w:ind w:left="1080" w:right="1210"/>
        <w:contextualSpacing/>
        <w:jc w:val="both"/>
        <w:rPr>
          <w:sz w:val="12"/>
          <w:szCs w:val="12"/>
        </w:rPr>
      </w:pPr>
    </w:p>
    <w:p w14:paraId="1434DF5C" w14:textId="1F4D0B7E" w:rsidR="00C966C7" w:rsidRPr="000E4C4E" w:rsidRDefault="00C966C7" w:rsidP="000E4AA2">
      <w:pPr>
        <w:pStyle w:val="ListParagraph"/>
        <w:numPr>
          <w:ilvl w:val="0"/>
          <w:numId w:val="2"/>
        </w:numPr>
        <w:tabs>
          <w:tab w:val="left" w:pos="0"/>
        </w:tabs>
        <w:spacing w:after="200"/>
        <w:ind w:right="1210" w:firstLine="0"/>
        <w:contextualSpacing/>
        <w:jc w:val="both"/>
      </w:pPr>
      <w:r w:rsidRPr="000E4AA2">
        <w:t xml:space="preserve">The country office will continue to use the UNDP Gender Marker to ensure </w:t>
      </w:r>
      <w:r w:rsidR="002E484E">
        <w:t xml:space="preserve">that </w:t>
      </w:r>
      <w:r w:rsidRPr="000E4AA2">
        <w:t xml:space="preserve">a minimum of 15 per cent of the </w:t>
      </w:r>
      <w:r w:rsidRPr="000E4C4E">
        <w:t xml:space="preserve">programme budget is invested in </w:t>
      </w:r>
      <w:r w:rsidR="00C32B15" w:rsidRPr="000E4C4E">
        <w:t>gender-specific</w:t>
      </w:r>
      <w:r w:rsidRPr="000E4C4E">
        <w:t xml:space="preserve"> initiatives. UNDP will ensure the programme meets UNDP’s </w:t>
      </w:r>
      <w:r w:rsidR="002E484E">
        <w:t>s</w:t>
      </w:r>
      <w:r w:rsidRPr="000E4C4E">
        <w:t xml:space="preserve">ocial and </w:t>
      </w:r>
      <w:r w:rsidR="002E484E">
        <w:t>e</w:t>
      </w:r>
      <w:r w:rsidRPr="000E4C4E">
        <w:t xml:space="preserve">nvironmental </w:t>
      </w:r>
      <w:r w:rsidR="002E484E">
        <w:t>s</w:t>
      </w:r>
      <w:r w:rsidRPr="000E4C4E">
        <w:t>tandards and that risks stemming from programmatic interventions in sensitive areas</w:t>
      </w:r>
      <w:r w:rsidR="002E484E">
        <w:t xml:space="preserve"> —</w:t>
      </w:r>
      <w:r w:rsidR="00245588" w:rsidRPr="000E4C4E">
        <w:t xml:space="preserve"> </w:t>
      </w:r>
      <w:r w:rsidR="008E09AE" w:rsidRPr="000E4C4E">
        <w:t xml:space="preserve">such as </w:t>
      </w:r>
      <w:r w:rsidR="002E484E">
        <w:t xml:space="preserve">the </w:t>
      </w:r>
      <w:r w:rsidRPr="000E4C4E">
        <w:t>security sector</w:t>
      </w:r>
      <w:r w:rsidR="002E484E">
        <w:t xml:space="preserve"> and</w:t>
      </w:r>
      <w:r w:rsidRPr="000E4C4E">
        <w:t xml:space="preserve"> hate speech</w:t>
      </w:r>
      <w:r w:rsidR="002E484E">
        <w:t xml:space="preserve"> — will be assessed and minimized</w:t>
      </w:r>
      <w:r w:rsidRPr="000E4C4E">
        <w:t xml:space="preserve">. In addition, </w:t>
      </w:r>
      <w:r w:rsidRPr="009B32AF">
        <w:t>disability determination reform</w:t>
      </w:r>
      <w:r w:rsidRPr="000E4C4E">
        <w:t xml:space="preserve"> will be </w:t>
      </w:r>
      <w:r w:rsidR="00890FEF">
        <w:t>undertaken</w:t>
      </w:r>
      <w:r w:rsidR="00890FEF" w:rsidRPr="000E4C4E">
        <w:t xml:space="preserve"> </w:t>
      </w:r>
      <w:r w:rsidRPr="000E4C4E">
        <w:t xml:space="preserve">in line with the principles </w:t>
      </w:r>
      <w:r w:rsidR="00C32B15" w:rsidRPr="000E4C4E">
        <w:t xml:space="preserve">of </w:t>
      </w:r>
      <w:r w:rsidRPr="000E4C4E">
        <w:t>the Convention on the Rights of Persons with Disabilities.</w:t>
      </w:r>
    </w:p>
    <w:p w14:paraId="4B698092" w14:textId="601FD861" w:rsidR="00C966C7" w:rsidRPr="000E4AA2" w:rsidRDefault="00C966C7" w:rsidP="000E4AA2">
      <w:pPr>
        <w:spacing w:after="200" w:line="240" w:lineRule="exact"/>
        <w:ind w:left="1080" w:right="1210" w:hanging="450"/>
        <w:jc w:val="both"/>
        <w:rPr>
          <w:sz w:val="24"/>
          <w:szCs w:val="24"/>
        </w:rPr>
      </w:pPr>
      <w:r w:rsidRPr="000E4AA2">
        <w:rPr>
          <w:b/>
          <w:bCs/>
          <w:sz w:val="24"/>
          <w:szCs w:val="24"/>
        </w:rPr>
        <w:t>IV</w:t>
      </w:r>
      <w:r w:rsidR="000E4AA2" w:rsidRPr="000E4AA2">
        <w:rPr>
          <w:b/>
          <w:bCs/>
          <w:sz w:val="24"/>
          <w:szCs w:val="24"/>
        </w:rPr>
        <w:t>.</w:t>
      </w:r>
      <w:r w:rsidR="000E4AA2" w:rsidRPr="000E4AA2">
        <w:rPr>
          <w:b/>
          <w:bCs/>
          <w:sz w:val="24"/>
          <w:szCs w:val="24"/>
        </w:rPr>
        <w:tab/>
      </w:r>
      <w:r w:rsidRPr="000E4AA2">
        <w:rPr>
          <w:b/>
          <w:bCs/>
          <w:sz w:val="24"/>
          <w:szCs w:val="24"/>
        </w:rPr>
        <w:t xml:space="preserve">Monitoring and </w:t>
      </w:r>
      <w:r w:rsidR="000E4AA2" w:rsidRPr="000E4AA2">
        <w:rPr>
          <w:b/>
          <w:bCs/>
          <w:sz w:val="24"/>
          <w:szCs w:val="24"/>
        </w:rPr>
        <w:t>e</w:t>
      </w:r>
      <w:r w:rsidRPr="000E4AA2">
        <w:rPr>
          <w:b/>
          <w:bCs/>
          <w:sz w:val="24"/>
          <w:szCs w:val="24"/>
        </w:rPr>
        <w:t>valuation</w:t>
      </w:r>
      <w:r w:rsidRPr="000E4AA2">
        <w:rPr>
          <w:sz w:val="24"/>
          <w:szCs w:val="24"/>
        </w:rPr>
        <w:t xml:space="preserve"> </w:t>
      </w:r>
    </w:p>
    <w:p w14:paraId="3A2A7F7A" w14:textId="723D540E" w:rsidR="00C966C7" w:rsidRPr="000E4C4E" w:rsidRDefault="00C966C7" w:rsidP="000E4AA2">
      <w:pPr>
        <w:pStyle w:val="ListParagraph"/>
        <w:numPr>
          <w:ilvl w:val="0"/>
          <w:numId w:val="2"/>
        </w:numPr>
        <w:tabs>
          <w:tab w:val="left" w:pos="0"/>
        </w:tabs>
        <w:ind w:right="1210" w:firstLine="0"/>
        <w:contextualSpacing/>
        <w:jc w:val="both"/>
      </w:pPr>
      <w:r w:rsidRPr="000E4C4E">
        <w:t xml:space="preserve">UNDP will </w:t>
      </w:r>
      <w:r w:rsidR="00C312E7">
        <w:t xml:space="preserve">make </w:t>
      </w:r>
      <w:r w:rsidRPr="000E4C4E">
        <w:t>sure that monitoring and evaluation frameworks are aligned with national strategies</w:t>
      </w:r>
      <w:r w:rsidR="00DF6270">
        <w:t xml:space="preserve"> and</w:t>
      </w:r>
      <w:r w:rsidRPr="000E4C4E">
        <w:t xml:space="preserve"> UNSDCF priorities, and include measures to review and strengthen the capacities </w:t>
      </w:r>
      <w:r w:rsidRPr="000E4C4E">
        <w:lastRenderedPageBreak/>
        <w:t>of national partners in data collection and usage, especially with respect to the</w:t>
      </w:r>
      <w:r w:rsidR="00EC6822" w:rsidRPr="000E4C4E">
        <w:t xml:space="preserve"> Goals</w:t>
      </w:r>
      <w:r w:rsidR="00FC6617" w:rsidRPr="000E4C4E">
        <w:t xml:space="preserve">. </w:t>
      </w:r>
      <w:r w:rsidR="00DF6270">
        <w:t xml:space="preserve">UNDP will </w:t>
      </w:r>
      <w:r w:rsidRPr="000E4C4E">
        <w:t xml:space="preserve">support institutions to </w:t>
      </w:r>
      <w:r w:rsidR="00DF6270">
        <w:t>make use of</w:t>
      </w:r>
      <w:r w:rsidRPr="000E4C4E">
        <w:t xml:space="preserve"> digital technologies to deliver effective services, </w:t>
      </w:r>
      <w:r w:rsidR="00DF6270">
        <w:t xml:space="preserve">which </w:t>
      </w:r>
      <w:r w:rsidRPr="000E4C4E">
        <w:t xml:space="preserve">will make monitoring and assurance more inclusive and </w:t>
      </w:r>
      <w:r w:rsidR="00DF6270">
        <w:t xml:space="preserve">will </w:t>
      </w:r>
      <w:r w:rsidRPr="000E4C4E">
        <w:t>support real</w:t>
      </w:r>
      <w:r w:rsidR="00DF6270">
        <w:t>-</w:t>
      </w:r>
      <w:r w:rsidRPr="000E4C4E">
        <w:t>time decision</w:t>
      </w:r>
      <w:r w:rsidR="00C312E7">
        <w:t>-</w:t>
      </w:r>
      <w:r w:rsidRPr="000E4C4E">
        <w:t>making.</w:t>
      </w:r>
    </w:p>
    <w:p w14:paraId="0B693CEC" w14:textId="77777777" w:rsidR="00C966C7" w:rsidRPr="000E4AA2" w:rsidRDefault="00C966C7" w:rsidP="000E4AA2">
      <w:pPr>
        <w:pStyle w:val="ListParagraph"/>
        <w:tabs>
          <w:tab w:val="left" w:pos="0"/>
        </w:tabs>
        <w:ind w:left="1080" w:right="1210"/>
        <w:contextualSpacing/>
        <w:jc w:val="both"/>
        <w:rPr>
          <w:sz w:val="12"/>
          <w:szCs w:val="12"/>
        </w:rPr>
      </w:pPr>
    </w:p>
    <w:p w14:paraId="5F52D5CA" w14:textId="09E57296" w:rsidR="00C966C7" w:rsidRPr="000E4C4E" w:rsidRDefault="00C966C7" w:rsidP="000E4AA2">
      <w:pPr>
        <w:pStyle w:val="ListParagraph"/>
        <w:numPr>
          <w:ilvl w:val="0"/>
          <w:numId w:val="2"/>
        </w:numPr>
        <w:tabs>
          <w:tab w:val="left" w:pos="0"/>
        </w:tabs>
        <w:ind w:right="1210" w:firstLine="0"/>
        <w:contextualSpacing/>
        <w:jc w:val="both"/>
      </w:pPr>
      <w:r w:rsidRPr="000E4C4E">
        <w:t xml:space="preserve">Montenegro has identified around 100 priority </w:t>
      </w:r>
      <w:r w:rsidR="00FC6617" w:rsidRPr="000E4C4E">
        <w:t xml:space="preserve">Sustainable Development Goals </w:t>
      </w:r>
      <w:r w:rsidRPr="000E4C4E">
        <w:t>indicators, aligned with the monitoring priorities of the E</w:t>
      </w:r>
      <w:r w:rsidR="00DF6270">
        <w:t xml:space="preserve">uropean </w:t>
      </w:r>
      <w:r w:rsidRPr="000E4C4E">
        <w:t>U</w:t>
      </w:r>
      <w:r w:rsidR="00DF6270">
        <w:t>nion</w:t>
      </w:r>
      <w:r w:rsidRPr="000E4C4E">
        <w:t xml:space="preserve"> Agency for Statistics. However, national data systems </w:t>
      </w:r>
      <w:r w:rsidR="005543CD">
        <w:t>are not</w:t>
      </w:r>
      <w:r w:rsidR="005543CD" w:rsidRPr="000E4C4E">
        <w:t xml:space="preserve"> </w:t>
      </w:r>
      <w:r w:rsidRPr="000E4C4E">
        <w:t>yet fully disaggregatin</w:t>
      </w:r>
      <w:r w:rsidR="005543CD">
        <w:t>g data.</w:t>
      </w:r>
      <w:r w:rsidRPr="000E4C4E">
        <w:t xml:space="preserve"> Where data gaps exist, UNDP will </w:t>
      </w:r>
      <w:r w:rsidR="005543CD">
        <w:t>help</w:t>
      </w:r>
      <w:r w:rsidR="005543CD" w:rsidRPr="000E4C4E">
        <w:t xml:space="preserve"> </w:t>
      </w:r>
      <w:r w:rsidR="005543CD">
        <w:t xml:space="preserve">the </w:t>
      </w:r>
      <w:r w:rsidRPr="000E4C4E">
        <w:t xml:space="preserve">national statistical office </w:t>
      </w:r>
      <w:r w:rsidR="005543CD">
        <w:t xml:space="preserve">to develop </w:t>
      </w:r>
      <w:r w:rsidRPr="000E4C4E">
        <w:t>data collection method</w:t>
      </w:r>
      <w:r w:rsidR="005543CD">
        <w:t>s</w:t>
      </w:r>
      <w:r w:rsidRPr="000E4C4E">
        <w:t xml:space="preserve">, especially to support </w:t>
      </w:r>
      <w:r w:rsidR="005543CD">
        <w:t xml:space="preserve">collection of </w:t>
      </w:r>
      <w:r w:rsidRPr="000E4C4E">
        <w:t xml:space="preserve">gender statistics </w:t>
      </w:r>
      <w:r w:rsidR="005543CD">
        <w:t>in support of</w:t>
      </w:r>
      <w:r w:rsidRPr="000E4C4E">
        <w:t xml:space="preserve"> gender equality priorities. </w:t>
      </w:r>
      <w:r w:rsidR="005543CD">
        <w:t>Consistent with recommendations of</w:t>
      </w:r>
      <w:r w:rsidR="005543CD" w:rsidRPr="000E4C4E">
        <w:t xml:space="preserve"> </w:t>
      </w:r>
      <w:r w:rsidRPr="000E4C4E">
        <w:t>the independent country programme evaluation</w:t>
      </w:r>
      <w:r w:rsidR="007A3CF5">
        <w:t xml:space="preserve"> of 2021</w:t>
      </w:r>
      <w:r w:rsidRPr="000E4C4E">
        <w:t xml:space="preserve">, the emphasis will be on data disaggregation for monitoring impacts on target groups, prioritizing women, youth and </w:t>
      </w:r>
      <w:r w:rsidR="005543CD">
        <w:t>people</w:t>
      </w:r>
      <w:r w:rsidR="005543CD" w:rsidRPr="000E4C4E">
        <w:t xml:space="preserve"> </w:t>
      </w:r>
      <w:r w:rsidRPr="000E4C4E">
        <w:t xml:space="preserve">with disabilities. </w:t>
      </w:r>
    </w:p>
    <w:p w14:paraId="07E09F19" w14:textId="77777777" w:rsidR="00C966C7" w:rsidRPr="000E4AA2" w:rsidRDefault="00C966C7" w:rsidP="000E4AA2">
      <w:pPr>
        <w:pStyle w:val="ListParagraph"/>
        <w:tabs>
          <w:tab w:val="left" w:pos="0"/>
        </w:tabs>
        <w:ind w:left="1080" w:right="1210"/>
        <w:contextualSpacing/>
        <w:jc w:val="both"/>
        <w:rPr>
          <w:sz w:val="12"/>
          <w:szCs w:val="12"/>
        </w:rPr>
      </w:pPr>
    </w:p>
    <w:p w14:paraId="4F442719" w14:textId="56B50A85" w:rsidR="00C966C7" w:rsidRPr="000E4C4E" w:rsidRDefault="00C966C7" w:rsidP="000E4AA2">
      <w:pPr>
        <w:pStyle w:val="ListParagraph"/>
        <w:numPr>
          <w:ilvl w:val="0"/>
          <w:numId w:val="2"/>
        </w:numPr>
        <w:tabs>
          <w:tab w:val="left" w:pos="0"/>
        </w:tabs>
        <w:ind w:right="1210" w:firstLine="0"/>
        <w:contextualSpacing/>
        <w:jc w:val="both"/>
      </w:pPr>
      <w:r w:rsidRPr="009B32AF">
        <w:t xml:space="preserve">Outcome-level </w:t>
      </w:r>
      <w:r w:rsidR="005543CD" w:rsidRPr="009B32AF">
        <w:t>r</w:t>
      </w:r>
      <w:r w:rsidRPr="009B32AF">
        <w:t xml:space="preserve">esults </w:t>
      </w:r>
      <w:r w:rsidR="005543CD" w:rsidRPr="009B32AF">
        <w:t>g</w:t>
      </w:r>
      <w:r w:rsidRPr="009B32AF">
        <w:t>roups</w:t>
      </w:r>
      <w:r w:rsidRPr="000E4C4E">
        <w:t xml:space="preserve"> for the UNSDCF will be </w:t>
      </w:r>
      <w:r w:rsidR="005543CD">
        <w:t>used to</w:t>
      </w:r>
      <w:r w:rsidRPr="000E4C4E">
        <w:t xml:space="preserve"> monitor progress under the country programme. The COVID-19 response generated valuable lessons </w:t>
      </w:r>
      <w:r w:rsidR="005543CD">
        <w:t>on</w:t>
      </w:r>
      <w:r w:rsidRPr="000E4C4E">
        <w:t xml:space="preserve"> </w:t>
      </w:r>
      <w:r w:rsidR="009B32AF">
        <w:t>making use of</w:t>
      </w:r>
      <w:r w:rsidRPr="000E4C4E">
        <w:t xml:space="preserve"> networks with communities </w:t>
      </w:r>
      <w:r w:rsidR="005543CD">
        <w:t>to</w:t>
      </w:r>
      <w:r w:rsidRPr="000E4C4E">
        <w:t xml:space="preserve"> assess</w:t>
      </w:r>
      <w:r w:rsidR="005543CD">
        <w:t xml:space="preserve"> </w:t>
      </w:r>
      <w:r w:rsidR="00DC2CA2">
        <w:t xml:space="preserve">their </w:t>
      </w:r>
      <w:r w:rsidR="005543CD">
        <w:t>needs</w:t>
      </w:r>
      <w:r w:rsidRPr="000E4C4E">
        <w:t xml:space="preserve">. The </w:t>
      </w:r>
      <w:r w:rsidR="005543CD">
        <w:t>r</w:t>
      </w:r>
      <w:r w:rsidRPr="000E4C4E">
        <w:t xml:space="preserve">esults </w:t>
      </w:r>
      <w:r w:rsidR="005543CD">
        <w:t>g</w:t>
      </w:r>
      <w:r w:rsidRPr="000E4C4E">
        <w:t>roups will prepare multi-year work plans for each outcome in consultation with national partners</w:t>
      </w:r>
      <w:r w:rsidR="008E09AE" w:rsidRPr="000E4C4E">
        <w:t xml:space="preserve">, </w:t>
      </w:r>
      <w:r w:rsidRPr="000E4C4E">
        <w:t xml:space="preserve">especially </w:t>
      </w:r>
      <w:r w:rsidR="005543CD">
        <w:t>those c</w:t>
      </w:r>
      <w:r w:rsidRPr="000E4C4E">
        <w:t>ivil society organizations best placed to engage with target groups</w:t>
      </w:r>
      <w:r w:rsidR="00C92057">
        <w:t xml:space="preserve">. The </w:t>
      </w:r>
      <w:r w:rsidR="00DC2CA2">
        <w:t>result</w:t>
      </w:r>
      <w:r w:rsidR="004B34AF">
        <w:t>s</w:t>
      </w:r>
      <w:r w:rsidR="00DC2CA2">
        <w:t xml:space="preserve"> </w:t>
      </w:r>
      <w:r w:rsidR="00C92057">
        <w:t>groups will</w:t>
      </w:r>
      <w:r w:rsidRPr="000E4C4E">
        <w:t xml:space="preserve"> monitor outputs and their contribution</w:t>
      </w:r>
      <w:r w:rsidR="00C92057">
        <w:t>s</w:t>
      </w:r>
      <w:r w:rsidRPr="000E4C4E">
        <w:t xml:space="preserve"> to</w:t>
      </w:r>
      <w:r w:rsidR="00C92057">
        <w:t xml:space="preserve"> achievement of</w:t>
      </w:r>
      <w:r w:rsidRPr="000E4C4E">
        <w:t xml:space="preserve"> country programme outcomes, the UNSDCF and national development objectives.  </w:t>
      </w:r>
    </w:p>
    <w:p w14:paraId="049CB996" w14:textId="77777777" w:rsidR="00C966C7" w:rsidRPr="000E4AA2" w:rsidRDefault="00C966C7" w:rsidP="000E4AA2">
      <w:pPr>
        <w:pStyle w:val="ListParagraph"/>
        <w:tabs>
          <w:tab w:val="left" w:pos="0"/>
        </w:tabs>
        <w:ind w:left="1080" w:right="1210"/>
        <w:contextualSpacing/>
        <w:jc w:val="both"/>
        <w:rPr>
          <w:sz w:val="12"/>
          <w:szCs w:val="12"/>
        </w:rPr>
      </w:pPr>
    </w:p>
    <w:p w14:paraId="0B885842" w14:textId="7AC0C30B" w:rsidR="00C966C7" w:rsidRPr="000E4C4E" w:rsidRDefault="00C966C7" w:rsidP="000E4AA2">
      <w:pPr>
        <w:pStyle w:val="ListParagraph"/>
        <w:numPr>
          <w:ilvl w:val="0"/>
          <w:numId w:val="2"/>
        </w:numPr>
        <w:tabs>
          <w:tab w:val="left" w:pos="0"/>
        </w:tabs>
        <w:ind w:right="1210" w:firstLine="0"/>
        <w:contextualSpacing/>
        <w:jc w:val="both"/>
      </w:pPr>
      <w:r w:rsidRPr="000E4C4E">
        <w:t>To support the United Nations</w:t>
      </w:r>
      <w:r w:rsidR="00C92057">
        <w:t xml:space="preserve"> effort </w:t>
      </w:r>
      <w:r w:rsidRPr="000E4C4E">
        <w:t xml:space="preserve">to broaden the debate on the national development agenda and the </w:t>
      </w:r>
      <w:r w:rsidR="00FC6617" w:rsidRPr="000E4C4E">
        <w:t>Goals</w:t>
      </w:r>
      <w:r w:rsidRPr="000E4C4E">
        <w:t>, a multi-year research agenda will produce policy briefs</w:t>
      </w:r>
      <w:r w:rsidR="00C92057">
        <w:t>,</w:t>
      </w:r>
      <w:r w:rsidRPr="000E4C4E">
        <w:t xml:space="preserve"> simulations, discussion papers and surveys. UNDP will increasingly </w:t>
      </w:r>
      <w:r w:rsidR="00C92057">
        <w:t>use</w:t>
      </w:r>
      <w:r w:rsidR="00C92057" w:rsidRPr="000E4C4E">
        <w:t xml:space="preserve"> </w:t>
      </w:r>
      <w:r w:rsidRPr="000E4C4E">
        <w:t>data model</w:t>
      </w:r>
      <w:r w:rsidR="00C92057">
        <w:t>l</w:t>
      </w:r>
      <w:r w:rsidRPr="000E4C4E">
        <w:t>ing tools, real-time information systems, qualitative surveys and other data</w:t>
      </w:r>
      <w:r w:rsidR="00C92057">
        <w:t>-</w:t>
      </w:r>
      <w:r w:rsidRPr="000E4C4E">
        <w:t>generation mechanisms. Evaluations will engage all key stakeholders to support continuous learning and adjustment of programme design and implementation.</w:t>
      </w:r>
      <w:r w:rsidRPr="000E4C4E" w:rsidDel="00770163">
        <w:t xml:space="preserve"> </w:t>
      </w:r>
    </w:p>
    <w:p w14:paraId="77F01D72" w14:textId="77777777" w:rsidR="00C966C7" w:rsidRPr="000E4C4E" w:rsidRDefault="00C966C7" w:rsidP="000E4AA2"/>
    <w:p w14:paraId="51A69566" w14:textId="7B23CEDD" w:rsidR="009726ED" w:rsidRPr="000E4C4E" w:rsidRDefault="009726ED">
      <w:r w:rsidRPr="000E4C4E">
        <w:br w:type="page"/>
      </w:r>
    </w:p>
    <w:p w14:paraId="5A300958" w14:textId="77777777" w:rsidR="00F81DAB" w:rsidRPr="000E4C4E" w:rsidRDefault="00F81DAB" w:rsidP="00C966C7">
      <w:pPr>
        <w:ind w:hanging="567"/>
        <w:sectPr w:rsidR="00F81DAB" w:rsidRPr="000E4C4E" w:rsidSect="000A61AE">
          <w:headerReference w:type="first" r:id="rId19"/>
          <w:footerReference w:type="first" r:id="rId20"/>
          <w:pgSz w:w="12240" w:h="15840"/>
          <w:pgMar w:top="1166" w:right="1195" w:bottom="1440" w:left="1195" w:header="720" w:footer="720" w:gutter="0"/>
          <w:cols w:space="720"/>
          <w:titlePg/>
          <w:docGrid w:linePitch="360"/>
        </w:sectPr>
      </w:pPr>
    </w:p>
    <w:tbl>
      <w:tblPr>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35"/>
        <w:gridCol w:w="1985"/>
        <w:gridCol w:w="4394"/>
        <w:gridCol w:w="2666"/>
        <w:gridCol w:w="1350"/>
      </w:tblGrid>
      <w:tr w:rsidR="000E4C4E" w:rsidRPr="00112F45" w14:paraId="1EABA674" w14:textId="77777777" w:rsidTr="00F421F3">
        <w:tc>
          <w:tcPr>
            <w:tcW w:w="13230" w:type="dxa"/>
            <w:gridSpan w:val="5"/>
            <w:tcBorders>
              <w:top w:val="nil"/>
              <w:left w:val="nil"/>
              <w:right w:val="nil"/>
            </w:tcBorders>
            <w:shd w:val="clear" w:color="auto" w:fill="auto"/>
            <w:tcMar>
              <w:top w:w="72" w:type="dxa"/>
              <w:left w:w="144" w:type="dxa"/>
              <w:bottom w:w="72" w:type="dxa"/>
              <w:right w:w="144" w:type="dxa"/>
            </w:tcMar>
          </w:tcPr>
          <w:bookmarkEnd w:id="1"/>
          <w:p w14:paraId="07889AEA" w14:textId="306865C8" w:rsidR="00F82D53" w:rsidRPr="00112F45" w:rsidRDefault="00F82D53" w:rsidP="007E3D02">
            <w:pPr>
              <w:pStyle w:val="Heading4"/>
              <w:spacing w:after="120"/>
              <w:rPr>
                <w:rFonts w:ascii="Times New Roman" w:hAnsi="Times New Roman"/>
                <w:sz w:val="24"/>
                <w:szCs w:val="24"/>
              </w:rPr>
            </w:pPr>
            <w:r w:rsidRPr="00112F45">
              <w:rPr>
                <w:rFonts w:ascii="Times New Roman" w:hAnsi="Times New Roman"/>
                <w:bCs/>
                <w:sz w:val="24"/>
                <w:szCs w:val="24"/>
              </w:rPr>
              <w:lastRenderedPageBreak/>
              <w:t>A</w:t>
            </w:r>
            <w:r w:rsidR="00112F45" w:rsidRPr="00112F45">
              <w:rPr>
                <w:rFonts w:ascii="Times New Roman" w:hAnsi="Times New Roman"/>
                <w:bCs/>
                <w:sz w:val="24"/>
                <w:szCs w:val="24"/>
              </w:rPr>
              <w:t>nnex.</w:t>
            </w:r>
            <w:r w:rsidRPr="00112F45">
              <w:rPr>
                <w:rFonts w:ascii="Times New Roman" w:hAnsi="Times New Roman"/>
                <w:bCs/>
                <w:sz w:val="24"/>
                <w:szCs w:val="24"/>
              </w:rPr>
              <w:t xml:space="preserve"> </w:t>
            </w:r>
            <w:r w:rsidR="00112F45" w:rsidRPr="00112F45">
              <w:rPr>
                <w:rFonts w:ascii="Times New Roman" w:hAnsi="Times New Roman"/>
                <w:color w:val="000000"/>
                <w:kern w:val="14"/>
                <w:sz w:val="24"/>
                <w:szCs w:val="24"/>
                <w:lang w:eastAsia="fr-FR"/>
              </w:rPr>
              <w:t>Results and resources framework for Montenegro (2023-2027)</w:t>
            </w:r>
          </w:p>
        </w:tc>
      </w:tr>
      <w:tr w:rsidR="000E4C4E" w:rsidRPr="00112F45" w14:paraId="63FC24F7" w14:textId="77777777" w:rsidTr="00F421F3">
        <w:tc>
          <w:tcPr>
            <w:tcW w:w="13230" w:type="dxa"/>
            <w:gridSpan w:val="5"/>
            <w:shd w:val="clear" w:color="auto" w:fill="DBE5F1" w:themeFill="accent1" w:themeFillTint="33"/>
            <w:tcMar>
              <w:top w:w="72" w:type="dxa"/>
              <w:left w:w="144" w:type="dxa"/>
              <w:bottom w:w="72" w:type="dxa"/>
              <w:right w:w="144" w:type="dxa"/>
            </w:tcMar>
          </w:tcPr>
          <w:p w14:paraId="3A1D6065" w14:textId="6A1FFE08" w:rsidR="00F82D53" w:rsidRPr="00112F45" w:rsidRDefault="00F82D53" w:rsidP="007E3D02">
            <w:pPr>
              <w:jc w:val="both"/>
              <w:rPr>
                <w:b/>
                <w:bCs/>
                <w:sz w:val="16"/>
                <w:szCs w:val="16"/>
              </w:rPr>
            </w:pPr>
            <w:r w:rsidRPr="00112F45">
              <w:rPr>
                <w:b/>
                <w:bCs/>
                <w:sz w:val="16"/>
                <w:szCs w:val="16"/>
              </w:rPr>
              <w:t xml:space="preserve">NATIONAL PRIORITY: Inclusive </w:t>
            </w:r>
            <w:r w:rsidR="004E7727">
              <w:rPr>
                <w:b/>
                <w:bCs/>
                <w:sz w:val="16"/>
                <w:szCs w:val="16"/>
              </w:rPr>
              <w:t>e</w:t>
            </w:r>
            <w:r w:rsidRPr="00112F45">
              <w:rPr>
                <w:b/>
                <w:bCs/>
                <w:sz w:val="16"/>
                <w:szCs w:val="16"/>
              </w:rPr>
              <w:t xml:space="preserve">conomic </w:t>
            </w:r>
            <w:r w:rsidR="004E7727">
              <w:rPr>
                <w:b/>
                <w:bCs/>
                <w:sz w:val="16"/>
                <w:szCs w:val="16"/>
              </w:rPr>
              <w:t>d</w:t>
            </w:r>
            <w:r w:rsidRPr="00112F45">
              <w:rPr>
                <w:b/>
                <w:bCs/>
                <w:sz w:val="16"/>
                <w:szCs w:val="16"/>
              </w:rPr>
              <w:t xml:space="preserve">evelopment and </w:t>
            </w:r>
            <w:r w:rsidR="004E7727">
              <w:rPr>
                <w:b/>
                <w:bCs/>
                <w:sz w:val="16"/>
                <w:szCs w:val="16"/>
              </w:rPr>
              <w:t>e</w:t>
            </w:r>
            <w:r w:rsidRPr="00112F45">
              <w:rPr>
                <w:b/>
                <w:bCs/>
                <w:sz w:val="16"/>
                <w:szCs w:val="16"/>
              </w:rPr>
              <w:t xml:space="preserve">nvironmental </w:t>
            </w:r>
            <w:r w:rsidR="004E7727">
              <w:rPr>
                <w:b/>
                <w:bCs/>
                <w:sz w:val="16"/>
                <w:szCs w:val="16"/>
              </w:rPr>
              <w:t>s</w:t>
            </w:r>
            <w:r w:rsidRPr="00112F45">
              <w:rPr>
                <w:b/>
                <w:bCs/>
                <w:sz w:val="16"/>
                <w:szCs w:val="16"/>
              </w:rPr>
              <w:t>ustainability</w:t>
            </w:r>
          </w:p>
          <w:p w14:paraId="0C81A0A2" w14:textId="7A76669F" w:rsidR="00F82D53" w:rsidRPr="000E4AA2" w:rsidRDefault="00F82D53" w:rsidP="000E4AA2">
            <w:pPr>
              <w:jc w:val="both"/>
            </w:pPr>
            <w:r w:rsidRPr="00112F45">
              <w:rPr>
                <w:b/>
                <w:bCs/>
                <w:sz w:val="16"/>
                <w:szCs w:val="16"/>
              </w:rPr>
              <w:t>S</w:t>
            </w:r>
            <w:r w:rsidR="004E7727">
              <w:rPr>
                <w:b/>
                <w:bCs/>
                <w:sz w:val="16"/>
                <w:szCs w:val="16"/>
              </w:rPr>
              <w:t>ustainable Development Goals</w:t>
            </w:r>
            <w:r w:rsidRPr="00112F45">
              <w:rPr>
                <w:b/>
                <w:bCs/>
                <w:sz w:val="16"/>
                <w:szCs w:val="16"/>
              </w:rPr>
              <w:t xml:space="preserve"> 3, 5, 6, 7, 8, 9, 10, 11, 12, 13, 14, 15</w:t>
            </w:r>
            <w:r w:rsidRPr="00112F45">
              <w:rPr>
                <w:rFonts w:eastAsia="Calibri" w:cs="Calibri"/>
              </w:rPr>
              <w:t xml:space="preserve"> </w:t>
            </w:r>
          </w:p>
        </w:tc>
      </w:tr>
      <w:tr w:rsidR="000E4C4E" w:rsidRPr="00112F45" w14:paraId="69EFF94D" w14:textId="77777777" w:rsidTr="00F421F3">
        <w:tc>
          <w:tcPr>
            <w:tcW w:w="13230" w:type="dxa"/>
            <w:gridSpan w:val="5"/>
            <w:shd w:val="clear" w:color="auto" w:fill="DBE5F1" w:themeFill="accent1" w:themeFillTint="33"/>
            <w:tcMar>
              <w:top w:w="72" w:type="dxa"/>
              <w:left w:w="144" w:type="dxa"/>
              <w:bottom w:w="72" w:type="dxa"/>
              <w:right w:w="144" w:type="dxa"/>
            </w:tcMar>
          </w:tcPr>
          <w:p w14:paraId="5B2307D2" w14:textId="180022F9" w:rsidR="00F82D53" w:rsidRPr="00112F45" w:rsidRDefault="00F82D53" w:rsidP="007E3D02">
            <w:pPr>
              <w:rPr>
                <w:b/>
                <w:bCs/>
                <w:sz w:val="16"/>
                <w:szCs w:val="16"/>
              </w:rPr>
            </w:pPr>
            <w:r w:rsidRPr="00112F45">
              <w:rPr>
                <w:b/>
                <w:bCs/>
                <w:sz w:val="16"/>
                <w:szCs w:val="16"/>
              </w:rPr>
              <w:t xml:space="preserve">COOPERATION FRAMEWORK OUTCOME </w:t>
            </w:r>
            <w:r w:rsidR="004E7727">
              <w:rPr>
                <w:b/>
                <w:bCs/>
                <w:sz w:val="16"/>
                <w:szCs w:val="16"/>
              </w:rPr>
              <w:t>i</w:t>
            </w:r>
            <w:r w:rsidRPr="00112F45">
              <w:rPr>
                <w:b/>
                <w:bCs/>
                <w:sz w:val="16"/>
                <w:szCs w:val="16"/>
              </w:rPr>
              <w:t>nvolving UNDP:  Outcome 1:  By 2027, all people, especially vulnerable</w:t>
            </w:r>
            <w:r w:rsidR="004B34AF">
              <w:rPr>
                <w:b/>
                <w:bCs/>
                <w:sz w:val="16"/>
                <w:szCs w:val="16"/>
              </w:rPr>
              <w:t xml:space="preserve"> people</w:t>
            </w:r>
            <w:r w:rsidRPr="00112F45">
              <w:rPr>
                <w:b/>
                <w:bCs/>
                <w:sz w:val="16"/>
                <w:szCs w:val="16"/>
              </w:rPr>
              <w:t>, benefit from improved management and state of natural resources and increasingly innovative, competitive, gender-responsive and inclusive economic development that is climate resilient and low</w:t>
            </w:r>
            <w:r w:rsidR="007A3CF5">
              <w:rPr>
                <w:b/>
                <w:bCs/>
                <w:sz w:val="16"/>
                <w:szCs w:val="16"/>
              </w:rPr>
              <w:t xml:space="preserve"> </w:t>
            </w:r>
            <w:r w:rsidRPr="00112F45">
              <w:rPr>
                <w:b/>
                <w:bCs/>
                <w:sz w:val="16"/>
                <w:szCs w:val="16"/>
              </w:rPr>
              <w:t>carbon</w:t>
            </w:r>
          </w:p>
        </w:tc>
      </w:tr>
      <w:tr w:rsidR="000E4C4E" w:rsidRPr="00112F45" w14:paraId="31750FAD" w14:textId="77777777" w:rsidTr="00F421F3">
        <w:tc>
          <w:tcPr>
            <w:tcW w:w="13230" w:type="dxa"/>
            <w:gridSpan w:val="5"/>
            <w:shd w:val="clear" w:color="auto" w:fill="DBE5F1" w:themeFill="accent1" w:themeFillTint="33"/>
            <w:tcMar>
              <w:top w:w="72" w:type="dxa"/>
              <w:left w:w="144" w:type="dxa"/>
              <w:bottom w:w="72" w:type="dxa"/>
              <w:right w:w="144" w:type="dxa"/>
            </w:tcMar>
          </w:tcPr>
          <w:p w14:paraId="363BDC09" w14:textId="36BB81CE" w:rsidR="00F82D53" w:rsidRPr="00112F45" w:rsidRDefault="00F82D53" w:rsidP="007E3D02">
            <w:pPr>
              <w:rPr>
                <w:b/>
                <w:bCs/>
                <w:sz w:val="16"/>
                <w:szCs w:val="16"/>
              </w:rPr>
            </w:pPr>
            <w:r w:rsidRPr="00112F45">
              <w:rPr>
                <w:b/>
                <w:bCs/>
                <w:sz w:val="16"/>
                <w:szCs w:val="16"/>
              </w:rPr>
              <w:t>RELATED STRATEGIC PLAN OUTCOME</w:t>
            </w:r>
            <w:r w:rsidR="001A175D">
              <w:rPr>
                <w:b/>
                <w:bCs/>
                <w:sz w:val="16"/>
                <w:szCs w:val="16"/>
              </w:rPr>
              <w:t>: Outcome</w:t>
            </w:r>
            <w:r w:rsidRPr="00112F45">
              <w:rPr>
                <w:b/>
                <w:bCs/>
                <w:sz w:val="16"/>
                <w:szCs w:val="16"/>
              </w:rPr>
              <w:t xml:space="preserve"> 1: </w:t>
            </w:r>
            <w:bookmarkStart w:id="4" w:name="_Hlk77050292"/>
            <w:r w:rsidRPr="00112F45">
              <w:rPr>
                <w:rFonts w:eastAsia="Calibri"/>
                <w:b/>
                <w:sz w:val="16"/>
                <w:szCs w:val="16"/>
              </w:rPr>
              <w:t xml:space="preserve">Structural transformation </w:t>
            </w:r>
            <w:r w:rsidR="001A175D">
              <w:rPr>
                <w:rFonts w:eastAsia="Calibri"/>
                <w:b/>
                <w:sz w:val="16"/>
                <w:szCs w:val="16"/>
              </w:rPr>
              <w:t xml:space="preserve">is </w:t>
            </w:r>
            <w:r w:rsidRPr="00112F45">
              <w:rPr>
                <w:rFonts w:eastAsia="Calibri"/>
                <w:b/>
                <w:sz w:val="16"/>
                <w:szCs w:val="16"/>
              </w:rPr>
              <w:t xml:space="preserve">accelerated, particularly green, </w:t>
            </w:r>
            <w:r w:rsidRPr="00112F45">
              <w:rPr>
                <w:rFonts w:eastAsia="Calibri"/>
                <w:b/>
                <w:bCs/>
                <w:sz w:val="16"/>
                <w:szCs w:val="16"/>
              </w:rPr>
              <w:t>inclusive</w:t>
            </w:r>
            <w:r w:rsidRPr="00112F45">
              <w:rPr>
                <w:rFonts w:eastAsia="Calibri"/>
                <w:b/>
                <w:sz w:val="16"/>
                <w:szCs w:val="16"/>
              </w:rPr>
              <w:t xml:space="preserve"> and digital transitions</w:t>
            </w:r>
            <w:bookmarkEnd w:id="4"/>
          </w:p>
        </w:tc>
      </w:tr>
      <w:tr w:rsidR="000E4C4E" w:rsidRPr="00112F45" w14:paraId="37290FEA" w14:textId="77777777" w:rsidTr="00F421F3">
        <w:tc>
          <w:tcPr>
            <w:tcW w:w="2835" w:type="dxa"/>
            <w:shd w:val="clear" w:color="auto" w:fill="DBE5F1" w:themeFill="accent1" w:themeFillTint="33"/>
            <w:tcMar>
              <w:top w:w="72" w:type="dxa"/>
              <w:left w:w="144" w:type="dxa"/>
              <w:bottom w:w="72" w:type="dxa"/>
              <w:right w:w="144" w:type="dxa"/>
            </w:tcMar>
            <w:vAlign w:val="center"/>
          </w:tcPr>
          <w:p w14:paraId="72E7217B" w14:textId="14B25955" w:rsidR="00F82D53" w:rsidRPr="00112F45" w:rsidRDefault="001A175D" w:rsidP="007E3D02">
            <w:pPr>
              <w:rPr>
                <w:b/>
                <w:bCs/>
                <w:sz w:val="16"/>
                <w:szCs w:val="16"/>
              </w:rPr>
            </w:pPr>
            <w:r>
              <w:rPr>
                <w:b/>
                <w:bCs/>
                <w:sz w:val="16"/>
                <w:szCs w:val="16"/>
              </w:rPr>
              <w:t>UNSDCF</w:t>
            </w:r>
            <w:r w:rsidR="00F82D53" w:rsidRPr="00112F45">
              <w:rPr>
                <w:b/>
                <w:bCs/>
                <w:sz w:val="16"/>
                <w:szCs w:val="16"/>
              </w:rPr>
              <w:t xml:space="preserve"> OUTCOME INDICATORS, BASELINES, TARGETS</w:t>
            </w:r>
          </w:p>
        </w:tc>
        <w:tc>
          <w:tcPr>
            <w:tcW w:w="1985" w:type="dxa"/>
            <w:shd w:val="clear" w:color="auto" w:fill="DBE5F1" w:themeFill="accent1" w:themeFillTint="33"/>
            <w:vAlign w:val="center"/>
          </w:tcPr>
          <w:p w14:paraId="27FC7062" w14:textId="0D83FC6C" w:rsidR="00F82D53" w:rsidRPr="00112F45" w:rsidRDefault="00F82D53" w:rsidP="007E3D02">
            <w:pPr>
              <w:rPr>
                <w:b/>
                <w:bCs/>
                <w:sz w:val="16"/>
                <w:szCs w:val="16"/>
              </w:rPr>
            </w:pPr>
            <w:r w:rsidRPr="00112F45">
              <w:rPr>
                <w:b/>
                <w:bCs/>
                <w:sz w:val="16"/>
                <w:szCs w:val="16"/>
              </w:rPr>
              <w:t>DATA SOURCE</w:t>
            </w:r>
            <w:r w:rsidR="001A175D">
              <w:rPr>
                <w:b/>
                <w:bCs/>
                <w:sz w:val="16"/>
                <w:szCs w:val="16"/>
              </w:rPr>
              <w:t xml:space="preserve">, </w:t>
            </w:r>
            <w:r w:rsidRPr="00112F45">
              <w:rPr>
                <w:b/>
                <w:bCs/>
                <w:sz w:val="16"/>
                <w:szCs w:val="16"/>
              </w:rPr>
              <w:t>FREQUENCY OF DATA COLLECTION AND RESPONSIBILITIES</w:t>
            </w:r>
          </w:p>
        </w:tc>
        <w:tc>
          <w:tcPr>
            <w:tcW w:w="4394" w:type="dxa"/>
            <w:shd w:val="clear" w:color="auto" w:fill="DBE5F1" w:themeFill="accent1" w:themeFillTint="33"/>
            <w:tcMar>
              <w:top w:w="72" w:type="dxa"/>
              <w:left w:w="144" w:type="dxa"/>
              <w:bottom w:w="72" w:type="dxa"/>
              <w:right w:w="144" w:type="dxa"/>
            </w:tcMar>
            <w:vAlign w:val="center"/>
          </w:tcPr>
          <w:p w14:paraId="1A702D74" w14:textId="77777777" w:rsidR="00F82D53" w:rsidRPr="00112F45" w:rsidRDefault="00F82D53" w:rsidP="007E3D02">
            <w:pPr>
              <w:rPr>
                <w:b/>
                <w:bCs/>
                <w:sz w:val="16"/>
                <w:szCs w:val="16"/>
              </w:rPr>
            </w:pPr>
            <w:r w:rsidRPr="00112F45">
              <w:rPr>
                <w:b/>
                <w:bCs/>
                <w:sz w:val="16"/>
                <w:szCs w:val="16"/>
              </w:rPr>
              <w:t xml:space="preserve">INDICATIVE COUNTRY PROGRAMME OUTPUTS </w:t>
            </w:r>
          </w:p>
        </w:tc>
        <w:tc>
          <w:tcPr>
            <w:tcW w:w="2666" w:type="dxa"/>
            <w:tcBorders>
              <w:bottom w:val="single" w:sz="4" w:space="0" w:color="auto"/>
            </w:tcBorders>
            <w:shd w:val="clear" w:color="auto" w:fill="DBE5F1" w:themeFill="accent1" w:themeFillTint="33"/>
            <w:vAlign w:val="center"/>
          </w:tcPr>
          <w:p w14:paraId="5C8C8A6A" w14:textId="1B777874" w:rsidR="00F82D53" w:rsidRPr="00112F45" w:rsidRDefault="00F82D53" w:rsidP="007E3D02">
            <w:pPr>
              <w:rPr>
                <w:b/>
                <w:bCs/>
                <w:sz w:val="16"/>
                <w:szCs w:val="16"/>
              </w:rPr>
            </w:pPr>
            <w:r w:rsidRPr="00112F45">
              <w:rPr>
                <w:b/>
                <w:bCs/>
                <w:sz w:val="16"/>
                <w:szCs w:val="16"/>
              </w:rPr>
              <w:t>MAJOR PARTNERS / PARTNERSHIP</w:t>
            </w:r>
          </w:p>
          <w:p w14:paraId="16A6E518" w14:textId="77777777" w:rsidR="00F82D53" w:rsidRPr="00112F45" w:rsidRDefault="00F82D53" w:rsidP="007E3D02">
            <w:pPr>
              <w:rPr>
                <w:b/>
                <w:bCs/>
                <w:sz w:val="16"/>
                <w:szCs w:val="16"/>
              </w:rPr>
            </w:pPr>
            <w:r w:rsidRPr="00112F45">
              <w:rPr>
                <w:b/>
                <w:bCs/>
                <w:sz w:val="16"/>
                <w:szCs w:val="16"/>
              </w:rPr>
              <w:t>FRAMEWORKS</w:t>
            </w:r>
          </w:p>
        </w:tc>
        <w:tc>
          <w:tcPr>
            <w:tcW w:w="1350" w:type="dxa"/>
            <w:tcBorders>
              <w:bottom w:val="single" w:sz="4" w:space="0" w:color="auto"/>
            </w:tcBorders>
            <w:shd w:val="clear" w:color="auto" w:fill="DBE5F1" w:themeFill="accent1" w:themeFillTint="33"/>
            <w:tcMar>
              <w:top w:w="15" w:type="dxa"/>
              <w:left w:w="108" w:type="dxa"/>
              <w:bottom w:w="0" w:type="dxa"/>
              <w:right w:w="108" w:type="dxa"/>
            </w:tcMar>
            <w:vAlign w:val="center"/>
          </w:tcPr>
          <w:p w14:paraId="1BAF825E" w14:textId="267F6BEC" w:rsidR="00F82D53" w:rsidRPr="00112F45" w:rsidRDefault="00F82D53" w:rsidP="007E3D02">
            <w:pPr>
              <w:rPr>
                <w:b/>
                <w:bCs/>
                <w:sz w:val="16"/>
                <w:szCs w:val="16"/>
              </w:rPr>
            </w:pPr>
            <w:r w:rsidRPr="00112F45">
              <w:rPr>
                <w:b/>
                <w:bCs/>
                <w:sz w:val="16"/>
                <w:szCs w:val="16"/>
              </w:rPr>
              <w:t>ESTIMATED COST BY OUTCOME ($)</w:t>
            </w:r>
          </w:p>
        </w:tc>
      </w:tr>
      <w:tr w:rsidR="000E4C4E" w:rsidRPr="00112F45" w14:paraId="63425245" w14:textId="77777777" w:rsidTr="00F421F3">
        <w:tc>
          <w:tcPr>
            <w:tcW w:w="2835" w:type="dxa"/>
            <w:vMerge w:val="restart"/>
            <w:tcMar>
              <w:top w:w="72" w:type="dxa"/>
              <w:left w:w="144" w:type="dxa"/>
              <w:bottom w:w="72" w:type="dxa"/>
              <w:right w:w="144" w:type="dxa"/>
            </w:tcMar>
          </w:tcPr>
          <w:p w14:paraId="3D544D96" w14:textId="7A6186ED" w:rsidR="00F82D53" w:rsidRPr="00112F45" w:rsidRDefault="00F82D53" w:rsidP="00F82D53">
            <w:pPr>
              <w:pStyle w:val="ListParagraph"/>
              <w:numPr>
                <w:ilvl w:val="0"/>
                <w:numId w:val="10"/>
              </w:numPr>
              <w:ind w:left="141" w:hanging="141"/>
              <w:contextualSpacing/>
              <w:rPr>
                <w:rFonts w:eastAsia="SimSun"/>
                <w:bCs/>
                <w:sz w:val="16"/>
                <w:szCs w:val="16"/>
              </w:rPr>
            </w:pPr>
            <w:r w:rsidRPr="00112F45">
              <w:rPr>
                <w:rFonts w:eastAsia="SimSun"/>
                <w:bCs/>
                <w:sz w:val="16"/>
                <w:szCs w:val="16"/>
              </w:rPr>
              <w:t xml:space="preserve">Greenhouse gas emissions: Total </w:t>
            </w:r>
            <w:r w:rsidR="00DC2CA2">
              <w:rPr>
                <w:rFonts w:eastAsia="SimSun"/>
                <w:bCs/>
                <w:sz w:val="16"/>
                <w:szCs w:val="16"/>
              </w:rPr>
              <w:t xml:space="preserve">greenhouse gas </w:t>
            </w:r>
            <w:r w:rsidRPr="00112F45">
              <w:rPr>
                <w:rFonts w:eastAsia="SimSun"/>
                <w:bCs/>
                <w:sz w:val="16"/>
                <w:szCs w:val="16"/>
              </w:rPr>
              <w:t xml:space="preserve">emissions expressed as </w:t>
            </w:r>
            <w:r w:rsidR="007A3CF5">
              <w:rPr>
                <w:rFonts w:eastAsia="SimSun"/>
                <w:bCs/>
                <w:sz w:val="16"/>
                <w:szCs w:val="16"/>
              </w:rPr>
              <w:t>g</w:t>
            </w:r>
            <w:r w:rsidR="00DC2CA2">
              <w:rPr>
                <w:rFonts w:eastAsia="SimSun"/>
                <w:bCs/>
                <w:sz w:val="16"/>
                <w:szCs w:val="16"/>
              </w:rPr>
              <w:t>igagram</w:t>
            </w:r>
            <w:r w:rsidRPr="00112F45">
              <w:rPr>
                <w:rFonts w:eastAsia="SimSun"/>
                <w:bCs/>
                <w:sz w:val="16"/>
                <w:szCs w:val="16"/>
              </w:rPr>
              <w:t xml:space="preserve"> </w:t>
            </w:r>
            <w:r w:rsidR="007A3CF5">
              <w:rPr>
                <w:rFonts w:eastAsia="SimSun"/>
                <w:bCs/>
                <w:sz w:val="16"/>
                <w:szCs w:val="16"/>
              </w:rPr>
              <w:t>c</w:t>
            </w:r>
            <w:r w:rsidR="00DC2CA2">
              <w:rPr>
                <w:rFonts w:eastAsia="SimSun"/>
                <w:bCs/>
                <w:sz w:val="16"/>
                <w:szCs w:val="16"/>
              </w:rPr>
              <w:t xml:space="preserve">arbon </w:t>
            </w:r>
            <w:r w:rsidR="007A3CF5">
              <w:rPr>
                <w:rFonts w:eastAsia="SimSun"/>
                <w:bCs/>
                <w:sz w:val="16"/>
                <w:szCs w:val="16"/>
              </w:rPr>
              <w:t>d</w:t>
            </w:r>
            <w:r w:rsidR="00DC2CA2">
              <w:rPr>
                <w:rFonts w:eastAsia="SimSun"/>
                <w:bCs/>
                <w:sz w:val="16"/>
                <w:szCs w:val="16"/>
              </w:rPr>
              <w:t xml:space="preserve">ioxide equivalent </w:t>
            </w:r>
          </w:p>
          <w:p w14:paraId="66315B91" w14:textId="77777777" w:rsidR="00F82D53" w:rsidRPr="00112F45" w:rsidRDefault="00F82D53" w:rsidP="007E3D02">
            <w:pPr>
              <w:ind w:left="141"/>
              <w:rPr>
                <w:sz w:val="16"/>
                <w:szCs w:val="16"/>
              </w:rPr>
            </w:pPr>
            <w:r w:rsidRPr="00112F45">
              <w:rPr>
                <w:b/>
                <w:bCs/>
                <w:sz w:val="16"/>
                <w:szCs w:val="16"/>
              </w:rPr>
              <w:t>Baseline (2019):</w:t>
            </w:r>
            <w:r w:rsidRPr="00112F45">
              <w:rPr>
                <w:sz w:val="16"/>
                <w:szCs w:val="16"/>
              </w:rPr>
              <w:t xml:space="preserve"> 3,623 </w:t>
            </w:r>
          </w:p>
          <w:p w14:paraId="0E92AEFB" w14:textId="77777777" w:rsidR="00F82D53" w:rsidRPr="00112F45" w:rsidRDefault="00F82D53" w:rsidP="007E3D02">
            <w:pPr>
              <w:spacing w:after="200" w:line="276" w:lineRule="auto"/>
              <w:ind w:left="141"/>
              <w:rPr>
                <w:sz w:val="16"/>
                <w:szCs w:val="16"/>
              </w:rPr>
            </w:pPr>
            <w:r w:rsidRPr="00112F45">
              <w:rPr>
                <w:b/>
                <w:bCs/>
                <w:sz w:val="16"/>
                <w:szCs w:val="16"/>
              </w:rPr>
              <w:t>Target (2027):</w:t>
            </w:r>
            <w:r w:rsidRPr="00112F45">
              <w:rPr>
                <w:sz w:val="16"/>
                <w:szCs w:val="16"/>
              </w:rPr>
              <w:t xml:space="preserve"> 3,597 </w:t>
            </w:r>
          </w:p>
          <w:p w14:paraId="2C4F9CD7" w14:textId="026B62B0" w:rsidR="00F82D53" w:rsidRPr="00112F45" w:rsidRDefault="00F82D53" w:rsidP="00F82D53">
            <w:pPr>
              <w:pStyle w:val="ListParagraph"/>
              <w:numPr>
                <w:ilvl w:val="0"/>
                <w:numId w:val="10"/>
              </w:numPr>
              <w:ind w:left="141" w:hanging="141"/>
              <w:contextualSpacing/>
              <w:rPr>
                <w:rFonts w:eastAsia="SimSun"/>
                <w:bCs/>
                <w:sz w:val="16"/>
                <w:szCs w:val="16"/>
              </w:rPr>
            </w:pPr>
            <w:r w:rsidRPr="00112F45">
              <w:rPr>
                <w:rFonts w:eastAsia="SimSun"/>
                <w:bCs/>
                <w:sz w:val="16"/>
                <w:szCs w:val="16"/>
              </w:rPr>
              <w:t>Area of landscapes under improved management to benefit biodiversity, in h</w:t>
            </w:r>
            <w:r w:rsidR="006105AA">
              <w:rPr>
                <w:rFonts w:eastAsia="SimSun"/>
                <w:bCs/>
                <w:sz w:val="16"/>
                <w:szCs w:val="16"/>
              </w:rPr>
              <w:t>ect</w:t>
            </w:r>
            <w:r w:rsidRPr="00112F45">
              <w:rPr>
                <w:rFonts w:eastAsia="SimSun"/>
                <w:bCs/>
                <w:sz w:val="16"/>
                <w:szCs w:val="16"/>
              </w:rPr>
              <w:t>a</w:t>
            </w:r>
            <w:r w:rsidR="006105AA">
              <w:rPr>
                <w:rFonts w:eastAsia="SimSun"/>
                <w:bCs/>
                <w:sz w:val="16"/>
                <w:szCs w:val="16"/>
              </w:rPr>
              <w:t>res</w:t>
            </w:r>
            <w:r w:rsidRPr="00112F45">
              <w:rPr>
                <w:rFonts w:eastAsia="SimSun"/>
                <w:bCs/>
                <w:sz w:val="16"/>
                <w:szCs w:val="16"/>
              </w:rPr>
              <w:t xml:space="preserve"> </w:t>
            </w:r>
          </w:p>
          <w:p w14:paraId="0540ACCA" w14:textId="77777777" w:rsidR="00F82D53" w:rsidRPr="00112F45" w:rsidRDefault="00F82D53" w:rsidP="007E3D02">
            <w:pPr>
              <w:pStyle w:val="ListParagraph"/>
              <w:ind w:left="141"/>
              <w:rPr>
                <w:rFonts w:eastAsia="SimSun"/>
                <w:bCs/>
                <w:sz w:val="16"/>
                <w:szCs w:val="16"/>
              </w:rPr>
            </w:pPr>
            <w:r w:rsidRPr="00112F45">
              <w:rPr>
                <w:rFonts w:eastAsia="SimSun"/>
                <w:b/>
                <w:sz w:val="16"/>
                <w:szCs w:val="16"/>
              </w:rPr>
              <w:t>Baseline (2021):</w:t>
            </w:r>
            <w:r w:rsidRPr="00112F45">
              <w:rPr>
                <w:rFonts w:eastAsia="SimSun"/>
                <w:bCs/>
                <w:sz w:val="16"/>
                <w:szCs w:val="16"/>
              </w:rPr>
              <w:t xml:space="preserve"> 0</w:t>
            </w:r>
          </w:p>
          <w:p w14:paraId="1D317C34" w14:textId="77777777" w:rsidR="00F82D53" w:rsidRPr="00112F45" w:rsidRDefault="00F82D53" w:rsidP="007E3D02">
            <w:pPr>
              <w:pStyle w:val="ListParagraph"/>
              <w:ind w:left="141"/>
              <w:rPr>
                <w:rFonts w:eastAsia="SimSun"/>
                <w:bCs/>
                <w:sz w:val="16"/>
                <w:szCs w:val="16"/>
              </w:rPr>
            </w:pPr>
            <w:r w:rsidRPr="00112F45">
              <w:rPr>
                <w:rFonts w:eastAsia="SimSun"/>
                <w:b/>
                <w:sz w:val="16"/>
                <w:szCs w:val="16"/>
              </w:rPr>
              <w:t>Target (2027):</w:t>
            </w:r>
            <w:r w:rsidRPr="00112F45">
              <w:rPr>
                <w:rFonts w:eastAsia="SimSun"/>
                <w:bCs/>
                <w:sz w:val="16"/>
                <w:szCs w:val="16"/>
              </w:rPr>
              <w:t xml:space="preserve"> 80,000</w:t>
            </w:r>
          </w:p>
          <w:p w14:paraId="0E76A0EC" w14:textId="77777777" w:rsidR="00F82D53" w:rsidRPr="00112F45" w:rsidRDefault="00F82D53" w:rsidP="007E3D02">
            <w:pPr>
              <w:pStyle w:val="ListParagraph"/>
              <w:ind w:left="141"/>
              <w:rPr>
                <w:rFonts w:eastAsiaTheme="minorEastAsia"/>
                <w:sz w:val="16"/>
                <w:szCs w:val="16"/>
              </w:rPr>
            </w:pPr>
          </w:p>
          <w:p w14:paraId="780842E4" w14:textId="77777777" w:rsidR="00F82D53" w:rsidRPr="00112F45" w:rsidRDefault="00F82D53" w:rsidP="00F82D53">
            <w:pPr>
              <w:pStyle w:val="ListParagraph"/>
              <w:numPr>
                <w:ilvl w:val="0"/>
                <w:numId w:val="10"/>
              </w:numPr>
              <w:ind w:left="141" w:hanging="142"/>
              <w:contextualSpacing/>
              <w:rPr>
                <w:rFonts w:eastAsia="SimSun"/>
                <w:bCs/>
                <w:sz w:val="16"/>
                <w:szCs w:val="16"/>
              </w:rPr>
            </w:pPr>
            <w:r w:rsidRPr="00112F45">
              <w:rPr>
                <w:rFonts w:eastAsiaTheme="minorEastAsia"/>
                <w:sz w:val="16"/>
                <w:szCs w:val="16"/>
              </w:rPr>
              <w:t>Global innovation index score</w:t>
            </w:r>
          </w:p>
          <w:p w14:paraId="6FFB17C4" w14:textId="77777777" w:rsidR="00F82D53" w:rsidRPr="00112F45" w:rsidRDefault="00F82D53" w:rsidP="007E3D02">
            <w:pPr>
              <w:autoSpaceDE w:val="0"/>
              <w:autoSpaceDN w:val="0"/>
              <w:adjustRightInd w:val="0"/>
              <w:ind w:left="141"/>
              <w:contextualSpacing/>
              <w:rPr>
                <w:sz w:val="16"/>
                <w:szCs w:val="16"/>
              </w:rPr>
            </w:pPr>
            <w:r w:rsidRPr="00112F45">
              <w:rPr>
                <w:b/>
                <w:bCs/>
                <w:sz w:val="16"/>
                <w:szCs w:val="16"/>
              </w:rPr>
              <w:t>Baseline (2021):</w:t>
            </w:r>
            <w:r w:rsidRPr="00112F45">
              <w:rPr>
                <w:sz w:val="16"/>
                <w:szCs w:val="16"/>
              </w:rPr>
              <w:t xml:space="preserve"> 35.4 </w:t>
            </w:r>
          </w:p>
          <w:p w14:paraId="0ECBAC9F" w14:textId="77777777" w:rsidR="00F82D53" w:rsidRPr="00112F45" w:rsidRDefault="00F82D53" w:rsidP="007E3D02">
            <w:pPr>
              <w:autoSpaceDE w:val="0"/>
              <w:autoSpaceDN w:val="0"/>
              <w:adjustRightInd w:val="0"/>
              <w:ind w:left="141"/>
              <w:contextualSpacing/>
              <w:rPr>
                <w:sz w:val="16"/>
                <w:szCs w:val="16"/>
              </w:rPr>
            </w:pPr>
            <w:r w:rsidRPr="00112F45">
              <w:rPr>
                <w:b/>
                <w:bCs/>
                <w:sz w:val="16"/>
                <w:szCs w:val="16"/>
              </w:rPr>
              <w:t>Target (2027):</w:t>
            </w:r>
            <w:r w:rsidRPr="00112F45">
              <w:rPr>
                <w:sz w:val="16"/>
                <w:szCs w:val="16"/>
              </w:rPr>
              <w:t xml:space="preserve"> &gt;47</w:t>
            </w:r>
          </w:p>
          <w:p w14:paraId="36AA1153" w14:textId="77777777" w:rsidR="00F82D53" w:rsidRPr="00112F45" w:rsidRDefault="00F82D53" w:rsidP="007E3D02">
            <w:pPr>
              <w:autoSpaceDE w:val="0"/>
              <w:autoSpaceDN w:val="0"/>
              <w:adjustRightInd w:val="0"/>
              <w:contextualSpacing/>
              <w:rPr>
                <w:rFonts w:eastAsiaTheme="minorEastAsia"/>
                <w:sz w:val="16"/>
                <w:szCs w:val="16"/>
                <w:lang w:val="en"/>
              </w:rPr>
            </w:pPr>
          </w:p>
          <w:p w14:paraId="35677485" w14:textId="00CAAE74" w:rsidR="00F82D53" w:rsidRPr="00112F45" w:rsidRDefault="00F82D53" w:rsidP="00F82D53">
            <w:pPr>
              <w:pStyle w:val="ListParagraph"/>
              <w:numPr>
                <w:ilvl w:val="0"/>
                <w:numId w:val="10"/>
              </w:numPr>
              <w:autoSpaceDE w:val="0"/>
              <w:autoSpaceDN w:val="0"/>
              <w:adjustRightInd w:val="0"/>
              <w:ind w:left="141" w:hanging="142"/>
              <w:contextualSpacing/>
              <w:rPr>
                <w:rFonts w:eastAsiaTheme="minorEastAsia"/>
                <w:sz w:val="16"/>
                <w:szCs w:val="16"/>
                <w:lang w:val="en"/>
              </w:rPr>
            </w:pPr>
            <w:r w:rsidRPr="00112F45">
              <w:rPr>
                <w:rFonts w:eastAsiaTheme="minorEastAsia"/>
                <w:sz w:val="16"/>
                <w:szCs w:val="16"/>
                <w:lang w:val="en"/>
              </w:rPr>
              <w:t>Share of electricity produced from renewable sources in total net electricity consumption annual</w:t>
            </w:r>
            <w:r w:rsidR="0091798E">
              <w:rPr>
                <w:rFonts w:eastAsiaTheme="minorEastAsia"/>
                <w:sz w:val="16"/>
                <w:szCs w:val="16"/>
                <w:lang w:val="en"/>
              </w:rPr>
              <w:t>ly</w:t>
            </w:r>
          </w:p>
          <w:p w14:paraId="5CEDE436" w14:textId="77777777" w:rsidR="00F82D53" w:rsidRPr="00112F45" w:rsidRDefault="00F82D53" w:rsidP="007E3D02">
            <w:pPr>
              <w:ind w:left="141"/>
              <w:rPr>
                <w:rFonts w:eastAsiaTheme="minorEastAsia"/>
                <w:sz w:val="16"/>
                <w:szCs w:val="16"/>
                <w:lang w:val="en"/>
              </w:rPr>
            </w:pPr>
            <w:r w:rsidRPr="00112F45">
              <w:rPr>
                <w:b/>
                <w:bCs/>
                <w:sz w:val="16"/>
                <w:szCs w:val="16"/>
              </w:rPr>
              <w:t>Baseline (</w:t>
            </w:r>
            <w:r w:rsidRPr="00112F45">
              <w:rPr>
                <w:rFonts w:eastAsiaTheme="minorEastAsia"/>
                <w:b/>
                <w:bCs/>
                <w:sz w:val="16"/>
                <w:szCs w:val="16"/>
                <w:lang w:val="en"/>
              </w:rPr>
              <w:t>2020):</w:t>
            </w:r>
            <w:r w:rsidRPr="00112F45">
              <w:rPr>
                <w:rFonts w:eastAsiaTheme="minorEastAsia"/>
                <w:sz w:val="16"/>
                <w:szCs w:val="16"/>
                <w:lang w:val="en"/>
              </w:rPr>
              <w:t xml:space="preserve"> 62% </w:t>
            </w:r>
          </w:p>
          <w:p w14:paraId="2D58D9EA" w14:textId="77777777" w:rsidR="00F82D53" w:rsidRPr="00112F45" w:rsidRDefault="00F82D53" w:rsidP="007E3D02">
            <w:pPr>
              <w:ind w:left="141"/>
              <w:rPr>
                <w:rFonts w:eastAsiaTheme="minorEastAsia"/>
                <w:sz w:val="16"/>
                <w:szCs w:val="16"/>
                <w:lang w:val="en"/>
              </w:rPr>
            </w:pPr>
            <w:r w:rsidRPr="00112F45">
              <w:rPr>
                <w:rFonts w:eastAsiaTheme="minorEastAsia"/>
                <w:b/>
                <w:bCs/>
                <w:sz w:val="16"/>
                <w:szCs w:val="16"/>
                <w:lang w:val="en"/>
              </w:rPr>
              <w:t>Target (2027):</w:t>
            </w:r>
            <w:r w:rsidRPr="00112F45">
              <w:rPr>
                <w:rFonts w:eastAsiaTheme="minorEastAsia"/>
                <w:sz w:val="16"/>
                <w:szCs w:val="16"/>
                <w:lang w:val="en"/>
              </w:rPr>
              <w:t xml:space="preserve"> &gt;64%</w:t>
            </w:r>
          </w:p>
          <w:p w14:paraId="44ACA7DF" w14:textId="77777777" w:rsidR="00F82D53" w:rsidRPr="00112F45" w:rsidRDefault="00F82D53" w:rsidP="007E3D02">
            <w:pPr>
              <w:autoSpaceDE w:val="0"/>
              <w:autoSpaceDN w:val="0"/>
              <w:adjustRightInd w:val="0"/>
              <w:ind w:left="141"/>
              <w:contextualSpacing/>
              <w:rPr>
                <w:rFonts w:eastAsiaTheme="minorEastAsia"/>
                <w:sz w:val="16"/>
                <w:szCs w:val="16"/>
              </w:rPr>
            </w:pPr>
          </w:p>
          <w:p w14:paraId="2EB0E2E4" w14:textId="55800432" w:rsidR="00F82D53" w:rsidRPr="00112F45" w:rsidRDefault="00F82D53" w:rsidP="00F82D53">
            <w:pPr>
              <w:pStyle w:val="ListParagraph"/>
              <w:numPr>
                <w:ilvl w:val="0"/>
                <w:numId w:val="10"/>
              </w:numPr>
              <w:autoSpaceDE w:val="0"/>
              <w:autoSpaceDN w:val="0"/>
              <w:adjustRightInd w:val="0"/>
              <w:ind w:left="141" w:hanging="142"/>
              <w:contextualSpacing/>
              <w:rPr>
                <w:rFonts w:eastAsiaTheme="minorEastAsia"/>
                <w:sz w:val="16"/>
                <w:szCs w:val="16"/>
              </w:rPr>
            </w:pPr>
            <w:r w:rsidRPr="00112F45">
              <w:rPr>
                <w:rFonts w:eastAsiaTheme="minorEastAsia"/>
                <w:sz w:val="16"/>
                <w:szCs w:val="16"/>
              </w:rPr>
              <w:t>Gender Equality Index score, dimensions: money, time</w:t>
            </w:r>
            <w:r w:rsidR="00CA2B0F" w:rsidRPr="00112F45">
              <w:rPr>
                <w:rFonts w:eastAsiaTheme="minorEastAsia"/>
                <w:sz w:val="16"/>
                <w:szCs w:val="16"/>
              </w:rPr>
              <w:t xml:space="preserve">, work </w:t>
            </w:r>
            <w:r w:rsidRPr="00112F45">
              <w:rPr>
                <w:rFonts w:eastAsiaTheme="minorEastAsia"/>
                <w:sz w:val="16"/>
                <w:szCs w:val="16"/>
              </w:rPr>
              <w:t xml:space="preserve"> </w:t>
            </w:r>
          </w:p>
          <w:p w14:paraId="52FD063D" w14:textId="77777777" w:rsidR="00F82D53" w:rsidRPr="00112F45" w:rsidRDefault="00F82D53" w:rsidP="007E3D02">
            <w:pPr>
              <w:ind w:left="141"/>
              <w:rPr>
                <w:sz w:val="16"/>
                <w:szCs w:val="16"/>
              </w:rPr>
            </w:pPr>
            <w:r w:rsidRPr="00112F45">
              <w:rPr>
                <w:b/>
                <w:bCs/>
                <w:sz w:val="16"/>
                <w:szCs w:val="16"/>
              </w:rPr>
              <w:t>Baseline (2019):</w:t>
            </w:r>
            <w:r w:rsidRPr="00112F45">
              <w:rPr>
                <w:sz w:val="16"/>
                <w:szCs w:val="16"/>
              </w:rPr>
              <w:t xml:space="preserve"> Total: 55</w:t>
            </w:r>
          </w:p>
          <w:p w14:paraId="4FE541F4" w14:textId="77777777" w:rsidR="00F82D53" w:rsidRPr="00112F45" w:rsidRDefault="00F82D53" w:rsidP="007E3D02">
            <w:pPr>
              <w:ind w:left="141"/>
              <w:rPr>
                <w:sz w:val="16"/>
                <w:szCs w:val="16"/>
              </w:rPr>
            </w:pPr>
            <w:r w:rsidRPr="00112F45">
              <w:rPr>
                <w:sz w:val="16"/>
                <w:szCs w:val="16"/>
              </w:rPr>
              <w:t>Money: 59.7, Time: 52.7</w:t>
            </w:r>
          </w:p>
          <w:p w14:paraId="292007C8" w14:textId="77777777" w:rsidR="00F82D53" w:rsidRPr="00112F45" w:rsidRDefault="00F82D53" w:rsidP="007E3D02">
            <w:pPr>
              <w:ind w:left="141"/>
              <w:rPr>
                <w:sz w:val="16"/>
                <w:szCs w:val="16"/>
              </w:rPr>
            </w:pPr>
            <w:r w:rsidRPr="00112F45">
              <w:rPr>
                <w:sz w:val="16"/>
                <w:szCs w:val="16"/>
              </w:rPr>
              <w:t>Work: 65.2</w:t>
            </w:r>
          </w:p>
          <w:p w14:paraId="4CD74AD6" w14:textId="77777777" w:rsidR="00F82D53" w:rsidRPr="00112F45" w:rsidRDefault="00F82D53" w:rsidP="007E3D02">
            <w:pPr>
              <w:ind w:left="141"/>
              <w:rPr>
                <w:sz w:val="16"/>
                <w:szCs w:val="16"/>
              </w:rPr>
            </w:pPr>
            <w:r w:rsidRPr="00112F45">
              <w:rPr>
                <w:b/>
                <w:bCs/>
                <w:sz w:val="16"/>
                <w:szCs w:val="16"/>
              </w:rPr>
              <w:t>Target (2027):</w:t>
            </w:r>
            <w:r w:rsidRPr="00112F45">
              <w:rPr>
                <w:sz w:val="16"/>
                <w:szCs w:val="16"/>
              </w:rPr>
              <w:t xml:space="preserve"> </w:t>
            </w:r>
            <w:r w:rsidRPr="00FB4739">
              <w:rPr>
                <w:sz w:val="16"/>
                <w:szCs w:val="16"/>
              </w:rPr>
              <w:t>Total: &gt;62</w:t>
            </w:r>
            <w:r w:rsidRPr="00112F45">
              <w:rPr>
                <w:sz w:val="16"/>
                <w:szCs w:val="16"/>
              </w:rPr>
              <w:t xml:space="preserve"> </w:t>
            </w:r>
          </w:p>
          <w:p w14:paraId="7A5EE302" w14:textId="77777777" w:rsidR="00F82D53" w:rsidRPr="00112F45" w:rsidRDefault="00F82D53" w:rsidP="007E3D02">
            <w:pPr>
              <w:ind w:left="141"/>
              <w:rPr>
                <w:sz w:val="16"/>
                <w:szCs w:val="16"/>
              </w:rPr>
            </w:pPr>
            <w:r w:rsidRPr="00112F45">
              <w:rPr>
                <w:sz w:val="16"/>
                <w:szCs w:val="16"/>
              </w:rPr>
              <w:t>Money: &gt;67, Time: &gt;60</w:t>
            </w:r>
          </w:p>
          <w:p w14:paraId="67B44180" w14:textId="68B558CE" w:rsidR="00F82D53" w:rsidRPr="00112F45" w:rsidRDefault="00F82D53" w:rsidP="000E4AA2">
            <w:pPr>
              <w:ind w:left="141"/>
              <w:rPr>
                <w:sz w:val="16"/>
                <w:szCs w:val="16"/>
              </w:rPr>
            </w:pPr>
            <w:r w:rsidRPr="00112F45">
              <w:rPr>
                <w:sz w:val="16"/>
                <w:szCs w:val="16"/>
              </w:rPr>
              <w:t>Work: &gt;72</w:t>
            </w:r>
          </w:p>
        </w:tc>
        <w:tc>
          <w:tcPr>
            <w:tcW w:w="1985" w:type="dxa"/>
            <w:vMerge w:val="restart"/>
          </w:tcPr>
          <w:p w14:paraId="0941B3E1" w14:textId="584A7A68" w:rsidR="00F82D53" w:rsidRDefault="00F82D53" w:rsidP="00693E61">
            <w:pPr>
              <w:pStyle w:val="ListParagraph"/>
              <w:numPr>
                <w:ilvl w:val="0"/>
                <w:numId w:val="4"/>
              </w:numPr>
              <w:ind w:left="290" w:right="287" w:hanging="180"/>
              <w:contextualSpacing/>
              <w:rPr>
                <w:sz w:val="16"/>
                <w:szCs w:val="16"/>
              </w:rPr>
            </w:pPr>
            <w:r w:rsidRPr="00112F45">
              <w:rPr>
                <w:sz w:val="16"/>
                <w:szCs w:val="16"/>
              </w:rPr>
              <w:t>Government</w:t>
            </w:r>
          </w:p>
          <w:p w14:paraId="3C46BA5A" w14:textId="699ABCCC" w:rsidR="004B34AF" w:rsidRDefault="004B34AF" w:rsidP="004B34AF">
            <w:pPr>
              <w:ind w:right="287"/>
              <w:contextualSpacing/>
              <w:rPr>
                <w:sz w:val="16"/>
                <w:szCs w:val="16"/>
              </w:rPr>
            </w:pPr>
          </w:p>
          <w:p w14:paraId="7049C1D6" w14:textId="77777777" w:rsidR="004B34AF" w:rsidRPr="004B34AF" w:rsidRDefault="004B34AF" w:rsidP="004B34AF">
            <w:pPr>
              <w:ind w:right="287"/>
              <w:contextualSpacing/>
              <w:rPr>
                <w:sz w:val="16"/>
                <w:szCs w:val="16"/>
              </w:rPr>
            </w:pPr>
          </w:p>
          <w:p w14:paraId="60C632CB" w14:textId="0A2B7330" w:rsidR="00693E61" w:rsidRDefault="00693E61" w:rsidP="00693E61">
            <w:pPr>
              <w:ind w:left="290" w:right="287" w:hanging="180"/>
              <w:contextualSpacing/>
              <w:rPr>
                <w:sz w:val="16"/>
                <w:szCs w:val="16"/>
              </w:rPr>
            </w:pPr>
          </w:p>
          <w:p w14:paraId="3FEEA638" w14:textId="416B8B82" w:rsidR="00693E61" w:rsidRDefault="00693E61" w:rsidP="00693E61">
            <w:pPr>
              <w:ind w:left="290" w:right="287" w:hanging="180"/>
              <w:contextualSpacing/>
              <w:rPr>
                <w:sz w:val="16"/>
                <w:szCs w:val="16"/>
              </w:rPr>
            </w:pPr>
          </w:p>
          <w:p w14:paraId="55D3D9E9" w14:textId="3B5B97C3" w:rsidR="00693E61" w:rsidRDefault="00693E61" w:rsidP="00693E61">
            <w:pPr>
              <w:ind w:left="290" w:right="287" w:hanging="180"/>
              <w:contextualSpacing/>
              <w:rPr>
                <w:sz w:val="16"/>
                <w:szCs w:val="16"/>
              </w:rPr>
            </w:pPr>
          </w:p>
          <w:p w14:paraId="43D9DEB1" w14:textId="77777777" w:rsidR="00693E61" w:rsidRPr="00693E61" w:rsidRDefault="00693E61" w:rsidP="00693E61">
            <w:pPr>
              <w:ind w:left="290" w:right="287" w:hanging="180"/>
              <w:contextualSpacing/>
              <w:rPr>
                <w:sz w:val="16"/>
                <w:szCs w:val="16"/>
              </w:rPr>
            </w:pPr>
          </w:p>
          <w:p w14:paraId="389E7330" w14:textId="0A75F65F" w:rsidR="00F82D53" w:rsidRDefault="00F82D53" w:rsidP="00693E61">
            <w:pPr>
              <w:pStyle w:val="ListParagraph"/>
              <w:numPr>
                <w:ilvl w:val="0"/>
                <w:numId w:val="4"/>
              </w:numPr>
              <w:ind w:left="290" w:right="287" w:hanging="180"/>
              <w:contextualSpacing/>
              <w:rPr>
                <w:sz w:val="16"/>
                <w:szCs w:val="16"/>
              </w:rPr>
            </w:pPr>
            <w:r w:rsidRPr="00112F45">
              <w:rPr>
                <w:sz w:val="16"/>
                <w:szCs w:val="16"/>
              </w:rPr>
              <w:t>Government</w:t>
            </w:r>
          </w:p>
          <w:p w14:paraId="6A79582D" w14:textId="07CDE3FE" w:rsidR="00693E61" w:rsidRDefault="00693E61" w:rsidP="00693E61">
            <w:pPr>
              <w:ind w:left="290" w:right="287" w:hanging="180"/>
              <w:contextualSpacing/>
              <w:rPr>
                <w:sz w:val="16"/>
                <w:szCs w:val="16"/>
              </w:rPr>
            </w:pPr>
          </w:p>
          <w:p w14:paraId="00B030DD" w14:textId="57F63CB1" w:rsidR="00693E61" w:rsidRDefault="00693E61" w:rsidP="00693E61">
            <w:pPr>
              <w:ind w:left="290" w:right="287" w:hanging="180"/>
              <w:contextualSpacing/>
              <w:rPr>
                <w:sz w:val="16"/>
                <w:szCs w:val="16"/>
              </w:rPr>
            </w:pPr>
          </w:p>
          <w:p w14:paraId="1C833CA0" w14:textId="4EACB33F" w:rsidR="00693E61" w:rsidRDefault="00693E61" w:rsidP="00693E61">
            <w:pPr>
              <w:ind w:left="290" w:right="287" w:hanging="180"/>
              <w:contextualSpacing/>
              <w:rPr>
                <w:sz w:val="16"/>
                <w:szCs w:val="16"/>
              </w:rPr>
            </w:pPr>
          </w:p>
          <w:p w14:paraId="526563C8" w14:textId="70944179" w:rsidR="00693E61" w:rsidRDefault="00693E61" w:rsidP="00693E61">
            <w:pPr>
              <w:ind w:left="290" w:right="287" w:hanging="180"/>
              <w:contextualSpacing/>
              <w:rPr>
                <w:sz w:val="16"/>
                <w:szCs w:val="16"/>
              </w:rPr>
            </w:pPr>
          </w:p>
          <w:p w14:paraId="50A509DB" w14:textId="77777777" w:rsidR="00693E61" w:rsidRPr="00693E61" w:rsidRDefault="00693E61" w:rsidP="00693E61">
            <w:pPr>
              <w:ind w:left="290" w:right="287" w:hanging="180"/>
              <w:contextualSpacing/>
              <w:rPr>
                <w:sz w:val="16"/>
                <w:szCs w:val="16"/>
              </w:rPr>
            </w:pPr>
          </w:p>
          <w:p w14:paraId="31B5D7F9" w14:textId="5AB8B718" w:rsidR="00F82D53" w:rsidRDefault="00F82D53" w:rsidP="00693E61">
            <w:pPr>
              <w:pStyle w:val="ListParagraph"/>
              <w:numPr>
                <w:ilvl w:val="0"/>
                <w:numId w:val="4"/>
              </w:numPr>
              <w:ind w:left="290" w:right="287" w:hanging="180"/>
              <w:contextualSpacing/>
              <w:rPr>
                <w:sz w:val="16"/>
                <w:szCs w:val="16"/>
              </w:rPr>
            </w:pPr>
            <w:r w:rsidRPr="00112F45">
              <w:rPr>
                <w:sz w:val="16"/>
                <w:szCs w:val="16"/>
              </w:rPr>
              <w:t>World Intellectual Property Organization</w:t>
            </w:r>
          </w:p>
          <w:p w14:paraId="7B550768" w14:textId="5AF920A4" w:rsidR="00693E61" w:rsidRDefault="00693E61" w:rsidP="00693E61">
            <w:pPr>
              <w:ind w:left="290" w:right="287" w:hanging="180"/>
              <w:contextualSpacing/>
              <w:rPr>
                <w:sz w:val="16"/>
                <w:szCs w:val="16"/>
              </w:rPr>
            </w:pPr>
          </w:p>
          <w:p w14:paraId="282B35A3" w14:textId="40A91F72" w:rsidR="00F82D53" w:rsidRDefault="00F82D53" w:rsidP="00693E61">
            <w:pPr>
              <w:pStyle w:val="ListParagraph"/>
              <w:numPr>
                <w:ilvl w:val="0"/>
                <w:numId w:val="4"/>
              </w:numPr>
              <w:ind w:left="290" w:right="287" w:hanging="180"/>
              <w:contextualSpacing/>
              <w:rPr>
                <w:sz w:val="16"/>
                <w:szCs w:val="16"/>
              </w:rPr>
            </w:pPr>
            <w:r w:rsidRPr="00112F45">
              <w:rPr>
                <w:sz w:val="16"/>
                <w:szCs w:val="16"/>
              </w:rPr>
              <w:t>MONSTAT</w:t>
            </w:r>
          </w:p>
          <w:p w14:paraId="332841EB" w14:textId="07E3538A" w:rsidR="00693E61" w:rsidRDefault="00693E61" w:rsidP="00693E61">
            <w:pPr>
              <w:ind w:left="290" w:hanging="180"/>
              <w:contextualSpacing/>
              <w:rPr>
                <w:sz w:val="16"/>
                <w:szCs w:val="16"/>
              </w:rPr>
            </w:pPr>
          </w:p>
          <w:p w14:paraId="370888AF" w14:textId="7E20DA85" w:rsidR="00693E61" w:rsidRDefault="00693E61" w:rsidP="00693E61">
            <w:pPr>
              <w:ind w:left="290" w:hanging="180"/>
              <w:contextualSpacing/>
              <w:rPr>
                <w:sz w:val="16"/>
                <w:szCs w:val="16"/>
              </w:rPr>
            </w:pPr>
          </w:p>
          <w:p w14:paraId="4D6C2C82" w14:textId="49F44B5F" w:rsidR="00693E61" w:rsidRDefault="00693E61" w:rsidP="00693E61">
            <w:pPr>
              <w:ind w:left="290" w:hanging="180"/>
              <w:contextualSpacing/>
              <w:rPr>
                <w:sz w:val="16"/>
                <w:szCs w:val="16"/>
              </w:rPr>
            </w:pPr>
          </w:p>
          <w:p w14:paraId="3BFC54AD" w14:textId="08BB71EC" w:rsidR="00693E61" w:rsidRDefault="00693E61" w:rsidP="00693E61">
            <w:pPr>
              <w:ind w:left="290" w:hanging="180"/>
              <w:contextualSpacing/>
              <w:rPr>
                <w:sz w:val="16"/>
                <w:szCs w:val="16"/>
              </w:rPr>
            </w:pPr>
          </w:p>
          <w:p w14:paraId="1A0E0F87" w14:textId="77777777" w:rsidR="00693E61" w:rsidRPr="00693E61" w:rsidRDefault="00693E61" w:rsidP="00693E61">
            <w:pPr>
              <w:pStyle w:val="ListParagraph"/>
              <w:ind w:left="290" w:right="287" w:hanging="180"/>
              <w:contextualSpacing/>
              <w:rPr>
                <w:sz w:val="16"/>
                <w:szCs w:val="16"/>
              </w:rPr>
            </w:pPr>
          </w:p>
          <w:p w14:paraId="1CB58150" w14:textId="77777777" w:rsidR="00F82D53" w:rsidRPr="00112F45" w:rsidRDefault="00F82D53" w:rsidP="00693E61">
            <w:pPr>
              <w:pStyle w:val="ListParagraph"/>
              <w:numPr>
                <w:ilvl w:val="0"/>
                <w:numId w:val="4"/>
              </w:numPr>
              <w:ind w:left="290" w:right="287" w:hanging="180"/>
              <w:contextualSpacing/>
              <w:rPr>
                <w:sz w:val="16"/>
                <w:szCs w:val="16"/>
              </w:rPr>
            </w:pPr>
            <w:r w:rsidRPr="00112F45">
              <w:rPr>
                <w:sz w:val="16"/>
                <w:szCs w:val="16"/>
              </w:rPr>
              <w:t>MONSTAT</w:t>
            </w:r>
          </w:p>
          <w:p w14:paraId="7A2E9E65" w14:textId="77777777" w:rsidR="00F82D53" w:rsidRPr="00112F45" w:rsidRDefault="00F82D53" w:rsidP="007E3D02">
            <w:pPr>
              <w:rPr>
                <w:sz w:val="16"/>
                <w:szCs w:val="16"/>
              </w:rPr>
            </w:pPr>
          </w:p>
          <w:p w14:paraId="1E7D2CCA" w14:textId="0166AB74" w:rsidR="00F82D53" w:rsidRPr="00112F45" w:rsidRDefault="00F82D53" w:rsidP="007E3D02">
            <w:pPr>
              <w:rPr>
                <w:sz w:val="16"/>
                <w:szCs w:val="16"/>
              </w:rPr>
            </w:pPr>
            <w:r w:rsidRPr="00112F45">
              <w:rPr>
                <w:sz w:val="16"/>
                <w:szCs w:val="16"/>
              </w:rPr>
              <w:t xml:space="preserve">Frequency: </w:t>
            </w:r>
            <w:r w:rsidR="006105AA">
              <w:rPr>
                <w:sz w:val="16"/>
                <w:szCs w:val="16"/>
              </w:rPr>
              <w:t>A</w:t>
            </w:r>
            <w:r w:rsidRPr="00112F45">
              <w:rPr>
                <w:sz w:val="16"/>
                <w:szCs w:val="16"/>
              </w:rPr>
              <w:t>nnually</w:t>
            </w:r>
          </w:p>
        </w:tc>
        <w:tc>
          <w:tcPr>
            <w:tcW w:w="4394" w:type="dxa"/>
            <w:vMerge w:val="restart"/>
            <w:tcMar>
              <w:top w:w="72" w:type="dxa"/>
              <w:left w:w="144" w:type="dxa"/>
              <w:bottom w:w="72" w:type="dxa"/>
              <w:right w:w="144" w:type="dxa"/>
            </w:tcMar>
          </w:tcPr>
          <w:p w14:paraId="432C1647" w14:textId="5ACC2DB9" w:rsidR="00F82D53" w:rsidRDefault="00F82D53">
            <w:pPr>
              <w:rPr>
                <w:b/>
                <w:bCs/>
                <w:sz w:val="16"/>
                <w:szCs w:val="16"/>
              </w:rPr>
            </w:pPr>
            <w:r w:rsidRPr="00112F45">
              <w:rPr>
                <w:b/>
                <w:bCs/>
                <w:sz w:val="16"/>
                <w:szCs w:val="16"/>
              </w:rPr>
              <w:t xml:space="preserve">Output 1.1: Policy and regulatory environment and financing mechanisms developed to enable mitigation and adaptation actions </w:t>
            </w:r>
            <w:r w:rsidR="006105AA">
              <w:rPr>
                <w:b/>
                <w:bCs/>
                <w:sz w:val="16"/>
                <w:szCs w:val="16"/>
              </w:rPr>
              <w:t>in</w:t>
            </w:r>
            <w:r w:rsidR="006105AA" w:rsidRPr="00112F45">
              <w:rPr>
                <w:b/>
                <w:bCs/>
                <w:sz w:val="16"/>
                <w:szCs w:val="16"/>
              </w:rPr>
              <w:t xml:space="preserve"> </w:t>
            </w:r>
            <w:r w:rsidRPr="00112F45">
              <w:rPr>
                <w:b/>
                <w:bCs/>
                <w:sz w:val="16"/>
                <w:szCs w:val="16"/>
              </w:rPr>
              <w:t>support</w:t>
            </w:r>
            <w:r w:rsidR="006105AA">
              <w:rPr>
                <w:b/>
                <w:bCs/>
                <w:sz w:val="16"/>
                <w:szCs w:val="16"/>
              </w:rPr>
              <w:t xml:space="preserve"> of</w:t>
            </w:r>
            <w:r w:rsidRPr="00112F45">
              <w:rPr>
                <w:b/>
                <w:bCs/>
                <w:sz w:val="16"/>
                <w:szCs w:val="16"/>
              </w:rPr>
              <w:t xml:space="preserve"> green and inclusive transformation.</w:t>
            </w:r>
          </w:p>
          <w:p w14:paraId="3090985F" w14:textId="77777777" w:rsidR="00581F07" w:rsidRPr="00112F45" w:rsidRDefault="00581F07" w:rsidP="007A3CF5">
            <w:pPr>
              <w:rPr>
                <w:b/>
                <w:bCs/>
                <w:sz w:val="16"/>
                <w:szCs w:val="16"/>
              </w:rPr>
            </w:pPr>
          </w:p>
          <w:p w14:paraId="0D5F73EB" w14:textId="77777777" w:rsidR="00F82D53" w:rsidRPr="00112F45" w:rsidRDefault="00F82D53" w:rsidP="007E3D02">
            <w:pPr>
              <w:rPr>
                <w:b/>
                <w:bCs/>
                <w:sz w:val="16"/>
                <w:szCs w:val="16"/>
              </w:rPr>
            </w:pPr>
            <w:r w:rsidRPr="00112F45">
              <w:rPr>
                <w:b/>
                <w:bCs/>
                <w:sz w:val="16"/>
                <w:szCs w:val="16"/>
              </w:rPr>
              <w:t>Indicators:</w:t>
            </w:r>
          </w:p>
          <w:p w14:paraId="21EEB4D9" w14:textId="6602EEF8" w:rsidR="00F82D53" w:rsidRPr="00112F45" w:rsidRDefault="00F82D53" w:rsidP="007E3D02">
            <w:pPr>
              <w:rPr>
                <w:sz w:val="16"/>
                <w:szCs w:val="16"/>
              </w:rPr>
            </w:pPr>
            <w:r w:rsidRPr="00112F45">
              <w:rPr>
                <w:sz w:val="16"/>
                <w:szCs w:val="16"/>
              </w:rPr>
              <w:t>1.1.1. N</w:t>
            </w:r>
            <w:r w:rsidR="006105AA">
              <w:rPr>
                <w:sz w:val="16"/>
                <w:szCs w:val="16"/>
              </w:rPr>
              <w:t>umber</w:t>
            </w:r>
            <w:r w:rsidRPr="00112F45">
              <w:rPr>
                <w:sz w:val="16"/>
                <w:szCs w:val="16"/>
              </w:rPr>
              <w:t xml:space="preserve"> of mitigation and adaptation measures recommended and financing mechanisms</w:t>
            </w:r>
            <w:r w:rsidRPr="00112F45">
              <w:rPr>
                <w:rStyle w:val="FootnoteReference"/>
                <w:sz w:val="16"/>
                <w:szCs w:val="16"/>
              </w:rPr>
              <w:t xml:space="preserve"> </w:t>
            </w:r>
            <w:r w:rsidRPr="00112F45">
              <w:rPr>
                <w:sz w:val="16"/>
                <w:szCs w:val="16"/>
              </w:rPr>
              <w:t xml:space="preserve">in place to improve key sectoral policies: </w:t>
            </w:r>
          </w:p>
          <w:p w14:paraId="5D9C9E54" w14:textId="77777777" w:rsidR="00F82D53" w:rsidRPr="00112F45" w:rsidRDefault="00F82D53" w:rsidP="007E3D02">
            <w:pPr>
              <w:rPr>
                <w:sz w:val="16"/>
                <w:szCs w:val="16"/>
              </w:rPr>
            </w:pPr>
            <w:r w:rsidRPr="00112F45">
              <w:rPr>
                <w:sz w:val="16"/>
                <w:szCs w:val="16"/>
              </w:rPr>
              <w:t>Baseline measures (2021): 18</w:t>
            </w:r>
          </w:p>
          <w:p w14:paraId="5C72F0E1" w14:textId="77777777" w:rsidR="00F82D53" w:rsidRPr="00112F45" w:rsidRDefault="00F82D53" w:rsidP="007E3D02">
            <w:pPr>
              <w:rPr>
                <w:sz w:val="16"/>
                <w:szCs w:val="16"/>
              </w:rPr>
            </w:pPr>
            <w:r w:rsidRPr="00112F45">
              <w:rPr>
                <w:sz w:val="16"/>
                <w:szCs w:val="16"/>
              </w:rPr>
              <w:t>Target measures (2026): 30</w:t>
            </w:r>
          </w:p>
          <w:p w14:paraId="6683769E" w14:textId="765328C2" w:rsidR="00F82D53" w:rsidRPr="00112F45" w:rsidRDefault="00F82D53" w:rsidP="007E3D02">
            <w:pPr>
              <w:rPr>
                <w:sz w:val="16"/>
                <w:szCs w:val="16"/>
              </w:rPr>
            </w:pPr>
            <w:r w:rsidRPr="00112F45">
              <w:rPr>
                <w:sz w:val="16"/>
                <w:szCs w:val="16"/>
              </w:rPr>
              <w:t>Source/frequency: Government</w:t>
            </w:r>
            <w:r w:rsidR="00732143">
              <w:rPr>
                <w:sz w:val="16"/>
                <w:szCs w:val="16"/>
              </w:rPr>
              <w:t>,</w:t>
            </w:r>
            <w:r w:rsidR="00403B37">
              <w:rPr>
                <w:sz w:val="16"/>
                <w:szCs w:val="16"/>
              </w:rPr>
              <w:t xml:space="preserve"> </w:t>
            </w:r>
            <w:r w:rsidRPr="00112F45">
              <w:rPr>
                <w:sz w:val="16"/>
                <w:szCs w:val="16"/>
              </w:rPr>
              <w:t>UNDP/</w:t>
            </w:r>
            <w:r w:rsidR="00237FD0">
              <w:rPr>
                <w:sz w:val="16"/>
                <w:szCs w:val="16"/>
              </w:rPr>
              <w:t>every other year</w:t>
            </w:r>
          </w:p>
          <w:p w14:paraId="5C6A6B28" w14:textId="77777777" w:rsidR="00F82D53" w:rsidRPr="00112F45" w:rsidRDefault="00F82D53" w:rsidP="007E3D02">
            <w:pPr>
              <w:rPr>
                <w:sz w:val="16"/>
                <w:szCs w:val="16"/>
              </w:rPr>
            </w:pPr>
            <w:r w:rsidRPr="00112F45">
              <w:rPr>
                <w:sz w:val="16"/>
                <w:szCs w:val="16"/>
              </w:rPr>
              <w:t xml:space="preserve">Baseline financing mechanism (2021): 0 </w:t>
            </w:r>
          </w:p>
          <w:p w14:paraId="799DBC9D" w14:textId="77777777" w:rsidR="00F82D53" w:rsidRPr="00112F45" w:rsidRDefault="00F82D53" w:rsidP="007E3D02">
            <w:pPr>
              <w:rPr>
                <w:sz w:val="16"/>
                <w:szCs w:val="16"/>
              </w:rPr>
            </w:pPr>
            <w:r w:rsidRPr="00112F45">
              <w:rPr>
                <w:sz w:val="16"/>
                <w:szCs w:val="16"/>
              </w:rPr>
              <w:t>Target financing mechanism (2026): 7</w:t>
            </w:r>
          </w:p>
          <w:p w14:paraId="3359C022" w14:textId="77777777" w:rsidR="00F82D53" w:rsidRPr="00112F45" w:rsidRDefault="00F82D53" w:rsidP="007E3D02">
            <w:pPr>
              <w:rPr>
                <w:sz w:val="16"/>
                <w:szCs w:val="16"/>
              </w:rPr>
            </w:pPr>
            <w:r w:rsidRPr="00112F45">
              <w:rPr>
                <w:sz w:val="16"/>
                <w:szCs w:val="16"/>
              </w:rPr>
              <w:t>Source/frequency: Government/annually</w:t>
            </w:r>
          </w:p>
          <w:p w14:paraId="152C9DD0" w14:textId="77777777" w:rsidR="00F82D53" w:rsidRPr="00112F45" w:rsidRDefault="00F82D53" w:rsidP="007E3D02"/>
          <w:p w14:paraId="6BAEF6A6" w14:textId="23BF9332" w:rsidR="00F82D53" w:rsidRDefault="00F82D53" w:rsidP="007E3D02">
            <w:pPr>
              <w:rPr>
                <w:sz w:val="16"/>
                <w:szCs w:val="16"/>
              </w:rPr>
            </w:pPr>
            <w:r w:rsidRPr="00112F45">
              <w:rPr>
                <w:sz w:val="16"/>
                <w:szCs w:val="16"/>
              </w:rPr>
              <w:t>1.1.2. N</w:t>
            </w:r>
            <w:r w:rsidR="006105AA">
              <w:rPr>
                <w:sz w:val="16"/>
                <w:szCs w:val="16"/>
              </w:rPr>
              <w:t>umber</w:t>
            </w:r>
            <w:r w:rsidRPr="00112F45">
              <w:rPr>
                <w:sz w:val="16"/>
                <w:szCs w:val="16"/>
              </w:rPr>
              <w:t xml:space="preserve"> of measures to promote gender equality included in the </w:t>
            </w:r>
            <w:r w:rsidR="006105AA">
              <w:rPr>
                <w:sz w:val="16"/>
                <w:szCs w:val="16"/>
              </w:rPr>
              <w:t>n</w:t>
            </w:r>
            <w:r w:rsidRPr="00112F45">
              <w:rPr>
                <w:sz w:val="16"/>
                <w:szCs w:val="16"/>
              </w:rPr>
              <w:t xml:space="preserve">ationally </w:t>
            </w:r>
            <w:r w:rsidR="006105AA">
              <w:rPr>
                <w:sz w:val="16"/>
                <w:szCs w:val="16"/>
              </w:rPr>
              <w:t>d</w:t>
            </w:r>
            <w:r w:rsidRPr="00112F45">
              <w:rPr>
                <w:sz w:val="16"/>
                <w:szCs w:val="16"/>
              </w:rPr>
              <w:t xml:space="preserve">etermined </w:t>
            </w:r>
            <w:r w:rsidR="006105AA">
              <w:rPr>
                <w:sz w:val="16"/>
                <w:szCs w:val="16"/>
              </w:rPr>
              <w:t>c</w:t>
            </w:r>
            <w:r w:rsidRPr="00112F45">
              <w:rPr>
                <w:sz w:val="16"/>
                <w:szCs w:val="16"/>
              </w:rPr>
              <w:t xml:space="preserve">ontributions </w:t>
            </w:r>
            <w:r w:rsidR="00581F07">
              <w:rPr>
                <w:sz w:val="16"/>
                <w:szCs w:val="16"/>
              </w:rPr>
              <w:t xml:space="preserve">(NDC) </w:t>
            </w:r>
            <w:r w:rsidRPr="00112F45">
              <w:rPr>
                <w:sz w:val="16"/>
                <w:szCs w:val="16"/>
              </w:rPr>
              <w:t xml:space="preserve">and </w:t>
            </w:r>
            <w:r w:rsidR="006105AA">
              <w:rPr>
                <w:sz w:val="16"/>
                <w:szCs w:val="16"/>
              </w:rPr>
              <w:t>n</w:t>
            </w:r>
            <w:r w:rsidRPr="00112F45">
              <w:rPr>
                <w:sz w:val="16"/>
                <w:szCs w:val="16"/>
              </w:rPr>
              <w:t xml:space="preserve">ational </w:t>
            </w:r>
            <w:r w:rsidR="006105AA">
              <w:rPr>
                <w:sz w:val="16"/>
                <w:szCs w:val="16"/>
              </w:rPr>
              <w:t>a</w:t>
            </w:r>
            <w:r w:rsidRPr="00112F45">
              <w:rPr>
                <w:sz w:val="16"/>
                <w:szCs w:val="16"/>
              </w:rPr>
              <w:t xml:space="preserve">daptation </w:t>
            </w:r>
            <w:r w:rsidR="006105AA">
              <w:rPr>
                <w:sz w:val="16"/>
                <w:szCs w:val="16"/>
              </w:rPr>
              <w:t>p</w:t>
            </w:r>
            <w:r w:rsidRPr="00112F45">
              <w:rPr>
                <w:sz w:val="16"/>
                <w:szCs w:val="16"/>
              </w:rPr>
              <w:t xml:space="preserve">lan </w:t>
            </w:r>
            <w:r w:rsidR="00581F07">
              <w:rPr>
                <w:sz w:val="16"/>
                <w:szCs w:val="16"/>
              </w:rPr>
              <w:t>(NAP)</w:t>
            </w:r>
          </w:p>
          <w:p w14:paraId="7C6D30E7" w14:textId="77777777" w:rsidR="00581F07" w:rsidRPr="00112F45" w:rsidRDefault="00581F07" w:rsidP="007E3D02">
            <w:pPr>
              <w:rPr>
                <w:sz w:val="16"/>
                <w:szCs w:val="16"/>
              </w:rPr>
            </w:pPr>
          </w:p>
          <w:p w14:paraId="32392016" w14:textId="1F8193F1" w:rsidR="00F82D53" w:rsidRPr="00112F45" w:rsidRDefault="00F82D53" w:rsidP="007E3D02">
            <w:pPr>
              <w:rPr>
                <w:sz w:val="16"/>
                <w:szCs w:val="16"/>
              </w:rPr>
            </w:pPr>
            <w:r w:rsidRPr="00112F45">
              <w:rPr>
                <w:sz w:val="16"/>
                <w:szCs w:val="16"/>
              </w:rPr>
              <w:t>Baseline (2021): 14 (</w:t>
            </w:r>
            <w:r w:rsidR="00581F07">
              <w:rPr>
                <w:sz w:val="16"/>
                <w:szCs w:val="16"/>
              </w:rPr>
              <w:t xml:space="preserve">NDC, </w:t>
            </w:r>
            <w:r w:rsidRPr="00112F45">
              <w:rPr>
                <w:sz w:val="16"/>
                <w:szCs w:val="16"/>
              </w:rPr>
              <w:t>14</w:t>
            </w:r>
            <w:r w:rsidR="00581F07">
              <w:rPr>
                <w:sz w:val="16"/>
                <w:szCs w:val="16"/>
              </w:rPr>
              <w:t xml:space="preserve">; NAP, </w:t>
            </w:r>
            <w:r w:rsidRPr="00112F45">
              <w:rPr>
                <w:sz w:val="16"/>
                <w:szCs w:val="16"/>
              </w:rPr>
              <w:t>0)</w:t>
            </w:r>
          </w:p>
          <w:p w14:paraId="5490C77B" w14:textId="51D57B28" w:rsidR="00F82D53" w:rsidRPr="00112F45" w:rsidRDefault="00F82D53" w:rsidP="007E3D02">
            <w:pPr>
              <w:rPr>
                <w:sz w:val="16"/>
                <w:szCs w:val="16"/>
              </w:rPr>
            </w:pPr>
            <w:r w:rsidRPr="00112F45">
              <w:rPr>
                <w:sz w:val="16"/>
                <w:szCs w:val="16"/>
              </w:rPr>
              <w:t xml:space="preserve">Target (2026): 30 </w:t>
            </w:r>
            <w:r w:rsidRPr="00581F07">
              <w:rPr>
                <w:sz w:val="16"/>
                <w:szCs w:val="16"/>
              </w:rPr>
              <w:t>(</w:t>
            </w:r>
            <w:r w:rsidR="00581F07">
              <w:rPr>
                <w:sz w:val="16"/>
                <w:szCs w:val="16"/>
              </w:rPr>
              <w:t xml:space="preserve">NDC, </w:t>
            </w:r>
            <w:r w:rsidRPr="00581F07">
              <w:rPr>
                <w:sz w:val="16"/>
                <w:szCs w:val="16"/>
              </w:rPr>
              <w:t>18</w:t>
            </w:r>
            <w:r w:rsidR="00581F07">
              <w:rPr>
                <w:sz w:val="16"/>
                <w:szCs w:val="16"/>
              </w:rPr>
              <w:t xml:space="preserve">; NAP, </w:t>
            </w:r>
            <w:r w:rsidRPr="00581F07">
              <w:rPr>
                <w:sz w:val="16"/>
                <w:szCs w:val="16"/>
              </w:rPr>
              <w:t>12)</w:t>
            </w:r>
          </w:p>
          <w:p w14:paraId="51418B34" w14:textId="77777777" w:rsidR="00F82D53" w:rsidRPr="00112F45" w:rsidRDefault="00F82D53" w:rsidP="007E3D02">
            <w:pPr>
              <w:rPr>
                <w:sz w:val="16"/>
                <w:szCs w:val="16"/>
              </w:rPr>
            </w:pPr>
            <w:r w:rsidRPr="00112F45">
              <w:rPr>
                <w:sz w:val="16"/>
                <w:szCs w:val="16"/>
              </w:rPr>
              <w:t>Source/frequency: Government, UNDP/annually</w:t>
            </w:r>
          </w:p>
          <w:p w14:paraId="5A863BB5" w14:textId="77777777" w:rsidR="00F82D53" w:rsidRPr="00112F45" w:rsidRDefault="00F82D53" w:rsidP="007E3D02">
            <w:pPr>
              <w:rPr>
                <w:sz w:val="16"/>
                <w:szCs w:val="16"/>
              </w:rPr>
            </w:pPr>
          </w:p>
          <w:p w14:paraId="6AAD6538" w14:textId="6D75472F" w:rsidR="00F82D53" w:rsidRDefault="00F82D53" w:rsidP="00581F07">
            <w:pPr>
              <w:ind w:left="-34"/>
              <w:jc w:val="both"/>
              <w:rPr>
                <w:b/>
                <w:bCs/>
                <w:sz w:val="16"/>
                <w:szCs w:val="16"/>
              </w:rPr>
            </w:pPr>
            <w:r w:rsidRPr="00112F45">
              <w:rPr>
                <w:b/>
                <w:bCs/>
                <w:sz w:val="16"/>
                <w:szCs w:val="16"/>
              </w:rPr>
              <w:t>Output 1.2: Policies and financial mechanisms developed to protect, value and sustainably manage natural resources</w:t>
            </w:r>
          </w:p>
          <w:p w14:paraId="4738C0EC" w14:textId="77777777" w:rsidR="00581F07" w:rsidRPr="00112F45" w:rsidRDefault="00581F07" w:rsidP="00581F07">
            <w:pPr>
              <w:ind w:left="-34"/>
              <w:jc w:val="both"/>
              <w:rPr>
                <w:b/>
                <w:bCs/>
                <w:sz w:val="16"/>
                <w:szCs w:val="16"/>
              </w:rPr>
            </w:pPr>
          </w:p>
          <w:p w14:paraId="191106B7" w14:textId="77777777" w:rsidR="00F82D53" w:rsidRPr="00112F45" w:rsidRDefault="00F82D53" w:rsidP="007A3CF5">
            <w:pPr>
              <w:ind w:left="-34"/>
              <w:rPr>
                <w:b/>
                <w:bCs/>
                <w:sz w:val="16"/>
                <w:szCs w:val="16"/>
              </w:rPr>
            </w:pPr>
            <w:r w:rsidRPr="00112F45">
              <w:rPr>
                <w:b/>
                <w:bCs/>
                <w:sz w:val="16"/>
                <w:szCs w:val="16"/>
              </w:rPr>
              <w:t>Indicators:</w:t>
            </w:r>
          </w:p>
          <w:p w14:paraId="3D3B4723" w14:textId="6B0769BF" w:rsidR="00F82D53" w:rsidRDefault="00F82D53" w:rsidP="007A3CF5">
            <w:pPr>
              <w:ind w:left="-34"/>
              <w:rPr>
                <w:sz w:val="16"/>
                <w:szCs w:val="16"/>
              </w:rPr>
            </w:pPr>
            <w:r w:rsidRPr="00112F45">
              <w:rPr>
                <w:sz w:val="16"/>
                <w:szCs w:val="16"/>
              </w:rPr>
              <w:t xml:space="preserve">1.2.1. National spatial planning policy incorporating biodiversity measures </w:t>
            </w:r>
            <w:r w:rsidR="0091798E">
              <w:rPr>
                <w:sz w:val="16"/>
                <w:szCs w:val="16"/>
              </w:rPr>
              <w:t>is in place</w:t>
            </w:r>
          </w:p>
          <w:p w14:paraId="1670B6CE" w14:textId="77777777" w:rsidR="00581F07" w:rsidRPr="00112F45" w:rsidRDefault="00581F07" w:rsidP="007A3CF5">
            <w:pPr>
              <w:ind w:left="-34"/>
              <w:rPr>
                <w:sz w:val="16"/>
                <w:szCs w:val="16"/>
              </w:rPr>
            </w:pPr>
          </w:p>
          <w:p w14:paraId="2624ED72" w14:textId="77777777" w:rsidR="00F82D53" w:rsidRPr="00112F45" w:rsidRDefault="00F82D53" w:rsidP="007A3CF5">
            <w:pPr>
              <w:ind w:left="-34"/>
              <w:rPr>
                <w:sz w:val="16"/>
                <w:szCs w:val="16"/>
              </w:rPr>
            </w:pPr>
            <w:r w:rsidRPr="00112F45">
              <w:rPr>
                <w:sz w:val="16"/>
                <w:szCs w:val="16"/>
              </w:rPr>
              <w:t>Baseline (2021): No</w:t>
            </w:r>
          </w:p>
          <w:p w14:paraId="71B5FF2F" w14:textId="77777777" w:rsidR="00F82D53" w:rsidRPr="00112F45" w:rsidRDefault="00F82D53" w:rsidP="007A3CF5">
            <w:pPr>
              <w:ind w:left="-34"/>
              <w:rPr>
                <w:sz w:val="16"/>
                <w:szCs w:val="16"/>
              </w:rPr>
            </w:pPr>
            <w:r w:rsidRPr="00112F45">
              <w:rPr>
                <w:sz w:val="16"/>
                <w:szCs w:val="16"/>
              </w:rPr>
              <w:t xml:space="preserve">Target (2026): Yes </w:t>
            </w:r>
          </w:p>
          <w:p w14:paraId="6E0BA6EE" w14:textId="3A7611B0" w:rsidR="00F82D53" w:rsidRDefault="00F82D53" w:rsidP="00581F07">
            <w:pPr>
              <w:ind w:left="-34"/>
              <w:rPr>
                <w:sz w:val="16"/>
                <w:szCs w:val="16"/>
              </w:rPr>
            </w:pPr>
            <w:r w:rsidRPr="00112F45">
              <w:rPr>
                <w:sz w:val="16"/>
                <w:szCs w:val="16"/>
              </w:rPr>
              <w:lastRenderedPageBreak/>
              <w:t xml:space="preserve">Source/frequency: Government/annually </w:t>
            </w:r>
          </w:p>
          <w:p w14:paraId="5E914FD9" w14:textId="77777777" w:rsidR="00581F07" w:rsidRPr="00112F45" w:rsidRDefault="00581F07" w:rsidP="00581F07">
            <w:pPr>
              <w:ind w:left="-34"/>
              <w:rPr>
                <w:b/>
                <w:bCs/>
                <w:sz w:val="16"/>
                <w:szCs w:val="16"/>
              </w:rPr>
            </w:pPr>
          </w:p>
          <w:p w14:paraId="500FF837" w14:textId="2C02F90E" w:rsidR="00F82D53" w:rsidRDefault="00F82D53" w:rsidP="007E3D02">
            <w:pPr>
              <w:rPr>
                <w:sz w:val="16"/>
                <w:szCs w:val="16"/>
              </w:rPr>
            </w:pPr>
            <w:r w:rsidRPr="00112F45">
              <w:rPr>
                <w:sz w:val="16"/>
                <w:szCs w:val="16"/>
              </w:rPr>
              <w:t>1.2.2. Amount of co-financing leveraged to protect, value and sustainably manage country’s natural resources</w:t>
            </w:r>
          </w:p>
          <w:p w14:paraId="09196ADA" w14:textId="77777777" w:rsidR="00734D14" w:rsidRPr="00112F45" w:rsidRDefault="00734D14" w:rsidP="007E3D02">
            <w:pPr>
              <w:rPr>
                <w:sz w:val="16"/>
                <w:szCs w:val="16"/>
              </w:rPr>
            </w:pPr>
          </w:p>
          <w:p w14:paraId="0FB22449" w14:textId="77777777" w:rsidR="00F82D53" w:rsidRPr="00112F45" w:rsidRDefault="00F82D53" w:rsidP="007E3D02">
            <w:pPr>
              <w:rPr>
                <w:sz w:val="16"/>
                <w:szCs w:val="16"/>
              </w:rPr>
            </w:pPr>
            <w:r w:rsidRPr="00112F45">
              <w:rPr>
                <w:sz w:val="16"/>
                <w:szCs w:val="16"/>
              </w:rPr>
              <w:t>Baseline (2021): $0</w:t>
            </w:r>
          </w:p>
          <w:p w14:paraId="4026B0E1" w14:textId="77777777" w:rsidR="00F82D53" w:rsidRPr="00112F45" w:rsidRDefault="00F82D53" w:rsidP="007E3D02">
            <w:pPr>
              <w:rPr>
                <w:sz w:val="16"/>
                <w:szCs w:val="16"/>
              </w:rPr>
            </w:pPr>
            <w:r w:rsidRPr="00112F45">
              <w:rPr>
                <w:sz w:val="16"/>
                <w:szCs w:val="16"/>
              </w:rPr>
              <w:t>Target (2027): $32 million</w:t>
            </w:r>
          </w:p>
          <w:p w14:paraId="275C6F99" w14:textId="77777777" w:rsidR="00F82D53" w:rsidRPr="00112F45" w:rsidRDefault="00F82D53" w:rsidP="007E3D02">
            <w:pPr>
              <w:rPr>
                <w:sz w:val="16"/>
                <w:szCs w:val="16"/>
              </w:rPr>
            </w:pPr>
            <w:r w:rsidRPr="00112F45">
              <w:rPr>
                <w:sz w:val="16"/>
                <w:szCs w:val="16"/>
              </w:rPr>
              <w:t>Source/frequency: UNDP/annually</w:t>
            </w:r>
          </w:p>
          <w:p w14:paraId="2031FB7A" w14:textId="77777777" w:rsidR="00F82D53" w:rsidRPr="00112F45" w:rsidRDefault="00F82D53" w:rsidP="007E3D02">
            <w:pPr>
              <w:rPr>
                <w:sz w:val="16"/>
                <w:szCs w:val="16"/>
              </w:rPr>
            </w:pPr>
          </w:p>
          <w:p w14:paraId="38894852" w14:textId="05E2861A" w:rsidR="00F82D53" w:rsidRDefault="00F82D53" w:rsidP="007E3D02">
            <w:pPr>
              <w:rPr>
                <w:sz w:val="16"/>
                <w:szCs w:val="16"/>
              </w:rPr>
            </w:pPr>
            <w:r w:rsidRPr="00112F45">
              <w:rPr>
                <w:sz w:val="16"/>
                <w:szCs w:val="16"/>
              </w:rPr>
              <w:t>1.2.3. N</w:t>
            </w:r>
            <w:r w:rsidR="0091798E">
              <w:rPr>
                <w:sz w:val="16"/>
                <w:szCs w:val="16"/>
              </w:rPr>
              <w:t>umber</w:t>
            </w:r>
            <w:r w:rsidRPr="00112F45">
              <w:rPr>
                <w:sz w:val="16"/>
                <w:szCs w:val="16"/>
              </w:rPr>
              <w:t xml:space="preserve"> of people benefiting from UNDP interventions to protect, value and sustainably manage country’s natural resources (male/female)</w:t>
            </w:r>
          </w:p>
          <w:p w14:paraId="0607F009" w14:textId="77777777" w:rsidR="00581F07" w:rsidRPr="00112F45" w:rsidRDefault="00581F07" w:rsidP="007E3D02">
            <w:pPr>
              <w:rPr>
                <w:sz w:val="16"/>
                <w:szCs w:val="16"/>
              </w:rPr>
            </w:pPr>
          </w:p>
          <w:p w14:paraId="05A832D5" w14:textId="5E3F3B61" w:rsidR="00F82D53" w:rsidRPr="00112F45" w:rsidRDefault="00F82D53" w:rsidP="007E3D02">
            <w:pPr>
              <w:rPr>
                <w:sz w:val="16"/>
                <w:szCs w:val="16"/>
              </w:rPr>
            </w:pPr>
            <w:r w:rsidRPr="00112F45">
              <w:rPr>
                <w:sz w:val="16"/>
                <w:szCs w:val="16"/>
              </w:rPr>
              <w:t xml:space="preserve">Baseline (2021): </w:t>
            </w:r>
            <w:r w:rsidR="00734D14">
              <w:rPr>
                <w:sz w:val="16"/>
                <w:szCs w:val="16"/>
              </w:rPr>
              <w:t xml:space="preserve">Male, </w:t>
            </w:r>
            <w:r w:rsidRPr="00112F45">
              <w:rPr>
                <w:sz w:val="16"/>
                <w:szCs w:val="16"/>
              </w:rPr>
              <w:t>0</w:t>
            </w:r>
            <w:r w:rsidR="00734D14">
              <w:rPr>
                <w:sz w:val="16"/>
                <w:szCs w:val="16"/>
              </w:rPr>
              <w:t xml:space="preserve">; female, </w:t>
            </w:r>
            <w:r w:rsidRPr="00112F45">
              <w:rPr>
                <w:sz w:val="16"/>
                <w:szCs w:val="16"/>
              </w:rPr>
              <w:t>0</w:t>
            </w:r>
          </w:p>
          <w:p w14:paraId="20B2BBF8" w14:textId="3AD5F153" w:rsidR="00F82D53" w:rsidRPr="00112F45" w:rsidRDefault="00F82D53" w:rsidP="007E3D02">
            <w:pPr>
              <w:rPr>
                <w:sz w:val="16"/>
                <w:szCs w:val="16"/>
              </w:rPr>
            </w:pPr>
            <w:r w:rsidRPr="00112F45">
              <w:rPr>
                <w:sz w:val="16"/>
                <w:szCs w:val="16"/>
              </w:rPr>
              <w:t xml:space="preserve">Target (2027): </w:t>
            </w:r>
            <w:r w:rsidR="00734D14">
              <w:rPr>
                <w:sz w:val="16"/>
                <w:szCs w:val="16"/>
              </w:rPr>
              <w:t xml:space="preserve">Male, </w:t>
            </w:r>
            <w:r w:rsidRPr="00112F45">
              <w:rPr>
                <w:sz w:val="16"/>
                <w:szCs w:val="16"/>
              </w:rPr>
              <w:t>23,000</w:t>
            </w:r>
            <w:r w:rsidR="00734D14">
              <w:rPr>
                <w:sz w:val="16"/>
                <w:szCs w:val="16"/>
              </w:rPr>
              <w:t xml:space="preserve">; female, </w:t>
            </w:r>
            <w:r w:rsidRPr="00112F45">
              <w:rPr>
                <w:sz w:val="16"/>
                <w:szCs w:val="16"/>
              </w:rPr>
              <w:t xml:space="preserve">27,000 </w:t>
            </w:r>
          </w:p>
          <w:p w14:paraId="03E1E17A" w14:textId="3C97C502" w:rsidR="00F82D53" w:rsidRPr="00112F45" w:rsidRDefault="00F82D53" w:rsidP="007E3D02">
            <w:pPr>
              <w:rPr>
                <w:sz w:val="16"/>
                <w:szCs w:val="16"/>
              </w:rPr>
            </w:pPr>
            <w:r w:rsidRPr="00112F45">
              <w:rPr>
                <w:sz w:val="16"/>
                <w:szCs w:val="16"/>
              </w:rPr>
              <w:t>Source/frequency: Government</w:t>
            </w:r>
            <w:r w:rsidR="0091798E">
              <w:rPr>
                <w:sz w:val="16"/>
                <w:szCs w:val="16"/>
              </w:rPr>
              <w:t xml:space="preserve">, </w:t>
            </w:r>
            <w:r w:rsidRPr="00112F45">
              <w:rPr>
                <w:sz w:val="16"/>
                <w:szCs w:val="16"/>
              </w:rPr>
              <w:t>UNDP/annually</w:t>
            </w:r>
          </w:p>
          <w:p w14:paraId="0B93CAA2" w14:textId="77777777" w:rsidR="00F82D53" w:rsidRPr="00112F45" w:rsidRDefault="00F82D53" w:rsidP="007E3D02">
            <w:pPr>
              <w:rPr>
                <w:sz w:val="16"/>
                <w:szCs w:val="16"/>
              </w:rPr>
            </w:pPr>
          </w:p>
          <w:p w14:paraId="3FD15D01" w14:textId="77777777" w:rsidR="00F82D53" w:rsidRPr="00112F45" w:rsidRDefault="00F82D53" w:rsidP="007E3D02">
            <w:pPr>
              <w:rPr>
                <w:b/>
                <w:bCs/>
                <w:sz w:val="16"/>
                <w:szCs w:val="16"/>
              </w:rPr>
            </w:pPr>
            <w:r w:rsidRPr="00112F45">
              <w:rPr>
                <w:b/>
                <w:bCs/>
                <w:sz w:val="16"/>
                <w:szCs w:val="16"/>
              </w:rPr>
              <w:t xml:space="preserve">Output 1.3: Innovation capabilities increased and financing mechanisms developed to expand policy options for structural transformation of economy </w:t>
            </w:r>
          </w:p>
          <w:p w14:paraId="5DE9B306" w14:textId="77777777" w:rsidR="00F82D53" w:rsidRPr="00112F45" w:rsidRDefault="00F82D53" w:rsidP="007E3D02">
            <w:pPr>
              <w:rPr>
                <w:b/>
                <w:bCs/>
                <w:sz w:val="16"/>
                <w:szCs w:val="16"/>
              </w:rPr>
            </w:pPr>
          </w:p>
          <w:p w14:paraId="6985C7D7" w14:textId="77777777" w:rsidR="00F82D53" w:rsidRPr="00112F45" w:rsidRDefault="00F82D53" w:rsidP="007E3D02">
            <w:pPr>
              <w:rPr>
                <w:b/>
                <w:bCs/>
                <w:sz w:val="16"/>
                <w:szCs w:val="16"/>
              </w:rPr>
            </w:pPr>
            <w:r w:rsidRPr="00112F45">
              <w:rPr>
                <w:b/>
                <w:bCs/>
                <w:sz w:val="16"/>
                <w:szCs w:val="16"/>
              </w:rPr>
              <w:t>Indicators:</w:t>
            </w:r>
          </w:p>
          <w:p w14:paraId="4C507B11" w14:textId="256DBEFC" w:rsidR="00F82D53" w:rsidRDefault="00F82D53" w:rsidP="007E3D02">
            <w:pPr>
              <w:rPr>
                <w:sz w:val="16"/>
                <w:szCs w:val="16"/>
              </w:rPr>
            </w:pPr>
            <w:r w:rsidRPr="00112F45">
              <w:rPr>
                <w:sz w:val="16"/>
                <w:szCs w:val="16"/>
              </w:rPr>
              <w:t>1.3.1. Number of innovative and green financial mechanisms available at national/subnational level (innovative/green)</w:t>
            </w:r>
          </w:p>
          <w:p w14:paraId="7D033620" w14:textId="77777777" w:rsidR="00FF274C" w:rsidRPr="00112F45" w:rsidRDefault="00FF274C" w:rsidP="007E3D02">
            <w:pPr>
              <w:rPr>
                <w:sz w:val="16"/>
                <w:szCs w:val="16"/>
              </w:rPr>
            </w:pPr>
          </w:p>
          <w:p w14:paraId="468E0D99" w14:textId="7E449A8A" w:rsidR="00F82D53" w:rsidRPr="00112F45" w:rsidRDefault="00F82D53" w:rsidP="007E3D02">
            <w:pPr>
              <w:rPr>
                <w:sz w:val="16"/>
                <w:szCs w:val="16"/>
              </w:rPr>
            </w:pPr>
            <w:r w:rsidRPr="00112F45">
              <w:rPr>
                <w:sz w:val="16"/>
                <w:szCs w:val="16"/>
              </w:rPr>
              <w:t>Baseline (2021): 2 (</w:t>
            </w:r>
            <w:r w:rsidR="00734D14">
              <w:rPr>
                <w:sz w:val="16"/>
                <w:szCs w:val="16"/>
              </w:rPr>
              <w:t xml:space="preserve">Innovative, </w:t>
            </w:r>
            <w:r w:rsidRPr="00112F45">
              <w:rPr>
                <w:sz w:val="16"/>
                <w:szCs w:val="16"/>
              </w:rPr>
              <w:t>1</w:t>
            </w:r>
            <w:r w:rsidR="00734D14">
              <w:rPr>
                <w:sz w:val="16"/>
                <w:szCs w:val="16"/>
              </w:rPr>
              <w:t xml:space="preserve">; green, </w:t>
            </w:r>
            <w:r w:rsidRPr="00112F45">
              <w:rPr>
                <w:sz w:val="16"/>
                <w:szCs w:val="16"/>
              </w:rPr>
              <w:t>1)</w:t>
            </w:r>
          </w:p>
          <w:p w14:paraId="52AC78ED" w14:textId="28E9ADE6" w:rsidR="00F82D53" w:rsidRPr="00112F45" w:rsidRDefault="00F82D53" w:rsidP="007E3D02">
            <w:pPr>
              <w:rPr>
                <w:sz w:val="16"/>
                <w:szCs w:val="16"/>
              </w:rPr>
            </w:pPr>
            <w:r w:rsidRPr="00112F45">
              <w:rPr>
                <w:sz w:val="16"/>
                <w:szCs w:val="16"/>
              </w:rPr>
              <w:t>Target (2027): 10 (</w:t>
            </w:r>
            <w:r w:rsidR="00734D14">
              <w:rPr>
                <w:sz w:val="16"/>
                <w:szCs w:val="16"/>
              </w:rPr>
              <w:t xml:space="preserve">Innovative, </w:t>
            </w:r>
            <w:r w:rsidRPr="00112F45">
              <w:rPr>
                <w:sz w:val="16"/>
                <w:szCs w:val="16"/>
              </w:rPr>
              <w:t>5</w:t>
            </w:r>
            <w:r w:rsidR="00734D14">
              <w:rPr>
                <w:sz w:val="16"/>
                <w:szCs w:val="16"/>
              </w:rPr>
              <w:t xml:space="preserve">; green, </w:t>
            </w:r>
            <w:r w:rsidRPr="00112F45">
              <w:rPr>
                <w:sz w:val="16"/>
                <w:szCs w:val="16"/>
              </w:rPr>
              <w:t>5)</w:t>
            </w:r>
          </w:p>
          <w:p w14:paraId="3DA80DD7" w14:textId="27C11D82" w:rsidR="00F82D53" w:rsidRPr="00112F45" w:rsidRDefault="00F82D53" w:rsidP="007E3D02">
            <w:pPr>
              <w:rPr>
                <w:sz w:val="16"/>
                <w:szCs w:val="16"/>
              </w:rPr>
            </w:pPr>
            <w:r w:rsidRPr="00112F45">
              <w:rPr>
                <w:sz w:val="16"/>
                <w:szCs w:val="16"/>
              </w:rPr>
              <w:t>Source/frequency: UNDP/annually</w:t>
            </w:r>
          </w:p>
          <w:p w14:paraId="7327C09A" w14:textId="77777777" w:rsidR="00F82D53" w:rsidRPr="00112F45" w:rsidRDefault="00F82D53" w:rsidP="007E3D02">
            <w:pPr>
              <w:rPr>
                <w:sz w:val="16"/>
                <w:szCs w:val="16"/>
              </w:rPr>
            </w:pPr>
          </w:p>
          <w:p w14:paraId="5714C96F" w14:textId="011982EA" w:rsidR="00F82D53" w:rsidRDefault="00F82D53" w:rsidP="007E3D02">
            <w:pPr>
              <w:rPr>
                <w:sz w:val="16"/>
                <w:szCs w:val="16"/>
              </w:rPr>
            </w:pPr>
            <w:r w:rsidRPr="00112F45">
              <w:rPr>
                <w:sz w:val="16"/>
                <w:szCs w:val="16"/>
              </w:rPr>
              <w:t>1.3.2. Number of innovative and scalable solutions adopted by program</w:t>
            </w:r>
            <w:r w:rsidR="0091798E">
              <w:rPr>
                <w:sz w:val="16"/>
                <w:szCs w:val="16"/>
              </w:rPr>
              <w:t>me</w:t>
            </w:r>
            <w:r w:rsidRPr="00112F45">
              <w:rPr>
                <w:sz w:val="16"/>
                <w:szCs w:val="16"/>
              </w:rPr>
              <w:t xml:space="preserve"> partners</w:t>
            </w:r>
          </w:p>
          <w:p w14:paraId="4AC00C45" w14:textId="77777777" w:rsidR="00581F07" w:rsidRPr="00112F45" w:rsidRDefault="00581F07" w:rsidP="007E3D02">
            <w:pPr>
              <w:rPr>
                <w:sz w:val="16"/>
                <w:szCs w:val="16"/>
              </w:rPr>
            </w:pPr>
          </w:p>
          <w:p w14:paraId="538079F8" w14:textId="77777777" w:rsidR="00F82D53" w:rsidRPr="00112F45" w:rsidRDefault="00F82D53" w:rsidP="007E3D02">
            <w:pPr>
              <w:rPr>
                <w:sz w:val="16"/>
                <w:szCs w:val="16"/>
              </w:rPr>
            </w:pPr>
            <w:r w:rsidRPr="00112F45">
              <w:rPr>
                <w:sz w:val="16"/>
                <w:szCs w:val="16"/>
              </w:rPr>
              <w:t>Baseline (2021): 2</w:t>
            </w:r>
          </w:p>
          <w:p w14:paraId="02D40659" w14:textId="77777777" w:rsidR="00F82D53" w:rsidRPr="00112F45" w:rsidRDefault="00F82D53" w:rsidP="007E3D02">
            <w:pPr>
              <w:rPr>
                <w:sz w:val="16"/>
                <w:szCs w:val="16"/>
              </w:rPr>
            </w:pPr>
            <w:r w:rsidRPr="00112F45">
              <w:rPr>
                <w:sz w:val="16"/>
                <w:szCs w:val="16"/>
              </w:rPr>
              <w:t>Target (2027): 12</w:t>
            </w:r>
          </w:p>
          <w:p w14:paraId="1B044359" w14:textId="77777777" w:rsidR="00F82D53" w:rsidRPr="00112F45" w:rsidRDefault="00F82D53" w:rsidP="007E3D02">
            <w:pPr>
              <w:rPr>
                <w:sz w:val="16"/>
                <w:szCs w:val="16"/>
              </w:rPr>
            </w:pPr>
            <w:r w:rsidRPr="00112F45">
              <w:rPr>
                <w:sz w:val="16"/>
                <w:szCs w:val="16"/>
              </w:rPr>
              <w:t>Source/frequency: UNDP/annually</w:t>
            </w:r>
          </w:p>
          <w:p w14:paraId="0D987DF6" w14:textId="77777777" w:rsidR="00F82D53" w:rsidRPr="00112F45" w:rsidRDefault="00F82D53" w:rsidP="007E3D02">
            <w:pPr>
              <w:rPr>
                <w:sz w:val="16"/>
                <w:szCs w:val="16"/>
              </w:rPr>
            </w:pPr>
          </w:p>
          <w:p w14:paraId="5BD3C22A" w14:textId="77777777" w:rsidR="00F82D53" w:rsidRPr="00112F45" w:rsidRDefault="00F82D53" w:rsidP="007A3CF5">
            <w:pPr>
              <w:rPr>
                <w:b/>
                <w:bCs/>
                <w:sz w:val="16"/>
                <w:szCs w:val="16"/>
              </w:rPr>
            </w:pPr>
            <w:r w:rsidRPr="00112F45">
              <w:rPr>
                <w:b/>
                <w:bCs/>
                <w:sz w:val="16"/>
                <w:szCs w:val="16"/>
              </w:rPr>
              <w:t xml:space="preserve">Output 1.4: Policy framework and capacities of public and private actors in place to increase women’s entrepreneurship and </w:t>
            </w:r>
            <w:proofErr w:type="spellStart"/>
            <w:r w:rsidRPr="00112F45">
              <w:rPr>
                <w:b/>
                <w:bCs/>
                <w:sz w:val="16"/>
                <w:szCs w:val="16"/>
              </w:rPr>
              <w:t>labour</w:t>
            </w:r>
            <w:proofErr w:type="spellEnd"/>
            <w:r w:rsidRPr="00112F45">
              <w:rPr>
                <w:b/>
                <w:bCs/>
                <w:sz w:val="16"/>
                <w:szCs w:val="16"/>
              </w:rPr>
              <w:t xml:space="preserve"> market competitiveness </w:t>
            </w:r>
          </w:p>
          <w:p w14:paraId="65CCB2F3" w14:textId="77777777" w:rsidR="00F82D53" w:rsidRPr="00112F45" w:rsidRDefault="00F82D53" w:rsidP="007E3D02">
            <w:pPr>
              <w:jc w:val="both"/>
              <w:rPr>
                <w:b/>
                <w:bCs/>
                <w:sz w:val="16"/>
                <w:szCs w:val="16"/>
              </w:rPr>
            </w:pPr>
          </w:p>
          <w:p w14:paraId="78FA117B" w14:textId="77777777" w:rsidR="00F82D53" w:rsidRPr="00112F45" w:rsidRDefault="00F82D53" w:rsidP="007E3D02">
            <w:pPr>
              <w:jc w:val="both"/>
              <w:rPr>
                <w:b/>
                <w:bCs/>
                <w:sz w:val="16"/>
                <w:szCs w:val="16"/>
              </w:rPr>
            </w:pPr>
            <w:r w:rsidRPr="00112F45">
              <w:rPr>
                <w:b/>
                <w:bCs/>
                <w:sz w:val="16"/>
                <w:szCs w:val="16"/>
              </w:rPr>
              <w:t>Indicators:</w:t>
            </w:r>
          </w:p>
          <w:p w14:paraId="2C7D8988" w14:textId="3695CC9C" w:rsidR="00F82D53" w:rsidRDefault="00F82D53">
            <w:pPr>
              <w:rPr>
                <w:sz w:val="16"/>
                <w:szCs w:val="16"/>
              </w:rPr>
            </w:pPr>
            <w:r w:rsidRPr="00112F45">
              <w:rPr>
                <w:sz w:val="16"/>
                <w:szCs w:val="16"/>
              </w:rPr>
              <w:t>1.4.1. Number of policies/legal reforms initiated to support women’s employment, entrepreneurship and financial access</w:t>
            </w:r>
          </w:p>
          <w:p w14:paraId="5D2964CC" w14:textId="77777777" w:rsidR="00581F07" w:rsidRPr="00112F45" w:rsidRDefault="00581F07" w:rsidP="007A3CF5">
            <w:pPr>
              <w:rPr>
                <w:sz w:val="16"/>
                <w:szCs w:val="16"/>
              </w:rPr>
            </w:pPr>
          </w:p>
          <w:p w14:paraId="6711E4F8" w14:textId="77777777" w:rsidR="00F82D53" w:rsidRPr="00112F45" w:rsidRDefault="00F82D53" w:rsidP="007E3D02">
            <w:pPr>
              <w:jc w:val="both"/>
              <w:rPr>
                <w:sz w:val="16"/>
                <w:szCs w:val="16"/>
              </w:rPr>
            </w:pPr>
            <w:r w:rsidRPr="00112F45">
              <w:rPr>
                <w:sz w:val="16"/>
                <w:szCs w:val="16"/>
              </w:rPr>
              <w:t>Baseline (2022): 2</w:t>
            </w:r>
          </w:p>
          <w:p w14:paraId="3489F1A2" w14:textId="77777777" w:rsidR="00F82D53" w:rsidRPr="00112F45" w:rsidRDefault="00F82D53" w:rsidP="007E3D02">
            <w:pPr>
              <w:jc w:val="both"/>
              <w:rPr>
                <w:sz w:val="16"/>
                <w:szCs w:val="16"/>
              </w:rPr>
            </w:pPr>
            <w:r w:rsidRPr="00112F45">
              <w:rPr>
                <w:sz w:val="16"/>
                <w:szCs w:val="16"/>
              </w:rPr>
              <w:t>Target (2027): 4</w:t>
            </w:r>
          </w:p>
          <w:p w14:paraId="2B07B124" w14:textId="77777777" w:rsidR="00F82D53" w:rsidRPr="00112F45" w:rsidRDefault="00F82D53" w:rsidP="007E3D02">
            <w:pPr>
              <w:jc w:val="both"/>
              <w:rPr>
                <w:sz w:val="16"/>
                <w:szCs w:val="16"/>
              </w:rPr>
            </w:pPr>
            <w:r w:rsidRPr="00112F45">
              <w:rPr>
                <w:sz w:val="16"/>
                <w:szCs w:val="16"/>
              </w:rPr>
              <w:t>Source/frequency: Government/annually</w:t>
            </w:r>
          </w:p>
          <w:p w14:paraId="61236B06" w14:textId="77777777" w:rsidR="00F82D53" w:rsidRPr="00112F45" w:rsidRDefault="00F82D53" w:rsidP="007E3D02">
            <w:pPr>
              <w:jc w:val="both"/>
              <w:rPr>
                <w:sz w:val="16"/>
                <w:szCs w:val="16"/>
              </w:rPr>
            </w:pPr>
          </w:p>
          <w:p w14:paraId="26CDA0D2" w14:textId="5A3E1B5A" w:rsidR="00F82D53" w:rsidRDefault="00F82D53" w:rsidP="007E3D02">
            <w:pPr>
              <w:jc w:val="both"/>
              <w:rPr>
                <w:sz w:val="16"/>
                <w:szCs w:val="16"/>
              </w:rPr>
            </w:pPr>
            <w:r w:rsidRPr="00112F45">
              <w:rPr>
                <w:sz w:val="16"/>
                <w:szCs w:val="16"/>
              </w:rPr>
              <w:lastRenderedPageBreak/>
              <w:t xml:space="preserve">1.4.2. Number of public and private actors who initiate processes to improve women’s leadership, economic empowerment and gender mainstreaming </w:t>
            </w:r>
          </w:p>
          <w:p w14:paraId="1BAC3127" w14:textId="77777777" w:rsidR="00581F07" w:rsidRPr="00112F45" w:rsidRDefault="00581F07" w:rsidP="007E3D02">
            <w:pPr>
              <w:jc w:val="both"/>
              <w:rPr>
                <w:sz w:val="16"/>
                <w:szCs w:val="16"/>
              </w:rPr>
            </w:pPr>
          </w:p>
          <w:p w14:paraId="399F5163" w14:textId="77777777" w:rsidR="00F82D53" w:rsidRPr="00112F45" w:rsidRDefault="00F82D53" w:rsidP="007E3D02">
            <w:pPr>
              <w:jc w:val="both"/>
              <w:rPr>
                <w:sz w:val="16"/>
                <w:szCs w:val="16"/>
              </w:rPr>
            </w:pPr>
            <w:r w:rsidRPr="00112F45">
              <w:rPr>
                <w:sz w:val="16"/>
                <w:szCs w:val="16"/>
              </w:rPr>
              <w:t>Baseline (2022): 0</w:t>
            </w:r>
          </w:p>
          <w:p w14:paraId="3002062D" w14:textId="77777777" w:rsidR="00F82D53" w:rsidRPr="00112F45" w:rsidRDefault="00F82D53" w:rsidP="007E3D02">
            <w:pPr>
              <w:jc w:val="both"/>
              <w:rPr>
                <w:sz w:val="16"/>
                <w:szCs w:val="16"/>
              </w:rPr>
            </w:pPr>
            <w:r w:rsidRPr="00112F45">
              <w:rPr>
                <w:sz w:val="16"/>
                <w:szCs w:val="16"/>
              </w:rPr>
              <w:t>Target (2027): 10</w:t>
            </w:r>
          </w:p>
          <w:p w14:paraId="58B3C390" w14:textId="6EA6ABA3" w:rsidR="005C215C" w:rsidRPr="00112F45" w:rsidRDefault="00F82D53" w:rsidP="007E3D02">
            <w:pPr>
              <w:jc w:val="both"/>
              <w:rPr>
                <w:sz w:val="16"/>
                <w:szCs w:val="16"/>
              </w:rPr>
            </w:pPr>
            <w:r w:rsidRPr="00112F45">
              <w:rPr>
                <w:sz w:val="16"/>
                <w:szCs w:val="16"/>
              </w:rPr>
              <w:t>Source/frequency: Government/annually</w:t>
            </w:r>
          </w:p>
        </w:tc>
        <w:tc>
          <w:tcPr>
            <w:tcW w:w="2666" w:type="dxa"/>
            <w:vMerge w:val="restart"/>
            <w:tcBorders>
              <w:bottom w:val="single" w:sz="4" w:space="0" w:color="auto"/>
              <w:right w:val="single" w:sz="4" w:space="0" w:color="auto"/>
            </w:tcBorders>
          </w:tcPr>
          <w:p w14:paraId="036255A4" w14:textId="2BD741FB" w:rsidR="00F82D53" w:rsidRPr="00112F45" w:rsidRDefault="00F82D53" w:rsidP="00403B37">
            <w:pPr>
              <w:rPr>
                <w:sz w:val="16"/>
                <w:szCs w:val="16"/>
              </w:rPr>
            </w:pPr>
            <w:r w:rsidRPr="00112F45">
              <w:rPr>
                <w:sz w:val="16"/>
                <w:szCs w:val="16"/>
              </w:rPr>
              <w:lastRenderedPageBreak/>
              <w:t>Ministries</w:t>
            </w:r>
          </w:p>
          <w:p w14:paraId="6E7C1E63" w14:textId="5025DAB0" w:rsidR="00F82D53" w:rsidRPr="00112F45" w:rsidRDefault="00F82D53" w:rsidP="00403B37">
            <w:pPr>
              <w:rPr>
                <w:sz w:val="16"/>
                <w:szCs w:val="16"/>
              </w:rPr>
            </w:pPr>
            <w:r w:rsidRPr="00112F45">
              <w:rPr>
                <w:sz w:val="16"/>
                <w:szCs w:val="16"/>
              </w:rPr>
              <w:t xml:space="preserve">International </w:t>
            </w:r>
            <w:r w:rsidR="00403B37">
              <w:rPr>
                <w:sz w:val="16"/>
                <w:szCs w:val="16"/>
              </w:rPr>
              <w:t>o</w:t>
            </w:r>
            <w:r w:rsidRPr="00112F45">
              <w:rPr>
                <w:sz w:val="16"/>
                <w:szCs w:val="16"/>
              </w:rPr>
              <w:t>rganizations</w:t>
            </w:r>
          </w:p>
          <w:p w14:paraId="2AA6A371" w14:textId="181C0DD0" w:rsidR="00F82D53" w:rsidRPr="00112F45" w:rsidRDefault="00F82D53" w:rsidP="00403B37">
            <w:pPr>
              <w:rPr>
                <w:sz w:val="16"/>
                <w:szCs w:val="16"/>
              </w:rPr>
            </w:pPr>
            <w:r w:rsidRPr="00112F45">
              <w:rPr>
                <w:sz w:val="16"/>
                <w:szCs w:val="16"/>
              </w:rPr>
              <w:t xml:space="preserve">Civil </w:t>
            </w:r>
            <w:r w:rsidR="00403B37">
              <w:rPr>
                <w:sz w:val="16"/>
                <w:szCs w:val="16"/>
              </w:rPr>
              <w:t>s</w:t>
            </w:r>
            <w:r w:rsidRPr="00112F45">
              <w:rPr>
                <w:sz w:val="16"/>
                <w:szCs w:val="16"/>
              </w:rPr>
              <w:t xml:space="preserve">ociety </w:t>
            </w:r>
            <w:r w:rsidR="00403B37">
              <w:rPr>
                <w:sz w:val="16"/>
                <w:szCs w:val="16"/>
              </w:rPr>
              <w:t>o</w:t>
            </w:r>
            <w:r w:rsidRPr="00112F45">
              <w:rPr>
                <w:sz w:val="16"/>
                <w:szCs w:val="16"/>
              </w:rPr>
              <w:t>rganizations</w:t>
            </w:r>
          </w:p>
          <w:p w14:paraId="55D8FA0B" w14:textId="074A90ED" w:rsidR="00F82D53" w:rsidRPr="00112F45" w:rsidRDefault="00F82D53" w:rsidP="00403B37">
            <w:pPr>
              <w:rPr>
                <w:sz w:val="16"/>
                <w:szCs w:val="16"/>
              </w:rPr>
            </w:pPr>
            <w:r w:rsidRPr="00112F45">
              <w:rPr>
                <w:sz w:val="16"/>
                <w:szCs w:val="16"/>
              </w:rPr>
              <w:t>U</w:t>
            </w:r>
            <w:r w:rsidR="00403B37">
              <w:rPr>
                <w:sz w:val="16"/>
                <w:szCs w:val="16"/>
              </w:rPr>
              <w:t>nited Nations entities</w:t>
            </w:r>
          </w:p>
          <w:p w14:paraId="4CA65462" w14:textId="77777777" w:rsidR="00403B37" w:rsidRDefault="00F82D53" w:rsidP="007A3CF5">
            <w:pPr>
              <w:rPr>
                <w:sz w:val="16"/>
                <w:szCs w:val="16"/>
              </w:rPr>
            </w:pPr>
            <w:r w:rsidRPr="00112F45">
              <w:rPr>
                <w:sz w:val="16"/>
                <w:szCs w:val="16"/>
              </w:rPr>
              <w:t>Eco Fund</w:t>
            </w:r>
          </w:p>
          <w:p w14:paraId="2BC69F88" w14:textId="52A67597" w:rsidR="00403B37" w:rsidRDefault="00F82D53" w:rsidP="007A3CF5">
            <w:pPr>
              <w:rPr>
                <w:sz w:val="16"/>
                <w:szCs w:val="16"/>
              </w:rPr>
            </w:pPr>
            <w:r w:rsidRPr="00112F45">
              <w:rPr>
                <w:sz w:val="16"/>
                <w:szCs w:val="16"/>
              </w:rPr>
              <w:t>Investment Development Fund</w:t>
            </w:r>
          </w:p>
          <w:p w14:paraId="12C89DCA" w14:textId="4622B28C" w:rsidR="00403B37" w:rsidRDefault="00403B37" w:rsidP="00403B37">
            <w:pPr>
              <w:rPr>
                <w:sz w:val="16"/>
                <w:szCs w:val="16"/>
              </w:rPr>
            </w:pPr>
            <w:r>
              <w:rPr>
                <w:sz w:val="16"/>
                <w:szCs w:val="16"/>
              </w:rPr>
              <w:t>N</w:t>
            </w:r>
            <w:r w:rsidR="00F82D53" w:rsidRPr="00112F45">
              <w:rPr>
                <w:sz w:val="16"/>
                <w:szCs w:val="16"/>
              </w:rPr>
              <w:t xml:space="preserve">ational </w:t>
            </w:r>
            <w:r>
              <w:rPr>
                <w:sz w:val="16"/>
                <w:szCs w:val="16"/>
              </w:rPr>
              <w:t>p</w:t>
            </w:r>
            <w:r w:rsidR="00F82D53" w:rsidRPr="00112F45">
              <w:rPr>
                <w:sz w:val="16"/>
                <w:szCs w:val="16"/>
              </w:rPr>
              <w:t xml:space="preserve">arks of Montenegro </w:t>
            </w:r>
            <w:r>
              <w:rPr>
                <w:sz w:val="16"/>
                <w:szCs w:val="16"/>
              </w:rPr>
              <w:t>M</w:t>
            </w:r>
            <w:r w:rsidR="00F82D53" w:rsidRPr="00112F45">
              <w:rPr>
                <w:sz w:val="16"/>
                <w:szCs w:val="16"/>
              </w:rPr>
              <w:t>unicipalities</w:t>
            </w:r>
          </w:p>
          <w:p w14:paraId="65BBB04C" w14:textId="7B3D8BEB" w:rsidR="00403B37" w:rsidRDefault="00F82D53" w:rsidP="00403B37">
            <w:pPr>
              <w:rPr>
                <w:sz w:val="16"/>
                <w:szCs w:val="16"/>
              </w:rPr>
            </w:pPr>
            <w:r w:rsidRPr="00112F45">
              <w:rPr>
                <w:sz w:val="16"/>
                <w:szCs w:val="16"/>
              </w:rPr>
              <w:t>Environment Protection Agency National Council for Sustainable Development</w:t>
            </w:r>
          </w:p>
          <w:p w14:paraId="6B05AA92" w14:textId="032DA066" w:rsidR="00403B37" w:rsidRDefault="00403B37" w:rsidP="00403B37">
            <w:pPr>
              <w:rPr>
                <w:sz w:val="16"/>
                <w:szCs w:val="16"/>
              </w:rPr>
            </w:pPr>
            <w:r>
              <w:rPr>
                <w:sz w:val="16"/>
                <w:szCs w:val="16"/>
              </w:rPr>
              <w:t>B</w:t>
            </w:r>
            <w:r w:rsidR="00F82D53" w:rsidRPr="00112F45">
              <w:rPr>
                <w:sz w:val="16"/>
                <w:szCs w:val="16"/>
              </w:rPr>
              <w:t>usiness sector</w:t>
            </w:r>
          </w:p>
          <w:p w14:paraId="3BE63CDB" w14:textId="086F1D6F" w:rsidR="00403B37" w:rsidRDefault="00F82D53" w:rsidP="00403B37">
            <w:pPr>
              <w:rPr>
                <w:sz w:val="16"/>
                <w:szCs w:val="16"/>
              </w:rPr>
            </w:pPr>
            <w:r w:rsidRPr="00112F45">
              <w:rPr>
                <w:sz w:val="16"/>
                <w:szCs w:val="16"/>
              </w:rPr>
              <w:t>Chamber of Economy</w:t>
            </w:r>
          </w:p>
          <w:p w14:paraId="193CE2A0" w14:textId="29C8DD88" w:rsidR="00403B37" w:rsidRDefault="00F82D53" w:rsidP="00403B37">
            <w:pPr>
              <w:rPr>
                <w:sz w:val="16"/>
                <w:szCs w:val="16"/>
              </w:rPr>
            </w:pPr>
            <w:r w:rsidRPr="00112F45">
              <w:rPr>
                <w:sz w:val="16"/>
                <w:szCs w:val="16"/>
              </w:rPr>
              <w:t>Innovation Fund</w:t>
            </w:r>
          </w:p>
          <w:p w14:paraId="37C8876B" w14:textId="4CB7F556" w:rsidR="00F82D53" w:rsidRPr="00112F45" w:rsidRDefault="00F82D53" w:rsidP="007A3CF5">
            <w:pPr>
              <w:rPr>
                <w:sz w:val="16"/>
                <w:szCs w:val="16"/>
              </w:rPr>
            </w:pPr>
            <w:r w:rsidRPr="00112F45">
              <w:rPr>
                <w:sz w:val="16"/>
                <w:szCs w:val="16"/>
              </w:rPr>
              <w:t xml:space="preserve">Science and </w:t>
            </w:r>
            <w:r w:rsidR="00403B37">
              <w:rPr>
                <w:sz w:val="16"/>
                <w:szCs w:val="16"/>
              </w:rPr>
              <w:t>t</w:t>
            </w:r>
            <w:r w:rsidRPr="00112F45">
              <w:rPr>
                <w:sz w:val="16"/>
                <w:szCs w:val="16"/>
              </w:rPr>
              <w:t xml:space="preserve">echnology </w:t>
            </w:r>
            <w:r w:rsidR="00403B37">
              <w:rPr>
                <w:sz w:val="16"/>
                <w:szCs w:val="16"/>
              </w:rPr>
              <w:t>p</w:t>
            </w:r>
            <w:r w:rsidRPr="00112F45">
              <w:rPr>
                <w:sz w:val="16"/>
                <w:szCs w:val="16"/>
              </w:rPr>
              <w:t>ark</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2FFEB51" w14:textId="77777777" w:rsidR="00F82D53" w:rsidRPr="00112F45" w:rsidRDefault="00F82D53" w:rsidP="007E3D02">
            <w:pPr>
              <w:rPr>
                <w:b/>
                <w:sz w:val="16"/>
                <w:szCs w:val="16"/>
              </w:rPr>
            </w:pPr>
            <w:r w:rsidRPr="00112F45">
              <w:rPr>
                <w:b/>
                <w:sz w:val="16"/>
                <w:szCs w:val="16"/>
              </w:rPr>
              <w:t>Regular</w:t>
            </w:r>
          </w:p>
          <w:p w14:paraId="4EF334ED" w14:textId="77777777" w:rsidR="00F82D53" w:rsidRPr="00112F45" w:rsidRDefault="00F82D53" w:rsidP="007E3D02">
            <w:pPr>
              <w:rPr>
                <w:b/>
                <w:sz w:val="16"/>
                <w:szCs w:val="16"/>
              </w:rPr>
            </w:pPr>
            <w:r w:rsidRPr="00112F45">
              <w:rPr>
                <w:b/>
                <w:sz w:val="16"/>
                <w:szCs w:val="16"/>
              </w:rPr>
              <w:t>250,000</w:t>
            </w:r>
          </w:p>
        </w:tc>
      </w:tr>
      <w:tr w:rsidR="000E4C4E" w:rsidRPr="00112F45" w14:paraId="4C7D32EE" w14:textId="77777777" w:rsidTr="00F421F3">
        <w:tc>
          <w:tcPr>
            <w:tcW w:w="2835" w:type="dxa"/>
            <w:vMerge/>
            <w:tcMar>
              <w:top w:w="72" w:type="dxa"/>
              <w:left w:w="144" w:type="dxa"/>
              <w:bottom w:w="72" w:type="dxa"/>
              <w:right w:w="144" w:type="dxa"/>
            </w:tcMar>
          </w:tcPr>
          <w:p w14:paraId="025B09AC" w14:textId="77777777" w:rsidR="00F82D53" w:rsidRPr="00112F45" w:rsidRDefault="00F82D53" w:rsidP="007E3D02">
            <w:pPr>
              <w:rPr>
                <w:sz w:val="16"/>
                <w:szCs w:val="16"/>
              </w:rPr>
            </w:pPr>
          </w:p>
        </w:tc>
        <w:tc>
          <w:tcPr>
            <w:tcW w:w="1985" w:type="dxa"/>
            <w:vMerge/>
          </w:tcPr>
          <w:p w14:paraId="798EAE79" w14:textId="77777777" w:rsidR="00F82D53" w:rsidRPr="00112F45" w:rsidRDefault="00F82D53" w:rsidP="007E3D02">
            <w:pPr>
              <w:rPr>
                <w:sz w:val="16"/>
                <w:szCs w:val="16"/>
              </w:rPr>
            </w:pPr>
          </w:p>
        </w:tc>
        <w:tc>
          <w:tcPr>
            <w:tcW w:w="4394" w:type="dxa"/>
            <w:vMerge/>
            <w:tcMar>
              <w:top w:w="72" w:type="dxa"/>
              <w:left w:w="144" w:type="dxa"/>
              <w:bottom w:w="72" w:type="dxa"/>
              <w:right w:w="144" w:type="dxa"/>
            </w:tcMar>
          </w:tcPr>
          <w:p w14:paraId="71C8517E" w14:textId="77777777" w:rsidR="00F82D53" w:rsidRPr="00112F45" w:rsidRDefault="00F82D53" w:rsidP="007E3D02">
            <w:pPr>
              <w:rPr>
                <w:sz w:val="16"/>
                <w:szCs w:val="16"/>
              </w:rPr>
            </w:pPr>
          </w:p>
        </w:tc>
        <w:tc>
          <w:tcPr>
            <w:tcW w:w="2666" w:type="dxa"/>
            <w:vMerge/>
          </w:tcPr>
          <w:p w14:paraId="2CEB3128" w14:textId="77777777" w:rsidR="00F82D53" w:rsidRPr="00112F45" w:rsidRDefault="00F82D53" w:rsidP="007E3D02">
            <w:pPr>
              <w:rPr>
                <w:sz w:val="16"/>
                <w:szCs w:val="16"/>
              </w:rPr>
            </w:pPr>
          </w:p>
        </w:tc>
        <w:tc>
          <w:tcPr>
            <w:tcW w:w="1350" w:type="dxa"/>
            <w:tcBorders>
              <w:top w:val="single" w:sz="4" w:space="0" w:color="auto"/>
            </w:tcBorders>
            <w:shd w:val="clear" w:color="auto" w:fill="auto"/>
            <w:tcMar>
              <w:top w:w="15" w:type="dxa"/>
              <w:left w:w="108" w:type="dxa"/>
              <w:bottom w:w="0" w:type="dxa"/>
              <w:right w:w="108" w:type="dxa"/>
            </w:tcMar>
          </w:tcPr>
          <w:p w14:paraId="55C9920A" w14:textId="77777777" w:rsidR="00F82D53" w:rsidRPr="00112F45" w:rsidRDefault="00F82D53" w:rsidP="007E3D02">
            <w:pPr>
              <w:rPr>
                <w:b/>
                <w:sz w:val="16"/>
                <w:szCs w:val="16"/>
              </w:rPr>
            </w:pPr>
            <w:r w:rsidRPr="00112F45">
              <w:rPr>
                <w:b/>
                <w:sz w:val="16"/>
                <w:szCs w:val="16"/>
              </w:rPr>
              <w:t xml:space="preserve">Other </w:t>
            </w:r>
          </w:p>
          <w:p w14:paraId="30F4608D" w14:textId="77777777" w:rsidR="00F82D53" w:rsidRPr="00112F45" w:rsidRDefault="00F82D53" w:rsidP="007E3D02">
            <w:pPr>
              <w:rPr>
                <w:b/>
                <w:sz w:val="16"/>
                <w:szCs w:val="16"/>
              </w:rPr>
            </w:pPr>
            <w:r w:rsidRPr="00112F45">
              <w:rPr>
                <w:b/>
                <w:sz w:val="16"/>
                <w:szCs w:val="16"/>
              </w:rPr>
              <w:t>19,000,000</w:t>
            </w:r>
          </w:p>
          <w:p w14:paraId="2A28CFAD" w14:textId="77777777" w:rsidR="00F82D53" w:rsidRPr="00112F45" w:rsidRDefault="00F82D53" w:rsidP="007E3D02">
            <w:pPr>
              <w:rPr>
                <w:b/>
                <w:sz w:val="16"/>
                <w:szCs w:val="16"/>
              </w:rPr>
            </w:pPr>
          </w:p>
          <w:p w14:paraId="7AB3DA23" w14:textId="77777777" w:rsidR="00F82D53" w:rsidRPr="00112F45" w:rsidRDefault="00F82D53" w:rsidP="007E3D02">
            <w:pPr>
              <w:rPr>
                <w:b/>
                <w:bCs/>
                <w:sz w:val="16"/>
                <w:szCs w:val="16"/>
              </w:rPr>
            </w:pPr>
            <w:r w:rsidRPr="00112F45">
              <w:rPr>
                <w:b/>
                <w:bCs/>
                <w:sz w:val="16"/>
                <w:szCs w:val="16"/>
              </w:rPr>
              <w:t>TOTAL:</w:t>
            </w:r>
          </w:p>
          <w:p w14:paraId="7655968A" w14:textId="396C79C9" w:rsidR="00F82D53" w:rsidRPr="00112F45" w:rsidRDefault="00F82D53" w:rsidP="007E3D02">
            <w:pPr>
              <w:rPr>
                <w:b/>
                <w:sz w:val="16"/>
                <w:szCs w:val="16"/>
              </w:rPr>
            </w:pPr>
            <w:r w:rsidRPr="00112F45">
              <w:rPr>
                <w:b/>
                <w:sz w:val="16"/>
                <w:szCs w:val="16"/>
              </w:rPr>
              <w:t>19,250,000</w:t>
            </w:r>
          </w:p>
        </w:tc>
      </w:tr>
      <w:tr w:rsidR="000E4C4E" w:rsidRPr="00112F45" w14:paraId="42A6452A" w14:textId="77777777" w:rsidTr="00F421F3">
        <w:tc>
          <w:tcPr>
            <w:tcW w:w="13230" w:type="dxa"/>
            <w:gridSpan w:val="5"/>
            <w:shd w:val="clear" w:color="auto" w:fill="DBE5F1" w:themeFill="accent1" w:themeFillTint="33"/>
            <w:tcMar>
              <w:top w:w="72" w:type="dxa"/>
              <w:left w:w="144" w:type="dxa"/>
              <w:bottom w:w="72" w:type="dxa"/>
              <w:right w:w="144" w:type="dxa"/>
            </w:tcMar>
          </w:tcPr>
          <w:p w14:paraId="7A17A59B" w14:textId="77777777" w:rsidR="00F82D53" w:rsidRPr="00112F45" w:rsidRDefault="00F82D53" w:rsidP="007E3D02">
            <w:pPr>
              <w:jc w:val="both"/>
              <w:rPr>
                <w:b/>
                <w:bCs/>
                <w:sz w:val="16"/>
                <w:szCs w:val="16"/>
              </w:rPr>
            </w:pPr>
            <w:r w:rsidRPr="00112F45">
              <w:rPr>
                <w:b/>
                <w:bCs/>
                <w:sz w:val="16"/>
                <w:szCs w:val="16"/>
              </w:rPr>
              <w:lastRenderedPageBreak/>
              <w:t>NATIONAL PRIORITY: Human capital development, reducing vulnerability, social inclusion</w:t>
            </w:r>
          </w:p>
          <w:p w14:paraId="783920A5" w14:textId="7DEA18E3" w:rsidR="00F82D53" w:rsidRPr="00112F45" w:rsidRDefault="00F82D53" w:rsidP="007E3D02">
            <w:pPr>
              <w:rPr>
                <w:b/>
                <w:bCs/>
                <w:sz w:val="16"/>
                <w:szCs w:val="16"/>
              </w:rPr>
            </w:pPr>
            <w:r w:rsidRPr="00112F45">
              <w:rPr>
                <w:b/>
                <w:bCs/>
                <w:sz w:val="16"/>
                <w:szCs w:val="16"/>
              </w:rPr>
              <w:t>S</w:t>
            </w:r>
            <w:r w:rsidR="00725712">
              <w:rPr>
                <w:b/>
                <w:bCs/>
                <w:sz w:val="16"/>
                <w:szCs w:val="16"/>
              </w:rPr>
              <w:t xml:space="preserve">ustainable </w:t>
            </w:r>
            <w:r w:rsidRPr="00112F45">
              <w:rPr>
                <w:b/>
                <w:bCs/>
                <w:sz w:val="16"/>
                <w:szCs w:val="16"/>
              </w:rPr>
              <w:t>D</w:t>
            </w:r>
            <w:r w:rsidR="00725712">
              <w:rPr>
                <w:b/>
                <w:bCs/>
                <w:sz w:val="16"/>
                <w:szCs w:val="16"/>
              </w:rPr>
              <w:t xml:space="preserve">evelopment </w:t>
            </w:r>
            <w:r w:rsidRPr="00112F45">
              <w:rPr>
                <w:b/>
                <w:bCs/>
                <w:sz w:val="16"/>
                <w:szCs w:val="16"/>
              </w:rPr>
              <w:t>G</w:t>
            </w:r>
            <w:r w:rsidR="00725712">
              <w:rPr>
                <w:b/>
                <w:bCs/>
                <w:sz w:val="16"/>
                <w:szCs w:val="16"/>
              </w:rPr>
              <w:t>oal</w:t>
            </w:r>
            <w:r w:rsidRPr="00112F45">
              <w:rPr>
                <w:b/>
                <w:bCs/>
                <w:sz w:val="16"/>
                <w:szCs w:val="16"/>
              </w:rPr>
              <w:t>s: 1, 5, 8, 10</w:t>
            </w:r>
          </w:p>
        </w:tc>
      </w:tr>
      <w:tr w:rsidR="000E4C4E" w:rsidRPr="00112F45" w14:paraId="5898B369" w14:textId="77777777" w:rsidTr="00F421F3">
        <w:tc>
          <w:tcPr>
            <w:tcW w:w="13230" w:type="dxa"/>
            <w:gridSpan w:val="5"/>
            <w:shd w:val="clear" w:color="auto" w:fill="DBE5F1" w:themeFill="accent1" w:themeFillTint="33"/>
            <w:tcMar>
              <w:top w:w="72" w:type="dxa"/>
              <w:left w:w="144" w:type="dxa"/>
              <w:bottom w:w="72" w:type="dxa"/>
              <w:right w:w="144" w:type="dxa"/>
            </w:tcMar>
          </w:tcPr>
          <w:p w14:paraId="7FB83365" w14:textId="7921F100" w:rsidR="00F82D53" w:rsidRPr="00112F45" w:rsidRDefault="00F82D53" w:rsidP="005A0445">
            <w:pPr>
              <w:ind w:left="30"/>
              <w:rPr>
                <w:b/>
                <w:bCs/>
                <w:sz w:val="16"/>
                <w:szCs w:val="16"/>
              </w:rPr>
            </w:pPr>
            <w:r w:rsidRPr="00112F45">
              <w:rPr>
                <w:b/>
                <w:bCs/>
                <w:sz w:val="16"/>
                <w:szCs w:val="16"/>
              </w:rPr>
              <w:t>COOPERATION FRAMEWORK OUTCOME INVOLVING UNDP</w:t>
            </w:r>
            <w:r w:rsidR="00725712">
              <w:rPr>
                <w:b/>
                <w:bCs/>
                <w:sz w:val="16"/>
                <w:szCs w:val="16"/>
              </w:rPr>
              <w:t>:</w:t>
            </w:r>
            <w:r w:rsidRPr="00112F45">
              <w:rPr>
                <w:b/>
                <w:bCs/>
                <w:sz w:val="16"/>
                <w:szCs w:val="16"/>
              </w:rPr>
              <w:t xml:space="preserve"> </w:t>
            </w:r>
            <w:r w:rsidR="00B22BE8" w:rsidRPr="00112F45">
              <w:rPr>
                <w:b/>
                <w:bCs/>
                <w:sz w:val="16"/>
                <w:szCs w:val="16"/>
              </w:rPr>
              <w:t>Outcome</w:t>
            </w:r>
            <w:r w:rsidRPr="00112F45">
              <w:rPr>
                <w:b/>
                <w:bCs/>
                <w:sz w:val="16"/>
                <w:szCs w:val="16"/>
              </w:rPr>
              <w:t xml:space="preserve"> 2:  By 2027, all people, especially vulnerable</w:t>
            </w:r>
            <w:r w:rsidR="004B34AF">
              <w:rPr>
                <w:b/>
                <w:bCs/>
                <w:sz w:val="16"/>
                <w:szCs w:val="16"/>
              </w:rPr>
              <w:t xml:space="preserve"> people</w:t>
            </w:r>
            <w:r w:rsidRPr="00112F45">
              <w:rPr>
                <w:b/>
                <w:bCs/>
                <w:sz w:val="16"/>
                <w:szCs w:val="16"/>
              </w:rPr>
              <w:t xml:space="preserve">, increasingly benefit from </w:t>
            </w:r>
            <w:r w:rsidR="00725712">
              <w:rPr>
                <w:b/>
                <w:bCs/>
                <w:sz w:val="16"/>
                <w:szCs w:val="16"/>
              </w:rPr>
              <w:t xml:space="preserve">an </w:t>
            </w:r>
            <w:r w:rsidRPr="00112F45">
              <w:rPr>
                <w:b/>
                <w:bCs/>
                <w:sz w:val="16"/>
                <w:szCs w:val="16"/>
              </w:rPr>
              <w:t>equitable, gender-</w:t>
            </w:r>
            <w:r w:rsidR="00B22BE8" w:rsidRPr="00112F45">
              <w:rPr>
                <w:b/>
                <w:bCs/>
                <w:sz w:val="16"/>
                <w:szCs w:val="16"/>
              </w:rPr>
              <w:t>responsive</w:t>
            </w:r>
            <w:r w:rsidRPr="00112F45">
              <w:rPr>
                <w:b/>
                <w:bCs/>
                <w:sz w:val="16"/>
                <w:szCs w:val="16"/>
              </w:rPr>
              <w:t xml:space="preserve"> and universally accessible social and child protection system and quality services, including </w:t>
            </w:r>
            <w:proofErr w:type="spellStart"/>
            <w:r w:rsidRPr="00112F45">
              <w:rPr>
                <w:b/>
                <w:bCs/>
                <w:sz w:val="16"/>
                <w:szCs w:val="16"/>
              </w:rPr>
              <w:t>labour</w:t>
            </w:r>
            <w:proofErr w:type="spellEnd"/>
            <w:r w:rsidRPr="00112F45">
              <w:rPr>
                <w:b/>
                <w:bCs/>
                <w:sz w:val="16"/>
                <w:szCs w:val="16"/>
              </w:rPr>
              <w:t xml:space="preserve"> market activation</w:t>
            </w:r>
            <w:r w:rsidR="00B22BE8" w:rsidRPr="00112F45">
              <w:rPr>
                <w:b/>
                <w:bCs/>
                <w:sz w:val="16"/>
                <w:szCs w:val="16"/>
              </w:rPr>
              <w:t>, skills</w:t>
            </w:r>
            <w:r w:rsidRPr="00112F45">
              <w:rPr>
                <w:b/>
                <w:bCs/>
                <w:sz w:val="16"/>
                <w:szCs w:val="16"/>
              </w:rPr>
              <w:t xml:space="preserve"> and capabilities </w:t>
            </w:r>
          </w:p>
        </w:tc>
      </w:tr>
      <w:tr w:rsidR="000E4C4E" w:rsidRPr="00112F45" w14:paraId="0AEF4A89" w14:textId="77777777" w:rsidTr="004B34AF">
        <w:trPr>
          <w:trHeight w:val="269"/>
        </w:trPr>
        <w:tc>
          <w:tcPr>
            <w:tcW w:w="13230" w:type="dxa"/>
            <w:gridSpan w:val="5"/>
            <w:shd w:val="clear" w:color="auto" w:fill="DBE5F1" w:themeFill="accent1" w:themeFillTint="33"/>
            <w:tcMar>
              <w:top w:w="72" w:type="dxa"/>
              <w:left w:w="144" w:type="dxa"/>
              <w:bottom w:w="72" w:type="dxa"/>
              <w:right w:w="144" w:type="dxa"/>
            </w:tcMar>
          </w:tcPr>
          <w:p w14:paraId="75279796" w14:textId="6D91C49E" w:rsidR="00F82D53" w:rsidRPr="00112F45" w:rsidRDefault="00F82D53" w:rsidP="007E3D02">
            <w:pPr>
              <w:rPr>
                <w:b/>
                <w:bCs/>
                <w:sz w:val="16"/>
                <w:szCs w:val="16"/>
              </w:rPr>
            </w:pPr>
            <w:r w:rsidRPr="00112F45">
              <w:rPr>
                <w:b/>
                <w:bCs/>
                <w:sz w:val="16"/>
                <w:szCs w:val="16"/>
              </w:rPr>
              <w:t>RELATED STRATEGIC PLAN OUTCOME</w:t>
            </w:r>
            <w:r w:rsidR="00725712">
              <w:rPr>
                <w:b/>
                <w:bCs/>
                <w:sz w:val="16"/>
                <w:szCs w:val="16"/>
              </w:rPr>
              <w:t>: OUTCOME</w:t>
            </w:r>
            <w:r w:rsidRPr="00112F45">
              <w:rPr>
                <w:b/>
                <w:bCs/>
                <w:sz w:val="16"/>
                <w:szCs w:val="16"/>
              </w:rPr>
              <w:t xml:space="preserve"> 2:  Leaving no one behind, a rights-based approach </w:t>
            </w:r>
            <w:proofErr w:type="spellStart"/>
            <w:r w:rsidRPr="00112F45">
              <w:rPr>
                <w:b/>
                <w:bCs/>
                <w:sz w:val="16"/>
                <w:szCs w:val="16"/>
              </w:rPr>
              <w:t>centred</w:t>
            </w:r>
            <w:proofErr w:type="spellEnd"/>
            <w:r w:rsidRPr="00112F45">
              <w:rPr>
                <w:b/>
                <w:bCs/>
                <w:sz w:val="16"/>
                <w:szCs w:val="16"/>
              </w:rPr>
              <w:t xml:space="preserve"> on human agency and human development</w:t>
            </w:r>
          </w:p>
        </w:tc>
      </w:tr>
      <w:tr w:rsidR="000E4C4E" w:rsidRPr="00112F45" w14:paraId="1FBC4D34" w14:textId="77777777" w:rsidTr="00F421F3">
        <w:tc>
          <w:tcPr>
            <w:tcW w:w="2835" w:type="dxa"/>
            <w:shd w:val="clear" w:color="auto" w:fill="auto"/>
            <w:tcMar>
              <w:top w:w="72" w:type="dxa"/>
              <w:left w:w="144" w:type="dxa"/>
              <w:bottom w:w="72" w:type="dxa"/>
              <w:right w:w="144" w:type="dxa"/>
            </w:tcMar>
          </w:tcPr>
          <w:p w14:paraId="7FCD7369" w14:textId="33743903" w:rsidR="00F82D53" w:rsidRPr="004B34AF" w:rsidRDefault="00F82D53" w:rsidP="00077EBF">
            <w:pPr>
              <w:pStyle w:val="ListParagraph"/>
              <w:numPr>
                <w:ilvl w:val="0"/>
                <w:numId w:val="20"/>
              </w:numPr>
              <w:ind w:left="141" w:hanging="141"/>
              <w:contextualSpacing/>
              <w:rPr>
                <w:rFonts w:eastAsia="SimSun"/>
                <w:bCs/>
                <w:color w:val="000000" w:themeColor="text1"/>
                <w:sz w:val="16"/>
                <w:szCs w:val="16"/>
              </w:rPr>
            </w:pPr>
            <w:r w:rsidRPr="004B34AF">
              <w:rPr>
                <w:rFonts w:eastAsia="SimSun"/>
                <w:bCs/>
                <w:color w:val="000000" w:themeColor="text1"/>
                <w:sz w:val="16"/>
                <w:szCs w:val="16"/>
              </w:rPr>
              <w:t xml:space="preserve">Proportion of people at risk of </w:t>
            </w:r>
            <w:r w:rsidR="00834A04" w:rsidRPr="004B34AF">
              <w:rPr>
                <w:rFonts w:eastAsia="SimSun"/>
                <w:bCs/>
                <w:color w:val="000000" w:themeColor="text1"/>
                <w:sz w:val="16"/>
                <w:szCs w:val="16"/>
              </w:rPr>
              <w:t xml:space="preserve"> </w:t>
            </w:r>
            <w:r w:rsidR="00077EBF" w:rsidRPr="004B34AF">
              <w:rPr>
                <w:rFonts w:eastAsia="SimSun"/>
                <w:bCs/>
                <w:color w:val="000000" w:themeColor="text1"/>
                <w:sz w:val="16"/>
                <w:szCs w:val="16"/>
              </w:rPr>
              <w:t xml:space="preserve">  </w:t>
            </w:r>
            <w:r w:rsidRPr="004B34AF">
              <w:rPr>
                <w:rFonts w:eastAsia="SimSun"/>
                <w:bCs/>
                <w:color w:val="000000" w:themeColor="text1"/>
                <w:sz w:val="16"/>
                <w:szCs w:val="16"/>
              </w:rPr>
              <w:t xml:space="preserve">poverty disaggregated by sex and age </w:t>
            </w:r>
          </w:p>
          <w:p w14:paraId="07D18539" w14:textId="28970303" w:rsidR="00F82D53" w:rsidRPr="004B34AF" w:rsidRDefault="00F82D53" w:rsidP="0054382A">
            <w:pPr>
              <w:pStyle w:val="ListParagraph"/>
              <w:ind w:left="141"/>
              <w:contextualSpacing/>
              <w:rPr>
                <w:rFonts w:eastAsia="SimSun"/>
                <w:bCs/>
                <w:color w:val="000000" w:themeColor="text1"/>
                <w:sz w:val="16"/>
                <w:szCs w:val="16"/>
              </w:rPr>
            </w:pPr>
            <w:r w:rsidRPr="004B34AF">
              <w:rPr>
                <w:rFonts w:eastAsia="SimSun"/>
                <w:b/>
                <w:color w:val="000000" w:themeColor="text1"/>
                <w:sz w:val="16"/>
                <w:szCs w:val="16"/>
              </w:rPr>
              <w:t>Baseline (2020):</w:t>
            </w:r>
            <w:r w:rsidRPr="004B34AF">
              <w:rPr>
                <w:rFonts w:eastAsia="SimSun"/>
                <w:bCs/>
                <w:color w:val="000000" w:themeColor="text1"/>
                <w:sz w:val="16"/>
                <w:szCs w:val="16"/>
              </w:rPr>
              <w:t xml:space="preserve"> Total</w:t>
            </w:r>
            <w:r w:rsidR="00AB5C19" w:rsidRPr="004B34AF">
              <w:rPr>
                <w:rFonts w:eastAsia="SimSun"/>
                <w:bCs/>
                <w:color w:val="000000" w:themeColor="text1"/>
                <w:sz w:val="16"/>
                <w:szCs w:val="16"/>
              </w:rPr>
              <w:t>,</w:t>
            </w:r>
            <w:r w:rsidRPr="004B34AF">
              <w:rPr>
                <w:rFonts w:eastAsia="SimSun"/>
                <w:bCs/>
                <w:color w:val="000000" w:themeColor="text1"/>
                <w:sz w:val="16"/>
                <w:szCs w:val="16"/>
              </w:rPr>
              <w:t xml:space="preserve"> 22.6</w:t>
            </w:r>
            <w:r w:rsidR="003E188D" w:rsidRPr="004B34AF">
              <w:rPr>
                <w:rFonts w:eastAsia="SimSun"/>
                <w:bCs/>
                <w:color w:val="000000" w:themeColor="text1"/>
                <w:sz w:val="16"/>
                <w:szCs w:val="16"/>
              </w:rPr>
              <w:t>%</w:t>
            </w:r>
            <w:r w:rsidRPr="004B34AF">
              <w:rPr>
                <w:rFonts w:eastAsia="SimSun"/>
                <w:bCs/>
                <w:color w:val="000000" w:themeColor="text1"/>
                <w:sz w:val="16"/>
                <w:szCs w:val="16"/>
              </w:rPr>
              <w:t xml:space="preserve"> </w:t>
            </w:r>
          </w:p>
          <w:p w14:paraId="0BF09BC6" w14:textId="1FD6B557" w:rsidR="00F82D53" w:rsidRPr="004B34AF" w:rsidRDefault="00F82D53" w:rsidP="0054382A">
            <w:pPr>
              <w:pStyle w:val="ListParagraph"/>
              <w:ind w:left="141"/>
              <w:contextualSpacing/>
              <w:rPr>
                <w:rFonts w:eastAsia="SimSun"/>
                <w:bCs/>
                <w:color w:val="000000" w:themeColor="text1"/>
                <w:sz w:val="16"/>
                <w:szCs w:val="16"/>
              </w:rPr>
            </w:pPr>
            <w:r w:rsidRPr="004B34AF">
              <w:rPr>
                <w:rFonts w:eastAsia="SimSun"/>
                <w:bCs/>
                <w:color w:val="000000" w:themeColor="text1"/>
                <w:sz w:val="16"/>
                <w:szCs w:val="16"/>
              </w:rPr>
              <w:t>Male</w:t>
            </w:r>
            <w:r w:rsidR="00725712" w:rsidRPr="004B34AF">
              <w:rPr>
                <w:rFonts w:eastAsia="SimSun"/>
                <w:bCs/>
                <w:color w:val="000000" w:themeColor="text1"/>
                <w:sz w:val="16"/>
                <w:szCs w:val="16"/>
              </w:rPr>
              <w:t>,</w:t>
            </w:r>
            <w:r w:rsidRPr="004B34AF">
              <w:rPr>
                <w:rFonts w:eastAsia="SimSun"/>
                <w:bCs/>
                <w:color w:val="000000" w:themeColor="text1"/>
                <w:sz w:val="16"/>
                <w:szCs w:val="16"/>
              </w:rPr>
              <w:t xml:space="preserve"> 23</w:t>
            </w:r>
            <w:r w:rsidR="002D7A2B" w:rsidRPr="004B34AF">
              <w:rPr>
                <w:rFonts w:eastAsia="SimSun"/>
                <w:bCs/>
                <w:color w:val="000000" w:themeColor="text1"/>
                <w:sz w:val="16"/>
                <w:szCs w:val="16"/>
              </w:rPr>
              <w:t>%</w:t>
            </w:r>
            <w:r w:rsidR="00725712" w:rsidRPr="004B34AF">
              <w:rPr>
                <w:rFonts w:eastAsia="SimSun"/>
                <w:bCs/>
                <w:color w:val="000000" w:themeColor="text1"/>
                <w:sz w:val="16"/>
                <w:szCs w:val="16"/>
              </w:rPr>
              <w:t>; f</w:t>
            </w:r>
            <w:r w:rsidRPr="004B34AF">
              <w:rPr>
                <w:rFonts w:eastAsia="SimSun"/>
                <w:bCs/>
                <w:color w:val="000000" w:themeColor="text1"/>
                <w:sz w:val="16"/>
                <w:szCs w:val="16"/>
              </w:rPr>
              <w:t>emale</w:t>
            </w:r>
            <w:r w:rsidR="00725712" w:rsidRPr="004B34AF">
              <w:rPr>
                <w:rFonts w:eastAsia="SimSun"/>
                <w:bCs/>
                <w:color w:val="000000" w:themeColor="text1"/>
                <w:sz w:val="16"/>
                <w:szCs w:val="16"/>
              </w:rPr>
              <w:t>,</w:t>
            </w:r>
            <w:r w:rsidRPr="004B34AF">
              <w:rPr>
                <w:rFonts w:eastAsia="SimSun"/>
                <w:bCs/>
                <w:color w:val="000000" w:themeColor="text1"/>
                <w:sz w:val="16"/>
                <w:szCs w:val="16"/>
              </w:rPr>
              <w:t xml:space="preserve"> 22</w:t>
            </w:r>
            <w:r w:rsidR="002D7A2B" w:rsidRPr="004B34AF">
              <w:rPr>
                <w:rFonts w:eastAsia="SimSun"/>
                <w:bCs/>
                <w:color w:val="000000" w:themeColor="text1"/>
                <w:sz w:val="16"/>
                <w:szCs w:val="16"/>
              </w:rPr>
              <w:t>%</w:t>
            </w:r>
          </w:p>
          <w:p w14:paraId="2894BA05" w14:textId="0AF787AD" w:rsidR="00F82D53" w:rsidRPr="004B34AF" w:rsidRDefault="00F82D53" w:rsidP="0054382A">
            <w:pPr>
              <w:pStyle w:val="ListParagraph"/>
              <w:ind w:left="141"/>
              <w:contextualSpacing/>
              <w:rPr>
                <w:rFonts w:eastAsia="SimSun"/>
                <w:bCs/>
                <w:color w:val="000000" w:themeColor="text1"/>
                <w:sz w:val="16"/>
                <w:szCs w:val="16"/>
              </w:rPr>
            </w:pPr>
            <w:r w:rsidRPr="004B34AF">
              <w:rPr>
                <w:rFonts w:eastAsia="SimSun"/>
                <w:b/>
                <w:color w:val="000000" w:themeColor="text1"/>
                <w:sz w:val="16"/>
                <w:szCs w:val="16"/>
              </w:rPr>
              <w:t>Target (2027)</w:t>
            </w:r>
            <w:r w:rsidR="003E188D" w:rsidRPr="004B34AF">
              <w:rPr>
                <w:rFonts w:eastAsia="SimSun"/>
                <w:b/>
                <w:color w:val="000000" w:themeColor="text1"/>
                <w:sz w:val="16"/>
                <w:szCs w:val="16"/>
              </w:rPr>
              <w:t>:</w:t>
            </w:r>
            <w:r w:rsidRPr="004B34AF">
              <w:rPr>
                <w:rFonts w:eastAsia="SimSun"/>
                <w:b/>
                <w:color w:val="000000" w:themeColor="text1"/>
                <w:sz w:val="16"/>
                <w:szCs w:val="16"/>
              </w:rPr>
              <w:t xml:space="preserve"> </w:t>
            </w:r>
            <w:r w:rsidRPr="004B34AF">
              <w:rPr>
                <w:rFonts w:eastAsia="SimSun"/>
                <w:bCs/>
                <w:color w:val="000000" w:themeColor="text1"/>
                <w:sz w:val="16"/>
                <w:szCs w:val="16"/>
              </w:rPr>
              <w:t>Total</w:t>
            </w:r>
            <w:r w:rsidR="00AB5C19" w:rsidRPr="004B34AF">
              <w:rPr>
                <w:rFonts w:eastAsia="SimSun"/>
                <w:bCs/>
                <w:color w:val="000000" w:themeColor="text1"/>
                <w:sz w:val="16"/>
                <w:szCs w:val="16"/>
              </w:rPr>
              <w:t>,</w:t>
            </w:r>
            <w:r w:rsidRPr="004B34AF">
              <w:rPr>
                <w:rFonts w:eastAsia="SimSun"/>
                <w:bCs/>
                <w:color w:val="000000" w:themeColor="text1"/>
                <w:sz w:val="16"/>
                <w:szCs w:val="16"/>
              </w:rPr>
              <w:t xml:space="preserve"> 21.4</w:t>
            </w:r>
            <w:r w:rsidR="002D7A2B" w:rsidRPr="004B34AF">
              <w:rPr>
                <w:rFonts w:eastAsia="SimSun"/>
                <w:bCs/>
                <w:color w:val="000000" w:themeColor="text1"/>
                <w:sz w:val="16"/>
                <w:szCs w:val="16"/>
              </w:rPr>
              <w:t>%</w:t>
            </w:r>
            <w:r w:rsidRPr="004B34AF">
              <w:rPr>
                <w:rFonts w:eastAsia="SimSun"/>
                <w:bCs/>
                <w:color w:val="000000" w:themeColor="text1"/>
                <w:sz w:val="16"/>
                <w:szCs w:val="16"/>
              </w:rPr>
              <w:t xml:space="preserve"> </w:t>
            </w:r>
          </w:p>
          <w:p w14:paraId="6CB12968" w14:textId="3DA86013" w:rsidR="00F82D53" w:rsidRPr="004B34AF" w:rsidRDefault="00F82D53" w:rsidP="0054382A">
            <w:pPr>
              <w:pStyle w:val="ListParagraph"/>
              <w:ind w:left="141"/>
              <w:contextualSpacing/>
              <w:rPr>
                <w:rFonts w:eastAsia="SimSun"/>
                <w:bCs/>
                <w:color w:val="000000" w:themeColor="text1"/>
                <w:sz w:val="16"/>
                <w:szCs w:val="16"/>
              </w:rPr>
            </w:pPr>
            <w:r w:rsidRPr="004B34AF">
              <w:rPr>
                <w:rFonts w:eastAsia="SimSun"/>
                <w:bCs/>
                <w:color w:val="000000" w:themeColor="text1"/>
                <w:sz w:val="16"/>
                <w:szCs w:val="16"/>
              </w:rPr>
              <w:t>Male</w:t>
            </w:r>
            <w:r w:rsidR="00AB5C19" w:rsidRPr="004B34AF">
              <w:rPr>
                <w:rFonts w:eastAsia="SimSun"/>
                <w:bCs/>
                <w:color w:val="000000" w:themeColor="text1"/>
                <w:sz w:val="16"/>
                <w:szCs w:val="16"/>
              </w:rPr>
              <w:t>,</w:t>
            </w:r>
            <w:r w:rsidRPr="004B34AF">
              <w:rPr>
                <w:rFonts w:eastAsia="SimSun"/>
                <w:bCs/>
                <w:color w:val="000000" w:themeColor="text1"/>
                <w:sz w:val="16"/>
                <w:szCs w:val="16"/>
              </w:rPr>
              <w:t xml:space="preserve"> 21.8</w:t>
            </w:r>
            <w:r w:rsidR="002D7A2B" w:rsidRPr="004B34AF">
              <w:rPr>
                <w:rFonts w:eastAsia="SimSun"/>
                <w:bCs/>
                <w:color w:val="000000" w:themeColor="text1"/>
                <w:sz w:val="16"/>
                <w:szCs w:val="16"/>
              </w:rPr>
              <w:t>%</w:t>
            </w:r>
            <w:r w:rsidR="00AB5C19" w:rsidRPr="004B34AF">
              <w:rPr>
                <w:rFonts w:eastAsia="SimSun"/>
                <w:bCs/>
                <w:color w:val="000000" w:themeColor="text1"/>
                <w:sz w:val="16"/>
                <w:szCs w:val="16"/>
              </w:rPr>
              <w:t>;</w:t>
            </w:r>
            <w:r w:rsidRPr="004B34AF">
              <w:rPr>
                <w:rFonts w:eastAsia="SimSun"/>
                <w:bCs/>
                <w:color w:val="000000" w:themeColor="text1"/>
                <w:sz w:val="16"/>
                <w:szCs w:val="16"/>
              </w:rPr>
              <w:t xml:space="preserve"> </w:t>
            </w:r>
            <w:r w:rsidR="00AB5C19" w:rsidRPr="004B34AF">
              <w:rPr>
                <w:rFonts w:eastAsia="SimSun"/>
                <w:bCs/>
                <w:color w:val="000000" w:themeColor="text1"/>
                <w:sz w:val="16"/>
                <w:szCs w:val="16"/>
              </w:rPr>
              <w:t>f</w:t>
            </w:r>
            <w:r w:rsidRPr="004B34AF">
              <w:rPr>
                <w:rFonts w:eastAsia="SimSun"/>
                <w:bCs/>
                <w:color w:val="000000" w:themeColor="text1"/>
                <w:sz w:val="16"/>
                <w:szCs w:val="16"/>
              </w:rPr>
              <w:t>emale</w:t>
            </w:r>
            <w:r w:rsidR="00AB5C19" w:rsidRPr="004B34AF">
              <w:rPr>
                <w:rFonts w:eastAsia="SimSun"/>
                <w:bCs/>
                <w:color w:val="000000" w:themeColor="text1"/>
                <w:sz w:val="16"/>
                <w:szCs w:val="16"/>
              </w:rPr>
              <w:t>,</w:t>
            </w:r>
            <w:r w:rsidRPr="004B34AF">
              <w:rPr>
                <w:rFonts w:eastAsia="SimSun"/>
                <w:bCs/>
                <w:color w:val="000000" w:themeColor="text1"/>
                <w:sz w:val="16"/>
                <w:szCs w:val="16"/>
              </w:rPr>
              <w:t xml:space="preserve"> 21</w:t>
            </w:r>
            <w:r w:rsidR="002D7A2B" w:rsidRPr="004B34AF">
              <w:rPr>
                <w:rFonts w:eastAsia="SimSun"/>
                <w:bCs/>
                <w:color w:val="000000" w:themeColor="text1"/>
                <w:sz w:val="16"/>
                <w:szCs w:val="16"/>
              </w:rPr>
              <w:t>%</w:t>
            </w:r>
          </w:p>
          <w:p w14:paraId="638E6195" w14:textId="77777777" w:rsidR="00F82D53" w:rsidRPr="004B34AF" w:rsidRDefault="00F82D53" w:rsidP="00BE3C99">
            <w:pPr>
              <w:contextualSpacing/>
              <w:rPr>
                <w:rFonts w:eastAsia="SimSun"/>
                <w:bCs/>
                <w:color w:val="000000" w:themeColor="text1"/>
                <w:sz w:val="16"/>
                <w:szCs w:val="16"/>
              </w:rPr>
            </w:pPr>
          </w:p>
          <w:p w14:paraId="6842730F" w14:textId="203F4D22" w:rsidR="00F82D53" w:rsidRPr="004B34AF" w:rsidRDefault="00F82D53" w:rsidP="00077EBF">
            <w:pPr>
              <w:pStyle w:val="ListParagraph"/>
              <w:numPr>
                <w:ilvl w:val="0"/>
                <w:numId w:val="20"/>
              </w:numPr>
              <w:ind w:left="141" w:hanging="141"/>
              <w:contextualSpacing/>
              <w:rPr>
                <w:rFonts w:eastAsia="SimSun"/>
                <w:bCs/>
                <w:color w:val="000000" w:themeColor="text1"/>
                <w:sz w:val="16"/>
                <w:szCs w:val="16"/>
              </w:rPr>
            </w:pPr>
            <w:r w:rsidRPr="004B34AF">
              <w:rPr>
                <w:rFonts w:eastAsia="SimSun"/>
                <w:bCs/>
                <w:color w:val="000000" w:themeColor="text1"/>
                <w:sz w:val="16"/>
                <w:szCs w:val="16"/>
              </w:rPr>
              <w:t xml:space="preserve">Proportion of people with severe material deprivation, disaggregated by sex </w:t>
            </w:r>
          </w:p>
          <w:p w14:paraId="5844EFCC" w14:textId="7F7A8E8B" w:rsidR="00F82D53" w:rsidRPr="004B34AF" w:rsidRDefault="00F82D53" w:rsidP="00075F06">
            <w:pPr>
              <w:pStyle w:val="ListParagraph"/>
              <w:ind w:left="141"/>
              <w:contextualSpacing/>
              <w:rPr>
                <w:rFonts w:eastAsia="SimSun"/>
                <w:bCs/>
                <w:color w:val="000000" w:themeColor="text1"/>
                <w:sz w:val="16"/>
                <w:szCs w:val="16"/>
              </w:rPr>
            </w:pPr>
            <w:r w:rsidRPr="004B34AF">
              <w:rPr>
                <w:rFonts w:eastAsia="SimSun"/>
                <w:b/>
                <w:color w:val="000000" w:themeColor="text1"/>
                <w:sz w:val="16"/>
                <w:szCs w:val="16"/>
              </w:rPr>
              <w:t xml:space="preserve">Baseline </w:t>
            </w:r>
            <w:r w:rsidR="00F0021F" w:rsidRPr="004B34AF">
              <w:rPr>
                <w:rFonts w:eastAsia="SimSun"/>
                <w:b/>
                <w:color w:val="000000" w:themeColor="text1"/>
                <w:sz w:val="16"/>
                <w:szCs w:val="16"/>
              </w:rPr>
              <w:t>(</w:t>
            </w:r>
            <w:r w:rsidRPr="004B34AF">
              <w:rPr>
                <w:rFonts w:eastAsia="SimSun"/>
                <w:b/>
                <w:color w:val="000000" w:themeColor="text1"/>
                <w:sz w:val="16"/>
                <w:szCs w:val="16"/>
              </w:rPr>
              <w:t>2020</w:t>
            </w:r>
            <w:r w:rsidR="00466381" w:rsidRPr="004B34AF">
              <w:rPr>
                <w:rFonts w:eastAsia="SimSun"/>
                <w:b/>
                <w:color w:val="000000" w:themeColor="text1"/>
                <w:sz w:val="16"/>
                <w:szCs w:val="16"/>
              </w:rPr>
              <w:t>)</w:t>
            </w:r>
            <w:r w:rsidRPr="004B34AF">
              <w:rPr>
                <w:rFonts w:eastAsia="SimSun"/>
                <w:bCs/>
                <w:color w:val="000000" w:themeColor="text1"/>
                <w:sz w:val="16"/>
                <w:szCs w:val="16"/>
              </w:rPr>
              <w:t>: Total: 13.5</w:t>
            </w:r>
            <w:r w:rsidR="002D7A2B" w:rsidRPr="004B34AF">
              <w:rPr>
                <w:rFonts w:eastAsia="SimSun"/>
                <w:bCs/>
                <w:color w:val="000000" w:themeColor="text1"/>
                <w:sz w:val="16"/>
                <w:szCs w:val="16"/>
              </w:rPr>
              <w:t>%</w:t>
            </w:r>
          </w:p>
          <w:p w14:paraId="67B04DC8" w14:textId="01C8DDDA" w:rsidR="00F82D53" w:rsidRPr="004B34AF" w:rsidRDefault="00F82D53" w:rsidP="00075F06">
            <w:pPr>
              <w:pStyle w:val="ListParagraph"/>
              <w:ind w:left="141"/>
              <w:contextualSpacing/>
              <w:rPr>
                <w:rFonts w:eastAsia="SimSun"/>
                <w:bCs/>
                <w:color w:val="000000" w:themeColor="text1"/>
                <w:sz w:val="16"/>
                <w:szCs w:val="16"/>
              </w:rPr>
            </w:pPr>
            <w:r w:rsidRPr="004B34AF">
              <w:rPr>
                <w:rFonts w:eastAsia="SimSun"/>
                <w:bCs/>
                <w:color w:val="000000" w:themeColor="text1"/>
                <w:sz w:val="16"/>
                <w:szCs w:val="16"/>
              </w:rPr>
              <w:t>Male: 13.1</w:t>
            </w:r>
            <w:r w:rsidR="002D7A2B" w:rsidRPr="004B34AF">
              <w:rPr>
                <w:rFonts w:eastAsia="SimSun"/>
                <w:bCs/>
                <w:color w:val="000000" w:themeColor="text1"/>
                <w:sz w:val="16"/>
                <w:szCs w:val="16"/>
              </w:rPr>
              <w:t>%</w:t>
            </w:r>
            <w:r w:rsidRPr="004B34AF">
              <w:rPr>
                <w:rFonts w:eastAsia="SimSun"/>
                <w:bCs/>
                <w:color w:val="000000" w:themeColor="text1"/>
                <w:sz w:val="16"/>
                <w:szCs w:val="16"/>
              </w:rPr>
              <w:t xml:space="preserve"> </w:t>
            </w:r>
          </w:p>
          <w:p w14:paraId="71A4E857" w14:textId="7A8B929B" w:rsidR="00F82D53" w:rsidRPr="004B34AF" w:rsidRDefault="00F82D53" w:rsidP="00075F06">
            <w:pPr>
              <w:pStyle w:val="ListParagraph"/>
              <w:ind w:left="141"/>
              <w:contextualSpacing/>
              <w:rPr>
                <w:rFonts w:eastAsia="SimSun"/>
                <w:bCs/>
                <w:color w:val="000000" w:themeColor="text1"/>
                <w:sz w:val="16"/>
                <w:szCs w:val="16"/>
              </w:rPr>
            </w:pPr>
            <w:r w:rsidRPr="004B34AF">
              <w:rPr>
                <w:rFonts w:eastAsia="SimSun"/>
                <w:bCs/>
                <w:color w:val="000000" w:themeColor="text1"/>
                <w:sz w:val="16"/>
                <w:szCs w:val="16"/>
              </w:rPr>
              <w:t>Female: 14.0</w:t>
            </w:r>
            <w:r w:rsidR="002D7A2B" w:rsidRPr="004B34AF">
              <w:rPr>
                <w:rFonts w:eastAsia="SimSun"/>
                <w:bCs/>
                <w:color w:val="000000" w:themeColor="text1"/>
                <w:sz w:val="16"/>
                <w:szCs w:val="16"/>
              </w:rPr>
              <w:t>%</w:t>
            </w:r>
          </w:p>
          <w:p w14:paraId="5E724704" w14:textId="1BBB5BF1" w:rsidR="00F82D53" w:rsidRPr="004B34AF" w:rsidRDefault="00F82D53" w:rsidP="00075F06">
            <w:pPr>
              <w:pStyle w:val="ListParagraph"/>
              <w:ind w:left="141"/>
              <w:contextualSpacing/>
              <w:rPr>
                <w:rFonts w:eastAsia="SimSun"/>
                <w:bCs/>
                <w:color w:val="000000" w:themeColor="text1"/>
                <w:sz w:val="16"/>
                <w:szCs w:val="16"/>
              </w:rPr>
            </w:pPr>
            <w:r w:rsidRPr="004B34AF">
              <w:rPr>
                <w:rFonts w:eastAsia="SimSun"/>
                <w:b/>
                <w:color w:val="000000" w:themeColor="text1"/>
                <w:sz w:val="16"/>
                <w:szCs w:val="16"/>
              </w:rPr>
              <w:t>Target</w:t>
            </w:r>
            <w:r w:rsidR="00466381" w:rsidRPr="004B34AF">
              <w:rPr>
                <w:rFonts w:eastAsia="SimSun"/>
                <w:b/>
                <w:color w:val="000000" w:themeColor="text1"/>
                <w:sz w:val="16"/>
                <w:szCs w:val="16"/>
              </w:rPr>
              <w:t xml:space="preserve"> (</w:t>
            </w:r>
            <w:r w:rsidRPr="004B34AF">
              <w:rPr>
                <w:rFonts w:eastAsia="SimSun"/>
                <w:b/>
                <w:color w:val="000000" w:themeColor="text1"/>
                <w:sz w:val="16"/>
                <w:szCs w:val="16"/>
              </w:rPr>
              <w:t>2027</w:t>
            </w:r>
            <w:r w:rsidR="00466381" w:rsidRPr="004B34AF">
              <w:rPr>
                <w:rFonts w:eastAsia="SimSun"/>
                <w:b/>
                <w:color w:val="000000" w:themeColor="text1"/>
                <w:sz w:val="16"/>
                <w:szCs w:val="16"/>
              </w:rPr>
              <w:t>)</w:t>
            </w:r>
            <w:r w:rsidRPr="004B34AF">
              <w:rPr>
                <w:rFonts w:eastAsia="SimSun"/>
                <w:bCs/>
                <w:color w:val="000000" w:themeColor="text1"/>
                <w:sz w:val="16"/>
                <w:szCs w:val="16"/>
              </w:rPr>
              <w:t>: Total: 12.5</w:t>
            </w:r>
            <w:r w:rsidR="002D7A2B" w:rsidRPr="004B34AF">
              <w:rPr>
                <w:rFonts w:eastAsia="SimSun"/>
                <w:bCs/>
                <w:color w:val="000000" w:themeColor="text1"/>
                <w:sz w:val="16"/>
                <w:szCs w:val="16"/>
              </w:rPr>
              <w:t>%</w:t>
            </w:r>
          </w:p>
          <w:p w14:paraId="611B5691" w14:textId="7A6B5528" w:rsidR="00F82D53" w:rsidRPr="004B34AF" w:rsidRDefault="00F82D53" w:rsidP="00075F06">
            <w:pPr>
              <w:pStyle w:val="ListParagraph"/>
              <w:ind w:left="141"/>
              <w:contextualSpacing/>
              <w:rPr>
                <w:rFonts w:eastAsia="SimSun"/>
                <w:bCs/>
                <w:color w:val="000000" w:themeColor="text1"/>
                <w:sz w:val="16"/>
                <w:szCs w:val="16"/>
              </w:rPr>
            </w:pPr>
            <w:r w:rsidRPr="004B34AF">
              <w:rPr>
                <w:rFonts w:eastAsia="SimSun"/>
                <w:bCs/>
                <w:color w:val="000000" w:themeColor="text1"/>
                <w:sz w:val="16"/>
                <w:szCs w:val="16"/>
              </w:rPr>
              <w:t>Male: 12.1</w:t>
            </w:r>
            <w:r w:rsidR="002D7A2B" w:rsidRPr="004B34AF">
              <w:rPr>
                <w:rFonts w:eastAsia="SimSun"/>
                <w:bCs/>
                <w:color w:val="000000" w:themeColor="text1"/>
                <w:sz w:val="16"/>
                <w:szCs w:val="16"/>
              </w:rPr>
              <w:t>%</w:t>
            </w:r>
            <w:r w:rsidRPr="004B34AF">
              <w:rPr>
                <w:rFonts w:eastAsia="SimSun"/>
                <w:bCs/>
                <w:color w:val="000000" w:themeColor="text1"/>
                <w:sz w:val="16"/>
                <w:szCs w:val="16"/>
              </w:rPr>
              <w:t xml:space="preserve"> </w:t>
            </w:r>
          </w:p>
          <w:p w14:paraId="70D4EB04" w14:textId="25A09E34" w:rsidR="00F82D53" w:rsidRPr="004B34AF" w:rsidRDefault="00F82D53" w:rsidP="00075F06">
            <w:pPr>
              <w:pStyle w:val="ListParagraph"/>
              <w:ind w:left="141"/>
              <w:contextualSpacing/>
              <w:rPr>
                <w:rFonts w:eastAsia="SimSun"/>
                <w:bCs/>
                <w:color w:val="000000" w:themeColor="text1"/>
                <w:sz w:val="16"/>
                <w:szCs w:val="16"/>
              </w:rPr>
            </w:pPr>
            <w:r w:rsidRPr="004B34AF">
              <w:rPr>
                <w:rFonts w:eastAsia="SimSun"/>
                <w:bCs/>
                <w:color w:val="000000" w:themeColor="text1"/>
                <w:sz w:val="16"/>
                <w:szCs w:val="16"/>
              </w:rPr>
              <w:t>Female: 13.0</w:t>
            </w:r>
            <w:r w:rsidR="002D7A2B" w:rsidRPr="004B34AF">
              <w:rPr>
                <w:rFonts w:eastAsia="SimSun"/>
                <w:bCs/>
                <w:color w:val="000000" w:themeColor="text1"/>
                <w:sz w:val="16"/>
                <w:szCs w:val="16"/>
              </w:rPr>
              <w:t>%</w:t>
            </w:r>
          </w:p>
          <w:p w14:paraId="3348D956" w14:textId="77777777" w:rsidR="00F82D53" w:rsidRPr="004B34AF" w:rsidRDefault="00F82D53" w:rsidP="00BE3C99">
            <w:pPr>
              <w:contextualSpacing/>
              <w:rPr>
                <w:rFonts w:eastAsia="SimSun"/>
                <w:bCs/>
                <w:color w:val="000000" w:themeColor="text1"/>
                <w:sz w:val="16"/>
                <w:szCs w:val="16"/>
              </w:rPr>
            </w:pPr>
          </w:p>
          <w:p w14:paraId="0CC68CD7" w14:textId="18C38418" w:rsidR="00F82D53" w:rsidRPr="004B34AF" w:rsidRDefault="00F82D53" w:rsidP="0054382A">
            <w:pPr>
              <w:pStyle w:val="ListParagraph"/>
              <w:numPr>
                <w:ilvl w:val="0"/>
                <w:numId w:val="20"/>
              </w:numPr>
              <w:ind w:left="141" w:hanging="141"/>
              <w:contextualSpacing/>
              <w:rPr>
                <w:rFonts w:eastAsia="SimSun"/>
                <w:bCs/>
                <w:color w:val="000000" w:themeColor="text1"/>
                <w:sz w:val="16"/>
                <w:szCs w:val="16"/>
              </w:rPr>
            </w:pPr>
            <w:r w:rsidRPr="004B34AF">
              <w:rPr>
                <w:rFonts w:eastAsia="SimSun"/>
                <w:bCs/>
                <w:color w:val="000000" w:themeColor="text1"/>
                <w:sz w:val="16"/>
                <w:szCs w:val="16"/>
              </w:rPr>
              <w:t>Activity rate as proportion of population (</w:t>
            </w:r>
            <w:r w:rsidR="000F79FC" w:rsidRPr="004B34AF">
              <w:rPr>
                <w:rFonts w:eastAsia="SimSun"/>
                <w:bCs/>
                <w:color w:val="000000" w:themeColor="text1"/>
                <w:sz w:val="16"/>
                <w:szCs w:val="16"/>
              </w:rPr>
              <w:t xml:space="preserve">aged </w:t>
            </w:r>
            <w:r w:rsidRPr="004B34AF">
              <w:rPr>
                <w:rFonts w:eastAsia="SimSun"/>
                <w:bCs/>
                <w:color w:val="000000" w:themeColor="text1"/>
                <w:sz w:val="16"/>
                <w:szCs w:val="16"/>
              </w:rPr>
              <w:t xml:space="preserve">15+), disaggregated by sex </w:t>
            </w:r>
          </w:p>
          <w:p w14:paraId="3815CA5B" w14:textId="70DB4E49" w:rsidR="00F82D53" w:rsidRPr="004B34AF" w:rsidRDefault="00F82D53" w:rsidP="0054382A">
            <w:pPr>
              <w:pStyle w:val="ListParagraph"/>
              <w:ind w:left="141"/>
              <w:contextualSpacing/>
              <w:rPr>
                <w:rFonts w:eastAsia="SimSun"/>
                <w:bCs/>
                <w:color w:val="000000" w:themeColor="text1"/>
                <w:sz w:val="16"/>
                <w:szCs w:val="16"/>
              </w:rPr>
            </w:pPr>
            <w:r w:rsidRPr="004B34AF">
              <w:rPr>
                <w:rFonts w:eastAsia="SimSun"/>
                <w:b/>
                <w:color w:val="000000" w:themeColor="text1"/>
                <w:sz w:val="16"/>
                <w:szCs w:val="16"/>
              </w:rPr>
              <w:t xml:space="preserve">Baseline </w:t>
            </w:r>
            <w:r w:rsidR="00466381" w:rsidRPr="004B34AF">
              <w:rPr>
                <w:rFonts w:eastAsia="SimSun"/>
                <w:b/>
                <w:color w:val="000000" w:themeColor="text1"/>
                <w:sz w:val="16"/>
                <w:szCs w:val="16"/>
              </w:rPr>
              <w:t>(</w:t>
            </w:r>
            <w:r w:rsidRPr="004B34AF">
              <w:rPr>
                <w:rFonts w:eastAsia="SimSun"/>
                <w:b/>
                <w:color w:val="000000" w:themeColor="text1"/>
                <w:sz w:val="16"/>
                <w:szCs w:val="16"/>
              </w:rPr>
              <w:t>2020</w:t>
            </w:r>
            <w:r w:rsidR="00466381" w:rsidRPr="004B34AF">
              <w:rPr>
                <w:rFonts w:eastAsia="SimSun"/>
                <w:b/>
                <w:color w:val="000000" w:themeColor="text1"/>
                <w:sz w:val="16"/>
                <w:szCs w:val="16"/>
              </w:rPr>
              <w:t>)</w:t>
            </w:r>
            <w:r w:rsidRPr="004B34AF">
              <w:rPr>
                <w:rFonts w:eastAsia="SimSun"/>
                <w:bCs/>
                <w:color w:val="000000" w:themeColor="text1"/>
                <w:sz w:val="16"/>
                <w:szCs w:val="16"/>
              </w:rPr>
              <w:t>: Total: 53.3%</w:t>
            </w:r>
          </w:p>
          <w:p w14:paraId="3700CC04" w14:textId="77777777" w:rsidR="00F82D53" w:rsidRPr="004B34AF" w:rsidRDefault="00F82D53" w:rsidP="0054382A">
            <w:pPr>
              <w:pStyle w:val="ListParagraph"/>
              <w:ind w:left="141"/>
              <w:contextualSpacing/>
              <w:rPr>
                <w:rFonts w:eastAsia="SimSun"/>
                <w:bCs/>
                <w:color w:val="000000" w:themeColor="text1"/>
                <w:sz w:val="16"/>
                <w:szCs w:val="16"/>
              </w:rPr>
            </w:pPr>
            <w:r w:rsidRPr="004B34AF">
              <w:rPr>
                <w:rFonts w:eastAsia="SimSun"/>
                <w:bCs/>
                <w:color w:val="000000" w:themeColor="text1"/>
                <w:sz w:val="16"/>
                <w:szCs w:val="16"/>
              </w:rPr>
              <w:t>Male: 60.6%</w:t>
            </w:r>
          </w:p>
          <w:p w14:paraId="349F8FD1" w14:textId="77777777" w:rsidR="00F82D53" w:rsidRPr="004B34AF" w:rsidRDefault="00F82D53" w:rsidP="0054382A">
            <w:pPr>
              <w:pStyle w:val="ListParagraph"/>
              <w:ind w:left="141"/>
              <w:contextualSpacing/>
              <w:rPr>
                <w:rFonts w:eastAsia="SimSun"/>
                <w:bCs/>
                <w:color w:val="000000" w:themeColor="text1"/>
                <w:sz w:val="16"/>
                <w:szCs w:val="16"/>
              </w:rPr>
            </w:pPr>
            <w:r w:rsidRPr="004B34AF">
              <w:rPr>
                <w:rFonts w:eastAsia="SimSun"/>
                <w:bCs/>
                <w:color w:val="000000" w:themeColor="text1"/>
                <w:sz w:val="16"/>
                <w:szCs w:val="16"/>
              </w:rPr>
              <w:t>Female: 46.4%</w:t>
            </w:r>
          </w:p>
          <w:p w14:paraId="685D2103" w14:textId="350AB282" w:rsidR="00F82D53" w:rsidRPr="004B34AF" w:rsidRDefault="00F82D53" w:rsidP="0054382A">
            <w:pPr>
              <w:pStyle w:val="ListParagraph"/>
              <w:ind w:left="141"/>
              <w:contextualSpacing/>
              <w:rPr>
                <w:rFonts w:eastAsia="SimSun"/>
                <w:b/>
                <w:color w:val="000000" w:themeColor="text1"/>
                <w:sz w:val="16"/>
                <w:szCs w:val="16"/>
              </w:rPr>
            </w:pPr>
            <w:r w:rsidRPr="004B34AF">
              <w:rPr>
                <w:rFonts w:eastAsia="SimSun"/>
                <w:b/>
                <w:color w:val="000000" w:themeColor="text1"/>
                <w:sz w:val="16"/>
                <w:szCs w:val="16"/>
              </w:rPr>
              <w:t xml:space="preserve">Target </w:t>
            </w:r>
            <w:r w:rsidR="00466381" w:rsidRPr="004B34AF">
              <w:rPr>
                <w:rFonts w:eastAsia="SimSun"/>
                <w:b/>
                <w:color w:val="000000" w:themeColor="text1"/>
                <w:sz w:val="16"/>
                <w:szCs w:val="16"/>
              </w:rPr>
              <w:t>(</w:t>
            </w:r>
            <w:r w:rsidRPr="004B34AF">
              <w:rPr>
                <w:rFonts w:eastAsia="SimSun"/>
                <w:b/>
                <w:color w:val="000000" w:themeColor="text1"/>
                <w:sz w:val="16"/>
                <w:szCs w:val="16"/>
              </w:rPr>
              <w:t>2027</w:t>
            </w:r>
            <w:r w:rsidR="00466381" w:rsidRPr="004B34AF">
              <w:rPr>
                <w:rFonts w:eastAsia="SimSun"/>
                <w:b/>
                <w:color w:val="000000" w:themeColor="text1"/>
                <w:sz w:val="16"/>
                <w:szCs w:val="16"/>
              </w:rPr>
              <w:t>)</w:t>
            </w:r>
            <w:r w:rsidRPr="004B34AF">
              <w:rPr>
                <w:rFonts w:eastAsia="SimSun"/>
                <w:b/>
                <w:color w:val="000000" w:themeColor="text1"/>
                <w:sz w:val="16"/>
                <w:szCs w:val="16"/>
              </w:rPr>
              <w:t>:</w:t>
            </w:r>
          </w:p>
          <w:p w14:paraId="57C852FE" w14:textId="77777777" w:rsidR="00F82D53" w:rsidRPr="004B34AF" w:rsidRDefault="00F82D53" w:rsidP="0054382A">
            <w:pPr>
              <w:pStyle w:val="ListParagraph"/>
              <w:ind w:left="141"/>
              <w:contextualSpacing/>
              <w:rPr>
                <w:rFonts w:eastAsia="SimSun"/>
                <w:bCs/>
                <w:color w:val="000000" w:themeColor="text1"/>
                <w:sz w:val="16"/>
                <w:szCs w:val="16"/>
              </w:rPr>
            </w:pPr>
            <w:r w:rsidRPr="004B34AF">
              <w:rPr>
                <w:rFonts w:eastAsia="SimSun"/>
                <w:bCs/>
                <w:color w:val="000000" w:themeColor="text1"/>
                <w:sz w:val="16"/>
                <w:szCs w:val="16"/>
              </w:rPr>
              <w:t>Total: &gt; 63%</w:t>
            </w:r>
          </w:p>
          <w:p w14:paraId="3B24D17C" w14:textId="77777777" w:rsidR="00F82D53" w:rsidRPr="004B34AF" w:rsidRDefault="00F82D53" w:rsidP="0054382A">
            <w:pPr>
              <w:pStyle w:val="ListParagraph"/>
              <w:ind w:left="141"/>
              <w:contextualSpacing/>
              <w:rPr>
                <w:rFonts w:eastAsia="SimSun"/>
                <w:bCs/>
                <w:color w:val="000000" w:themeColor="text1"/>
                <w:sz w:val="16"/>
                <w:szCs w:val="16"/>
              </w:rPr>
            </w:pPr>
            <w:r w:rsidRPr="004B34AF">
              <w:rPr>
                <w:rFonts w:eastAsia="SimSun"/>
                <w:bCs/>
                <w:color w:val="000000" w:themeColor="text1"/>
                <w:sz w:val="16"/>
                <w:szCs w:val="16"/>
              </w:rPr>
              <w:t>Male: &gt; 70%</w:t>
            </w:r>
          </w:p>
          <w:p w14:paraId="0E855B84" w14:textId="77777777" w:rsidR="00F82D53" w:rsidRPr="004B34AF" w:rsidRDefault="00F82D53" w:rsidP="0054382A">
            <w:pPr>
              <w:pStyle w:val="ListParagraph"/>
              <w:ind w:left="141"/>
              <w:contextualSpacing/>
              <w:rPr>
                <w:rFonts w:eastAsia="SimSun"/>
                <w:bCs/>
                <w:color w:val="000000" w:themeColor="text1"/>
                <w:sz w:val="16"/>
                <w:szCs w:val="16"/>
              </w:rPr>
            </w:pPr>
            <w:r w:rsidRPr="004B34AF">
              <w:rPr>
                <w:rFonts w:eastAsia="SimSun"/>
                <w:bCs/>
                <w:color w:val="000000" w:themeColor="text1"/>
                <w:sz w:val="16"/>
                <w:szCs w:val="16"/>
              </w:rPr>
              <w:t xml:space="preserve">Female: &gt; 56% </w:t>
            </w:r>
          </w:p>
          <w:p w14:paraId="2D1485C9" w14:textId="77777777" w:rsidR="00F82D53" w:rsidRPr="004B34AF" w:rsidRDefault="00F82D53" w:rsidP="00244FE5">
            <w:pPr>
              <w:contextualSpacing/>
              <w:rPr>
                <w:rFonts w:eastAsia="SimSun"/>
                <w:bCs/>
                <w:color w:val="000000" w:themeColor="text1"/>
                <w:sz w:val="16"/>
                <w:szCs w:val="16"/>
              </w:rPr>
            </w:pPr>
          </w:p>
        </w:tc>
        <w:tc>
          <w:tcPr>
            <w:tcW w:w="1985" w:type="dxa"/>
            <w:shd w:val="clear" w:color="auto" w:fill="auto"/>
          </w:tcPr>
          <w:p w14:paraId="1E2CCE06" w14:textId="3192B2CC" w:rsidR="00F82D53" w:rsidRPr="004B34AF" w:rsidRDefault="00F82D53" w:rsidP="00771B41">
            <w:pPr>
              <w:pStyle w:val="ListParagraph"/>
              <w:numPr>
                <w:ilvl w:val="0"/>
                <w:numId w:val="22"/>
              </w:numPr>
              <w:ind w:left="200" w:hanging="164"/>
              <w:contextualSpacing/>
              <w:rPr>
                <w:color w:val="000000" w:themeColor="text1"/>
                <w:sz w:val="16"/>
                <w:szCs w:val="16"/>
              </w:rPr>
            </w:pPr>
            <w:r w:rsidRPr="004B34AF">
              <w:rPr>
                <w:color w:val="000000" w:themeColor="text1"/>
                <w:sz w:val="16"/>
                <w:szCs w:val="16"/>
              </w:rPr>
              <w:t xml:space="preserve">MONSTAT </w:t>
            </w:r>
          </w:p>
          <w:p w14:paraId="63E20889" w14:textId="2111E1BD" w:rsidR="00771B41" w:rsidRPr="004B34AF" w:rsidRDefault="00771B41" w:rsidP="00771B41">
            <w:pPr>
              <w:ind w:left="200" w:hanging="164"/>
              <w:contextualSpacing/>
              <w:rPr>
                <w:color w:val="000000" w:themeColor="text1"/>
                <w:sz w:val="16"/>
                <w:szCs w:val="16"/>
              </w:rPr>
            </w:pPr>
          </w:p>
          <w:p w14:paraId="460DCB3A" w14:textId="1A3A596C" w:rsidR="00771B41" w:rsidRPr="004B34AF" w:rsidRDefault="00771B41" w:rsidP="00771B41">
            <w:pPr>
              <w:ind w:left="200" w:hanging="164"/>
              <w:contextualSpacing/>
              <w:rPr>
                <w:color w:val="000000" w:themeColor="text1"/>
                <w:sz w:val="16"/>
                <w:szCs w:val="16"/>
              </w:rPr>
            </w:pPr>
          </w:p>
          <w:p w14:paraId="4B85468C" w14:textId="52F0392F" w:rsidR="00771B41" w:rsidRPr="004B34AF" w:rsidRDefault="00771B41" w:rsidP="00771B41">
            <w:pPr>
              <w:ind w:left="200" w:hanging="164"/>
              <w:contextualSpacing/>
              <w:rPr>
                <w:color w:val="000000" w:themeColor="text1"/>
                <w:sz w:val="16"/>
                <w:szCs w:val="16"/>
              </w:rPr>
            </w:pPr>
          </w:p>
          <w:p w14:paraId="64CE8F1F" w14:textId="63558A4D" w:rsidR="00771B41" w:rsidRPr="004B34AF" w:rsidRDefault="00771B41" w:rsidP="00771B41">
            <w:pPr>
              <w:ind w:left="200" w:hanging="164"/>
              <w:contextualSpacing/>
              <w:rPr>
                <w:color w:val="000000" w:themeColor="text1"/>
                <w:sz w:val="16"/>
                <w:szCs w:val="16"/>
              </w:rPr>
            </w:pPr>
          </w:p>
          <w:p w14:paraId="63A79758" w14:textId="750414AE" w:rsidR="00771B41" w:rsidRPr="004B34AF" w:rsidRDefault="00771B41" w:rsidP="00771B41">
            <w:pPr>
              <w:ind w:left="200" w:hanging="164"/>
              <w:contextualSpacing/>
              <w:rPr>
                <w:color w:val="000000" w:themeColor="text1"/>
                <w:sz w:val="16"/>
                <w:szCs w:val="16"/>
              </w:rPr>
            </w:pPr>
          </w:p>
          <w:p w14:paraId="389A4A14" w14:textId="77777777" w:rsidR="00771B41" w:rsidRPr="004B34AF" w:rsidRDefault="00771B41" w:rsidP="00CB1819">
            <w:pPr>
              <w:ind w:left="200" w:hanging="164"/>
              <w:contextualSpacing/>
              <w:rPr>
                <w:color w:val="000000" w:themeColor="text1"/>
                <w:sz w:val="16"/>
                <w:szCs w:val="16"/>
              </w:rPr>
            </w:pPr>
          </w:p>
          <w:p w14:paraId="37E8732E" w14:textId="12789993" w:rsidR="00F82D53" w:rsidRPr="004B34AF" w:rsidRDefault="00F82D53" w:rsidP="00771B41">
            <w:pPr>
              <w:pStyle w:val="ListParagraph"/>
              <w:numPr>
                <w:ilvl w:val="0"/>
                <w:numId w:val="22"/>
              </w:numPr>
              <w:ind w:left="200" w:hanging="164"/>
              <w:contextualSpacing/>
              <w:rPr>
                <w:color w:val="000000" w:themeColor="text1"/>
                <w:sz w:val="16"/>
                <w:szCs w:val="16"/>
              </w:rPr>
            </w:pPr>
            <w:r w:rsidRPr="004B34AF">
              <w:rPr>
                <w:color w:val="000000" w:themeColor="text1"/>
                <w:sz w:val="16"/>
                <w:szCs w:val="16"/>
              </w:rPr>
              <w:t>MONSTAT</w:t>
            </w:r>
          </w:p>
          <w:p w14:paraId="37A8586C" w14:textId="41E02B19" w:rsidR="00771B41" w:rsidRPr="004B34AF" w:rsidRDefault="00771B41" w:rsidP="00771B41">
            <w:pPr>
              <w:ind w:left="200" w:hanging="164"/>
              <w:contextualSpacing/>
              <w:rPr>
                <w:color w:val="000000" w:themeColor="text1"/>
                <w:sz w:val="16"/>
                <w:szCs w:val="16"/>
              </w:rPr>
            </w:pPr>
          </w:p>
          <w:p w14:paraId="4FE22E08" w14:textId="330CBB7A" w:rsidR="00771B41" w:rsidRPr="004B34AF" w:rsidRDefault="00771B41" w:rsidP="00771B41">
            <w:pPr>
              <w:ind w:left="200" w:hanging="164"/>
              <w:contextualSpacing/>
              <w:rPr>
                <w:color w:val="000000" w:themeColor="text1"/>
                <w:sz w:val="16"/>
                <w:szCs w:val="16"/>
              </w:rPr>
            </w:pPr>
          </w:p>
          <w:p w14:paraId="0A81179B" w14:textId="15735873" w:rsidR="00771B41" w:rsidRPr="004B34AF" w:rsidRDefault="00771B41" w:rsidP="00771B41">
            <w:pPr>
              <w:ind w:left="200" w:hanging="164"/>
              <w:contextualSpacing/>
              <w:rPr>
                <w:color w:val="000000" w:themeColor="text1"/>
                <w:sz w:val="16"/>
                <w:szCs w:val="16"/>
              </w:rPr>
            </w:pPr>
          </w:p>
          <w:p w14:paraId="0514DDAB" w14:textId="0C888AD8" w:rsidR="00771B41" w:rsidRPr="004B34AF" w:rsidRDefault="00771B41" w:rsidP="00771B41">
            <w:pPr>
              <w:ind w:left="200" w:hanging="164"/>
              <w:contextualSpacing/>
              <w:rPr>
                <w:color w:val="000000" w:themeColor="text1"/>
                <w:sz w:val="16"/>
                <w:szCs w:val="16"/>
              </w:rPr>
            </w:pPr>
          </w:p>
          <w:p w14:paraId="6D4329E7" w14:textId="29B3A165" w:rsidR="00771B41" w:rsidRPr="004B34AF" w:rsidRDefault="00771B41" w:rsidP="00771B41">
            <w:pPr>
              <w:ind w:left="200" w:hanging="164"/>
              <w:contextualSpacing/>
              <w:rPr>
                <w:color w:val="000000" w:themeColor="text1"/>
                <w:sz w:val="16"/>
                <w:szCs w:val="16"/>
              </w:rPr>
            </w:pPr>
          </w:p>
          <w:p w14:paraId="6B43606D" w14:textId="12D73368" w:rsidR="00771B41" w:rsidRPr="004B34AF" w:rsidRDefault="00771B41" w:rsidP="00771B41">
            <w:pPr>
              <w:ind w:left="200" w:hanging="164"/>
              <w:contextualSpacing/>
              <w:rPr>
                <w:color w:val="000000" w:themeColor="text1"/>
                <w:sz w:val="16"/>
                <w:szCs w:val="16"/>
              </w:rPr>
            </w:pPr>
          </w:p>
          <w:p w14:paraId="64DBCF5B" w14:textId="4EEBB3DA" w:rsidR="00771B41" w:rsidRPr="004B34AF" w:rsidRDefault="00771B41" w:rsidP="00771B41">
            <w:pPr>
              <w:ind w:left="200" w:hanging="164"/>
              <w:contextualSpacing/>
              <w:rPr>
                <w:color w:val="000000" w:themeColor="text1"/>
                <w:sz w:val="16"/>
                <w:szCs w:val="16"/>
              </w:rPr>
            </w:pPr>
          </w:p>
          <w:p w14:paraId="435F80F2" w14:textId="66E9E94D" w:rsidR="00771B41" w:rsidRPr="004B34AF" w:rsidRDefault="00771B41" w:rsidP="00771B41">
            <w:pPr>
              <w:ind w:left="200" w:hanging="164"/>
              <w:contextualSpacing/>
              <w:rPr>
                <w:color w:val="000000" w:themeColor="text1"/>
                <w:sz w:val="16"/>
                <w:szCs w:val="16"/>
              </w:rPr>
            </w:pPr>
          </w:p>
          <w:p w14:paraId="36A81926" w14:textId="77777777" w:rsidR="00771B41" w:rsidRPr="004B34AF" w:rsidRDefault="00771B41" w:rsidP="00771B41">
            <w:pPr>
              <w:ind w:left="200" w:hanging="164"/>
              <w:contextualSpacing/>
              <w:rPr>
                <w:color w:val="000000" w:themeColor="text1"/>
                <w:sz w:val="16"/>
                <w:szCs w:val="16"/>
              </w:rPr>
            </w:pPr>
          </w:p>
          <w:p w14:paraId="6B976B9F" w14:textId="417FC70A" w:rsidR="00F82D53" w:rsidRPr="004B34AF" w:rsidRDefault="00F82D53" w:rsidP="00771B41">
            <w:pPr>
              <w:pStyle w:val="ListParagraph"/>
              <w:numPr>
                <w:ilvl w:val="0"/>
                <w:numId w:val="22"/>
              </w:numPr>
              <w:ind w:left="200" w:hanging="164"/>
              <w:contextualSpacing/>
              <w:rPr>
                <w:color w:val="000000" w:themeColor="text1"/>
                <w:sz w:val="16"/>
                <w:szCs w:val="16"/>
              </w:rPr>
            </w:pPr>
            <w:r w:rsidRPr="004B34AF">
              <w:rPr>
                <w:color w:val="000000" w:themeColor="text1"/>
                <w:sz w:val="16"/>
                <w:szCs w:val="16"/>
              </w:rPr>
              <w:t>MONSTAT</w:t>
            </w:r>
          </w:p>
          <w:p w14:paraId="2B08B0A5" w14:textId="77777777" w:rsidR="00F82D53" w:rsidRPr="004B34AF" w:rsidRDefault="00F82D53" w:rsidP="00771B41">
            <w:pPr>
              <w:ind w:left="200" w:hanging="164"/>
              <w:rPr>
                <w:color w:val="000000" w:themeColor="text1"/>
                <w:sz w:val="16"/>
                <w:szCs w:val="16"/>
              </w:rPr>
            </w:pPr>
          </w:p>
          <w:p w14:paraId="076D636A" w14:textId="7A2E6C54" w:rsidR="00F82D53" w:rsidRPr="004B34AF" w:rsidRDefault="00F82D53" w:rsidP="007E3D02">
            <w:pPr>
              <w:rPr>
                <w:color w:val="000000" w:themeColor="text1"/>
                <w:sz w:val="16"/>
                <w:szCs w:val="16"/>
              </w:rPr>
            </w:pPr>
            <w:r w:rsidRPr="004B34AF">
              <w:rPr>
                <w:color w:val="000000" w:themeColor="text1"/>
                <w:sz w:val="16"/>
                <w:szCs w:val="16"/>
              </w:rPr>
              <w:t xml:space="preserve">Frequency: </w:t>
            </w:r>
            <w:r w:rsidR="00AB5C19" w:rsidRPr="004B34AF">
              <w:rPr>
                <w:color w:val="000000" w:themeColor="text1"/>
                <w:sz w:val="16"/>
                <w:szCs w:val="16"/>
              </w:rPr>
              <w:t>A</w:t>
            </w:r>
            <w:r w:rsidRPr="004B34AF">
              <w:rPr>
                <w:color w:val="000000" w:themeColor="text1"/>
                <w:sz w:val="16"/>
                <w:szCs w:val="16"/>
              </w:rPr>
              <w:t>nnually</w:t>
            </w:r>
          </w:p>
        </w:tc>
        <w:tc>
          <w:tcPr>
            <w:tcW w:w="4394" w:type="dxa"/>
            <w:shd w:val="clear" w:color="auto" w:fill="auto"/>
            <w:tcMar>
              <w:top w:w="72" w:type="dxa"/>
              <w:left w:w="144" w:type="dxa"/>
              <w:bottom w:w="72" w:type="dxa"/>
              <w:right w:w="144" w:type="dxa"/>
            </w:tcMar>
          </w:tcPr>
          <w:p w14:paraId="0A8B9933" w14:textId="77777777" w:rsidR="00F82D53" w:rsidRPr="00112F45" w:rsidRDefault="00F82D53" w:rsidP="007E3D02">
            <w:pPr>
              <w:tabs>
                <w:tab w:val="left" w:pos="146"/>
              </w:tabs>
              <w:rPr>
                <w:b/>
                <w:bCs/>
                <w:sz w:val="16"/>
                <w:szCs w:val="16"/>
              </w:rPr>
            </w:pPr>
            <w:r w:rsidRPr="00112F45">
              <w:rPr>
                <w:rFonts w:eastAsiaTheme="minorEastAsia"/>
                <w:b/>
                <w:bCs/>
                <w:sz w:val="16"/>
                <w:szCs w:val="16"/>
              </w:rPr>
              <w:t xml:space="preserve">Output 2.1: </w:t>
            </w:r>
            <w:r w:rsidRPr="00112F45">
              <w:rPr>
                <w:b/>
                <w:bCs/>
                <w:sz w:val="16"/>
                <w:szCs w:val="16"/>
              </w:rPr>
              <w:t xml:space="preserve">Social protection institutions and systems enabled to address vulnerabilities, exclusion and gender inequalities </w:t>
            </w:r>
          </w:p>
          <w:p w14:paraId="2880FC24" w14:textId="77777777" w:rsidR="00F82D53" w:rsidRPr="00112F45" w:rsidRDefault="00F82D53" w:rsidP="007E3D02">
            <w:pPr>
              <w:tabs>
                <w:tab w:val="left" w:pos="146"/>
              </w:tabs>
              <w:rPr>
                <w:b/>
                <w:bCs/>
                <w:sz w:val="16"/>
                <w:szCs w:val="16"/>
              </w:rPr>
            </w:pPr>
          </w:p>
          <w:p w14:paraId="7755B6E9" w14:textId="77777777" w:rsidR="00F82D53" w:rsidRPr="00112F45" w:rsidRDefault="00F82D53" w:rsidP="007E3D02">
            <w:pPr>
              <w:rPr>
                <w:b/>
                <w:bCs/>
                <w:sz w:val="16"/>
                <w:szCs w:val="16"/>
              </w:rPr>
            </w:pPr>
            <w:r w:rsidRPr="00112F45">
              <w:rPr>
                <w:b/>
                <w:bCs/>
                <w:sz w:val="16"/>
                <w:szCs w:val="16"/>
              </w:rPr>
              <w:t>Indicators:</w:t>
            </w:r>
          </w:p>
          <w:p w14:paraId="2E56ED93" w14:textId="77777777" w:rsidR="00F82D53" w:rsidRPr="00112F45" w:rsidRDefault="00F82D53" w:rsidP="007E3D02">
            <w:pPr>
              <w:rPr>
                <w:sz w:val="16"/>
                <w:szCs w:val="16"/>
              </w:rPr>
            </w:pPr>
            <w:r w:rsidRPr="00112F45">
              <w:rPr>
                <w:sz w:val="16"/>
                <w:szCs w:val="16"/>
              </w:rPr>
              <w:t xml:space="preserve">2.1.1. New legal framework for reformed disability assessment system adopted and in force  </w:t>
            </w:r>
          </w:p>
          <w:p w14:paraId="57E4EDA7" w14:textId="77777777" w:rsidR="00F82D53" w:rsidRPr="00112F45" w:rsidRDefault="00F82D53" w:rsidP="007E3D02">
            <w:pPr>
              <w:rPr>
                <w:sz w:val="16"/>
                <w:szCs w:val="16"/>
              </w:rPr>
            </w:pPr>
            <w:r w:rsidRPr="00112F45">
              <w:rPr>
                <w:sz w:val="16"/>
                <w:szCs w:val="16"/>
              </w:rPr>
              <w:t>Baseline (2022): No</w:t>
            </w:r>
          </w:p>
          <w:p w14:paraId="047E03ED" w14:textId="77777777" w:rsidR="00F82D53" w:rsidRPr="00112F45" w:rsidRDefault="00F82D53" w:rsidP="007E3D02">
            <w:pPr>
              <w:rPr>
                <w:sz w:val="16"/>
                <w:szCs w:val="16"/>
              </w:rPr>
            </w:pPr>
            <w:r w:rsidRPr="00112F45">
              <w:rPr>
                <w:sz w:val="16"/>
                <w:szCs w:val="16"/>
              </w:rPr>
              <w:t xml:space="preserve">Target (2024): Yes </w:t>
            </w:r>
          </w:p>
          <w:p w14:paraId="71694FEB" w14:textId="77F5C37C" w:rsidR="00F82D53" w:rsidRPr="00112F45" w:rsidRDefault="00F82D53" w:rsidP="007E3D02">
            <w:pPr>
              <w:rPr>
                <w:sz w:val="16"/>
                <w:szCs w:val="16"/>
              </w:rPr>
            </w:pPr>
            <w:r w:rsidRPr="00112F45">
              <w:rPr>
                <w:sz w:val="16"/>
                <w:szCs w:val="16"/>
              </w:rPr>
              <w:t xml:space="preserve">Source/frequency: Official </w:t>
            </w:r>
            <w:r w:rsidR="003E188D">
              <w:rPr>
                <w:sz w:val="16"/>
                <w:szCs w:val="16"/>
              </w:rPr>
              <w:t>g</w:t>
            </w:r>
            <w:r w:rsidRPr="00112F45">
              <w:rPr>
                <w:sz w:val="16"/>
                <w:szCs w:val="16"/>
              </w:rPr>
              <w:t>azette/annually</w:t>
            </w:r>
          </w:p>
          <w:p w14:paraId="702BECBE" w14:textId="77777777" w:rsidR="00F82D53" w:rsidRPr="00112F45" w:rsidRDefault="00F82D53" w:rsidP="007E3D02">
            <w:pPr>
              <w:rPr>
                <w:sz w:val="16"/>
                <w:szCs w:val="16"/>
              </w:rPr>
            </w:pPr>
          </w:p>
          <w:p w14:paraId="60263752" w14:textId="77777777" w:rsidR="00F82D53" w:rsidRPr="00112F45" w:rsidRDefault="00F82D53" w:rsidP="007E3D02">
            <w:pPr>
              <w:rPr>
                <w:sz w:val="16"/>
                <w:szCs w:val="16"/>
              </w:rPr>
            </w:pPr>
            <w:r w:rsidRPr="00112F45">
              <w:rPr>
                <w:sz w:val="16"/>
                <w:szCs w:val="16"/>
              </w:rPr>
              <w:t xml:space="preserve">2.1.2. Number of disability assessment applications processed (male/female) </w:t>
            </w:r>
          </w:p>
          <w:p w14:paraId="35254032" w14:textId="77777777" w:rsidR="00F82D53" w:rsidRPr="00112F45" w:rsidRDefault="00F82D53" w:rsidP="007E3D02">
            <w:pPr>
              <w:rPr>
                <w:sz w:val="16"/>
                <w:szCs w:val="16"/>
              </w:rPr>
            </w:pPr>
            <w:r w:rsidRPr="00112F45">
              <w:rPr>
                <w:sz w:val="16"/>
                <w:szCs w:val="16"/>
              </w:rPr>
              <w:t>Baseline (2022): 0</w:t>
            </w:r>
          </w:p>
          <w:p w14:paraId="711C9E38" w14:textId="38C2FF39" w:rsidR="00F82D53" w:rsidRPr="00112F45" w:rsidRDefault="00F82D53" w:rsidP="007E3D02">
            <w:pPr>
              <w:rPr>
                <w:sz w:val="16"/>
                <w:szCs w:val="16"/>
              </w:rPr>
            </w:pPr>
            <w:r w:rsidRPr="00112F45">
              <w:rPr>
                <w:sz w:val="16"/>
                <w:szCs w:val="16"/>
              </w:rPr>
              <w:t>Target (2027): 10,000 (</w:t>
            </w:r>
            <w:r w:rsidR="00C32997">
              <w:rPr>
                <w:sz w:val="16"/>
                <w:szCs w:val="16"/>
              </w:rPr>
              <w:t>m</w:t>
            </w:r>
            <w:r w:rsidR="003E188D">
              <w:rPr>
                <w:sz w:val="16"/>
                <w:szCs w:val="16"/>
              </w:rPr>
              <w:t xml:space="preserve">ale, </w:t>
            </w:r>
            <w:r w:rsidRPr="00112F45">
              <w:rPr>
                <w:sz w:val="16"/>
                <w:szCs w:val="16"/>
              </w:rPr>
              <w:t>4,500</w:t>
            </w:r>
            <w:r w:rsidR="003E188D">
              <w:rPr>
                <w:sz w:val="16"/>
                <w:szCs w:val="16"/>
              </w:rPr>
              <w:t xml:space="preserve">; female, </w:t>
            </w:r>
            <w:r w:rsidRPr="00112F45">
              <w:rPr>
                <w:sz w:val="16"/>
                <w:szCs w:val="16"/>
              </w:rPr>
              <w:t>5,500)</w:t>
            </w:r>
          </w:p>
          <w:p w14:paraId="71EEC54C" w14:textId="77777777" w:rsidR="00F82D53" w:rsidRPr="00112F45" w:rsidRDefault="00F82D53" w:rsidP="007E3D02">
            <w:pPr>
              <w:rPr>
                <w:sz w:val="16"/>
                <w:szCs w:val="16"/>
              </w:rPr>
            </w:pPr>
            <w:r w:rsidRPr="00112F45">
              <w:rPr>
                <w:sz w:val="16"/>
                <w:szCs w:val="16"/>
              </w:rPr>
              <w:t>Source/frequency: Government/annually</w:t>
            </w:r>
          </w:p>
          <w:p w14:paraId="7013F7A8" w14:textId="77777777" w:rsidR="00F82D53" w:rsidRPr="00112F45" w:rsidRDefault="00F82D53" w:rsidP="007E3D02">
            <w:pPr>
              <w:rPr>
                <w:sz w:val="16"/>
                <w:szCs w:val="16"/>
              </w:rPr>
            </w:pPr>
          </w:p>
          <w:p w14:paraId="4910DC65" w14:textId="1AEF4C8F" w:rsidR="00F82D53" w:rsidRPr="00112F45" w:rsidRDefault="00F82D53" w:rsidP="007E3D02">
            <w:pPr>
              <w:rPr>
                <w:rFonts w:eastAsiaTheme="minorEastAsia"/>
                <w:b/>
                <w:bCs/>
                <w:sz w:val="16"/>
                <w:szCs w:val="16"/>
              </w:rPr>
            </w:pPr>
            <w:r w:rsidRPr="00112F45">
              <w:rPr>
                <w:b/>
                <w:bCs/>
                <w:sz w:val="16"/>
                <w:szCs w:val="16"/>
              </w:rPr>
              <w:t>Output 2.2: Vulnerable populations benefit from well-targeted</w:t>
            </w:r>
            <w:r w:rsidR="00AB5C19">
              <w:rPr>
                <w:b/>
                <w:bCs/>
                <w:sz w:val="16"/>
                <w:szCs w:val="16"/>
              </w:rPr>
              <w:t xml:space="preserve">, </w:t>
            </w:r>
            <w:r w:rsidRPr="00112F45">
              <w:rPr>
                <w:b/>
                <w:bCs/>
                <w:sz w:val="16"/>
                <w:szCs w:val="16"/>
              </w:rPr>
              <w:t>quality social protection and income</w:t>
            </w:r>
            <w:r w:rsidR="00FA3E8B">
              <w:rPr>
                <w:b/>
                <w:bCs/>
                <w:sz w:val="16"/>
                <w:szCs w:val="16"/>
              </w:rPr>
              <w:t>-</w:t>
            </w:r>
            <w:r w:rsidRPr="00112F45">
              <w:rPr>
                <w:b/>
                <w:bCs/>
                <w:sz w:val="16"/>
                <w:szCs w:val="16"/>
              </w:rPr>
              <w:t>generation programmes</w:t>
            </w:r>
          </w:p>
          <w:p w14:paraId="26E3EBFB" w14:textId="77777777" w:rsidR="00F82D53" w:rsidRPr="00112F45" w:rsidRDefault="00F82D53" w:rsidP="007E3D02">
            <w:pPr>
              <w:rPr>
                <w:sz w:val="16"/>
                <w:szCs w:val="16"/>
              </w:rPr>
            </w:pPr>
          </w:p>
          <w:p w14:paraId="10E0B522" w14:textId="77777777" w:rsidR="00F82D53" w:rsidRPr="00112F45" w:rsidRDefault="00F82D53" w:rsidP="007E3D02">
            <w:pPr>
              <w:rPr>
                <w:b/>
                <w:bCs/>
                <w:sz w:val="16"/>
                <w:szCs w:val="16"/>
              </w:rPr>
            </w:pPr>
            <w:r w:rsidRPr="00112F45">
              <w:rPr>
                <w:b/>
                <w:bCs/>
                <w:sz w:val="16"/>
                <w:szCs w:val="16"/>
              </w:rPr>
              <w:t>Indicators:</w:t>
            </w:r>
          </w:p>
          <w:p w14:paraId="17918EA1" w14:textId="0D51AFD0" w:rsidR="00F82D53" w:rsidRDefault="00F82D53" w:rsidP="007E3D02">
            <w:pPr>
              <w:rPr>
                <w:sz w:val="16"/>
                <w:szCs w:val="16"/>
              </w:rPr>
            </w:pPr>
            <w:r w:rsidRPr="00112F45">
              <w:rPr>
                <w:sz w:val="16"/>
                <w:szCs w:val="16"/>
              </w:rPr>
              <w:t>2.2.1. Number of youth (age</w:t>
            </w:r>
            <w:r w:rsidR="00AB5C19">
              <w:rPr>
                <w:sz w:val="16"/>
                <w:szCs w:val="16"/>
              </w:rPr>
              <w:t>s</w:t>
            </w:r>
            <w:r w:rsidRPr="00112F45">
              <w:rPr>
                <w:sz w:val="16"/>
                <w:szCs w:val="16"/>
              </w:rPr>
              <w:t xml:space="preserve"> 15</w:t>
            </w:r>
            <w:r w:rsidR="00AB5C19">
              <w:rPr>
                <w:sz w:val="16"/>
                <w:szCs w:val="16"/>
              </w:rPr>
              <w:t>-</w:t>
            </w:r>
            <w:r w:rsidRPr="00112F45">
              <w:rPr>
                <w:sz w:val="16"/>
                <w:szCs w:val="16"/>
              </w:rPr>
              <w:t xml:space="preserve">29) obtaining employment with UNDP support (male/female) </w:t>
            </w:r>
          </w:p>
          <w:p w14:paraId="04A68120" w14:textId="77777777" w:rsidR="002844C4" w:rsidRPr="00112F45" w:rsidRDefault="002844C4" w:rsidP="007E3D02">
            <w:pPr>
              <w:rPr>
                <w:sz w:val="16"/>
                <w:szCs w:val="16"/>
              </w:rPr>
            </w:pPr>
          </w:p>
          <w:p w14:paraId="46196F95" w14:textId="6D75869C" w:rsidR="00F82D53" w:rsidRPr="00112F45" w:rsidRDefault="00F82D53" w:rsidP="007E3D02">
            <w:pPr>
              <w:rPr>
                <w:sz w:val="16"/>
                <w:szCs w:val="16"/>
              </w:rPr>
            </w:pPr>
            <w:r w:rsidRPr="00112F45">
              <w:rPr>
                <w:sz w:val="16"/>
                <w:szCs w:val="16"/>
              </w:rPr>
              <w:t>Baseline (2021): 85 (</w:t>
            </w:r>
            <w:r w:rsidR="00C32997">
              <w:rPr>
                <w:sz w:val="16"/>
                <w:szCs w:val="16"/>
              </w:rPr>
              <w:t>m</w:t>
            </w:r>
            <w:r w:rsidR="002844C4">
              <w:rPr>
                <w:sz w:val="16"/>
                <w:szCs w:val="16"/>
              </w:rPr>
              <w:t xml:space="preserve">ale, </w:t>
            </w:r>
            <w:r w:rsidRPr="00112F45">
              <w:rPr>
                <w:sz w:val="16"/>
                <w:szCs w:val="16"/>
              </w:rPr>
              <w:t>22</w:t>
            </w:r>
            <w:r w:rsidR="002844C4">
              <w:rPr>
                <w:sz w:val="16"/>
                <w:szCs w:val="16"/>
              </w:rPr>
              <w:t>; female,</w:t>
            </w:r>
            <w:r w:rsidR="005A2AC4">
              <w:rPr>
                <w:sz w:val="16"/>
                <w:szCs w:val="16"/>
              </w:rPr>
              <w:t xml:space="preserve"> </w:t>
            </w:r>
            <w:r w:rsidRPr="00112F45">
              <w:rPr>
                <w:sz w:val="16"/>
                <w:szCs w:val="16"/>
              </w:rPr>
              <w:t xml:space="preserve">63)  </w:t>
            </w:r>
          </w:p>
          <w:p w14:paraId="58DA90B4" w14:textId="0BF66344" w:rsidR="00F82D53" w:rsidRPr="00112F45" w:rsidRDefault="00F82D53" w:rsidP="007E3D02">
            <w:pPr>
              <w:rPr>
                <w:sz w:val="16"/>
                <w:szCs w:val="16"/>
              </w:rPr>
            </w:pPr>
            <w:r w:rsidRPr="00112F45">
              <w:rPr>
                <w:sz w:val="16"/>
                <w:szCs w:val="16"/>
              </w:rPr>
              <w:t xml:space="preserve">Target (2027): </w:t>
            </w:r>
            <w:r w:rsidR="00B1194F">
              <w:rPr>
                <w:sz w:val="16"/>
                <w:szCs w:val="16"/>
              </w:rPr>
              <w:t>4</w:t>
            </w:r>
            <w:r w:rsidRPr="00112F45">
              <w:rPr>
                <w:sz w:val="16"/>
                <w:szCs w:val="16"/>
              </w:rPr>
              <w:t>00 (</w:t>
            </w:r>
            <w:r w:rsidR="00C32997">
              <w:rPr>
                <w:sz w:val="16"/>
                <w:szCs w:val="16"/>
              </w:rPr>
              <w:t>m</w:t>
            </w:r>
            <w:r w:rsidR="002844C4">
              <w:rPr>
                <w:sz w:val="16"/>
                <w:szCs w:val="16"/>
              </w:rPr>
              <w:t xml:space="preserve">ale, </w:t>
            </w:r>
            <w:r w:rsidRPr="00112F45">
              <w:rPr>
                <w:sz w:val="16"/>
                <w:szCs w:val="16"/>
              </w:rPr>
              <w:t>150</w:t>
            </w:r>
            <w:r w:rsidR="002844C4">
              <w:rPr>
                <w:sz w:val="16"/>
                <w:szCs w:val="16"/>
              </w:rPr>
              <w:t xml:space="preserve">; female, </w:t>
            </w:r>
            <w:r w:rsidRPr="00112F45">
              <w:rPr>
                <w:sz w:val="16"/>
                <w:szCs w:val="16"/>
              </w:rPr>
              <w:t xml:space="preserve">250) </w:t>
            </w:r>
          </w:p>
          <w:p w14:paraId="53EE209B" w14:textId="77777777" w:rsidR="00F82D53" w:rsidRPr="00112F45" w:rsidRDefault="00F82D53" w:rsidP="007E3D02">
            <w:pPr>
              <w:rPr>
                <w:sz w:val="16"/>
                <w:szCs w:val="16"/>
              </w:rPr>
            </w:pPr>
            <w:r w:rsidRPr="00112F45">
              <w:rPr>
                <w:sz w:val="16"/>
                <w:szCs w:val="16"/>
              </w:rPr>
              <w:t>Source/frequency: UNDP/annually</w:t>
            </w:r>
          </w:p>
          <w:p w14:paraId="7165C4A1" w14:textId="77777777" w:rsidR="00F82D53" w:rsidRPr="00112F45" w:rsidRDefault="00F82D53" w:rsidP="007E3D02">
            <w:pPr>
              <w:rPr>
                <w:sz w:val="16"/>
                <w:szCs w:val="16"/>
              </w:rPr>
            </w:pPr>
          </w:p>
          <w:p w14:paraId="68354B06" w14:textId="57DECCF8" w:rsidR="00F82D53" w:rsidRPr="00112F45" w:rsidRDefault="00F82D53" w:rsidP="007E3D02">
            <w:pPr>
              <w:rPr>
                <w:sz w:val="16"/>
                <w:szCs w:val="16"/>
              </w:rPr>
            </w:pPr>
            <w:r w:rsidRPr="00112F45">
              <w:rPr>
                <w:sz w:val="16"/>
                <w:szCs w:val="16"/>
              </w:rPr>
              <w:t>2.2.2. N</w:t>
            </w:r>
            <w:r w:rsidR="00AB5C19">
              <w:rPr>
                <w:sz w:val="16"/>
                <w:szCs w:val="16"/>
              </w:rPr>
              <w:t>umber</w:t>
            </w:r>
            <w:r w:rsidRPr="00112F45">
              <w:rPr>
                <w:sz w:val="16"/>
                <w:szCs w:val="16"/>
              </w:rPr>
              <w:t xml:space="preserve"> of vulnerable people activated with UNDP support (male/female)</w:t>
            </w:r>
          </w:p>
          <w:p w14:paraId="5F8C0CCE" w14:textId="77777777" w:rsidR="00F82D53" w:rsidRPr="00112F45" w:rsidRDefault="00F82D53" w:rsidP="007E3D02">
            <w:pPr>
              <w:rPr>
                <w:sz w:val="16"/>
                <w:szCs w:val="16"/>
              </w:rPr>
            </w:pPr>
            <w:r w:rsidRPr="00112F45">
              <w:rPr>
                <w:sz w:val="16"/>
                <w:szCs w:val="16"/>
              </w:rPr>
              <w:t>Baseline (2022): 100 (45/55)</w:t>
            </w:r>
          </w:p>
          <w:p w14:paraId="1AD41CB2" w14:textId="4999B81F" w:rsidR="00F82D53" w:rsidRPr="00112F45" w:rsidRDefault="00F82D53" w:rsidP="007E3D02">
            <w:pPr>
              <w:rPr>
                <w:sz w:val="16"/>
                <w:szCs w:val="16"/>
              </w:rPr>
            </w:pPr>
            <w:r w:rsidRPr="00112F45">
              <w:rPr>
                <w:sz w:val="16"/>
                <w:szCs w:val="16"/>
              </w:rPr>
              <w:lastRenderedPageBreak/>
              <w:t>Target (2027): 1</w:t>
            </w:r>
            <w:r w:rsidR="002844C4">
              <w:rPr>
                <w:sz w:val="16"/>
                <w:szCs w:val="16"/>
              </w:rPr>
              <w:t>,</w:t>
            </w:r>
            <w:r w:rsidRPr="00112F45">
              <w:rPr>
                <w:sz w:val="16"/>
                <w:szCs w:val="16"/>
              </w:rPr>
              <w:t>000 (</w:t>
            </w:r>
            <w:r w:rsidR="00AC56BA">
              <w:rPr>
                <w:sz w:val="16"/>
                <w:szCs w:val="16"/>
              </w:rPr>
              <w:t>m</w:t>
            </w:r>
            <w:r w:rsidR="002844C4">
              <w:rPr>
                <w:sz w:val="16"/>
                <w:szCs w:val="16"/>
              </w:rPr>
              <w:t xml:space="preserve">ale, </w:t>
            </w:r>
            <w:r w:rsidRPr="00112F45">
              <w:rPr>
                <w:sz w:val="16"/>
                <w:szCs w:val="16"/>
              </w:rPr>
              <w:t>450</w:t>
            </w:r>
            <w:r w:rsidR="002844C4">
              <w:rPr>
                <w:sz w:val="16"/>
                <w:szCs w:val="16"/>
              </w:rPr>
              <w:t xml:space="preserve">; female, </w:t>
            </w:r>
            <w:r w:rsidRPr="00112F45">
              <w:rPr>
                <w:sz w:val="16"/>
                <w:szCs w:val="16"/>
              </w:rPr>
              <w:t>550)</w:t>
            </w:r>
          </w:p>
          <w:p w14:paraId="565D94AE" w14:textId="77777777" w:rsidR="00F82D53" w:rsidRPr="00112F45" w:rsidRDefault="00F82D53" w:rsidP="007E3D02">
            <w:pPr>
              <w:rPr>
                <w:sz w:val="16"/>
                <w:szCs w:val="16"/>
              </w:rPr>
            </w:pPr>
            <w:r w:rsidRPr="00112F45">
              <w:rPr>
                <w:sz w:val="16"/>
                <w:szCs w:val="16"/>
              </w:rPr>
              <w:t>Source/frequency: UNDP/annually</w:t>
            </w:r>
          </w:p>
          <w:p w14:paraId="5F1DC401" w14:textId="77777777" w:rsidR="00F82D53" w:rsidRPr="00112F45" w:rsidRDefault="00F82D53" w:rsidP="007E3D02">
            <w:pPr>
              <w:rPr>
                <w:sz w:val="16"/>
                <w:szCs w:val="16"/>
              </w:rPr>
            </w:pPr>
          </w:p>
          <w:p w14:paraId="13F550AE" w14:textId="29396B7C" w:rsidR="00F82D53" w:rsidRPr="00112F45" w:rsidRDefault="00F82D53" w:rsidP="007E3D02">
            <w:pPr>
              <w:rPr>
                <w:sz w:val="16"/>
                <w:szCs w:val="16"/>
              </w:rPr>
            </w:pPr>
            <w:r w:rsidRPr="00112F45">
              <w:rPr>
                <w:sz w:val="16"/>
                <w:szCs w:val="16"/>
              </w:rPr>
              <w:t xml:space="preserve">2.2.3. Number of new </w:t>
            </w:r>
            <w:r w:rsidR="00EB51A9" w:rsidRPr="00112F45">
              <w:rPr>
                <w:sz w:val="16"/>
                <w:szCs w:val="16"/>
              </w:rPr>
              <w:t>licenses</w:t>
            </w:r>
            <w:r w:rsidRPr="00112F45">
              <w:rPr>
                <w:sz w:val="16"/>
                <w:szCs w:val="16"/>
              </w:rPr>
              <w:t xml:space="preserve"> issued for social services </w:t>
            </w:r>
          </w:p>
          <w:p w14:paraId="4524CF6B" w14:textId="77777777" w:rsidR="00F82D53" w:rsidRPr="00112F45" w:rsidRDefault="00F82D53" w:rsidP="007E3D02">
            <w:pPr>
              <w:rPr>
                <w:sz w:val="16"/>
                <w:szCs w:val="16"/>
              </w:rPr>
            </w:pPr>
            <w:r w:rsidRPr="00112F45">
              <w:rPr>
                <w:sz w:val="16"/>
                <w:szCs w:val="16"/>
              </w:rPr>
              <w:t>Baseline (2021): 60</w:t>
            </w:r>
          </w:p>
          <w:p w14:paraId="30361C28" w14:textId="77777777" w:rsidR="00F82D53" w:rsidRPr="00112F45" w:rsidRDefault="00F82D53" w:rsidP="007E3D02">
            <w:pPr>
              <w:rPr>
                <w:sz w:val="16"/>
                <w:szCs w:val="16"/>
              </w:rPr>
            </w:pPr>
            <w:r w:rsidRPr="00112F45">
              <w:rPr>
                <w:sz w:val="16"/>
                <w:szCs w:val="16"/>
              </w:rPr>
              <w:t xml:space="preserve">Target (2027): 70 </w:t>
            </w:r>
          </w:p>
          <w:p w14:paraId="26E2EDAB" w14:textId="77777777" w:rsidR="00F82D53" w:rsidRPr="00112F45" w:rsidRDefault="00F82D53" w:rsidP="007E3D02">
            <w:pPr>
              <w:rPr>
                <w:sz w:val="16"/>
                <w:szCs w:val="16"/>
              </w:rPr>
            </w:pPr>
            <w:r w:rsidRPr="00112F45">
              <w:rPr>
                <w:sz w:val="16"/>
                <w:szCs w:val="16"/>
              </w:rPr>
              <w:t>Source/frequency: Government/annually</w:t>
            </w:r>
          </w:p>
          <w:p w14:paraId="6AC4895E" w14:textId="52DC4BA3" w:rsidR="00F82D53" w:rsidRPr="00112F45" w:rsidRDefault="00F82D53" w:rsidP="007E3D02">
            <w:pPr>
              <w:rPr>
                <w:b/>
                <w:bCs/>
                <w:sz w:val="16"/>
                <w:szCs w:val="16"/>
              </w:rPr>
            </w:pPr>
          </w:p>
          <w:p w14:paraId="1B009C05" w14:textId="72CC03B9" w:rsidR="00F82D53" w:rsidRPr="00112F45" w:rsidRDefault="00F82D53" w:rsidP="007E3D02">
            <w:pPr>
              <w:rPr>
                <w:b/>
                <w:bCs/>
                <w:sz w:val="16"/>
                <w:szCs w:val="16"/>
              </w:rPr>
            </w:pPr>
            <w:r w:rsidRPr="00112F45">
              <w:rPr>
                <w:b/>
                <w:bCs/>
                <w:sz w:val="16"/>
                <w:szCs w:val="16"/>
              </w:rPr>
              <w:t>Output 2.3:  Multisectoral institutional response</w:t>
            </w:r>
            <w:r w:rsidR="000D048B">
              <w:rPr>
                <w:b/>
                <w:bCs/>
                <w:sz w:val="16"/>
                <w:szCs w:val="16"/>
              </w:rPr>
              <w:t xml:space="preserve"> is</w:t>
            </w:r>
            <w:r w:rsidRPr="00112F45">
              <w:rPr>
                <w:b/>
                <w:bCs/>
                <w:sz w:val="16"/>
                <w:szCs w:val="16"/>
              </w:rPr>
              <w:t xml:space="preserve"> strengthened to eliminate all forms of violence and discrimination against women/girls in public/private spheres</w:t>
            </w:r>
          </w:p>
          <w:p w14:paraId="016E3074" w14:textId="77777777" w:rsidR="00F82D53" w:rsidRPr="00112F45" w:rsidRDefault="00F82D53" w:rsidP="007E3D02">
            <w:pPr>
              <w:rPr>
                <w:sz w:val="16"/>
                <w:szCs w:val="16"/>
              </w:rPr>
            </w:pPr>
          </w:p>
          <w:p w14:paraId="7B45944D" w14:textId="77777777" w:rsidR="00F82D53" w:rsidRPr="00112F45" w:rsidRDefault="00F82D53" w:rsidP="007E3D02">
            <w:pPr>
              <w:rPr>
                <w:b/>
                <w:bCs/>
                <w:sz w:val="16"/>
                <w:szCs w:val="16"/>
              </w:rPr>
            </w:pPr>
            <w:r w:rsidRPr="00112F45">
              <w:rPr>
                <w:b/>
                <w:bCs/>
                <w:sz w:val="16"/>
                <w:szCs w:val="16"/>
              </w:rPr>
              <w:t>Indicators:</w:t>
            </w:r>
          </w:p>
          <w:p w14:paraId="375736B9" w14:textId="4245A94F" w:rsidR="00F82D53" w:rsidRPr="00112F45" w:rsidRDefault="00F82D53" w:rsidP="007E3D02">
            <w:pPr>
              <w:rPr>
                <w:sz w:val="16"/>
                <w:szCs w:val="16"/>
              </w:rPr>
            </w:pPr>
            <w:r w:rsidRPr="00112F45">
              <w:rPr>
                <w:sz w:val="16"/>
                <w:szCs w:val="16"/>
              </w:rPr>
              <w:t>2.3.1. Number of speciali</w:t>
            </w:r>
            <w:r w:rsidR="008F6A9E">
              <w:rPr>
                <w:sz w:val="16"/>
                <w:szCs w:val="16"/>
              </w:rPr>
              <w:t>z</w:t>
            </w:r>
            <w:r w:rsidRPr="00112F45">
              <w:rPr>
                <w:sz w:val="16"/>
                <w:szCs w:val="16"/>
              </w:rPr>
              <w:t xml:space="preserve">ed services to address gender-based violence by </w:t>
            </w:r>
            <w:r w:rsidR="008F6A9E">
              <w:rPr>
                <w:sz w:val="16"/>
                <w:szCs w:val="16"/>
              </w:rPr>
              <w:t xml:space="preserve">type of </w:t>
            </w:r>
            <w:r w:rsidRPr="00112F45">
              <w:rPr>
                <w:sz w:val="16"/>
                <w:szCs w:val="16"/>
              </w:rPr>
              <w:t xml:space="preserve">civil society organizations </w:t>
            </w:r>
          </w:p>
          <w:p w14:paraId="27DB3A0A" w14:textId="77777777" w:rsidR="00F82D53" w:rsidRPr="00112F45" w:rsidRDefault="00F82D53" w:rsidP="007E3D02">
            <w:pPr>
              <w:rPr>
                <w:sz w:val="16"/>
                <w:szCs w:val="16"/>
              </w:rPr>
            </w:pPr>
            <w:r w:rsidRPr="00112F45">
              <w:rPr>
                <w:sz w:val="16"/>
                <w:szCs w:val="16"/>
              </w:rPr>
              <w:t xml:space="preserve">Baseline (2022): </w:t>
            </w:r>
          </w:p>
          <w:p w14:paraId="204E5B84" w14:textId="3EB71A06" w:rsidR="00F82D53" w:rsidRPr="00112F45" w:rsidRDefault="00F82D53" w:rsidP="007E3D02">
            <w:pPr>
              <w:rPr>
                <w:sz w:val="16"/>
                <w:szCs w:val="16"/>
              </w:rPr>
            </w:pPr>
            <w:r w:rsidRPr="00112F45">
              <w:rPr>
                <w:sz w:val="16"/>
                <w:szCs w:val="16"/>
              </w:rPr>
              <w:t>Victim-oriented:</w:t>
            </w:r>
            <w:r w:rsidR="008F6A9E">
              <w:rPr>
                <w:sz w:val="16"/>
                <w:szCs w:val="16"/>
              </w:rPr>
              <w:t xml:space="preserve"> </w:t>
            </w:r>
            <w:r w:rsidRPr="00112F45">
              <w:rPr>
                <w:sz w:val="16"/>
                <w:szCs w:val="16"/>
              </w:rPr>
              <w:t xml:space="preserve">7 </w:t>
            </w:r>
          </w:p>
          <w:p w14:paraId="79198E2C" w14:textId="53E62044" w:rsidR="00F82D53" w:rsidRPr="00112F45" w:rsidRDefault="00F82D53" w:rsidP="007E3D02">
            <w:pPr>
              <w:rPr>
                <w:sz w:val="16"/>
                <w:szCs w:val="16"/>
              </w:rPr>
            </w:pPr>
            <w:r w:rsidRPr="00112F45">
              <w:rPr>
                <w:sz w:val="16"/>
                <w:szCs w:val="16"/>
              </w:rPr>
              <w:t>Perpetrator-oriented:</w:t>
            </w:r>
            <w:r w:rsidR="008F6A9E">
              <w:rPr>
                <w:sz w:val="16"/>
                <w:szCs w:val="16"/>
              </w:rPr>
              <w:t xml:space="preserve"> </w:t>
            </w:r>
            <w:r w:rsidRPr="00112F45">
              <w:rPr>
                <w:sz w:val="16"/>
                <w:szCs w:val="16"/>
              </w:rPr>
              <w:t xml:space="preserve">0 </w:t>
            </w:r>
          </w:p>
          <w:p w14:paraId="6470292A" w14:textId="77777777" w:rsidR="00F82D53" w:rsidRPr="00112F45" w:rsidRDefault="00F82D53" w:rsidP="007E3D02">
            <w:pPr>
              <w:rPr>
                <w:sz w:val="16"/>
                <w:szCs w:val="16"/>
              </w:rPr>
            </w:pPr>
            <w:r w:rsidRPr="00112F45">
              <w:rPr>
                <w:sz w:val="16"/>
                <w:szCs w:val="16"/>
              </w:rPr>
              <w:t xml:space="preserve">Target (2027): </w:t>
            </w:r>
          </w:p>
          <w:p w14:paraId="3DE821C6" w14:textId="4778F986" w:rsidR="00F82D53" w:rsidRPr="00112F45" w:rsidRDefault="00F82D53" w:rsidP="007E3D02">
            <w:pPr>
              <w:rPr>
                <w:sz w:val="16"/>
                <w:szCs w:val="16"/>
              </w:rPr>
            </w:pPr>
            <w:r w:rsidRPr="00112F45">
              <w:rPr>
                <w:sz w:val="16"/>
                <w:szCs w:val="16"/>
              </w:rPr>
              <w:t>Victim-oriented:</w:t>
            </w:r>
            <w:r w:rsidR="008F6A9E">
              <w:rPr>
                <w:sz w:val="16"/>
                <w:szCs w:val="16"/>
              </w:rPr>
              <w:t xml:space="preserve"> </w:t>
            </w:r>
            <w:r w:rsidRPr="00112F45">
              <w:rPr>
                <w:sz w:val="16"/>
                <w:szCs w:val="16"/>
              </w:rPr>
              <w:t>10</w:t>
            </w:r>
          </w:p>
          <w:p w14:paraId="0D6489E4" w14:textId="77777777" w:rsidR="00F82D53" w:rsidRPr="00112F45" w:rsidRDefault="00F82D53" w:rsidP="007E3D02">
            <w:pPr>
              <w:rPr>
                <w:sz w:val="16"/>
                <w:szCs w:val="16"/>
              </w:rPr>
            </w:pPr>
            <w:r w:rsidRPr="00112F45">
              <w:rPr>
                <w:sz w:val="16"/>
                <w:szCs w:val="16"/>
              </w:rPr>
              <w:t>Perpetrator-oriented: 2</w:t>
            </w:r>
          </w:p>
          <w:p w14:paraId="650AA4F3" w14:textId="77777777" w:rsidR="00F82D53" w:rsidRPr="00112F45" w:rsidRDefault="00F82D53" w:rsidP="007E3D02">
            <w:pPr>
              <w:rPr>
                <w:sz w:val="16"/>
                <w:szCs w:val="16"/>
              </w:rPr>
            </w:pPr>
            <w:r w:rsidRPr="00112F45">
              <w:rPr>
                <w:sz w:val="16"/>
                <w:szCs w:val="16"/>
              </w:rPr>
              <w:t>Source/frequency: UNDP/annually</w:t>
            </w:r>
          </w:p>
          <w:p w14:paraId="6466F629" w14:textId="77777777" w:rsidR="00F82D53" w:rsidRPr="00112F45" w:rsidRDefault="00F82D53" w:rsidP="007E3D02">
            <w:pPr>
              <w:rPr>
                <w:sz w:val="16"/>
                <w:szCs w:val="16"/>
              </w:rPr>
            </w:pPr>
          </w:p>
          <w:p w14:paraId="5CFE74B6" w14:textId="402FCF49" w:rsidR="00F82D53" w:rsidRDefault="00F82D53" w:rsidP="007E3D02">
            <w:pPr>
              <w:rPr>
                <w:sz w:val="16"/>
                <w:szCs w:val="16"/>
              </w:rPr>
            </w:pPr>
            <w:r w:rsidRPr="00112F45">
              <w:rPr>
                <w:sz w:val="16"/>
                <w:szCs w:val="16"/>
              </w:rPr>
              <w:t xml:space="preserve">2.3.2. Percentage of </w:t>
            </w:r>
            <w:r w:rsidR="000F79FC">
              <w:rPr>
                <w:sz w:val="16"/>
                <w:szCs w:val="16"/>
              </w:rPr>
              <w:t>n</w:t>
            </w:r>
            <w:r w:rsidRPr="00112F45">
              <w:rPr>
                <w:sz w:val="16"/>
                <w:szCs w:val="16"/>
              </w:rPr>
              <w:t xml:space="preserve">ational </w:t>
            </w:r>
            <w:r w:rsidR="000F79FC">
              <w:rPr>
                <w:sz w:val="16"/>
                <w:szCs w:val="16"/>
              </w:rPr>
              <w:t>a</w:t>
            </w:r>
            <w:r w:rsidRPr="00112F45">
              <w:rPr>
                <w:sz w:val="16"/>
                <w:szCs w:val="16"/>
              </w:rPr>
              <w:t xml:space="preserve">ction </w:t>
            </w:r>
            <w:r w:rsidR="000F79FC">
              <w:rPr>
                <w:sz w:val="16"/>
                <w:szCs w:val="16"/>
              </w:rPr>
              <w:t>p</w:t>
            </w:r>
            <w:r w:rsidRPr="00112F45">
              <w:rPr>
                <w:sz w:val="16"/>
                <w:szCs w:val="16"/>
              </w:rPr>
              <w:t>lan measures completed, with UNDP support,</w:t>
            </w:r>
            <w:r w:rsidRPr="00112F45" w:rsidDel="00EE7288">
              <w:rPr>
                <w:sz w:val="16"/>
                <w:szCs w:val="16"/>
              </w:rPr>
              <w:t xml:space="preserve"> </w:t>
            </w:r>
            <w:r w:rsidRPr="00112F45">
              <w:rPr>
                <w:sz w:val="16"/>
                <w:szCs w:val="16"/>
              </w:rPr>
              <w:t xml:space="preserve">to implement Istanbul Convention </w:t>
            </w:r>
          </w:p>
          <w:p w14:paraId="49A02550" w14:textId="77777777" w:rsidR="002844C4" w:rsidRPr="00112F45" w:rsidRDefault="002844C4" w:rsidP="007E3D02">
            <w:pPr>
              <w:rPr>
                <w:sz w:val="16"/>
                <w:szCs w:val="16"/>
              </w:rPr>
            </w:pPr>
          </w:p>
          <w:p w14:paraId="28D04096" w14:textId="3B5D109D" w:rsidR="00F82D53" w:rsidRPr="00112F45" w:rsidRDefault="00F82D53" w:rsidP="007E3D02">
            <w:pPr>
              <w:rPr>
                <w:sz w:val="16"/>
                <w:szCs w:val="16"/>
              </w:rPr>
            </w:pPr>
            <w:r w:rsidRPr="00112F45">
              <w:rPr>
                <w:sz w:val="16"/>
                <w:szCs w:val="16"/>
              </w:rPr>
              <w:t>Baseline (2022): 10%</w:t>
            </w:r>
          </w:p>
          <w:p w14:paraId="584A857F" w14:textId="77777777" w:rsidR="00F82D53" w:rsidRPr="00112F45" w:rsidRDefault="00F82D53" w:rsidP="007E3D02">
            <w:pPr>
              <w:rPr>
                <w:sz w:val="16"/>
                <w:szCs w:val="16"/>
              </w:rPr>
            </w:pPr>
            <w:r w:rsidRPr="00112F45">
              <w:rPr>
                <w:sz w:val="16"/>
                <w:szCs w:val="16"/>
              </w:rPr>
              <w:t>Target (2027): 50%</w:t>
            </w:r>
          </w:p>
          <w:p w14:paraId="3DF02C28" w14:textId="77777777" w:rsidR="00F82D53" w:rsidRPr="00112F45" w:rsidRDefault="00F82D53" w:rsidP="007E3D02">
            <w:pPr>
              <w:rPr>
                <w:sz w:val="16"/>
                <w:szCs w:val="16"/>
              </w:rPr>
            </w:pPr>
            <w:r w:rsidRPr="00112F45">
              <w:rPr>
                <w:sz w:val="16"/>
                <w:szCs w:val="16"/>
              </w:rPr>
              <w:t xml:space="preserve">Source/frequency: Government/annually </w:t>
            </w:r>
          </w:p>
          <w:p w14:paraId="41DADE43" w14:textId="77777777" w:rsidR="00F82D53" w:rsidRPr="00112F45" w:rsidRDefault="00F82D53" w:rsidP="007E3D02">
            <w:pPr>
              <w:rPr>
                <w:sz w:val="16"/>
                <w:szCs w:val="16"/>
              </w:rPr>
            </w:pPr>
          </w:p>
          <w:p w14:paraId="048D811E" w14:textId="2BD22D35" w:rsidR="00F82D53" w:rsidRDefault="00F82D53" w:rsidP="007E3D02">
            <w:pPr>
              <w:rPr>
                <w:sz w:val="16"/>
                <w:szCs w:val="16"/>
              </w:rPr>
            </w:pPr>
            <w:bookmarkStart w:id="5" w:name="_Hlk97023396"/>
            <w:r w:rsidRPr="00112F45">
              <w:rPr>
                <w:sz w:val="16"/>
                <w:szCs w:val="16"/>
              </w:rPr>
              <w:t>2.3.3. Number of protection measures for victims of violence taken by court (</w:t>
            </w:r>
            <w:proofErr w:type="spellStart"/>
            <w:r w:rsidRPr="00112F45">
              <w:rPr>
                <w:sz w:val="16"/>
                <w:szCs w:val="16"/>
              </w:rPr>
              <w:t>misdemeanour</w:t>
            </w:r>
            <w:proofErr w:type="spellEnd"/>
            <w:r w:rsidRPr="00112F45">
              <w:rPr>
                <w:sz w:val="16"/>
                <w:szCs w:val="16"/>
              </w:rPr>
              <w:t xml:space="preserve">/criminal courts) </w:t>
            </w:r>
          </w:p>
          <w:p w14:paraId="391D0466" w14:textId="77777777" w:rsidR="002844C4" w:rsidRPr="00112F45" w:rsidRDefault="002844C4" w:rsidP="007E3D02">
            <w:pPr>
              <w:rPr>
                <w:sz w:val="16"/>
                <w:szCs w:val="16"/>
              </w:rPr>
            </w:pPr>
          </w:p>
          <w:p w14:paraId="439F0808" w14:textId="1ADD2EF1" w:rsidR="00F82D53" w:rsidRPr="00112F45" w:rsidRDefault="00F82D53" w:rsidP="007E3D02">
            <w:pPr>
              <w:rPr>
                <w:sz w:val="16"/>
                <w:szCs w:val="16"/>
              </w:rPr>
            </w:pPr>
            <w:r w:rsidRPr="00112F45">
              <w:rPr>
                <w:sz w:val="16"/>
                <w:szCs w:val="16"/>
              </w:rPr>
              <w:t>Baseline (2022): 360 (</w:t>
            </w:r>
            <w:proofErr w:type="spellStart"/>
            <w:r w:rsidR="002844C4">
              <w:rPr>
                <w:sz w:val="16"/>
                <w:szCs w:val="16"/>
              </w:rPr>
              <w:t>Misdemeano</w:t>
            </w:r>
            <w:r w:rsidR="00AC56BA">
              <w:rPr>
                <w:sz w:val="16"/>
                <w:szCs w:val="16"/>
              </w:rPr>
              <w:t>u</w:t>
            </w:r>
            <w:r w:rsidR="002844C4">
              <w:rPr>
                <w:sz w:val="16"/>
                <w:szCs w:val="16"/>
              </w:rPr>
              <w:t>r</w:t>
            </w:r>
            <w:proofErr w:type="spellEnd"/>
            <w:r w:rsidR="002844C4">
              <w:rPr>
                <w:sz w:val="16"/>
                <w:szCs w:val="16"/>
              </w:rPr>
              <w:t xml:space="preserve">, </w:t>
            </w:r>
            <w:r w:rsidRPr="00112F45">
              <w:rPr>
                <w:sz w:val="16"/>
                <w:szCs w:val="16"/>
              </w:rPr>
              <w:t>340</w:t>
            </w:r>
            <w:r w:rsidR="002844C4">
              <w:rPr>
                <w:sz w:val="16"/>
                <w:szCs w:val="16"/>
              </w:rPr>
              <w:t xml:space="preserve">; criminal, </w:t>
            </w:r>
            <w:r w:rsidRPr="00112F45">
              <w:rPr>
                <w:sz w:val="16"/>
                <w:szCs w:val="16"/>
              </w:rPr>
              <w:t>20)</w:t>
            </w:r>
          </w:p>
          <w:p w14:paraId="4703F438" w14:textId="325EA48D" w:rsidR="00F82D53" w:rsidRPr="00112F45" w:rsidRDefault="00F82D53" w:rsidP="007E3D02">
            <w:pPr>
              <w:rPr>
                <w:sz w:val="16"/>
                <w:szCs w:val="16"/>
              </w:rPr>
            </w:pPr>
            <w:r w:rsidRPr="00112F45">
              <w:rPr>
                <w:sz w:val="16"/>
                <w:szCs w:val="16"/>
              </w:rPr>
              <w:t>Target (2027): 600 (</w:t>
            </w:r>
            <w:proofErr w:type="spellStart"/>
            <w:r w:rsidR="002844C4">
              <w:rPr>
                <w:sz w:val="16"/>
                <w:szCs w:val="16"/>
              </w:rPr>
              <w:t>Misdemeano</w:t>
            </w:r>
            <w:r w:rsidR="00AC56BA">
              <w:rPr>
                <w:sz w:val="16"/>
                <w:szCs w:val="16"/>
              </w:rPr>
              <w:t>u</w:t>
            </w:r>
            <w:r w:rsidR="002844C4">
              <w:rPr>
                <w:sz w:val="16"/>
                <w:szCs w:val="16"/>
              </w:rPr>
              <w:t>r</w:t>
            </w:r>
            <w:proofErr w:type="spellEnd"/>
            <w:r w:rsidR="002844C4">
              <w:rPr>
                <w:sz w:val="16"/>
                <w:szCs w:val="16"/>
              </w:rPr>
              <w:t xml:space="preserve">, </w:t>
            </w:r>
            <w:r w:rsidRPr="00112F45">
              <w:rPr>
                <w:sz w:val="16"/>
                <w:szCs w:val="16"/>
              </w:rPr>
              <w:t>520</w:t>
            </w:r>
            <w:r w:rsidR="002844C4">
              <w:rPr>
                <w:sz w:val="16"/>
                <w:szCs w:val="16"/>
              </w:rPr>
              <w:t xml:space="preserve">; criminal, </w:t>
            </w:r>
            <w:r w:rsidRPr="00112F45">
              <w:rPr>
                <w:sz w:val="16"/>
                <w:szCs w:val="16"/>
              </w:rPr>
              <w:t>80)</w:t>
            </w:r>
          </w:p>
          <w:p w14:paraId="5534D49A" w14:textId="5D5E4ACF" w:rsidR="00F82D53" w:rsidRPr="00112F45" w:rsidRDefault="00F82D53" w:rsidP="007E3D02">
            <w:pPr>
              <w:rPr>
                <w:sz w:val="16"/>
                <w:szCs w:val="16"/>
              </w:rPr>
            </w:pPr>
            <w:r w:rsidRPr="00112F45">
              <w:rPr>
                <w:sz w:val="16"/>
                <w:szCs w:val="16"/>
              </w:rPr>
              <w:t xml:space="preserve">Source/frequency: Court </w:t>
            </w:r>
            <w:r w:rsidR="002452D7">
              <w:rPr>
                <w:sz w:val="16"/>
                <w:szCs w:val="16"/>
              </w:rPr>
              <w:t>r</w:t>
            </w:r>
            <w:r w:rsidRPr="00112F45">
              <w:rPr>
                <w:sz w:val="16"/>
                <w:szCs w:val="16"/>
              </w:rPr>
              <w:t>eport</w:t>
            </w:r>
            <w:r w:rsidR="002452D7">
              <w:rPr>
                <w:sz w:val="16"/>
                <w:szCs w:val="16"/>
              </w:rPr>
              <w:t>s</w:t>
            </w:r>
            <w:r w:rsidRPr="00112F45">
              <w:rPr>
                <w:sz w:val="16"/>
                <w:szCs w:val="16"/>
              </w:rPr>
              <w:t xml:space="preserve">/annually </w:t>
            </w:r>
            <w:bookmarkEnd w:id="5"/>
          </w:p>
        </w:tc>
        <w:tc>
          <w:tcPr>
            <w:tcW w:w="2666" w:type="dxa"/>
            <w:shd w:val="clear" w:color="auto" w:fill="auto"/>
          </w:tcPr>
          <w:p w14:paraId="66CD0A0F" w14:textId="07055EE5" w:rsidR="00F82D53" w:rsidRPr="00112F45" w:rsidRDefault="00F82D53" w:rsidP="007E3D02">
            <w:pPr>
              <w:rPr>
                <w:sz w:val="16"/>
                <w:szCs w:val="16"/>
              </w:rPr>
            </w:pPr>
            <w:r w:rsidRPr="00112F45">
              <w:rPr>
                <w:sz w:val="16"/>
                <w:szCs w:val="16"/>
              </w:rPr>
              <w:lastRenderedPageBreak/>
              <w:t xml:space="preserve">Relevant </w:t>
            </w:r>
            <w:r w:rsidR="00AB5C19">
              <w:rPr>
                <w:sz w:val="16"/>
                <w:szCs w:val="16"/>
              </w:rPr>
              <w:t>m</w:t>
            </w:r>
            <w:r w:rsidRPr="00112F45">
              <w:rPr>
                <w:sz w:val="16"/>
                <w:szCs w:val="16"/>
              </w:rPr>
              <w:t xml:space="preserve">inistries </w:t>
            </w:r>
          </w:p>
          <w:p w14:paraId="6307D3CA" w14:textId="4A178C60" w:rsidR="00F82D53" w:rsidRPr="00112F45" w:rsidRDefault="00F82D53" w:rsidP="007E3D02">
            <w:pPr>
              <w:rPr>
                <w:sz w:val="16"/>
                <w:szCs w:val="16"/>
              </w:rPr>
            </w:pPr>
            <w:r w:rsidRPr="00112F45">
              <w:rPr>
                <w:sz w:val="16"/>
                <w:szCs w:val="16"/>
              </w:rPr>
              <w:t xml:space="preserve">Local government </w:t>
            </w:r>
          </w:p>
          <w:p w14:paraId="3E54CD44" w14:textId="140D812A" w:rsidR="00F82D53" w:rsidRPr="00112F45" w:rsidRDefault="00F82D53" w:rsidP="007E3D02">
            <w:pPr>
              <w:rPr>
                <w:sz w:val="16"/>
                <w:szCs w:val="16"/>
              </w:rPr>
            </w:pPr>
            <w:r w:rsidRPr="00112F45">
              <w:rPr>
                <w:sz w:val="16"/>
                <w:szCs w:val="16"/>
              </w:rPr>
              <w:t>Employment agenc</w:t>
            </w:r>
            <w:r w:rsidR="00AB5C19">
              <w:rPr>
                <w:sz w:val="16"/>
                <w:szCs w:val="16"/>
              </w:rPr>
              <w:t>ies</w:t>
            </w:r>
          </w:p>
          <w:p w14:paraId="56537E39" w14:textId="6520E8EB" w:rsidR="00F82D53" w:rsidRPr="00112F45" w:rsidRDefault="00F82D53" w:rsidP="007E3D02">
            <w:pPr>
              <w:rPr>
                <w:sz w:val="16"/>
                <w:szCs w:val="16"/>
              </w:rPr>
            </w:pPr>
            <w:r w:rsidRPr="00112F45">
              <w:rPr>
                <w:sz w:val="16"/>
                <w:szCs w:val="16"/>
              </w:rPr>
              <w:t xml:space="preserve">International </w:t>
            </w:r>
            <w:r w:rsidR="00AB5C19">
              <w:rPr>
                <w:sz w:val="16"/>
                <w:szCs w:val="16"/>
              </w:rPr>
              <w:t>o</w:t>
            </w:r>
            <w:r w:rsidRPr="00112F45">
              <w:rPr>
                <w:sz w:val="16"/>
                <w:szCs w:val="16"/>
              </w:rPr>
              <w:t>rganizations</w:t>
            </w:r>
          </w:p>
          <w:p w14:paraId="5C1E2659" w14:textId="6C87AC3D" w:rsidR="00F82D53" w:rsidRPr="00112F45" w:rsidRDefault="00F82D53" w:rsidP="007E3D02">
            <w:pPr>
              <w:rPr>
                <w:sz w:val="16"/>
                <w:szCs w:val="16"/>
              </w:rPr>
            </w:pPr>
            <w:r w:rsidRPr="00112F45">
              <w:rPr>
                <w:sz w:val="16"/>
                <w:szCs w:val="16"/>
              </w:rPr>
              <w:t xml:space="preserve">Civil </w:t>
            </w:r>
            <w:r w:rsidR="00AB5C19">
              <w:rPr>
                <w:sz w:val="16"/>
                <w:szCs w:val="16"/>
              </w:rPr>
              <w:t>s</w:t>
            </w:r>
            <w:r w:rsidRPr="00112F45">
              <w:rPr>
                <w:sz w:val="16"/>
                <w:szCs w:val="16"/>
              </w:rPr>
              <w:t xml:space="preserve">ociety </w:t>
            </w:r>
            <w:r w:rsidR="00AB5C19">
              <w:rPr>
                <w:sz w:val="16"/>
                <w:szCs w:val="16"/>
              </w:rPr>
              <w:t>o</w:t>
            </w:r>
            <w:r w:rsidRPr="00112F45">
              <w:rPr>
                <w:sz w:val="16"/>
                <w:szCs w:val="16"/>
              </w:rPr>
              <w:t>rganizations</w:t>
            </w:r>
          </w:p>
          <w:p w14:paraId="0BB215C7" w14:textId="5E340932" w:rsidR="00F82D53" w:rsidRPr="00112F45" w:rsidRDefault="00F82D53" w:rsidP="007E3D02">
            <w:pPr>
              <w:rPr>
                <w:sz w:val="16"/>
                <w:szCs w:val="16"/>
              </w:rPr>
            </w:pPr>
            <w:r w:rsidRPr="00112F45">
              <w:rPr>
                <w:sz w:val="16"/>
                <w:szCs w:val="16"/>
              </w:rPr>
              <w:t>U</w:t>
            </w:r>
            <w:r w:rsidR="00AB5C19">
              <w:rPr>
                <w:sz w:val="16"/>
                <w:szCs w:val="16"/>
              </w:rPr>
              <w:t xml:space="preserve">nited </w:t>
            </w:r>
            <w:r w:rsidRPr="00112F45">
              <w:rPr>
                <w:sz w:val="16"/>
                <w:szCs w:val="16"/>
              </w:rPr>
              <w:t>N</w:t>
            </w:r>
            <w:r w:rsidR="00AB5C19">
              <w:rPr>
                <w:sz w:val="16"/>
                <w:szCs w:val="16"/>
              </w:rPr>
              <w:t>ations entities</w:t>
            </w:r>
          </w:p>
        </w:tc>
        <w:tc>
          <w:tcPr>
            <w:tcW w:w="1350" w:type="dxa"/>
            <w:shd w:val="clear" w:color="auto" w:fill="auto"/>
            <w:tcMar>
              <w:top w:w="15" w:type="dxa"/>
              <w:left w:w="108" w:type="dxa"/>
              <w:bottom w:w="0" w:type="dxa"/>
              <w:right w:w="108" w:type="dxa"/>
            </w:tcMar>
          </w:tcPr>
          <w:p w14:paraId="49FA26EB" w14:textId="77777777" w:rsidR="00F82D53" w:rsidRPr="00112F45" w:rsidRDefault="00F82D53" w:rsidP="007E3D02">
            <w:pPr>
              <w:rPr>
                <w:b/>
                <w:sz w:val="16"/>
                <w:szCs w:val="16"/>
              </w:rPr>
            </w:pPr>
            <w:r w:rsidRPr="00112F45">
              <w:rPr>
                <w:b/>
                <w:sz w:val="16"/>
                <w:szCs w:val="16"/>
              </w:rPr>
              <w:t>Regular</w:t>
            </w:r>
          </w:p>
          <w:p w14:paraId="1CB3E4FB" w14:textId="77777777" w:rsidR="00F82D53" w:rsidRPr="00112F45" w:rsidRDefault="00F82D53" w:rsidP="007E3D02">
            <w:pPr>
              <w:rPr>
                <w:b/>
                <w:sz w:val="16"/>
                <w:szCs w:val="16"/>
              </w:rPr>
            </w:pPr>
            <w:r w:rsidRPr="00112F45">
              <w:rPr>
                <w:b/>
                <w:sz w:val="16"/>
                <w:szCs w:val="16"/>
              </w:rPr>
              <w:t>250,000</w:t>
            </w:r>
          </w:p>
          <w:p w14:paraId="3C644255" w14:textId="77777777" w:rsidR="00F82D53" w:rsidRPr="00112F45" w:rsidRDefault="00F82D53" w:rsidP="007E3D02">
            <w:pPr>
              <w:rPr>
                <w:b/>
                <w:bCs/>
                <w:sz w:val="16"/>
                <w:szCs w:val="16"/>
              </w:rPr>
            </w:pPr>
          </w:p>
          <w:p w14:paraId="6D5185DA" w14:textId="77777777" w:rsidR="00F82D53" w:rsidRPr="00112F45" w:rsidRDefault="00F82D53" w:rsidP="007E3D02">
            <w:pPr>
              <w:rPr>
                <w:b/>
                <w:bCs/>
                <w:sz w:val="16"/>
                <w:szCs w:val="16"/>
              </w:rPr>
            </w:pPr>
            <w:r w:rsidRPr="00112F45">
              <w:rPr>
                <w:b/>
                <w:bCs/>
                <w:sz w:val="16"/>
                <w:szCs w:val="16"/>
              </w:rPr>
              <w:t>Other:</w:t>
            </w:r>
          </w:p>
          <w:p w14:paraId="6B88E744" w14:textId="2B22AE99" w:rsidR="00F82D53" w:rsidRPr="00112F45" w:rsidRDefault="00F82D53" w:rsidP="007E3D02">
            <w:pPr>
              <w:rPr>
                <w:b/>
                <w:sz w:val="16"/>
                <w:szCs w:val="16"/>
              </w:rPr>
            </w:pPr>
            <w:r w:rsidRPr="00112F45">
              <w:rPr>
                <w:b/>
                <w:bCs/>
                <w:sz w:val="16"/>
                <w:szCs w:val="16"/>
              </w:rPr>
              <w:t>9,750,000</w:t>
            </w:r>
          </w:p>
          <w:p w14:paraId="7E1D0B45" w14:textId="77777777" w:rsidR="00F82D53" w:rsidRPr="00112F45" w:rsidRDefault="00F82D53" w:rsidP="007E3D02">
            <w:pPr>
              <w:rPr>
                <w:b/>
                <w:bCs/>
                <w:sz w:val="16"/>
                <w:szCs w:val="16"/>
              </w:rPr>
            </w:pPr>
          </w:p>
          <w:p w14:paraId="3B4641BD" w14:textId="77777777" w:rsidR="00F82D53" w:rsidRPr="00112F45" w:rsidRDefault="00F82D53" w:rsidP="007E3D02">
            <w:pPr>
              <w:rPr>
                <w:b/>
                <w:bCs/>
                <w:sz w:val="16"/>
                <w:szCs w:val="16"/>
              </w:rPr>
            </w:pPr>
            <w:r w:rsidRPr="00112F45">
              <w:rPr>
                <w:b/>
                <w:bCs/>
                <w:sz w:val="16"/>
                <w:szCs w:val="16"/>
              </w:rPr>
              <w:t>TOTAL:</w:t>
            </w:r>
          </w:p>
          <w:p w14:paraId="1154CA40" w14:textId="77777777" w:rsidR="00F82D53" w:rsidRPr="00112F45" w:rsidRDefault="00F82D53" w:rsidP="007E3D02">
            <w:pPr>
              <w:rPr>
                <w:b/>
                <w:bCs/>
                <w:sz w:val="16"/>
                <w:szCs w:val="16"/>
              </w:rPr>
            </w:pPr>
            <w:r w:rsidRPr="00112F45">
              <w:rPr>
                <w:b/>
                <w:bCs/>
                <w:sz w:val="16"/>
                <w:szCs w:val="16"/>
              </w:rPr>
              <w:t>10,000,000</w:t>
            </w:r>
          </w:p>
          <w:p w14:paraId="2F6A6548" w14:textId="101CB3C0" w:rsidR="00F82D53" w:rsidRPr="00112F45" w:rsidRDefault="00F82D53" w:rsidP="00F421F3">
            <w:pPr>
              <w:ind w:left="-200"/>
              <w:rPr>
                <w:b/>
                <w:bCs/>
                <w:sz w:val="16"/>
                <w:szCs w:val="16"/>
              </w:rPr>
            </w:pPr>
          </w:p>
        </w:tc>
      </w:tr>
      <w:tr w:rsidR="000E4C4E" w:rsidRPr="00112F45" w14:paraId="426E877E" w14:textId="77777777" w:rsidTr="00F421F3">
        <w:tc>
          <w:tcPr>
            <w:tcW w:w="13230" w:type="dxa"/>
            <w:gridSpan w:val="5"/>
            <w:shd w:val="clear" w:color="auto" w:fill="DBE5F1" w:themeFill="accent1" w:themeFillTint="33"/>
            <w:tcMar>
              <w:top w:w="72" w:type="dxa"/>
              <w:left w:w="144" w:type="dxa"/>
              <w:bottom w:w="72" w:type="dxa"/>
              <w:right w:w="144" w:type="dxa"/>
            </w:tcMar>
          </w:tcPr>
          <w:p w14:paraId="15EA99C3" w14:textId="0E953E7F" w:rsidR="00F82D53" w:rsidRPr="00112F45" w:rsidRDefault="00F82D53" w:rsidP="007E3D02">
            <w:pPr>
              <w:rPr>
                <w:b/>
                <w:bCs/>
                <w:sz w:val="16"/>
                <w:szCs w:val="16"/>
              </w:rPr>
            </w:pPr>
            <w:r w:rsidRPr="00112F45">
              <w:rPr>
                <w:b/>
                <w:bCs/>
                <w:sz w:val="16"/>
                <w:szCs w:val="16"/>
              </w:rPr>
              <w:t xml:space="preserve">NATIONAL PRIORITY: </w:t>
            </w:r>
            <w:r w:rsidR="00E65D3A" w:rsidRPr="00112F45">
              <w:rPr>
                <w:b/>
                <w:bCs/>
                <w:sz w:val="16"/>
                <w:szCs w:val="16"/>
              </w:rPr>
              <w:t>Social cohesion, people-</w:t>
            </w:r>
            <w:proofErr w:type="spellStart"/>
            <w:r w:rsidR="00E65D3A" w:rsidRPr="00112F45">
              <w:rPr>
                <w:b/>
                <w:bCs/>
                <w:sz w:val="16"/>
                <w:szCs w:val="16"/>
              </w:rPr>
              <w:t>centred</w:t>
            </w:r>
            <w:proofErr w:type="spellEnd"/>
            <w:r w:rsidR="00E65D3A" w:rsidRPr="00112F45">
              <w:rPr>
                <w:b/>
                <w:bCs/>
                <w:sz w:val="16"/>
                <w:szCs w:val="16"/>
              </w:rPr>
              <w:t xml:space="preserve"> governance, rule of law and human rights</w:t>
            </w:r>
            <w:r w:rsidR="00855B3B" w:rsidRPr="00112F45">
              <w:rPr>
                <w:b/>
                <w:bCs/>
                <w:sz w:val="16"/>
                <w:szCs w:val="16"/>
              </w:rPr>
              <w:t xml:space="preserve"> </w:t>
            </w:r>
            <w:r w:rsidR="00E65D3A" w:rsidRPr="00112F45">
              <w:rPr>
                <w:b/>
                <w:bCs/>
                <w:sz w:val="16"/>
                <w:szCs w:val="16"/>
              </w:rPr>
              <w:t xml:space="preserve"> </w:t>
            </w:r>
          </w:p>
          <w:p w14:paraId="64198775" w14:textId="2D728B85" w:rsidR="00F82D53" w:rsidRPr="00112F45" w:rsidRDefault="00F82D53" w:rsidP="007E3D02">
            <w:r w:rsidRPr="00112F45">
              <w:rPr>
                <w:b/>
                <w:bCs/>
                <w:sz w:val="16"/>
                <w:szCs w:val="16"/>
              </w:rPr>
              <w:t>S</w:t>
            </w:r>
            <w:r w:rsidR="002452D7">
              <w:rPr>
                <w:b/>
                <w:bCs/>
                <w:sz w:val="16"/>
                <w:szCs w:val="16"/>
              </w:rPr>
              <w:t xml:space="preserve">ustainable </w:t>
            </w:r>
            <w:r w:rsidRPr="00112F45">
              <w:rPr>
                <w:b/>
                <w:bCs/>
                <w:sz w:val="16"/>
                <w:szCs w:val="16"/>
              </w:rPr>
              <w:t>D</w:t>
            </w:r>
            <w:r w:rsidR="002452D7">
              <w:rPr>
                <w:b/>
                <w:bCs/>
                <w:sz w:val="16"/>
                <w:szCs w:val="16"/>
              </w:rPr>
              <w:t xml:space="preserve">evelopment </w:t>
            </w:r>
            <w:r w:rsidRPr="00112F45">
              <w:rPr>
                <w:b/>
                <w:bCs/>
                <w:sz w:val="16"/>
                <w:szCs w:val="16"/>
              </w:rPr>
              <w:t>G</w:t>
            </w:r>
            <w:r w:rsidR="002452D7">
              <w:rPr>
                <w:b/>
                <w:bCs/>
                <w:sz w:val="16"/>
                <w:szCs w:val="16"/>
              </w:rPr>
              <w:t>oal</w:t>
            </w:r>
            <w:r w:rsidRPr="00112F45">
              <w:rPr>
                <w:b/>
                <w:bCs/>
                <w:sz w:val="16"/>
                <w:szCs w:val="16"/>
              </w:rPr>
              <w:t>s: 5, 10, 16, 17</w:t>
            </w:r>
            <w:r w:rsidRPr="00112F45">
              <w:rPr>
                <w:rFonts w:eastAsia="Calibri" w:cs="Calibri"/>
              </w:rPr>
              <w:t xml:space="preserve"> </w:t>
            </w:r>
          </w:p>
        </w:tc>
      </w:tr>
      <w:tr w:rsidR="000E4C4E" w:rsidRPr="00112F45" w14:paraId="26537516" w14:textId="77777777" w:rsidTr="00F421F3">
        <w:tc>
          <w:tcPr>
            <w:tcW w:w="13230" w:type="dxa"/>
            <w:gridSpan w:val="5"/>
            <w:shd w:val="clear" w:color="auto" w:fill="DBE5F1" w:themeFill="accent1" w:themeFillTint="33"/>
            <w:tcMar>
              <w:top w:w="72" w:type="dxa"/>
              <w:left w:w="144" w:type="dxa"/>
              <w:bottom w:w="72" w:type="dxa"/>
              <w:right w:w="144" w:type="dxa"/>
            </w:tcMar>
          </w:tcPr>
          <w:p w14:paraId="27E8BAD0" w14:textId="73DB7642" w:rsidR="00F82D53" w:rsidRPr="00112F45" w:rsidRDefault="00F82D53" w:rsidP="00112F45">
            <w:pPr>
              <w:pStyle w:val="CommentText"/>
              <w:rPr>
                <w:sz w:val="16"/>
                <w:szCs w:val="16"/>
              </w:rPr>
            </w:pPr>
            <w:r w:rsidRPr="00112F45">
              <w:rPr>
                <w:b/>
                <w:bCs/>
                <w:sz w:val="16"/>
                <w:szCs w:val="16"/>
              </w:rPr>
              <w:t>COOPERATION FRAMEWORK (OR EQUIVALENT) OUTCOME INVOLVING UNDP</w:t>
            </w:r>
            <w:r w:rsidR="002452D7">
              <w:rPr>
                <w:b/>
                <w:bCs/>
                <w:sz w:val="16"/>
                <w:szCs w:val="16"/>
              </w:rPr>
              <w:t>:</w:t>
            </w:r>
            <w:r w:rsidRPr="00112F45">
              <w:rPr>
                <w:b/>
                <w:bCs/>
                <w:sz w:val="16"/>
                <w:szCs w:val="16"/>
              </w:rPr>
              <w:t xml:space="preserve"> </w:t>
            </w:r>
            <w:bookmarkStart w:id="6" w:name="_Hlk103080363"/>
            <w:r w:rsidR="00B22BE8" w:rsidRPr="00112F45">
              <w:rPr>
                <w:b/>
                <w:bCs/>
                <w:sz w:val="16"/>
                <w:szCs w:val="16"/>
              </w:rPr>
              <w:t>Outcome</w:t>
            </w:r>
            <w:r w:rsidRPr="00112F45">
              <w:rPr>
                <w:b/>
                <w:bCs/>
                <w:sz w:val="16"/>
                <w:szCs w:val="16"/>
              </w:rPr>
              <w:t xml:space="preserve"> </w:t>
            </w:r>
            <w:r w:rsidR="00B22BE8" w:rsidRPr="00112F45">
              <w:rPr>
                <w:b/>
                <w:bCs/>
                <w:sz w:val="16"/>
                <w:szCs w:val="16"/>
              </w:rPr>
              <w:t>4</w:t>
            </w:r>
            <w:r w:rsidRPr="00112F45">
              <w:rPr>
                <w:b/>
                <w:bCs/>
                <w:sz w:val="16"/>
                <w:szCs w:val="16"/>
              </w:rPr>
              <w:t xml:space="preserve">: </w:t>
            </w:r>
            <w:r w:rsidRPr="00112F45">
              <w:rPr>
                <w:b/>
                <w:bCs/>
                <w:sz w:val="16"/>
                <w:szCs w:val="16"/>
                <w:lang w:val="en-CA"/>
              </w:rPr>
              <w:t>By 2027, all people, especially vulnerable</w:t>
            </w:r>
            <w:r w:rsidR="007257CE">
              <w:rPr>
                <w:b/>
                <w:bCs/>
                <w:sz w:val="16"/>
                <w:szCs w:val="16"/>
                <w:lang w:val="en-CA"/>
              </w:rPr>
              <w:t xml:space="preserve"> people</w:t>
            </w:r>
            <w:r w:rsidRPr="00112F45">
              <w:rPr>
                <w:b/>
                <w:bCs/>
                <w:sz w:val="16"/>
                <w:szCs w:val="16"/>
                <w:lang w:val="en-CA"/>
              </w:rPr>
              <w:t>, benefit from improved social cohesion, increased realization of human rights and rule of law</w:t>
            </w:r>
            <w:r w:rsidR="00EC17F8">
              <w:rPr>
                <w:b/>
                <w:bCs/>
                <w:sz w:val="16"/>
                <w:szCs w:val="16"/>
                <w:lang w:val="en-CA"/>
              </w:rPr>
              <w:t>,</w:t>
            </w:r>
            <w:r w:rsidRPr="00112F45">
              <w:rPr>
                <w:b/>
                <w:bCs/>
                <w:sz w:val="16"/>
                <w:szCs w:val="16"/>
                <w:lang w:val="en-CA"/>
              </w:rPr>
              <w:t xml:space="preserve"> and accountable, gender-responsive institutions</w:t>
            </w:r>
            <w:bookmarkEnd w:id="6"/>
          </w:p>
        </w:tc>
      </w:tr>
      <w:tr w:rsidR="000E4C4E" w:rsidRPr="00112F45" w14:paraId="531D05D2" w14:textId="77777777" w:rsidTr="00F421F3">
        <w:tc>
          <w:tcPr>
            <w:tcW w:w="13230" w:type="dxa"/>
            <w:gridSpan w:val="5"/>
            <w:shd w:val="clear" w:color="auto" w:fill="DBE5F1" w:themeFill="accent1" w:themeFillTint="33"/>
            <w:tcMar>
              <w:top w:w="72" w:type="dxa"/>
              <w:left w:w="144" w:type="dxa"/>
              <w:bottom w:w="72" w:type="dxa"/>
              <w:right w:w="144" w:type="dxa"/>
            </w:tcMar>
          </w:tcPr>
          <w:p w14:paraId="6ABF9752" w14:textId="5D551FD1" w:rsidR="00F82D53" w:rsidRPr="00112F45" w:rsidRDefault="00F82D53" w:rsidP="007E3D02">
            <w:pPr>
              <w:rPr>
                <w:b/>
                <w:bCs/>
                <w:sz w:val="16"/>
                <w:szCs w:val="16"/>
              </w:rPr>
            </w:pPr>
            <w:r w:rsidRPr="00112F45">
              <w:rPr>
                <w:b/>
                <w:bCs/>
                <w:sz w:val="16"/>
                <w:szCs w:val="16"/>
              </w:rPr>
              <w:t>RELATED STRATEGIC PLAN OUTCOME</w:t>
            </w:r>
            <w:r w:rsidR="002452D7">
              <w:rPr>
                <w:b/>
                <w:bCs/>
                <w:sz w:val="16"/>
                <w:szCs w:val="16"/>
              </w:rPr>
              <w:t>: OUTCOME</w:t>
            </w:r>
            <w:r w:rsidRPr="00112F45">
              <w:rPr>
                <w:b/>
                <w:bCs/>
                <w:sz w:val="16"/>
                <w:szCs w:val="16"/>
              </w:rPr>
              <w:t xml:space="preserve"> 3: Resilience built to respond to systemic uncertainty and risk</w:t>
            </w:r>
          </w:p>
        </w:tc>
      </w:tr>
      <w:tr w:rsidR="00AD2C48" w:rsidRPr="00AD2C48" w14:paraId="03EE9DED" w14:textId="77777777" w:rsidTr="00F421F3">
        <w:trPr>
          <w:trHeight w:val="18"/>
        </w:trPr>
        <w:tc>
          <w:tcPr>
            <w:tcW w:w="2835" w:type="dxa"/>
            <w:shd w:val="clear" w:color="auto" w:fill="auto"/>
            <w:tcMar>
              <w:top w:w="72" w:type="dxa"/>
              <w:left w:w="144" w:type="dxa"/>
              <w:bottom w:w="72" w:type="dxa"/>
              <w:right w:w="144" w:type="dxa"/>
            </w:tcMar>
          </w:tcPr>
          <w:p w14:paraId="0E8906A6" w14:textId="5C86D831" w:rsidR="002844C4" w:rsidRPr="00AD2C48" w:rsidRDefault="00F82D53" w:rsidP="00E964FC">
            <w:pPr>
              <w:pStyle w:val="ListParagraph"/>
              <w:numPr>
                <w:ilvl w:val="0"/>
                <w:numId w:val="21"/>
              </w:numPr>
              <w:ind w:left="141" w:hanging="141"/>
              <w:contextualSpacing/>
              <w:rPr>
                <w:rFonts w:eastAsia="SimSun"/>
                <w:bCs/>
                <w:sz w:val="16"/>
                <w:szCs w:val="16"/>
              </w:rPr>
            </w:pPr>
            <w:r w:rsidRPr="00AD2C48">
              <w:rPr>
                <w:rFonts w:eastAsia="SimSun"/>
                <w:bCs/>
                <w:sz w:val="16"/>
                <w:szCs w:val="16"/>
              </w:rPr>
              <w:t xml:space="preserve">Proportion of seats held by women in national and local parliaments and governments     </w:t>
            </w:r>
          </w:p>
          <w:p w14:paraId="45EDC218" w14:textId="3D91C48B" w:rsidR="0083763B" w:rsidRPr="00AD2C48" w:rsidRDefault="00F82D53" w:rsidP="00EC17F8">
            <w:pPr>
              <w:pStyle w:val="ListParagraph"/>
              <w:ind w:left="141"/>
              <w:contextualSpacing/>
              <w:rPr>
                <w:rFonts w:eastAsia="SimSun"/>
                <w:bCs/>
                <w:sz w:val="16"/>
                <w:szCs w:val="16"/>
              </w:rPr>
            </w:pPr>
            <w:r w:rsidRPr="00AD2C48">
              <w:rPr>
                <w:rFonts w:eastAsia="SimSun"/>
                <w:bCs/>
                <w:sz w:val="16"/>
                <w:szCs w:val="16"/>
              </w:rPr>
              <w:lastRenderedPageBreak/>
              <w:t xml:space="preserve">            </w:t>
            </w:r>
          </w:p>
          <w:p w14:paraId="51EDEC45" w14:textId="24E15FC4" w:rsidR="00F82D53" w:rsidRPr="00AD2C48" w:rsidRDefault="00F82D53" w:rsidP="00E964FC">
            <w:pPr>
              <w:pStyle w:val="ListParagraph"/>
              <w:ind w:left="141"/>
              <w:contextualSpacing/>
              <w:rPr>
                <w:rFonts w:eastAsia="SimSun"/>
                <w:bCs/>
                <w:sz w:val="16"/>
                <w:szCs w:val="16"/>
              </w:rPr>
            </w:pPr>
            <w:r w:rsidRPr="00AD2C48">
              <w:rPr>
                <w:rFonts w:eastAsia="SimSun"/>
                <w:b/>
                <w:sz w:val="16"/>
                <w:szCs w:val="16"/>
              </w:rPr>
              <w:t>Baseline (2020):</w:t>
            </w:r>
            <w:r w:rsidRPr="00AD2C48">
              <w:rPr>
                <w:rFonts w:eastAsia="SimSun"/>
                <w:bCs/>
                <w:sz w:val="16"/>
                <w:szCs w:val="16"/>
              </w:rPr>
              <w:t xml:space="preserve">                          National </w:t>
            </w:r>
            <w:r w:rsidR="002452D7" w:rsidRPr="00AD2C48">
              <w:rPr>
                <w:rFonts w:eastAsia="SimSun"/>
                <w:bCs/>
                <w:sz w:val="16"/>
                <w:szCs w:val="16"/>
              </w:rPr>
              <w:t>p</w:t>
            </w:r>
            <w:r w:rsidRPr="00AD2C48">
              <w:rPr>
                <w:rFonts w:eastAsia="SimSun"/>
                <w:bCs/>
                <w:sz w:val="16"/>
                <w:szCs w:val="16"/>
              </w:rPr>
              <w:t xml:space="preserve">arliament:  27.2%            Local parliaments: 31.8 %           Mayors: 8.33%                      </w:t>
            </w:r>
            <w:r w:rsidR="008F72BE" w:rsidRPr="00AD2C48">
              <w:rPr>
                <w:rFonts w:eastAsia="SimSun"/>
                <w:bCs/>
                <w:sz w:val="16"/>
                <w:szCs w:val="16"/>
              </w:rPr>
              <w:t>National g</w:t>
            </w:r>
            <w:r w:rsidRPr="00AD2C48">
              <w:rPr>
                <w:rFonts w:eastAsia="SimSun"/>
                <w:bCs/>
                <w:sz w:val="16"/>
                <w:szCs w:val="16"/>
              </w:rPr>
              <w:t xml:space="preserve">overnment: 33% </w:t>
            </w:r>
          </w:p>
          <w:p w14:paraId="25C89D13" w14:textId="7523AA5B" w:rsidR="008F72BE" w:rsidRPr="00AD2C48" w:rsidRDefault="00F82D53" w:rsidP="00E964FC">
            <w:pPr>
              <w:pStyle w:val="ListParagraph"/>
              <w:ind w:left="141"/>
              <w:contextualSpacing/>
              <w:rPr>
                <w:rFonts w:eastAsia="SimSun"/>
                <w:bCs/>
                <w:sz w:val="16"/>
                <w:szCs w:val="16"/>
              </w:rPr>
            </w:pPr>
            <w:r w:rsidRPr="00AD2C48">
              <w:rPr>
                <w:rFonts w:eastAsia="SimSun"/>
                <w:b/>
                <w:sz w:val="16"/>
                <w:szCs w:val="16"/>
              </w:rPr>
              <w:t>Target (2027):</w:t>
            </w:r>
            <w:r w:rsidRPr="00AD2C48">
              <w:rPr>
                <w:rFonts w:eastAsia="SimSun"/>
                <w:bCs/>
                <w:sz w:val="16"/>
                <w:szCs w:val="16"/>
              </w:rPr>
              <w:t xml:space="preserve">                              National </w:t>
            </w:r>
            <w:r w:rsidR="006E0938" w:rsidRPr="00AD2C48">
              <w:rPr>
                <w:rFonts w:eastAsia="SimSun"/>
                <w:bCs/>
                <w:sz w:val="16"/>
                <w:szCs w:val="16"/>
              </w:rPr>
              <w:t>p</w:t>
            </w:r>
            <w:r w:rsidRPr="00AD2C48">
              <w:rPr>
                <w:rFonts w:eastAsia="SimSun"/>
                <w:bCs/>
                <w:sz w:val="16"/>
                <w:szCs w:val="16"/>
              </w:rPr>
              <w:t>arliament: 40%                Local parliaments: 40%                Mayors: 15%</w:t>
            </w:r>
          </w:p>
          <w:p w14:paraId="2F8DEEEE" w14:textId="0B02B278" w:rsidR="00F82D53" w:rsidRPr="00AD2C48" w:rsidRDefault="008F72BE" w:rsidP="00E964FC">
            <w:pPr>
              <w:pStyle w:val="ListParagraph"/>
              <w:ind w:left="141"/>
              <w:contextualSpacing/>
              <w:rPr>
                <w:rFonts w:eastAsia="SimSun"/>
                <w:bCs/>
                <w:sz w:val="16"/>
                <w:szCs w:val="16"/>
              </w:rPr>
            </w:pPr>
            <w:r w:rsidRPr="00AD2C48">
              <w:rPr>
                <w:rFonts w:eastAsia="SimSun"/>
                <w:bCs/>
                <w:sz w:val="16"/>
                <w:szCs w:val="16"/>
              </w:rPr>
              <w:t>National g</w:t>
            </w:r>
            <w:r w:rsidR="00F82D53" w:rsidRPr="00AD2C48">
              <w:rPr>
                <w:rFonts w:eastAsia="SimSun"/>
                <w:bCs/>
                <w:sz w:val="16"/>
                <w:szCs w:val="16"/>
              </w:rPr>
              <w:t>overnment: 40%</w:t>
            </w:r>
          </w:p>
          <w:p w14:paraId="1C8A9648" w14:textId="77777777" w:rsidR="00366C17" w:rsidRPr="00AD2C48" w:rsidRDefault="00366C17" w:rsidP="00736BA8">
            <w:pPr>
              <w:pStyle w:val="ListParagraph"/>
              <w:ind w:left="141"/>
              <w:contextualSpacing/>
              <w:rPr>
                <w:rFonts w:eastAsia="SimSun"/>
                <w:bCs/>
                <w:sz w:val="16"/>
                <w:szCs w:val="16"/>
              </w:rPr>
            </w:pPr>
          </w:p>
          <w:p w14:paraId="7313EE75" w14:textId="756513F9" w:rsidR="00F82D53" w:rsidRPr="00AD2C48" w:rsidRDefault="00F82D53" w:rsidP="00736BA8">
            <w:pPr>
              <w:pStyle w:val="ListParagraph"/>
              <w:numPr>
                <w:ilvl w:val="0"/>
                <w:numId w:val="21"/>
              </w:numPr>
              <w:ind w:left="141" w:hanging="141"/>
              <w:contextualSpacing/>
              <w:rPr>
                <w:rFonts w:eastAsia="SimSun"/>
                <w:bCs/>
                <w:sz w:val="16"/>
                <w:szCs w:val="16"/>
              </w:rPr>
            </w:pPr>
            <w:r w:rsidRPr="00AD2C48">
              <w:rPr>
                <w:rFonts w:eastAsia="SimSun"/>
                <w:bCs/>
                <w:sz w:val="16"/>
                <w:szCs w:val="16"/>
              </w:rPr>
              <w:t>Balkan Barometer</w:t>
            </w:r>
            <w:r w:rsidR="006E0938" w:rsidRPr="00AD2C48">
              <w:rPr>
                <w:rFonts w:eastAsia="SimSun"/>
                <w:bCs/>
                <w:sz w:val="16"/>
                <w:szCs w:val="16"/>
              </w:rPr>
              <w:t xml:space="preserve"> survey</w:t>
            </w:r>
          </w:p>
          <w:p w14:paraId="214C919C" w14:textId="5E89A58E" w:rsidR="00F82D53" w:rsidRPr="00AD2C48" w:rsidRDefault="00F82D53" w:rsidP="001F2346">
            <w:pPr>
              <w:autoSpaceDE w:val="0"/>
              <w:autoSpaceDN w:val="0"/>
              <w:adjustRightInd w:val="0"/>
              <w:rPr>
                <w:sz w:val="16"/>
                <w:szCs w:val="16"/>
                <w:lang w:val="en-CA"/>
              </w:rPr>
            </w:pPr>
            <w:r w:rsidRPr="00AD2C48">
              <w:rPr>
                <w:sz w:val="16"/>
                <w:szCs w:val="16"/>
                <w:lang w:val="en-CA"/>
              </w:rPr>
              <w:t xml:space="preserve">a) Level of tolerance and respect </w:t>
            </w:r>
            <w:r w:rsidR="00407335" w:rsidRPr="00AD2C48">
              <w:rPr>
                <w:sz w:val="16"/>
                <w:szCs w:val="16"/>
                <w:lang w:val="en-CA"/>
              </w:rPr>
              <w:t xml:space="preserve">for </w:t>
            </w:r>
            <w:r w:rsidRPr="00AD2C48">
              <w:rPr>
                <w:sz w:val="16"/>
                <w:szCs w:val="16"/>
                <w:lang w:val="en-CA"/>
              </w:rPr>
              <w:t xml:space="preserve">differences: </w:t>
            </w:r>
          </w:p>
          <w:p w14:paraId="5196B623" w14:textId="07D0B02E" w:rsidR="001F2346" w:rsidRPr="00AD2C48" w:rsidRDefault="00E964FC" w:rsidP="001F2346">
            <w:pPr>
              <w:rPr>
                <w:sz w:val="16"/>
                <w:szCs w:val="16"/>
                <w:lang w:val="en-CA"/>
              </w:rPr>
            </w:pPr>
            <w:r w:rsidRPr="00AD2C48">
              <w:rPr>
                <w:b/>
                <w:bCs/>
                <w:sz w:val="16"/>
                <w:szCs w:val="16"/>
                <w:lang w:val="en-CA"/>
              </w:rPr>
              <w:t xml:space="preserve">   </w:t>
            </w:r>
            <w:r w:rsidR="00F82D53" w:rsidRPr="00AD2C48">
              <w:rPr>
                <w:b/>
                <w:bCs/>
                <w:sz w:val="16"/>
                <w:szCs w:val="16"/>
                <w:lang w:val="en-CA"/>
              </w:rPr>
              <w:t>Baseline (2021):</w:t>
            </w:r>
            <w:r w:rsidR="00F82D53" w:rsidRPr="00AD2C48">
              <w:rPr>
                <w:sz w:val="16"/>
                <w:szCs w:val="16"/>
                <w:lang w:val="en-CA"/>
              </w:rPr>
              <w:t xml:space="preserve"> 34% satisfied </w:t>
            </w:r>
          </w:p>
          <w:p w14:paraId="10E3EF13" w14:textId="63AF6B41" w:rsidR="00F82D53" w:rsidRPr="00AD2C48" w:rsidRDefault="00E964FC" w:rsidP="00BE28F4">
            <w:pPr>
              <w:rPr>
                <w:sz w:val="16"/>
                <w:szCs w:val="16"/>
                <w:lang w:val="en-CA"/>
              </w:rPr>
            </w:pPr>
            <w:r w:rsidRPr="00AD2C48">
              <w:rPr>
                <w:b/>
                <w:bCs/>
                <w:sz w:val="16"/>
                <w:szCs w:val="16"/>
                <w:lang w:val="en-CA"/>
              </w:rPr>
              <w:t xml:space="preserve">   </w:t>
            </w:r>
            <w:r w:rsidR="00F82D53" w:rsidRPr="00AD2C48">
              <w:rPr>
                <w:b/>
                <w:bCs/>
                <w:sz w:val="16"/>
                <w:szCs w:val="16"/>
                <w:lang w:val="en-CA"/>
              </w:rPr>
              <w:t>Target (2027):</w:t>
            </w:r>
            <w:r w:rsidR="00F82D53" w:rsidRPr="00AD2C48">
              <w:rPr>
                <w:sz w:val="16"/>
                <w:szCs w:val="16"/>
                <w:lang w:val="en-CA"/>
              </w:rPr>
              <w:t xml:space="preserve"> &gt;3</w:t>
            </w:r>
            <w:r w:rsidR="00CE3121" w:rsidRPr="00AD2C48">
              <w:rPr>
                <w:sz w:val="16"/>
                <w:szCs w:val="16"/>
                <w:lang w:val="en-CA"/>
              </w:rPr>
              <w:t>6</w:t>
            </w:r>
            <w:r w:rsidR="00F82D53" w:rsidRPr="00AD2C48">
              <w:rPr>
                <w:sz w:val="16"/>
                <w:szCs w:val="16"/>
                <w:lang w:val="en-CA"/>
              </w:rPr>
              <w:t>% satisfied</w:t>
            </w:r>
          </w:p>
          <w:p w14:paraId="4314D861" w14:textId="77777777" w:rsidR="00CE263E" w:rsidRPr="00AD2C48" w:rsidRDefault="00CE263E" w:rsidP="002F3B30">
            <w:pPr>
              <w:autoSpaceDE w:val="0"/>
              <w:autoSpaceDN w:val="0"/>
              <w:adjustRightInd w:val="0"/>
              <w:contextualSpacing/>
              <w:rPr>
                <w:sz w:val="16"/>
                <w:szCs w:val="16"/>
                <w:lang w:val="en-CA"/>
              </w:rPr>
            </w:pPr>
            <w:r w:rsidRPr="00AD2C48">
              <w:rPr>
                <w:sz w:val="16"/>
                <w:szCs w:val="16"/>
                <w:lang w:val="en-CA"/>
              </w:rPr>
              <w:t xml:space="preserve">b) </w:t>
            </w:r>
            <w:r w:rsidR="00F82D53" w:rsidRPr="00AD2C48">
              <w:rPr>
                <w:sz w:val="16"/>
                <w:szCs w:val="16"/>
                <w:lang w:val="en-CA"/>
              </w:rPr>
              <w:t xml:space="preserve">Trust in institutions:         </w:t>
            </w:r>
          </w:p>
          <w:p w14:paraId="1357715D" w14:textId="0D58CA0E" w:rsidR="00F82D53" w:rsidRPr="00AD2C48" w:rsidRDefault="00CE263E" w:rsidP="002F3B30">
            <w:pPr>
              <w:autoSpaceDE w:val="0"/>
              <w:autoSpaceDN w:val="0"/>
              <w:adjustRightInd w:val="0"/>
              <w:contextualSpacing/>
              <w:rPr>
                <w:rFonts w:eastAsiaTheme="minorEastAsia"/>
                <w:b/>
                <w:bCs/>
                <w:sz w:val="16"/>
                <w:szCs w:val="16"/>
                <w:lang w:val="en-CA"/>
              </w:rPr>
            </w:pPr>
            <w:r w:rsidRPr="00AD2C48">
              <w:rPr>
                <w:b/>
                <w:bCs/>
                <w:sz w:val="16"/>
                <w:szCs w:val="16"/>
                <w:lang w:val="en-CA"/>
              </w:rPr>
              <w:t xml:space="preserve"> </w:t>
            </w:r>
            <w:r w:rsidR="00E964FC" w:rsidRPr="00AD2C48">
              <w:rPr>
                <w:b/>
                <w:bCs/>
                <w:sz w:val="16"/>
                <w:szCs w:val="16"/>
                <w:lang w:val="en-CA"/>
              </w:rPr>
              <w:t xml:space="preserve">  </w:t>
            </w:r>
            <w:r w:rsidR="00F82D53" w:rsidRPr="00AD2C48">
              <w:rPr>
                <w:b/>
                <w:bCs/>
                <w:sz w:val="16"/>
                <w:szCs w:val="16"/>
                <w:lang w:val="en-CA"/>
              </w:rPr>
              <w:t>Baseline (2021)</w:t>
            </w:r>
          </w:p>
          <w:p w14:paraId="1CA4BEE0" w14:textId="77777777" w:rsidR="00F82D53" w:rsidRPr="00AD2C48" w:rsidRDefault="00F82D53" w:rsidP="008F6A9E">
            <w:pPr>
              <w:pStyle w:val="ListParagraph"/>
              <w:numPr>
                <w:ilvl w:val="0"/>
                <w:numId w:val="13"/>
              </w:numPr>
              <w:autoSpaceDE w:val="0"/>
              <w:autoSpaceDN w:val="0"/>
              <w:adjustRightInd w:val="0"/>
              <w:ind w:left="580" w:hanging="270"/>
              <w:contextualSpacing/>
              <w:rPr>
                <w:sz w:val="16"/>
                <w:szCs w:val="16"/>
                <w:lang w:val="en-CA"/>
              </w:rPr>
            </w:pPr>
            <w:r w:rsidRPr="00AD2C48">
              <w:rPr>
                <w:sz w:val="16"/>
                <w:szCs w:val="16"/>
                <w:lang w:val="en-CA"/>
              </w:rPr>
              <w:t xml:space="preserve">Trust in Parliament: 44%    </w:t>
            </w:r>
          </w:p>
          <w:p w14:paraId="773B52CA" w14:textId="4CF39D0A" w:rsidR="00F82D53" w:rsidRPr="00AD2C48" w:rsidRDefault="00F82D53" w:rsidP="00407335">
            <w:pPr>
              <w:pStyle w:val="ListParagraph"/>
              <w:numPr>
                <w:ilvl w:val="0"/>
                <w:numId w:val="13"/>
              </w:numPr>
              <w:autoSpaceDE w:val="0"/>
              <w:autoSpaceDN w:val="0"/>
              <w:adjustRightInd w:val="0"/>
              <w:ind w:left="580" w:hanging="270"/>
              <w:contextualSpacing/>
              <w:rPr>
                <w:rFonts w:eastAsiaTheme="minorEastAsia"/>
                <w:sz w:val="16"/>
                <w:szCs w:val="16"/>
                <w:lang w:val="en-CA"/>
              </w:rPr>
            </w:pPr>
            <w:r w:rsidRPr="00AD2C48">
              <w:rPr>
                <w:sz w:val="16"/>
                <w:szCs w:val="16"/>
                <w:lang w:val="en-CA"/>
              </w:rPr>
              <w:t xml:space="preserve">Trust in </w:t>
            </w:r>
            <w:r w:rsidR="00407335" w:rsidRPr="00AD2C48">
              <w:rPr>
                <w:sz w:val="16"/>
                <w:szCs w:val="16"/>
                <w:lang w:val="en-CA"/>
              </w:rPr>
              <w:t>g</w:t>
            </w:r>
            <w:r w:rsidRPr="00AD2C48">
              <w:rPr>
                <w:sz w:val="16"/>
                <w:szCs w:val="16"/>
                <w:lang w:val="en-CA"/>
              </w:rPr>
              <w:t>overnment: 46%</w:t>
            </w:r>
          </w:p>
          <w:p w14:paraId="39E41129" w14:textId="7A3EC7AD" w:rsidR="00F82D53" w:rsidRPr="00AD2C48" w:rsidRDefault="00F82D53" w:rsidP="00407335">
            <w:pPr>
              <w:pStyle w:val="ListParagraph"/>
              <w:numPr>
                <w:ilvl w:val="0"/>
                <w:numId w:val="13"/>
              </w:numPr>
              <w:autoSpaceDE w:val="0"/>
              <w:autoSpaceDN w:val="0"/>
              <w:adjustRightInd w:val="0"/>
              <w:ind w:left="580" w:hanging="270"/>
              <w:contextualSpacing/>
              <w:rPr>
                <w:rFonts w:eastAsiaTheme="minorEastAsia"/>
                <w:sz w:val="16"/>
                <w:szCs w:val="16"/>
                <w:lang w:val="en-CA"/>
              </w:rPr>
            </w:pPr>
            <w:r w:rsidRPr="00AD2C48">
              <w:rPr>
                <w:sz w:val="16"/>
                <w:szCs w:val="16"/>
                <w:lang w:val="en-CA"/>
              </w:rPr>
              <w:t xml:space="preserve">Trust in </w:t>
            </w:r>
            <w:r w:rsidR="00407335" w:rsidRPr="00AD2C48">
              <w:rPr>
                <w:sz w:val="16"/>
                <w:szCs w:val="16"/>
                <w:lang w:val="en-CA"/>
              </w:rPr>
              <w:t>c</w:t>
            </w:r>
            <w:r w:rsidRPr="00AD2C48">
              <w:rPr>
                <w:sz w:val="16"/>
                <w:szCs w:val="16"/>
                <w:lang w:val="en-CA"/>
              </w:rPr>
              <w:t xml:space="preserve">ourts and </w:t>
            </w:r>
            <w:r w:rsidR="00407335" w:rsidRPr="00AD2C48">
              <w:rPr>
                <w:sz w:val="16"/>
                <w:szCs w:val="16"/>
                <w:lang w:val="en-CA"/>
              </w:rPr>
              <w:t>j</w:t>
            </w:r>
            <w:r w:rsidRPr="00AD2C48">
              <w:rPr>
                <w:sz w:val="16"/>
                <w:szCs w:val="16"/>
                <w:lang w:val="en-CA"/>
              </w:rPr>
              <w:t xml:space="preserve">udiciary: 35% </w:t>
            </w:r>
          </w:p>
          <w:p w14:paraId="7D731C72" w14:textId="5FD3F9C9" w:rsidR="00F82D53" w:rsidRPr="00AD2C48" w:rsidRDefault="00F82D53" w:rsidP="007E3D02">
            <w:pPr>
              <w:rPr>
                <w:b/>
                <w:bCs/>
                <w:sz w:val="16"/>
                <w:szCs w:val="16"/>
                <w:lang w:val="en-CA"/>
              </w:rPr>
            </w:pPr>
            <w:r w:rsidRPr="00AD2C48">
              <w:rPr>
                <w:b/>
                <w:bCs/>
                <w:sz w:val="16"/>
                <w:szCs w:val="16"/>
                <w:lang w:val="en-CA"/>
              </w:rPr>
              <w:t xml:space="preserve"> </w:t>
            </w:r>
            <w:r w:rsidR="00E964FC" w:rsidRPr="00AD2C48">
              <w:rPr>
                <w:b/>
                <w:bCs/>
                <w:sz w:val="16"/>
                <w:szCs w:val="16"/>
                <w:lang w:val="en-CA"/>
              </w:rPr>
              <w:t xml:space="preserve">  </w:t>
            </w:r>
            <w:r w:rsidRPr="00AD2C48">
              <w:rPr>
                <w:b/>
                <w:bCs/>
                <w:sz w:val="16"/>
                <w:szCs w:val="16"/>
                <w:lang w:val="en-CA"/>
              </w:rPr>
              <w:t xml:space="preserve">Target (2027): </w:t>
            </w:r>
          </w:p>
          <w:p w14:paraId="4417375A" w14:textId="77777777" w:rsidR="00F82D53" w:rsidRPr="00AD2C48" w:rsidRDefault="00F82D53" w:rsidP="008F6A9E">
            <w:pPr>
              <w:pStyle w:val="ListParagraph"/>
              <w:numPr>
                <w:ilvl w:val="0"/>
                <w:numId w:val="6"/>
              </w:numPr>
              <w:ind w:left="580" w:hanging="270"/>
              <w:contextualSpacing/>
              <w:rPr>
                <w:sz w:val="16"/>
                <w:szCs w:val="16"/>
                <w:lang w:val="en-CA"/>
              </w:rPr>
            </w:pPr>
            <w:r w:rsidRPr="00AD2C48">
              <w:rPr>
                <w:sz w:val="16"/>
                <w:szCs w:val="16"/>
                <w:lang w:val="en-CA"/>
              </w:rPr>
              <w:t xml:space="preserve">Trust in Parliament:  &gt;46% </w:t>
            </w:r>
          </w:p>
          <w:p w14:paraId="49B34DF0" w14:textId="557F39D9" w:rsidR="00F82D53" w:rsidRPr="00AD2C48" w:rsidRDefault="00F82D53" w:rsidP="008F6A9E">
            <w:pPr>
              <w:pStyle w:val="ListParagraph"/>
              <w:numPr>
                <w:ilvl w:val="0"/>
                <w:numId w:val="6"/>
              </w:numPr>
              <w:ind w:left="580" w:hanging="270"/>
              <w:contextualSpacing/>
              <w:rPr>
                <w:sz w:val="16"/>
                <w:szCs w:val="16"/>
                <w:lang w:val="en-CA"/>
              </w:rPr>
            </w:pPr>
            <w:r w:rsidRPr="00AD2C48">
              <w:rPr>
                <w:sz w:val="16"/>
                <w:szCs w:val="16"/>
                <w:lang w:val="en-CA"/>
              </w:rPr>
              <w:t xml:space="preserve">Trust in </w:t>
            </w:r>
            <w:r w:rsidR="00407335" w:rsidRPr="00AD2C48">
              <w:rPr>
                <w:sz w:val="16"/>
                <w:szCs w:val="16"/>
                <w:lang w:val="en-CA"/>
              </w:rPr>
              <w:t>g</w:t>
            </w:r>
            <w:r w:rsidRPr="00AD2C48">
              <w:rPr>
                <w:sz w:val="16"/>
                <w:szCs w:val="16"/>
                <w:lang w:val="en-CA"/>
              </w:rPr>
              <w:t xml:space="preserve">overnment: &gt;48% </w:t>
            </w:r>
          </w:p>
          <w:p w14:paraId="7EC1CCA5" w14:textId="4C68F554" w:rsidR="00F82D53" w:rsidRPr="00AD2C48" w:rsidRDefault="00F82D53" w:rsidP="008F6A9E">
            <w:pPr>
              <w:pStyle w:val="ListParagraph"/>
              <w:numPr>
                <w:ilvl w:val="0"/>
                <w:numId w:val="6"/>
              </w:numPr>
              <w:autoSpaceDE w:val="0"/>
              <w:autoSpaceDN w:val="0"/>
              <w:adjustRightInd w:val="0"/>
              <w:ind w:left="580" w:hanging="270"/>
              <w:contextualSpacing/>
              <w:rPr>
                <w:sz w:val="16"/>
                <w:szCs w:val="16"/>
                <w:lang w:val="en-CA"/>
              </w:rPr>
            </w:pPr>
            <w:r w:rsidRPr="00AD2C48">
              <w:rPr>
                <w:sz w:val="16"/>
                <w:szCs w:val="16"/>
                <w:lang w:val="en-CA"/>
              </w:rPr>
              <w:t xml:space="preserve">Trust in </w:t>
            </w:r>
            <w:r w:rsidR="00407335" w:rsidRPr="00AD2C48">
              <w:rPr>
                <w:sz w:val="16"/>
                <w:szCs w:val="16"/>
                <w:lang w:val="en-CA"/>
              </w:rPr>
              <w:t>c</w:t>
            </w:r>
            <w:r w:rsidRPr="00AD2C48">
              <w:rPr>
                <w:sz w:val="16"/>
                <w:szCs w:val="16"/>
                <w:lang w:val="en-CA"/>
              </w:rPr>
              <w:t xml:space="preserve">ourts and </w:t>
            </w:r>
            <w:r w:rsidR="00407335" w:rsidRPr="00AD2C48">
              <w:rPr>
                <w:sz w:val="16"/>
                <w:szCs w:val="16"/>
                <w:lang w:val="en-CA"/>
              </w:rPr>
              <w:t>j</w:t>
            </w:r>
            <w:r w:rsidRPr="00AD2C48">
              <w:rPr>
                <w:sz w:val="16"/>
                <w:szCs w:val="16"/>
                <w:lang w:val="en-CA"/>
              </w:rPr>
              <w:t xml:space="preserve">udiciary: &gt;37% </w:t>
            </w:r>
          </w:p>
          <w:p w14:paraId="3C473242" w14:textId="77777777" w:rsidR="00EA2A22" w:rsidRPr="00AD2C48" w:rsidRDefault="00EA2A22" w:rsidP="00736BA8">
            <w:pPr>
              <w:pStyle w:val="ListParagraph"/>
              <w:ind w:left="141"/>
              <w:contextualSpacing/>
              <w:rPr>
                <w:rFonts w:eastAsia="SimSun"/>
                <w:bCs/>
                <w:sz w:val="16"/>
                <w:szCs w:val="16"/>
              </w:rPr>
            </w:pPr>
          </w:p>
          <w:p w14:paraId="5FFCD19E" w14:textId="0AE0FFAF" w:rsidR="00F82D53" w:rsidRPr="00AD2C48" w:rsidRDefault="00F82D53" w:rsidP="00736BA8">
            <w:pPr>
              <w:pStyle w:val="ListParagraph"/>
              <w:numPr>
                <w:ilvl w:val="0"/>
                <w:numId w:val="21"/>
              </w:numPr>
              <w:ind w:left="141" w:hanging="141"/>
              <w:contextualSpacing/>
              <w:rPr>
                <w:rFonts w:eastAsia="SimSun"/>
                <w:bCs/>
                <w:sz w:val="16"/>
                <w:szCs w:val="16"/>
              </w:rPr>
            </w:pPr>
            <w:r w:rsidRPr="00AD2C48">
              <w:rPr>
                <w:rFonts w:eastAsia="SimSun"/>
                <w:bCs/>
                <w:sz w:val="16"/>
                <w:szCs w:val="16"/>
              </w:rPr>
              <w:t>World Bank Worldwide Governance</w:t>
            </w:r>
            <w:r w:rsidR="00DA6D08" w:rsidRPr="00AD2C48">
              <w:rPr>
                <w:rFonts w:eastAsia="SimSun"/>
                <w:bCs/>
                <w:sz w:val="16"/>
                <w:szCs w:val="16"/>
              </w:rPr>
              <w:t xml:space="preserve"> </w:t>
            </w:r>
            <w:r w:rsidRPr="00AD2C48">
              <w:rPr>
                <w:rFonts w:eastAsia="SimSun"/>
                <w:bCs/>
                <w:sz w:val="16"/>
                <w:szCs w:val="16"/>
              </w:rPr>
              <w:t xml:space="preserve">Indicators </w:t>
            </w:r>
            <w:r w:rsidR="00EB51A9" w:rsidRPr="00AD2C48">
              <w:rPr>
                <w:rFonts w:eastAsia="SimSun"/>
                <w:bCs/>
                <w:sz w:val="16"/>
                <w:szCs w:val="16"/>
              </w:rPr>
              <w:t>s</w:t>
            </w:r>
            <w:r w:rsidRPr="00AD2C48">
              <w:rPr>
                <w:rFonts w:eastAsia="SimSun"/>
                <w:bCs/>
                <w:sz w:val="16"/>
                <w:szCs w:val="16"/>
              </w:rPr>
              <w:t>core</w:t>
            </w:r>
          </w:p>
          <w:p w14:paraId="01027CC9" w14:textId="084956F0" w:rsidR="00F82D53" w:rsidRPr="00AD2C48" w:rsidRDefault="00E964FC" w:rsidP="001F2346">
            <w:pPr>
              <w:rPr>
                <w:sz w:val="16"/>
                <w:szCs w:val="16"/>
                <w:lang w:val="en-CA"/>
              </w:rPr>
            </w:pPr>
            <w:r w:rsidRPr="00AD2C48">
              <w:rPr>
                <w:b/>
                <w:bCs/>
                <w:sz w:val="16"/>
                <w:szCs w:val="16"/>
                <w:lang w:val="en-CA"/>
              </w:rPr>
              <w:t xml:space="preserve">   </w:t>
            </w:r>
            <w:r w:rsidR="00F82D53" w:rsidRPr="00AD2C48">
              <w:rPr>
                <w:b/>
                <w:bCs/>
                <w:sz w:val="16"/>
                <w:szCs w:val="16"/>
                <w:lang w:val="en-CA"/>
              </w:rPr>
              <w:t>Baseline (2020):</w:t>
            </w:r>
            <w:r w:rsidR="00F82D53" w:rsidRPr="00AD2C48">
              <w:rPr>
                <w:sz w:val="16"/>
                <w:szCs w:val="16"/>
                <w:lang w:val="en-CA"/>
              </w:rPr>
              <w:t xml:space="preserve"> </w:t>
            </w:r>
          </w:p>
          <w:p w14:paraId="5779CB16" w14:textId="1C2E0DD5" w:rsidR="00F82D53" w:rsidRPr="00AD2C48" w:rsidRDefault="00F82D53" w:rsidP="00F82D53">
            <w:pPr>
              <w:pStyle w:val="ListParagraph"/>
              <w:numPr>
                <w:ilvl w:val="0"/>
                <w:numId w:val="5"/>
              </w:numPr>
              <w:ind w:left="565" w:hanging="283"/>
              <w:contextualSpacing/>
              <w:rPr>
                <w:sz w:val="16"/>
                <w:szCs w:val="16"/>
                <w:lang w:val="en-CA"/>
              </w:rPr>
            </w:pPr>
            <w:r w:rsidRPr="00AD2C48">
              <w:rPr>
                <w:sz w:val="16"/>
                <w:szCs w:val="16"/>
                <w:lang w:val="en-CA"/>
              </w:rPr>
              <w:t xml:space="preserve">Government </w:t>
            </w:r>
            <w:r w:rsidR="00407335" w:rsidRPr="00AD2C48">
              <w:rPr>
                <w:sz w:val="16"/>
                <w:szCs w:val="16"/>
                <w:lang w:val="en-CA"/>
              </w:rPr>
              <w:t>e</w:t>
            </w:r>
            <w:r w:rsidRPr="00AD2C48">
              <w:rPr>
                <w:sz w:val="16"/>
                <w:szCs w:val="16"/>
                <w:lang w:val="en-CA"/>
              </w:rPr>
              <w:t xml:space="preserve">ffectiveness </w:t>
            </w:r>
            <w:r w:rsidR="00407335" w:rsidRPr="00AD2C48">
              <w:rPr>
                <w:sz w:val="16"/>
                <w:szCs w:val="16"/>
                <w:lang w:val="en-CA"/>
              </w:rPr>
              <w:t>i</w:t>
            </w:r>
            <w:r w:rsidRPr="00AD2C48">
              <w:rPr>
                <w:sz w:val="16"/>
                <w:szCs w:val="16"/>
                <w:lang w:val="en-CA"/>
              </w:rPr>
              <w:t xml:space="preserve">ndex: 53.37 </w:t>
            </w:r>
          </w:p>
          <w:p w14:paraId="7671014D" w14:textId="6D479657" w:rsidR="00F82D53" w:rsidRPr="00AD2C48" w:rsidRDefault="00F82D53" w:rsidP="00F82D53">
            <w:pPr>
              <w:pStyle w:val="ListParagraph"/>
              <w:numPr>
                <w:ilvl w:val="0"/>
                <w:numId w:val="5"/>
              </w:numPr>
              <w:spacing w:after="160" w:line="259" w:lineRule="auto"/>
              <w:ind w:left="565" w:hanging="283"/>
              <w:contextualSpacing/>
              <w:rPr>
                <w:sz w:val="16"/>
                <w:szCs w:val="16"/>
                <w:lang w:val="en-CA"/>
              </w:rPr>
            </w:pPr>
            <w:r w:rsidRPr="00AD2C48">
              <w:rPr>
                <w:sz w:val="16"/>
                <w:szCs w:val="16"/>
                <w:lang w:val="en-CA"/>
              </w:rPr>
              <w:t xml:space="preserve">Voice and </w:t>
            </w:r>
            <w:r w:rsidR="00407335" w:rsidRPr="00AD2C48">
              <w:rPr>
                <w:sz w:val="16"/>
                <w:szCs w:val="16"/>
                <w:lang w:val="en-CA"/>
              </w:rPr>
              <w:t>a</w:t>
            </w:r>
            <w:r w:rsidRPr="00AD2C48">
              <w:rPr>
                <w:sz w:val="16"/>
                <w:szCs w:val="16"/>
                <w:lang w:val="en-CA"/>
              </w:rPr>
              <w:t xml:space="preserve">ccountability </w:t>
            </w:r>
            <w:r w:rsidR="00407335" w:rsidRPr="00AD2C48">
              <w:rPr>
                <w:sz w:val="16"/>
                <w:szCs w:val="16"/>
                <w:lang w:val="en-CA"/>
              </w:rPr>
              <w:t>i</w:t>
            </w:r>
            <w:r w:rsidRPr="00AD2C48">
              <w:rPr>
                <w:sz w:val="16"/>
                <w:szCs w:val="16"/>
                <w:lang w:val="en-CA"/>
              </w:rPr>
              <w:t>ndex: 48.79</w:t>
            </w:r>
          </w:p>
          <w:p w14:paraId="439173DA" w14:textId="5EAB2765" w:rsidR="00F82D53" w:rsidRPr="00AD2C48" w:rsidRDefault="00F82D53" w:rsidP="007E3D02">
            <w:pPr>
              <w:pStyle w:val="ListParagraph"/>
              <w:numPr>
                <w:ilvl w:val="0"/>
                <w:numId w:val="5"/>
              </w:numPr>
              <w:ind w:left="565" w:hanging="283"/>
              <w:contextualSpacing/>
              <w:rPr>
                <w:sz w:val="16"/>
                <w:szCs w:val="16"/>
                <w:lang w:val="en-CA"/>
              </w:rPr>
            </w:pPr>
            <w:r w:rsidRPr="00AD2C48">
              <w:rPr>
                <w:sz w:val="16"/>
                <w:szCs w:val="16"/>
                <w:lang w:val="en-CA"/>
              </w:rPr>
              <w:t xml:space="preserve">Rule of </w:t>
            </w:r>
            <w:r w:rsidR="00407335" w:rsidRPr="00AD2C48">
              <w:rPr>
                <w:sz w:val="16"/>
                <w:szCs w:val="16"/>
                <w:lang w:val="en-CA"/>
              </w:rPr>
              <w:t>l</w:t>
            </w:r>
            <w:r w:rsidRPr="00AD2C48">
              <w:rPr>
                <w:sz w:val="16"/>
                <w:szCs w:val="16"/>
                <w:lang w:val="en-CA"/>
              </w:rPr>
              <w:t xml:space="preserve">aw </w:t>
            </w:r>
            <w:r w:rsidR="00407335" w:rsidRPr="00AD2C48">
              <w:rPr>
                <w:sz w:val="16"/>
                <w:szCs w:val="16"/>
                <w:lang w:val="en-CA"/>
              </w:rPr>
              <w:t>i</w:t>
            </w:r>
            <w:r w:rsidRPr="00AD2C48">
              <w:rPr>
                <w:sz w:val="16"/>
                <w:szCs w:val="16"/>
                <w:lang w:val="en-CA"/>
              </w:rPr>
              <w:t>ndex: 55.29</w:t>
            </w:r>
          </w:p>
          <w:p w14:paraId="3E1651F4" w14:textId="51F08F88" w:rsidR="00F82D53" w:rsidRPr="00AD2C48" w:rsidRDefault="00E964FC" w:rsidP="001F2346">
            <w:pPr>
              <w:rPr>
                <w:b/>
                <w:bCs/>
                <w:sz w:val="16"/>
                <w:szCs w:val="16"/>
                <w:lang w:val="en-CA"/>
              </w:rPr>
            </w:pPr>
            <w:r w:rsidRPr="00AD2C48">
              <w:rPr>
                <w:b/>
                <w:bCs/>
                <w:sz w:val="16"/>
                <w:szCs w:val="16"/>
                <w:lang w:val="en-CA"/>
              </w:rPr>
              <w:t xml:space="preserve"> </w:t>
            </w:r>
            <w:r w:rsidR="00F82D53" w:rsidRPr="00AD2C48">
              <w:rPr>
                <w:b/>
                <w:bCs/>
                <w:sz w:val="16"/>
                <w:szCs w:val="16"/>
                <w:lang w:val="en-CA"/>
              </w:rPr>
              <w:t>Target (2027):</w:t>
            </w:r>
          </w:p>
          <w:p w14:paraId="7952DCB9" w14:textId="672AC3B2" w:rsidR="00F82D53" w:rsidRPr="00AD2C48" w:rsidRDefault="00F82D53" w:rsidP="00F82D53">
            <w:pPr>
              <w:pStyle w:val="ListParagraph"/>
              <w:numPr>
                <w:ilvl w:val="0"/>
                <w:numId w:val="14"/>
              </w:numPr>
              <w:ind w:left="565" w:hanging="283"/>
              <w:contextualSpacing/>
              <w:rPr>
                <w:sz w:val="16"/>
                <w:szCs w:val="16"/>
                <w:lang w:val="en-CA"/>
              </w:rPr>
            </w:pPr>
            <w:r w:rsidRPr="00AD2C48">
              <w:rPr>
                <w:sz w:val="16"/>
                <w:szCs w:val="16"/>
                <w:lang w:val="en-CA"/>
              </w:rPr>
              <w:t xml:space="preserve">Government </w:t>
            </w:r>
            <w:r w:rsidR="00407335" w:rsidRPr="00AD2C48">
              <w:rPr>
                <w:sz w:val="16"/>
                <w:szCs w:val="16"/>
                <w:lang w:val="en-CA"/>
              </w:rPr>
              <w:t>e</w:t>
            </w:r>
            <w:r w:rsidRPr="00AD2C48">
              <w:rPr>
                <w:sz w:val="16"/>
                <w:szCs w:val="16"/>
                <w:lang w:val="en-CA"/>
              </w:rPr>
              <w:t xml:space="preserve">ffectiveness </w:t>
            </w:r>
            <w:r w:rsidR="00407335" w:rsidRPr="00AD2C48">
              <w:rPr>
                <w:sz w:val="16"/>
                <w:szCs w:val="16"/>
                <w:lang w:val="en-CA"/>
              </w:rPr>
              <w:t>i</w:t>
            </w:r>
            <w:r w:rsidRPr="00AD2C48">
              <w:rPr>
                <w:sz w:val="16"/>
                <w:szCs w:val="16"/>
                <w:lang w:val="en-CA"/>
              </w:rPr>
              <w:t>ndex:  &gt;55</w:t>
            </w:r>
          </w:p>
          <w:p w14:paraId="7AEA924D" w14:textId="390AEC01" w:rsidR="00F82D53" w:rsidRPr="00AD2C48" w:rsidRDefault="00F82D53" w:rsidP="00293712">
            <w:pPr>
              <w:pStyle w:val="ListParagraph"/>
              <w:numPr>
                <w:ilvl w:val="0"/>
                <w:numId w:val="14"/>
              </w:numPr>
              <w:ind w:left="565" w:hanging="283"/>
              <w:contextualSpacing/>
              <w:rPr>
                <w:sz w:val="16"/>
                <w:szCs w:val="16"/>
                <w:lang w:val="en-CA"/>
              </w:rPr>
            </w:pPr>
            <w:r w:rsidRPr="00AD2C48">
              <w:rPr>
                <w:sz w:val="16"/>
                <w:szCs w:val="16"/>
                <w:lang w:val="en-CA"/>
              </w:rPr>
              <w:t xml:space="preserve">Voice and </w:t>
            </w:r>
            <w:r w:rsidR="00407335" w:rsidRPr="00AD2C48">
              <w:rPr>
                <w:sz w:val="16"/>
                <w:szCs w:val="16"/>
                <w:lang w:val="en-CA"/>
              </w:rPr>
              <w:t>a</w:t>
            </w:r>
            <w:r w:rsidRPr="00AD2C48">
              <w:rPr>
                <w:sz w:val="16"/>
                <w:szCs w:val="16"/>
                <w:lang w:val="en-CA"/>
              </w:rPr>
              <w:t xml:space="preserve">ccountability </w:t>
            </w:r>
            <w:r w:rsidR="00407335" w:rsidRPr="00AD2C48">
              <w:rPr>
                <w:sz w:val="16"/>
                <w:szCs w:val="16"/>
                <w:lang w:val="en-CA"/>
              </w:rPr>
              <w:t>i</w:t>
            </w:r>
            <w:r w:rsidRPr="00AD2C48">
              <w:rPr>
                <w:sz w:val="16"/>
                <w:szCs w:val="16"/>
                <w:lang w:val="en-CA"/>
              </w:rPr>
              <w:t>ndex: &gt;49</w:t>
            </w:r>
          </w:p>
          <w:p w14:paraId="13FB7FCC" w14:textId="4B018409" w:rsidR="00F82D53" w:rsidRPr="00AD2C48" w:rsidRDefault="00F82D53" w:rsidP="00293712">
            <w:pPr>
              <w:pStyle w:val="ListParagraph"/>
              <w:numPr>
                <w:ilvl w:val="0"/>
                <w:numId w:val="14"/>
              </w:numPr>
              <w:ind w:left="565" w:hanging="283"/>
              <w:contextualSpacing/>
              <w:rPr>
                <w:sz w:val="16"/>
                <w:szCs w:val="16"/>
                <w:lang w:val="en-CA"/>
              </w:rPr>
            </w:pPr>
            <w:r w:rsidRPr="00AD2C48">
              <w:rPr>
                <w:sz w:val="16"/>
                <w:szCs w:val="16"/>
                <w:lang w:val="en-CA"/>
              </w:rPr>
              <w:t xml:space="preserve">Rule of </w:t>
            </w:r>
            <w:r w:rsidR="00407335" w:rsidRPr="00AD2C48">
              <w:rPr>
                <w:sz w:val="16"/>
                <w:szCs w:val="16"/>
                <w:lang w:val="en-CA"/>
              </w:rPr>
              <w:t>l</w:t>
            </w:r>
            <w:r w:rsidRPr="00AD2C48">
              <w:rPr>
                <w:sz w:val="16"/>
                <w:szCs w:val="16"/>
                <w:lang w:val="en-CA"/>
              </w:rPr>
              <w:t xml:space="preserve">aw </w:t>
            </w:r>
            <w:r w:rsidR="00407335" w:rsidRPr="00AD2C48">
              <w:rPr>
                <w:sz w:val="16"/>
                <w:szCs w:val="16"/>
                <w:lang w:val="en-CA"/>
              </w:rPr>
              <w:t>i</w:t>
            </w:r>
            <w:r w:rsidRPr="00AD2C48">
              <w:rPr>
                <w:sz w:val="16"/>
                <w:szCs w:val="16"/>
                <w:lang w:val="en-CA"/>
              </w:rPr>
              <w:t xml:space="preserve">ndex: &gt;57 </w:t>
            </w:r>
          </w:p>
          <w:p w14:paraId="32627746" w14:textId="77777777" w:rsidR="00F82D53" w:rsidRPr="00AD2C48" w:rsidRDefault="00F82D53" w:rsidP="008C416E">
            <w:pPr>
              <w:pStyle w:val="ListParagraph"/>
              <w:ind w:left="141"/>
              <w:contextualSpacing/>
              <w:rPr>
                <w:rFonts w:eastAsia="SimSun"/>
                <w:bCs/>
                <w:sz w:val="16"/>
                <w:szCs w:val="16"/>
              </w:rPr>
            </w:pPr>
          </w:p>
          <w:p w14:paraId="06867AD2" w14:textId="23D56DDA" w:rsidR="00F82D53" w:rsidRPr="00AD2C48" w:rsidRDefault="00F82D53" w:rsidP="008C416E">
            <w:pPr>
              <w:pStyle w:val="ListParagraph"/>
              <w:numPr>
                <w:ilvl w:val="0"/>
                <w:numId w:val="21"/>
              </w:numPr>
              <w:ind w:left="141" w:hanging="141"/>
              <w:contextualSpacing/>
              <w:rPr>
                <w:rFonts w:eastAsia="SimSun"/>
                <w:bCs/>
                <w:sz w:val="16"/>
                <w:szCs w:val="16"/>
              </w:rPr>
            </w:pPr>
            <w:r w:rsidRPr="00AD2C48">
              <w:rPr>
                <w:rFonts w:eastAsia="SimSun"/>
                <w:bCs/>
                <w:sz w:val="16"/>
                <w:szCs w:val="16"/>
              </w:rPr>
              <w:t xml:space="preserve">Corruption </w:t>
            </w:r>
            <w:r w:rsidR="00407335" w:rsidRPr="00AD2C48">
              <w:rPr>
                <w:rFonts w:eastAsia="SimSun"/>
                <w:bCs/>
                <w:sz w:val="16"/>
                <w:szCs w:val="16"/>
              </w:rPr>
              <w:t>p</w:t>
            </w:r>
            <w:r w:rsidRPr="00AD2C48">
              <w:rPr>
                <w:rFonts w:eastAsia="SimSun"/>
                <w:bCs/>
                <w:sz w:val="16"/>
                <w:szCs w:val="16"/>
              </w:rPr>
              <w:t xml:space="preserve">erception </w:t>
            </w:r>
            <w:r w:rsidR="00407335" w:rsidRPr="00AD2C48">
              <w:rPr>
                <w:rFonts w:eastAsia="SimSun"/>
                <w:bCs/>
                <w:sz w:val="16"/>
                <w:szCs w:val="16"/>
              </w:rPr>
              <w:t>i</w:t>
            </w:r>
            <w:r w:rsidRPr="00AD2C48">
              <w:rPr>
                <w:rFonts w:eastAsia="SimSun"/>
                <w:bCs/>
                <w:sz w:val="16"/>
                <w:szCs w:val="16"/>
              </w:rPr>
              <w:t>ndex score</w:t>
            </w:r>
          </w:p>
          <w:p w14:paraId="70227B37" w14:textId="4DBB67C9" w:rsidR="00F82D53" w:rsidRPr="00AD2C48" w:rsidRDefault="00BE28F4" w:rsidP="007E3D02">
            <w:pPr>
              <w:autoSpaceDE w:val="0"/>
              <w:autoSpaceDN w:val="0"/>
              <w:adjustRightInd w:val="0"/>
              <w:rPr>
                <w:sz w:val="16"/>
                <w:szCs w:val="16"/>
                <w:lang w:val="en-CA"/>
              </w:rPr>
            </w:pPr>
            <w:r w:rsidRPr="00AD2C48">
              <w:rPr>
                <w:b/>
                <w:bCs/>
                <w:sz w:val="16"/>
                <w:szCs w:val="16"/>
                <w:lang w:val="en-CA"/>
              </w:rPr>
              <w:t xml:space="preserve">   </w:t>
            </w:r>
            <w:r w:rsidR="008C416E" w:rsidRPr="00AD2C48">
              <w:rPr>
                <w:b/>
                <w:bCs/>
                <w:sz w:val="16"/>
                <w:szCs w:val="16"/>
                <w:lang w:val="en-CA"/>
              </w:rPr>
              <w:t xml:space="preserve"> </w:t>
            </w:r>
            <w:r w:rsidR="00F82D53" w:rsidRPr="00AD2C48">
              <w:rPr>
                <w:b/>
                <w:bCs/>
                <w:sz w:val="16"/>
                <w:szCs w:val="16"/>
                <w:lang w:val="en-CA"/>
              </w:rPr>
              <w:t>Baseline (2021)</w:t>
            </w:r>
            <w:r w:rsidR="00F82D53" w:rsidRPr="00AD2C48">
              <w:rPr>
                <w:sz w:val="16"/>
                <w:szCs w:val="16"/>
                <w:lang w:val="en-CA"/>
              </w:rPr>
              <w:t xml:space="preserve">: 46/100 </w:t>
            </w:r>
          </w:p>
          <w:p w14:paraId="75DDDE45" w14:textId="2989595F" w:rsidR="00F82D53" w:rsidRPr="00AD2C48" w:rsidRDefault="00BE28F4" w:rsidP="007E3D02">
            <w:pPr>
              <w:rPr>
                <w:sz w:val="16"/>
                <w:szCs w:val="16"/>
                <w:lang w:val="en-CA"/>
              </w:rPr>
            </w:pPr>
            <w:r w:rsidRPr="00AD2C48">
              <w:rPr>
                <w:b/>
                <w:bCs/>
                <w:sz w:val="16"/>
                <w:szCs w:val="16"/>
                <w:lang w:val="en-CA"/>
              </w:rPr>
              <w:lastRenderedPageBreak/>
              <w:t xml:space="preserve">   </w:t>
            </w:r>
            <w:r w:rsidR="008C416E" w:rsidRPr="00AD2C48">
              <w:rPr>
                <w:b/>
                <w:bCs/>
                <w:sz w:val="16"/>
                <w:szCs w:val="16"/>
                <w:lang w:val="en-CA"/>
              </w:rPr>
              <w:t xml:space="preserve"> </w:t>
            </w:r>
            <w:r w:rsidR="00F82D53" w:rsidRPr="00AD2C48">
              <w:rPr>
                <w:b/>
                <w:bCs/>
                <w:sz w:val="16"/>
                <w:szCs w:val="16"/>
                <w:lang w:val="en-CA"/>
              </w:rPr>
              <w:t>Target (2027)</w:t>
            </w:r>
            <w:r w:rsidR="00F82D53" w:rsidRPr="00AD2C48">
              <w:rPr>
                <w:sz w:val="16"/>
                <w:szCs w:val="16"/>
                <w:lang w:val="en-CA"/>
              </w:rPr>
              <w:t>: &gt;63.7/100</w:t>
            </w:r>
          </w:p>
          <w:p w14:paraId="5BA4EF7B" w14:textId="77777777" w:rsidR="00F82D53" w:rsidRPr="00AD2C48" w:rsidRDefault="00F82D53" w:rsidP="007E3D02">
            <w:pPr>
              <w:rPr>
                <w:sz w:val="16"/>
                <w:szCs w:val="16"/>
                <w:lang w:val="en-CA"/>
              </w:rPr>
            </w:pPr>
          </w:p>
        </w:tc>
        <w:tc>
          <w:tcPr>
            <w:tcW w:w="1985" w:type="dxa"/>
            <w:shd w:val="clear" w:color="auto" w:fill="auto"/>
          </w:tcPr>
          <w:p w14:paraId="5A7E0F66" w14:textId="24E81EB0" w:rsidR="002844C4" w:rsidRPr="00AD2C48" w:rsidRDefault="00F82D53" w:rsidP="002844C4">
            <w:pPr>
              <w:pStyle w:val="ListParagraph"/>
              <w:numPr>
                <w:ilvl w:val="0"/>
                <w:numId w:val="11"/>
              </w:numPr>
              <w:ind w:left="282" w:hanging="170"/>
              <w:contextualSpacing/>
              <w:rPr>
                <w:sz w:val="16"/>
                <w:szCs w:val="16"/>
              </w:rPr>
            </w:pPr>
            <w:r w:rsidRPr="00AD2C48">
              <w:rPr>
                <w:sz w:val="16"/>
                <w:szCs w:val="16"/>
                <w:lang w:val="en-CA"/>
              </w:rPr>
              <w:lastRenderedPageBreak/>
              <w:t>National Parliament Inter-parliamentary Union</w:t>
            </w:r>
          </w:p>
          <w:p w14:paraId="016C8A9E" w14:textId="3EAC1806" w:rsidR="00E65C10" w:rsidRPr="00AD2C48" w:rsidRDefault="00E65C10" w:rsidP="00E65C10">
            <w:pPr>
              <w:contextualSpacing/>
              <w:rPr>
                <w:sz w:val="16"/>
                <w:szCs w:val="16"/>
              </w:rPr>
            </w:pPr>
          </w:p>
          <w:p w14:paraId="6B22802F" w14:textId="259C7B65" w:rsidR="00E65C10" w:rsidRPr="00AD2C48" w:rsidRDefault="00E65C10" w:rsidP="00E65C10">
            <w:pPr>
              <w:contextualSpacing/>
              <w:rPr>
                <w:sz w:val="16"/>
                <w:szCs w:val="16"/>
              </w:rPr>
            </w:pPr>
          </w:p>
          <w:p w14:paraId="7F368FF4" w14:textId="6B3D81AB" w:rsidR="00E65C10" w:rsidRPr="00AD2C48" w:rsidRDefault="00E65C10" w:rsidP="00E65C10">
            <w:pPr>
              <w:contextualSpacing/>
              <w:rPr>
                <w:sz w:val="16"/>
                <w:szCs w:val="16"/>
              </w:rPr>
            </w:pPr>
          </w:p>
          <w:p w14:paraId="31A46B0B" w14:textId="0BAB4A75" w:rsidR="00E65C10" w:rsidRPr="00AD2C48" w:rsidRDefault="00E65C10" w:rsidP="00E65C10">
            <w:pPr>
              <w:contextualSpacing/>
              <w:rPr>
                <w:sz w:val="16"/>
                <w:szCs w:val="16"/>
              </w:rPr>
            </w:pPr>
          </w:p>
          <w:p w14:paraId="45542C97" w14:textId="493F7EA3" w:rsidR="00E65C10" w:rsidRPr="00AD2C48" w:rsidRDefault="00E65C10" w:rsidP="00E65C10">
            <w:pPr>
              <w:contextualSpacing/>
              <w:rPr>
                <w:sz w:val="16"/>
                <w:szCs w:val="16"/>
              </w:rPr>
            </w:pPr>
          </w:p>
          <w:p w14:paraId="23EA0EA1" w14:textId="26ADD0AA" w:rsidR="00E65C10" w:rsidRPr="00AD2C48" w:rsidRDefault="00E65C10" w:rsidP="00E65C10">
            <w:pPr>
              <w:contextualSpacing/>
              <w:rPr>
                <w:sz w:val="16"/>
                <w:szCs w:val="16"/>
              </w:rPr>
            </w:pPr>
          </w:p>
          <w:p w14:paraId="752ACBD7" w14:textId="05DAFF41" w:rsidR="00E65C10" w:rsidRPr="00AD2C48" w:rsidRDefault="00E65C10" w:rsidP="00E65C10">
            <w:pPr>
              <w:contextualSpacing/>
              <w:rPr>
                <w:sz w:val="16"/>
                <w:szCs w:val="16"/>
              </w:rPr>
            </w:pPr>
          </w:p>
          <w:p w14:paraId="3D7F15BD" w14:textId="4F71C52E" w:rsidR="00E65C10" w:rsidRPr="00AD2C48" w:rsidRDefault="00E65C10" w:rsidP="00E65C10">
            <w:pPr>
              <w:contextualSpacing/>
              <w:rPr>
                <w:sz w:val="16"/>
                <w:szCs w:val="16"/>
              </w:rPr>
            </w:pPr>
          </w:p>
          <w:p w14:paraId="5AA66787" w14:textId="3CDE7C83" w:rsidR="00E65C10" w:rsidRPr="00AD2C48" w:rsidRDefault="00E65C10" w:rsidP="00E65C10">
            <w:pPr>
              <w:contextualSpacing/>
              <w:rPr>
                <w:sz w:val="16"/>
                <w:szCs w:val="16"/>
              </w:rPr>
            </w:pPr>
          </w:p>
          <w:p w14:paraId="3E5B7898" w14:textId="562E323D" w:rsidR="00E65C10" w:rsidRPr="00AD2C48" w:rsidRDefault="00E65C10" w:rsidP="00E65C10">
            <w:pPr>
              <w:contextualSpacing/>
              <w:rPr>
                <w:sz w:val="16"/>
                <w:szCs w:val="16"/>
              </w:rPr>
            </w:pPr>
          </w:p>
          <w:p w14:paraId="454A31E4" w14:textId="4A68C89A" w:rsidR="00E65C10" w:rsidRPr="00AD2C48" w:rsidRDefault="00E65C10" w:rsidP="00E65C10">
            <w:pPr>
              <w:contextualSpacing/>
              <w:rPr>
                <w:sz w:val="16"/>
                <w:szCs w:val="16"/>
              </w:rPr>
            </w:pPr>
          </w:p>
          <w:p w14:paraId="30E48E71" w14:textId="77777777" w:rsidR="00E65C10" w:rsidRPr="00AD2C48" w:rsidRDefault="00E65C10" w:rsidP="00E65C10">
            <w:pPr>
              <w:contextualSpacing/>
              <w:rPr>
                <w:sz w:val="16"/>
                <w:szCs w:val="16"/>
              </w:rPr>
            </w:pPr>
          </w:p>
          <w:p w14:paraId="118FDA88" w14:textId="2E305E31" w:rsidR="00F82D53" w:rsidRPr="00AD2C48" w:rsidRDefault="00F76CBD">
            <w:pPr>
              <w:pStyle w:val="ListParagraph"/>
              <w:numPr>
                <w:ilvl w:val="0"/>
                <w:numId w:val="11"/>
              </w:numPr>
              <w:ind w:left="282" w:hanging="170"/>
              <w:contextualSpacing/>
              <w:rPr>
                <w:sz w:val="16"/>
                <w:szCs w:val="16"/>
              </w:rPr>
            </w:pPr>
            <w:r w:rsidRPr="00AD2C48">
              <w:rPr>
                <w:sz w:val="16"/>
                <w:szCs w:val="16"/>
              </w:rPr>
              <w:t>Re</w:t>
            </w:r>
            <w:r w:rsidR="002844C4" w:rsidRPr="00AD2C48">
              <w:rPr>
                <w:sz w:val="16"/>
                <w:szCs w:val="16"/>
              </w:rPr>
              <w:t>gional Cooperation Cou</w:t>
            </w:r>
            <w:r w:rsidR="00C32997" w:rsidRPr="00AD2C48">
              <w:rPr>
                <w:sz w:val="16"/>
                <w:szCs w:val="16"/>
              </w:rPr>
              <w:t>n</w:t>
            </w:r>
            <w:r w:rsidR="002844C4" w:rsidRPr="00AD2C48">
              <w:rPr>
                <w:sz w:val="16"/>
                <w:szCs w:val="16"/>
              </w:rPr>
              <w:t xml:space="preserve">cil </w:t>
            </w:r>
            <w:r w:rsidR="00F82D53" w:rsidRPr="00AD2C48">
              <w:rPr>
                <w:sz w:val="16"/>
                <w:szCs w:val="16"/>
              </w:rPr>
              <w:t>Balkan Barometer</w:t>
            </w:r>
          </w:p>
          <w:p w14:paraId="109A4715" w14:textId="3D7F74D1" w:rsidR="00F76CBD" w:rsidRPr="00AD2C48" w:rsidRDefault="00F76CBD" w:rsidP="00F76CBD">
            <w:pPr>
              <w:contextualSpacing/>
              <w:rPr>
                <w:sz w:val="16"/>
                <w:szCs w:val="16"/>
              </w:rPr>
            </w:pPr>
          </w:p>
          <w:p w14:paraId="5DB15921" w14:textId="77777777" w:rsidR="00F76CBD" w:rsidRPr="00AD2C48" w:rsidRDefault="00F76CBD" w:rsidP="00F76CBD">
            <w:pPr>
              <w:contextualSpacing/>
              <w:rPr>
                <w:sz w:val="16"/>
                <w:szCs w:val="16"/>
              </w:rPr>
            </w:pPr>
          </w:p>
          <w:p w14:paraId="54D0C356" w14:textId="55F57E24" w:rsidR="00E65C10" w:rsidRPr="00AD2C48" w:rsidRDefault="00E65C10" w:rsidP="00E65C10">
            <w:pPr>
              <w:contextualSpacing/>
              <w:rPr>
                <w:sz w:val="16"/>
                <w:szCs w:val="16"/>
              </w:rPr>
            </w:pPr>
          </w:p>
          <w:p w14:paraId="45F506F1" w14:textId="6418198D" w:rsidR="00E65C10" w:rsidRPr="00AD2C48" w:rsidRDefault="00E65C10" w:rsidP="00E65C10">
            <w:pPr>
              <w:contextualSpacing/>
              <w:rPr>
                <w:sz w:val="16"/>
                <w:szCs w:val="16"/>
              </w:rPr>
            </w:pPr>
          </w:p>
          <w:p w14:paraId="0B991370" w14:textId="0A8B61AB" w:rsidR="00E65C10" w:rsidRPr="00AD2C48" w:rsidRDefault="00E65C10" w:rsidP="00E65C10">
            <w:pPr>
              <w:contextualSpacing/>
              <w:rPr>
                <w:sz w:val="16"/>
                <w:szCs w:val="16"/>
              </w:rPr>
            </w:pPr>
          </w:p>
          <w:p w14:paraId="202E9685" w14:textId="3651250A" w:rsidR="00E65C10" w:rsidRPr="00AD2C48" w:rsidRDefault="00E65C10" w:rsidP="00E65C10">
            <w:pPr>
              <w:contextualSpacing/>
              <w:rPr>
                <w:sz w:val="16"/>
                <w:szCs w:val="16"/>
              </w:rPr>
            </w:pPr>
          </w:p>
          <w:p w14:paraId="6206B75D" w14:textId="582D1216" w:rsidR="00E65C10" w:rsidRPr="00AD2C48" w:rsidRDefault="00E65C10" w:rsidP="00E65C10">
            <w:pPr>
              <w:contextualSpacing/>
              <w:rPr>
                <w:sz w:val="16"/>
                <w:szCs w:val="16"/>
              </w:rPr>
            </w:pPr>
          </w:p>
          <w:p w14:paraId="541BA87D" w14:textId="441B9CBA" w:rsidR="00E65C10" w:rsidRPr="00AD2C48" w:rsidRDefault="00E65C10" w:rsidP="00E65C10">
            <w:pPr>
              <w:contextualSpacing/>
              <w:rPr>
                <w:sz w:val="16"/>
                <w:szCs w:val="16"/>
              </w:rPr>
            </w:pPr>
          </w:p>
          <w:p w14:paraId="725852D3" w14:textId="416E5EE4" w:rsidR="00E65C10" w:rsidRPr="00AD2C48" w:rsidRDefault="00E65C10" w:rsidP="00E65C10">
            <w:pPr>
              <w:contextualSpacing/>
              <w:rPr>
                <w:sz w:val="16"/>
                <w:szCs w:val="16"/>
              </w:rPr>
            </w:pPr>
          </w:p>
          <w:p w14:paraId="423B1C95" w14:textId="32C59744" w:rsidR="00E65C10" w:rsidRPr="00AD2C48" w:rsidRDefault="00E65C10" w:rsidP="00E65C10">
            <w:pPr>
              <w:contextualSpacing/>
              <w:rPr>
                <w:sz w:val="16"/>
                <w:szCs w:val="16"/>
              </w:rPr>
            </w:pPr>
          </w:p>
          <w:p w14:paraId="6148EAC9" w14:textId="45640E1D" w:rsidR="00E65C10" w:rsidRPr="00AD2C48" w:rsidRDefault="00E65C10" w:rsidP="00E65C10">
            <w:pPr>
              <w:contextualSpacing/>
              <w:rPr>
                <w:sz w:val="16"/>
                <w:szCs w:val="16"/>
              </w:rPr>
            </w:pPr>
          </w:p>
          <w:p w14:paraId="2A7E5A5C" w14:textId="4C5D3D82" w:rsidR="00E65C10" w:rsidRPr="00AD2C48" w:rsidRDefault="00E65C10" w:rsidP="00E65C10">
            <w:pPr>
              <w:contextualSpacing/>
              <w:rPr>
                <w:sz w:val="16"/>
                <w:szCs w:val="16"/>
              </w:rPr>
            </w:pPr>
          </w:p>
          <w:p w14:paraId="300D8602" w14:textId="5088F547" w:rsidR="00E65C10" w:rsidRPr="00AD2C48" w:rsidRDefault="00E65C10" w:rsidP="00E65C10">
            <w:pPr>
              <w:contextualSpacing/>
              <w:rPr>
                <w:sz w:val="16"/>
                <w:szCs w:val="16"/>
              </w:rPr>
            </w:pPr>
          </w:p>
          <w:p w14:paraId="31369004" w14:textId="77777777" w:rsidR="00E65C10" w:rsidRPr="00AD2C48" w:rsidRDefault="00E65C10" w:rsidP="00E65C10">
            <w:pPr>
              <w:contextualSpacing/>
              <w:rPr>
                <w:sz w:val="16"/>
                <w:szCs w:val="16"/>
              </w:rPr>
            </w:pPr>
          </w:p>
          <w:p w14:paraId="56BF5B56" w14:textId="3E8A2FFD" w:rsidR="00F82D53" w:rsidRPr="00AD2C48" w:rsidRDefault="00F82D53">
            <w:pPr>
              <w:pStyle w:val="ListParagraph"/>
              <w:numPr>
                <w:ilvl w:val="0"/>
                <w:numId w:val="11"/>
              </w:numPr>
              <w:ind w:left="282" w:hanging="170"/>
              <w:contextualSpacing/>
              <w:rPr>
                <w:sz w:val="16"/>
                <w:szCs w:val="16"/>
              </w:rPr>
            </w:pPr>
            <w:r w:rsidRPr="00AD2C48">
              <w:rPr>
                <w:sz w:val="16"/>
                <w:szCs w:val="16"/>
              </w:rPr>
              <w:t>World Bank</w:t>
            </w:r>
          </w:p>
          <w:p w14:paraId="565FC6CA" w14:textId="00E4A30F" w:rsidR="00F76CBD" w:rsidRPr="00AD2C48" w:rsidRDefault="00F76CBD" w:rsidP="00F76CBD">
            <w:pPr>
              <w:contextualSpacing/>
              <w:rPr>
                <w:sz w:val="16"/>
                <w:szCs w:val="16"/>
              </w:rPr>
            </w:pPr>
          </w:p>
          <w:p w14:paraId="5E502ECB" w14:textId="4520125D" w:rsidR="00F76CBD" w:rsidRPr="00AD2C48" w:rsidRDefault="00F76CBD" w:rsidP="00F76CBD">
            <w:pPr>
              <w:contextualSpacing/>
              <w:rPr>
                <w:sz w:val="16"/>
                <w:szCs w:val="16"/>
              </w:rPr>
            </w:pPr>
          </w:p>
          <w:p w14:paraId="7A6D5F4F" w14:textId="3F1CDD8E" w:rsidR="00F76CBD" w:rsidRPr="00AD2C48" w:rsidRDefault="00F76CBD" w:rsidP="00F76CBD">
            <w:pPr>
              <w:contextualSpacing/>
              <w:rPr>
                <w:sz w:val="16"/>
                <w:szCs w:val="16"/>
              </w:rPr>
            </w:pPr>
          </w:p>
          <w:p w14:paraId="516C53F2" w14:textId="731A6546" w:rsidR="00F76CBD" w:rsidRPr="00AD2C48" w:rsidRDefault="00F76CBD" w:rsidP="00F76CBD">
            <w:pPr>
              <w:contextualSpacing/>
              <w:rPr>
                <w:sz w:val="16"/>
                <w:szCs w:val="16"/>
              </w:rPr>
            </w:pPr>
          </w:p>
          <w:p w14:paraId="56AC1AB3" w14:textId="11973742" w:rsidR="00F76CBD" w:rsidRPr="00AD2C48" w:rsidRDefault="00F76CBD" w:rsidP="00F76CBD">
            <w:pPr>
              <w:contextualSpacing/>
              <w:rPr>
                <w:sz w:val="16"/>
                <w:szCs w:val="16"/>
              </w:rPr>
            </w:pPr>
          </w:p>
          <w:p w14:paraId="712F906D" w14:textId="3C6A78C0" w:rsidR="00F76CBD" w:rsidRPr="00AD2C48" w:rsidRDefault="00F76CBD" w:rsidP="00F76CBD">
            <w:pPr>
              <w:contextualSpacing/>
              <w:rPr>
                <w:sz w:val="16"/>
                <w:szCs w:val="16"/>
              </w:rPr>
            </w:pPr>
          </w:p>
          <w:p w14:paraId="5BA72F0C" w14:textId="37C4BC45" w:rsidR="00F76CBD" w:rsidRPr="00AD2C48" w:rsidRDefault="00F76CBD" w:rsidP="00F76CBD">
            <w:pPr>
              <w:contextualSpacing/>
              <w:rPr>
                <w:sz w:val="16"/>
                <w:szCs w:val="16"/>
              </w:rPr>
            </w:pPr>
          </w:p>
          <w:p w14:paraId="117785E6" w14:textId="3158926F" w:rsidR="00F76CBD" w:rsidRPr="00AD2C48" w:rsidRDefault="00F76CBD" w:rsidP="00F76CBD">
            <w:pPr>
              <w:contextualSpacing/>
              <w:rPr>
                <w:sz w:val="16"/>
                <w:szCs w:val="16"/>
              </w:rPr>
            </w:pPr>
          </w:p>
          <w:p w14:paraId="2DF689E9" w14:textId="66158476" w:rsidR="00F76CBD" w:rsidRPr="00AD2C48" w:rsidRDefault="00F76CBD" w:rsidP="00F76CBD">
            <w:pPr>
              <w:contextualSpacing/>
              <w:rPr>
                <w:sz w:val="16"/>
                <w:szCs w:val="16"/>
              </w:rPr>
            </w:pPr>
          </w:p>
          <w:p w14:paraId="62879462" w14:textId="2BA920D9" w:rsidR="00F76CBD" w:rsidRPr="00AD2C48" w:rsidRDefault="00F76CBD" w:rsidP="00F76CBD">
            <w:pPr>
              <w:contextualSpacing/>
              <w:rPr>
                <w:sz w:val="16"/>
                <w:szCs w:val="16"/>
              </w:rPr>
            </w:pPr>
          </w:p>
          <w:p w14:paraId="125DE293" w14:textId="13EDDA3C" w:rsidR="00F76CBD" w:rsidRPr="00AD2C48" w:rsidRDefault="00F76CBD" w:rsidP="00F76CBD">
            <w:pPr>
              <w:contextualSpacing/>
              <w:rPr>
                <w:sz w:val="16"/>
                <w:szCs w:val="16"/>
              </w:rPr>
            </w:pPr>
          </w:p>
          <w:p w14:paraId="26D9F016" w14:textId="436AEE00" w:rsidR="00F76CBD" w:rsidRPr="00AD2C48" w:rsidRDefault="00F76CBD" w:rsidP="00F76CBD">
            <w:pPr>
              <w:contextualSpacing/>
              <w:rPr>
                <w:sz w:val="16"/>
                <w:szCs w:val="16"/>
              </w:rPr>
            </w:pPr>
          </w:p>
          <w:p w14:paraId="783942E0" w14:textId="27857756" w:rsidR="00F76CBD" w:rsidRPr="00AD2C48" w:rsidRDefault="00F76CBD" w:rsidP="00F76CBD">
            <w:pPr>
              <w:contextualSpacing/>
              <w:rPr>
                <w:sz w:val="16"/>
                <w:szCs w:val="16"/>
              </w:rPr>
            </w:pPr>
          </w:p>
          <w:p w14:paraId="7A1F777F" w14:textId="77777777" w:rsidR="00F76CBD" w:rsidRPr="00AD2C48" w:rsidRDefault="00F76CBD" w:rsidP="00F76CBD">
            <w:pPr>
              <w:contextualSpacing/>
              <w:rPr>
                <w:sz w:val="16"/>
                <w:szCs w:val="16"/>
              </w:rPr>
            </w:pPr>
          </w:p>
          <w:p w14:paraId="061FDA79" w14:textId="77777777" w:rsidR="00F82D53" w:rsidRPr="00AD2C48" w:rsidRDefault="00F82D53" w:rsidP="00F76CBD">
            <w:pPr>
              <w:pStyle w:val="ListParagraph"/>
              <w:numPr>
                <w:ilvl w:val="0"/>
                <w:numId w:val="11"/>
              </w:numPr>
              <w:ind w:left="282" w:hanging="170"/>
              <w:contextualSpacing/>
              <w:rPr>
                <w:sz w:val="16"/>
                <w:szCs w:val="16"/>
              </w:rPr>
            </w:pPr>
            <w:r w:rsidRPr="00AD2C48">
              <w:rPr>
                <w:sz w:val="16"/>
                <w:szCs w:val="16"/>
              </w:rPr>
              <w:t xml:space="preserve">Transparency International </w:t>
            </w:r>
          </w:p>
          <w:p w14:paraId="7FF1B55E" w14:textId="77777777" w:rsidR="00F82D53" w:rsidRPr="00AD2C48" w:rsidRDefault="00F82D53" w:rsidP="007E3D02">
            <w:pPr>
              <w:rPr>
                <w:sz w:val="16"/>
                <w:szCs w:val="16"/>
              </w:rPr>
            </w:pPr>
            <w:r w:rsidRPr="00AD2C48">
              <w:rPr>
                <w:sz w:val="16"/>
                <w:szCs w:val="16"/>
              </w:rPr>
              <w:lastRenderedPageBreak/>
              <w:t>Frequency: all annually</w:t>
            </w:r>
          </w:p>
        </w:tc>
        <w:tc>
          <w:tcPr>
            <w:tcW w:w="4394" w:type="dxa"/>
            <w:shd w:val="clear" w:color="auto" w:fill="auto"/>
            <w:tcMar>
              <w:top w:w="72" w:type="dxa"/>
              <w:left w:w="144" w:type="dxa"/>
              <w:bottom w:w="72" w:type="dxa"/>
              <w:right w:w="144" w:type="dxa"/>
            </w:tcMar>
          </w:tcPr>
          <w:p w14:paraId="76C7C6F0" w14:textId="6FAF6031" w:rsidR="00F82D53" w:rsidRPr="00AD2C48" w:rsidRDefault="00F82D53" w:rsidP="007E3D02">
            <w:pPr>
              <w:ind w:left="-34"/>
              <w:rPr>
                <w:rFonts w:eastAsiaTheme="minorEastAsia"/>
                <w:b/>
                <w:bCs/>
                <w:sz w:val="16"/>
                <w:szCs w:val="16"/>
              </w:rPr>
            </w:pPr>
            <w:r w:rsidRPr="00AD2C48">
              <w:rPr>
                <w:rFonts w:eastAsiaTheme="minorEastAsia"/>
                <w:b/>
                <w:bCs/>
                <w:sz w:val="16"/>
                <w:szCs w:val="16"/>
              </w:rPr>
              <w:lastRenderedPageBreak/>
              <w:t xml:space="preserve">Output 3.1:  </w:t>
            </w:r>
            <w:r w:rsidRPr="00AD2C48">
              <w:rPr>
                <w:b/>
                <w:bCs/>
                <w:sz w:val="16"/>
                <w:szCs w:val="16"/>
              </w:rPr>
              <w:t>Open and accountable national/subnational institutions strengthened to promote transparency, gender mainstreaming and rule of law</w:t>
            </w:r>
          </w:p>
          <w:p w14:paraId="6927E5B0" w14:textId="7D075F6A" w:rsidR="00F82D53" w:rsidRPr="00AD2C48" w:rsidRDefault="00F82D53" w:rsidP="007E3D02">
            <w:pPr>
              <w:rPr>
                <w:b/>
                <w:bCs/>
                <w:sz w:val="16"/>
                <w:szCs w:val="16"/>
              </w:rPr>
            </w:pPr>
            <w:r w:rsidRPr="00AD2C48">
              <w:rPr>
                <w:b/>
                <w:bCs/>
                <w:sz w:val="16"/>
                <w:szCs w:val="16"/>
              </w:rPr>
              <w:lastRenderedPageBreak/>
              <w:t xml:space="preserve">Indicators: </w:t>
            </w:r>
          </w:p>
          <w:p w14:paraId="3AA37E8F" w14:textId="7AE1FF08" w:rsidR="00F82D53" w:rsidRPr="00AD2C48" w:rsidRDefault="00F82D53" w:rsidP="007E3D02">
            <w:pPr>
              <w:rPr>
                <w:sz w:val="16"/>
                <w:szCs w:val="16"/>
              </w:rPr>
            </w:pPr>
            <w:r w:rsidRPr="00AD2C48">
              <w:rPr>
                <w:sz w:val="16"/>
                <w:szCs w:val="16"/>
              </w:rPr>
              <w:t>3.1.1. Number of institutions supported by UNDP with measures in place to mainstream gender in the internal and external aspects of their work</w:t>
            </w:r>
          </w:p>
          <w:p w14:paraId="2D3B03D3" w14:textId="77777777" w:rsidR="00F82D53" w:rsidRPr="00AD2C48" w:rsidRDefault="00F82D53" w:rsidP="007E3D02">
            <w:pPr>
              <w:rPr>
                <w:sz w:val="16"/>
                <w:szCs w:val="16"/>
              </w:rPr>
            </w:pPr>
            <w:r w:rsidRPr="00AD2C48">
              <w:rPr>
                <w:sz w:val="16"/>
                <w:szCs w:val="16"/>
              </w:rPr>
              <w:t>Baseline (2022): 0</w:t>
            </w:r>
          </w:p>
          <w:p w14:paraId="4C0E8141" w14:textId="77777777" w:rsidR="00F82D53" w:rsidRPr="00AD2C48" w:rsidRDefault="00F82D53" w:rsidP="007E3D02">
            <w:pPr>
              <w:rPr>
                <w:sz w:val="16"/>
                <w:szCs w:val="16"/>
              </w:rPr>
            </w:pPr>
            <w:r w:rsidRPr="00AD2C48">
              <w:rPr>
                <w:sz w:val="16"/>
                <w:szCs w:val="16"/>
              </w:rPr>
              <w:t>Target (2027): 3</w:t>
            </w:r>
          </w:p>
          <w:p w14:paraId="63817F04" w14:textId="77777777" w:rsidR="00F82D53" w:rsidRPr="00AD2C48" w:rsidRDefault="00F82D53" w:rsidP="007E3D02">
            <w:pPr>
              <w:rPr>
                <w:sz w:val="16"/>
                <w:szCs w:val="16"/>
              </w:rPr>
            </w:pPr>
            <w:r w:rsidRPr="00AD2C48">
              <w:rPr>
                <w:sz w:val="16"/>
                <w:szCs w:val="16"/>
              </w:rPr>
              <w:t xml:space="preserve">Source/frequency: UNDP/annually </w:t>
            </w:r>
          </w:p>
          <w:p w14:paraId="79F2A593" w14:textId="77777777" w:rsidR="00F82D53" w:rsidRPr="00AD2C48" w:rsidRDefault="00F82D53" w:rsidP="007E3D02"/>
          <w:p w14:paraId="6CC6F288" w14:textId="7252693F" w:rsidR="00F82D53" w:rsidRPr="00AD2C48" w:rsidRDefault="3924DEE4" w:rsidP="6C2F17B1">
            <w:pPr>
              <w:rPr>
                <w:sz w:val="16"/>
                <w:szCs w:val="16"/>
              </w:rPr>
            </w:pPr>
            <w:r w:rsidRPr="00AD2C48">
              <w:rPr>
                <w:sz w:val="16"/>
                <w:szCs w:val="16"/>
              </w:rPr>
              <w:t xml:space="preserve">3.1.2. Number of </w:t>
            </w:r>
            <w:r w:rsidR="001E5F41" w:rsidRPr="00AD2C48">
              <w:rPr>
                <w:sz w:val="16"/>
                <w:szCs w:val="16"/>
              </w:rPr>
              <w:t>transitional justice</w:t>
            </w:r>
            <w:r w:rsidRPr="00AD2C48">
              <w:rPr>
                <w:sz w:val="16"/>
                <w:szCs w:val="16"/>
              </w:rPr>
              <w:t xml:space="preserve"> cases handl</w:t>
            </w:r>
            <w:r w:rsidR="006E0938" w:rsidRPr="00AD2C48">
              <w:rPr>
                <w:sz w:val="16"/>
                <w:szCs w:val="16"/>
              </w:rPr>
              <w:t>ed</w:t>
            </w:r>
            <w:r w:rsidRPr="00AD2C48">
              <w:rPr>
                <w:sz w:val="16"/>
                <w:szCs w:val="16"/>
              </w:rPr>
              <w:t xml:space="preserve"> in Montenegro supported through regional cooperation (coordination, expertise and data) facilitated by UNDP</w:t>
            </w:r>
          </w:p>
          <w:p w14:paraId="27534E9C" w14:textId="77777777" w:rsidR="00F82D53" w:rsidRPr="00AD2C48" w:rsidRDefault="00F82D53" w:rsidP="007E3D02">
            <w:pPr>
              <w:rPr>
                <w:sz w:val="16"/>
                <w:szCs w:val="16"/>
              </w:rPr>
            </w:pPr>
            <w:r w:rsidRPr="00AD2C48">
              <w:rPr>
                <w:sz w:val="16"/>
                <w:szCs w:val="16"/>
              </w:rPr>
              <w:t>Baseline (2021): 0</w:t>
            </w:r>
          </w:p>
          <w:p w14:paraId="41FB6C3F" w14:textId="77777777" w:rsidR="00F82D53" w:rsidRPr="00AD2C48" w:rsidRDefault="00F82D53" w:rsidP="007E3D02">
            <w:pPr>
              <w:rPr>
                <w:sz w:val="16"/>
                <w:szCs w:val="16"/>
              </w:rPr>
            </w:pPr>
            <w:r w:rsidRPr="00AD2C48">
              <w:rPr>
                <w:sz w:val="16"/>
                <w:szCs w:val="16"/>
              </w:rPr>
              <w:t>Target (2027): 2</w:t>
            </w:r>
          </w:p>
          <w:p w14:paraId="657481DA" w14:textId="77777777" w:rsidR="00F82D53" w:rsidRPr="00AD2C48" w:rsidRDefault="00F82D53" w:rsidP="007E3D02">
            <w:pPr>
              <w:rPr>
                <w:sz w:val="16"/>
                <w:szCs w:val="16"/>
              </w:rPr>
            </w:pPr>
            <w:r w:rsidRPr="00AD2C48">
              <w:rPr>
                <w:sz w:val="16"/>
                <w:szCs w:val="16"/>
              </w:rPr>
              <w:t>Source/frequency: European Commission/annually</w:t>
            </w:r>
          </w:p>
          <w:p w14:paraId="41A687A6" w14:textId="77777777" w:rsidR="00F82D53" w:rsidRPr="00AD2C48" w:rsidRDefault="00F82D53" w:rsidP="007E3D02">
            <w:pPr>
              <w:rPr>
                <w:sz w:val="16"/>
                <w:szCs w:val="16"/>
              </w:rPr>
            </w:pPr>
          </w:p>
          <w:p w14:paraId="2CAEC405" w14:textId="77777777" w:rsidR="00F82D53" w:rsidRPr="00AD2C48" w:rsidRDefault="00F82D53" w:rsidP="007E3D02">
            <w:pPr>
              <w:rPr>
                <w:sz w:val="16"/>
                <w:szCs w:val="16"/>
              </w:rPr>
            </w:pPr>
            <w:r w:rsidRPr="00AD2C48">
              <w:rPr>
                <w:sz w:val="16"/>
                <w:szCs w:val="16"/>
              </w:rPr>
              <w:t>3.1.3. Number of institutions that publish data in open format</w:t>
            </w:r>
          </w:p>
          <w:p w14:paraId="47A2D00E" w14:textId="77777777" w:rsidR="00F82D53" w:rsidRPr="00AD2C48" w:rsidRDefault="00F82D53" w:rsidP="007E3D02">
            <w:pPr>
              <w:rPr>
                <w:sz w:val="16"/>
                <w:szCs w:val="16"/>
              </w:rPr>
            </w:pPr>
            <w:r w:rsidRPr="00AD2C48">
              <w:rPr>
                <w:sz w:val="16"/>
                <w:szCs w:val="16"/>
              </w:rPr>
              <w:t xml:space="preserve">Baseline (2022): 18 </w:t>
            </w:r>
          </w:p>
          <w:p w14:paraId="4C147390" w14:textId="77777777" w:rsidR="00F82D53" w:rsidRPr="00AD2C48" w:rsidRDefault="00F82D53" w:rsidP="007E3D02">
            <w:pPr>
              <w:rPr>
                <w:sz w:val="16"/>
                <w:szCs w:val="16"/>
              </w:rPr>
            </w:pPr>
            <w:r w:rsidRPr="00AD2C48">
              <w:rPr>
                <w:sz w:val="16"/>
                <w:szCs w:val="16"/>
              </w:rPr>
              <w:t xml:space="preserve">Target (2027): 35 </w:t>
            </w:r>
          </w:p>
          <w:p w14:paraId="47A24A48" w14:textId="77777777" w:rsidR="00F82D53" w:rsidRPr="00AD2C48" w:rsidRDefault="00F82D53" w:rsidP="007E3D02">
            <w:pPr>
              <w:rPr>
                <w:sz w:val="16"/>
                <w:szCs w:val="16"/>
              </w:rPr>
            </w:pPr>
            <w:r w:rsidRPr="00AD2C48">
              <w:rPr>
                <w:sz w:val="16"/>
                <w:szCs w:val="16"/>
              </w:rPr>
              <w:t>Source/frequency: data.gov.me/annually</w:t>
            </w:r>
          </w:p>
          <w:p w14:paraId="3808865F" w14:textId="77777777" w:rsidR="00F82D53" w:rsidRPr="00AD2C48" w:rsidRDefault="00F82D53" w:rsidP="007E3D02">
            <w:pPr>
              <w:pStyle w:val="xxparagraph"/>
              <w:spacing w:before="0" w:beforeAutospacing="0" w:after="0" w:afterAutospacing="0"/>
              <w:textAlignment w:val="baseline"/>
              <w:rPr>
                <w:rFonts w:ascii="Times New Roman" w:eastAsia="Times New Roman" w:hAnsi="Times New Roman"/>
                <w:sz w:val="16"/>
                <w:szCs w:val="16"/>
              </w:rPr>
            </w:pPr>
          </w:p>
          <w:p w14:paraId="3A17B8AA" w14:textId="7FFDD65E" w:rsidR="00F82D53" w:rsidRPr="00AD2C48" w:rsidRDefault="00F82D53" w:rsidP="007E3D02">
            <w:pPr>
              <w:pStyle w:val="xxparagraph"/>
              <w:spacing w:before="0" w:beforeAutospacing="0" w:after="0" w:afterAutospacing="0"/>
              <w:textAlignment w:val="baseline"/>
              <w:rPr>
                <w:rFonts w:ascii="Times New Roman" w:eastAsia="Times New Roman" w:hAnsi="Times New Roman"/>
                <w:sz w:val="16"/>
                <w:szCs w:val="16"/>
                <w:lang w:eastAsia="en-US"/>
              </w:rPr>
            </w:pPr>
            <w:r w:rsidRPr="00AD2C48">
              <w:rPr>
                <w:rFonts w:ascii="Times New Roman" w:eastAsia="Times New Roman" w:hAnsi="Times New Roman"/>
                <w:sz w:val="16"/>
                <w:szCs w:val="16"/>
              </w:rPr>
              <w:t xml:space="preserve">3.1.4. </w:t>
            </w:r>
            <w:r w:rsidRPr="00AD2C48">
              <w:rPr>
                <w:rFonts w:ascii="Times New Roman" w:eastAsia="Times New Roman" w:hAnsi="Times New Roman"/>
                <w:sz w:val="16"/>
                <w:szCs w:val="16"/>
                <w:lang w:eastAsia="en-US"/>
              </w:rPr>
              <w:t>Extent to which institutions supported by UNDP have put in place</w:t>
            </w:r>
            <w:r w:rsidR="00D460BD" w:rsidRPr="00AD2C48">
              <w:rPr>
                <w:rFonts w:ascii="Times New Roman" w:eastAsia="Times New Roman" w:hAnsi="Times New Roman"/>
                <w:sz w:val="16"/>
                <w:szCs w:val="16"/>
                <w:lang w:eastAsia="en-US"/>
              </w:rPr>
              <w:t>:</w:t>
            </w:r>
            <w:r w:rsidRPr="00AD2C48">
              <w:rPr>
                <w:rStyle w:val="FootnoteReference"/>
                <w:rFonts w:ascii="Times New Roman" w:eastAsia="Times New Roman" w:hAnsi="Times New Roman"/>
                <w:sz w:val="16"/>
                <w:szCs w:val="16"/>
              </w:rPr>
              <w:footnoteReference w:id="20"/>
            </w:r>
          </w:p>
          <w:p w14:paraId="3B14168B" w14:textId="55402268" w:rsidR="00F82D53" w:rsidRPr="00AD2C48" w:rsidRDefault="00F82D53" w:rsidP="008F6A9E">
            <w:pPr>
              <w:pStyle w:val="xxparagraph"/>
              <w:numPr>
                <w:ilvl w:val="0"/>
                <w:numId w:val="25"/>
              </w:numPr>
              <w:spacing w:before="0" w:beforeAutospacing="0" w:after="0" w:afterAutospacing="0"/>
              <w:ind w:left="346" w:hanging="180"/>
              <w:textAlignment w:val="baseline"/>
              <w:rPr>
                <w:rFonts w:ascii="Times New Roman" w:eastAsia="Times New Roman" w:hAnsi="Times New Roman"/>
                <w:sz w:val="16"/>
                <w:szCs w:val="16"/>
                <w:lang w:eastAsia="en-US"/>
              </w:rPr>
            </w:pPr>
            <w:r w:rsidRPr="00AD2C48">
              <w:rPr>
                <w:rFonts w:ascii="Times New Roman" w:eastAsia="Times New Roman" w:hAnsi="Times New Roman"/>
                <w:sz w:val="16"/>
                <w:szCs w:val="16"/>
                <w:lang w:eastAsia="en-US"/>
              </w:rPr>
              <w:t xml:space="preserve">Evidence-based policy planning </w:t>
            </w:r>
          </w:p>
          <w:p w14:paraId="0CB1A299" w14:textId="77777777" w:rsidR="00F82D53" w:rsidRPr="00AD2C48" w:rsidRDefault="00F82D53" w:rsidP="00D460BD">
            <w:pPr>
              <w:pStyle w:val="xxparagraph"/>
              <w:spacing w:before="0" w:beforeAutospacing="0" w:after="0" w:afterAutospacing="0"/>
              <w:ind w:left="346" w:hanging="180"/>
              <w:textAlignment w:val="baseline"/>
              <w:rPr>
                <w:rFonts w:ascii="Times New Roman" w:eastAsia="Times New Roman" w:hAnsi="Times New Roman"/>
                <w:sz w:val="16"/>
                <w:szCs w:val="16"/>
                <w:lang w:eastAsia="en-US"/>
              </w:rPr>
            </w:pPr>
            <w:r w:rsidRPr="00AD2C48">
              <w:rPr>
                <w:rFonts w:ascii="Times New Roman" w:eastAsia="Times New Roman" w:hAnsi="Times New Roman"/>
                <w:sz w:val="16"/>
                <w:szCs w:val="16"/>
                <w:lang w:eastAsia="en-US"/>
              </w:rPr>
              <w:t xml:space="preserve">Baseline (2021): 2 </w:t>
            </w:r>
          </w:p>
          <w:p w14:paraId="15B781BB" w14:textId="77777777" w:rsidR="00F82D53" w:rsidRPr="00AD2C48" w:rsidRDefault="00F82D53" w:rsidP="008F6A9E">
            <w:pPr>
              <w:pStyle w:val="xxparagraph"/>
              <w:spacing w:before="0" w:beforeAutospacing="0" w:after="0" w:afterAutospacing="0"/>
              <w:ind w:left="346" w:hanging="180"/>
              <w:textAlignment w:val="baseline"/>
              <w:rPr>
                <w:rFonts w:ascii="Times New Roman" w:eastAsia="Times New Roman" w:hAnsi="Times New Roman"/>
                <w:sz w:val="16"/>
                <w:szCs w:val="16"/>
                <w:lang w:eastAsia="en-US"/>
              </w:rPr>
            </w:pPr>
            <w:r w:rsidRPr="00AD2C48">
              <w:rPr>
                <w:rFonts w:ascii="Times New Roman" w:eastAsia="Times New Roman" w:hAnsi="Times New Roman"/>
                <w:sz w:val="16"/>
                <w:szCs w:val="16"/>
                <w:lang w:eastAsia="en-US"/>
              </w:rPr>
              <w:t xml:space="preserve">Target (2027): 4 </w:t>
            </w:r>
          </w:p>
          <w:p w14:paraId="3BF8949D" w14:textId="23EAA0BA" w:rsidR="00F82D53" w:rsidRPr="00AD2C48" w:rsidRDefault="00F82D53" w:rsidP="008F6A9E">
            <w:pPr>
              <w:pStyle w:val="xxparagraph"/>
              <w:numPr>
                <w:ilvl w:val="0"/>
                <w:numId w:val="25"/>
              </w:numPr>
              <w:spacing w:before="0" w:beforeAutospacing="0" w:after="0" w:afterAutospacing="0"/>
              <w:ind w:left="346" w:hanging="180"/>
              <w:textAlignment w:val="baseline"/>
              <w:rPr>
                <w:rFonts w:ascii="Times New Roman" w:eastAsia="Times New Roman" w:hAnsi="Times New Roman"/>
                <w:sz w:val="16"/>
                <w:szCs w:val="16"/>
                <w:lang w:eastAsia="en-US"/>
              </w:rPr>
            </w:pPr>
            <w:r w:rsidRPr="00AD2C48">
              <w:rPr>
                <w:rFonts w:ascii="Times New Roman" w:eastAsia="Times New Roman" w:hAnsi="Times New Roman"/>
                <w:sz w:val="16"/>
                <w:szCs w:val="16"/>
                <w:lang w:eastAsia="en-US"/>
              </w:rPr>
              <w:t>Programme-based budgeting</w:t>
            </w:r>
          </w:p>
          <w:p w14:paraId="4A6A0EEB" w14:textId="77777777" w:rsidR="00F82D53" w:rsidRPr="00AD2C48" w:rsidRDefault="00F82D53" w:rsidP="008F6A9E">
            <w:pPr>
              <w:pStyle w:val="xxparagraph"/>
              <w:spacing w:before="0" w:beforeAutospacing="0" w:after="0" w:afterAutospacing="0"/>
              <w:ind w:left="262" w:hanging="96"/>
              <w:textAlignment w:val="baseline"/>
              <w:rPr>
                <w:rFonts w:ascii="Times New Roman" w:eastAsia="Times New Roman" w:hAnsi="Times New Roman"/>
                <w:sz w:val="16"/>
                <w:szCs w:val="16"/>
              </w:rPr>
            </w:pPr>
            <w:r w:rsidRPr="00AD2C48">
              <w:rPr>
                <w:rFonts w:ascii="Times New Roman" w:eastAsia="Times New Roman" w:hAnsi="Times New Roman"/>
                <w:sz w:val="16"/>
                <w:szCs w:val="16"/>
                <w:lang w:eastAsia="en-US"/>
              </w:rPr>
              <w:t xml:space="preserve">Baseline (2021): 1 </w:t>
            </w:r>
          </w:p>
          <w:p w14:paraId="61CB3CF0" w14:textId="77777777" w:rsidR="00F82D53" w:rsidRPr="00AD2C48" w:rsidRDefault="00F82D53" w:rsidP="008F6A9E">
            <w:pPr>
              <w:pStyle w:val="xxparagraph"/>
              <w:spacing w:before="0" w:beforeAutospacing="0" w:after="0" w:afterAutospacing="0"/>
              <w:ind w:left="262" w:hanging="96"/>
              <w:textAlignment w:val="baseline"/>
              <w:rPr>
                <w:rFonts w:ascii="Times New Roman" w:eastAsia="Times New Roman" w:hAnsi="Times New Roman"/>
                <w:sz w:val="16"/>
                <w:szCs w:val="16"/>
                <w:lang w:eastAsia="en-US"/>
              </w:rPr>
            </w:pPr>
            <w:r w:rsidRPr="00AD2C48">
              <w:rPr>
                <w:rFonts w:ascii="Times New Roman" w:eastAsia="Times New Roman" w:hAnsi="Times New Roman"/>
                <w:sz w:val="16"/>
                <w:szCs w:val="16"/>
                <w:lang w:eastAsia="en-US"/>
              </w:rPr>
              <w:t xml:space="preserve">Target (2027): 3 </w:t>
            </w:r>
          </w:p>
          <w:p w14:paraId="4CEDAEC9" w14:textId="7F976E85" w:rsidR="00F82D53" w:rsidRPr="00AD2C48" w:rsidRDefault="00D460BD" w:rsidP="00F76CBD">
            <w:pPr>
              <w:pStyle w:val="xxparagraph"/>
              <w:spacing w:before="0" w:beforeAutospacing="0" w:after="0" w:afterAutospacing="0"/>
              <w:ind w:left="164"/>
              <w:textAlignment w:val="baseline"/>
              <w:rPr>
                <w:rFonts w:ascii="Times New Roman" w:eastAsia="Times New Roman" w:hAnsi="Times New Roman"/>
                <w:sz w:val="16"/>
                <w:szCs w:val="16"/>
              </w:rPr>
            </w:pPr>
            <w:r w:rsidRPr="00AD2C48">
              <w:rPr>
                <w:rFonts w:ascii="Times New Roman" w:eastAsia="Times New Roman" w:hAnsi="Times New Roman"/>
                <w:sz w:val="16"/>
                <w:szCs w:val="16"/>
                <w:lang w:eastAsia="en-US"/>
              </w:rPr>
              <w:t xml:space="preserve">c) </w:t>
            </w:r>
            <w:r w:rsidR="00F82D53" w:rsidRPr="00AD2C48">
              <w:rPr>
                <w:rFonts w:ascii="Times New Roman" w:eastAsia="Times New Roman" w:hAnsi="Times New Roman"/>
                <w:sz w:val="16"/>
                <w:szCs w:val="16"/>
                <w:lang w:eastAsia="en-US"/>
              </w:rPr>
              <w:t xml:space="preserve">Efficient </w:t>
            </w:r>
            <w:r w:rsidR="0053273A" w:rsidRPr="00AD2C48">
              <w:rPr>
                <w:rFonts w:ascii="Times New Roman" w:eastAsia="Times New Roman" w:hAnsi="Times New Roman"/>
                <w:sz w:val="16"/>
                <w:szCs w:val="16"/>
                <w:lang w:eastAsia="en-US"/>
              </w:rPr>
              <w:t>l</w:t>
            </w:r>
            <w:r w:rsidR="00F82D53" w:rsidRPr="00AD2C48">
              <w:rPr>
                <w:rFonts w:ascii="Times New Roman" w:eastAsia="Times New Roman" w:hAnsi="Times New Roman"/>
                <w:sz w:val="16"/>
                <w:szCs w:val="16"/>
                <w:lang w:eastAsia="en-US"/>
              </w:rPr>
              <w:t xml:space="preserve">ocal </w:t>
            </w:r>
            <w:r w:rsidR="0053273A" w:rsidRPr="00AD2C48">
              <w:rPr>
                <w:rFonts w:ascii="Times New Roman" w:eastAsia="Times New Roman" w:hAnsi="Times New Roman"/>
                <w:sz w:val="16"/>
                <w:szCs w:val="16"/>
                <w:lang w:eastAsia="en-US"/>
              </w:rPr>
              <w:t>g</w:t>
            </w:r>
            <w:r w:rsidR="00F82D53" w:rsidRPr="00AD2C48">
              <w:rPr>
                <w:rFonts w:ascii="Times New Roman" w:eastAsia="Times New Roman" w:hAnsi="Times New Roman"/>
                <w:sz w:val="16"/>
                <w:szCs w:val="16"/>
                <w:lang w:eastAsia="en-US"/>
              </w:rPr>
              <w:t xml:space="preserve">overnment systems of funding </w:t>
            </w:r>
            <w:r w:rsidR="0053273A" w:rsidRPr="00AD2C48">
              <w:rPr>
                <w:rFonts w:ascii="Times New Roman" w:eastAsia="Times New Roman" w:hAnsi="Times New Roman"/>
                <w:sz w:val="16"/>
                <w:szCs w:val="16"/>
                <w:lang w:eastAsia="en-US"/>
              </w:rPr>
              <w:t>c</w:t>
            </w:r>
            <w:r w:rsidR="00F82D53" w:rsidRPr="00AD2C48">
              <w:rPr>
                <w:rFonts w:ascii="Times New Roman" w:eastAsia="Times New Roman" w:hAnsi="Times New Roman"/>
                <w:sz w:val="16"/>
                <w:szCs w:val="16"/>
                <w:lang w:eastAsia="en-US"/>
              </w:rPr>
              <w:t xml:space="preserve">ivil </w:t>
            </w:r>
            <w:r w:rsidR="0053273A" w:rsidRPr="00AD2C48">
              <w:rPr>
                <w:rFonts w:ascii="Times New Roman" w:eastAsia="Times New Roman" w:hAnsi="Times New Roman"/>
                <w:sz w:val="16"/>
                <w:szCs w:val="16"/>
                <w:lang w:eastAsia="en-US"/>
              </w:rPr>
              <w:t>s</w:t>
            </w:r>
            <w:r w:rsidR="00F82D53" w:rsidRPr="00AD2C48">
              <w:rPr>
                <w:rFonts w:ascii="Times New Roman" w:eastAsia="Times New Roman" w:hAnsi="Times New Roman"/>
                <w:sz w:val="16"/>
                <w:szCs w:val="16"/>
                <w:lang w:eastAsia="en-US"/>
              </w:rPr>
              <w:t xml:space="preserve">ociety </w:t>
            </w:r>
            <w:r w:rsidR="0053273A" w:rsidRPr="00AD2C48">
              <w:rPr>
                <w:rFonts w:ascii="Times New Roman" w:eastAsia="Times New Roman" w:hAnsi="Times New Roman"/>
                <w:sz w:val="16"/>
                <w:szCs w:val="16"/>
                <w:lang w:eastAsia="en-US"/>
              </w:rPr>
              <w:t>o</w:t>
            </w:r>
            <w:r w:rsidR="00F82D53" w:rsidRPr="00AD2C48">
              <w:rPr>
                <w:rFonts w:ascii="Times New Roman" w:eastAsia="Times New Roman" w:hAnsi="Times New Roman"/>
                <w:sz w:val="16"/>
                <w:szCs w:val="16"/>
                <w:lang w:eastAsia="en-US"/>
              </w:rPr>
              <w:t>rganizations</w:t>
            </w:r>
          </w:p>
          <w:p w14:paraId="55572890" w14:textId="77777777" w:rsidR="00F82D53" w:rsidRPr="00AD2C48" w:rsidRDefault="00F82D53" w:rsidP="002D7A2B">
            <w:pPr>
              <w:ind w:left="166"/>
            </w:pPr>
            <w:r w:rsidRPr="00AD2C48">
              <w:rPr>
                <w:sz w:val="16"/>
                <w:szCs w:val="16"/>
              </w:rPr>
              <w:t>Baseline (2021): 2</w:t>
            </w:r>
          </w:p>
          <w:p w14:paraId="0BBC0A76" w14:textId="77777777" w:rsidR="00F82D53" w:rsidRPr="00AD2C48" w:rsidRDefault="00F82D53" w:rsidP="008F6A9E">
            <w:pPr>
              <w:ind w:left="166"/>
              <w:rPr>
                <w:sz w:val="16"/>
                <w:szCs w:val="16"/>
              </w:rPr>
            </w:pPr>
            <w:r w:rsidRPr="00AD2C48">
              <w:rPr>
                <w:sz w:val="16"/>
                <w:szCs w:val="16"/>
              </w:rPr>
              <w:t>Target (2026): 4</w:t>
            </w:r>
          </w:p>
          <w:p w14:paraId="47EA04CB" w14:textId="77777777" w:rsidR="00F82D53" w:rsidRPr="00AD2C48" w:rsidRDefault="00F82D53" w:rsidP="007E3D02">
            <w:pPr>
              <w:rPr>
                <w:sz w:val="16"/>
                <w:szCs w:val="16"/>
              </w:rPr>
            </w:pPr>
            <w:r w:rsidRPr="00AD2C48">
              <w:rPr>
                <w:sz w:val="16"/>
                <w:szCs w:val="16"/>
              </w:rPr>
              <w:t>Source/frequency: UNDP/annually</w:t>
            </w:r>
          </w:p>
          <w:p w14:paraId="1D156950" w14:textId="77777777" w:rsidR="00F82D53" w:rsidRPr="00AD2C48" w:rsidRDefault="00F82D53" w:rsidP="007E3D02">
            <w:pPr>
              <w:pStyle w:val="xxparagraph"/>
              <w:spacing w:before="0" w:beforeAutospacing="0" w:after="0" w:afterAutospacing="0"/>
              <w:ind w:left="262" w:hanging="270"/>
              <w:textAlignment w:val="baseline"/>
              <w:rPr>
                <w:rFonts w:ascii="Times New Roman" w:eastAsia="Times New Roman" w:hAnsi="Times New Roman"/>
                <w:sz w:val="16"/>
                <w:szCs w:val="16"/>
                <w:lang w:eastAsia="en-US"/>
              </w:rPr>
            </w:pPr>
          </w:p>
          <w:p w14:paraId="5975F29C" w14:textId="369B2E1C" w:rsidR="00F82D53" w:rsidRPr="00AD2C48" w:rsidRDefault="00F82D53" w:rsidP="007E3D02">
            <w:pPr>
              <w:rPr>
                <w:b/>
                <w:bCs/>
                <w:sz w:val="16"/>
                <w:szCs w:val="16"/>
              </w:rPr>
            </w:pPr>
            <w:bookmarkStart w:id="7" w:name="_Hlk97192687"/>
            <w:r w:rsidRPr="00AD2C48">
              <w:rPr>
                <w:b/>
                <w:bCs/>
                <w:sz w:val="16"/>
                <w:szCs w:val="16"/>
              </w:rPr>
              <w:t>Output 3.2: Capacities for merit-based and people-</w:t>
            </w:r>
            <w:proofErr w:type="spellStart"/>
            <w:r w:rsidRPr="00AD2C48">
              <w:rPr>
                <w:b/>
                <w:bCs/>
                <w:sz w:val="16"/>
                <w:szCs w:val="16"/>
              </w:rPr>
              <w:t>centred</w:t>
            </w:r>
            <w:proofErr w:type="spellEnd"/>
            <w:r w:rsidRPr="00AD2C48">
              <w:rPr>
                <w:b/>
                <w:bCs/>
                <w:sz w:val="16"/>
                <w:szCs w:val="16"/>
              </w:rPr>
              <w:t xml:space="preserve"> governance system at national/local level and judiciary strengthened to deliver services in an effective, efficient, inclusive manner. </w:t>
            </w:r>
          </w:p>
          <w:bookmarkEnd w:id="7"/>
          <w:p w14:paraId="1CE92EA1" w14:textId="77777777" w:rsidR="00F82D53" w:rsidRPr="00AD2C48" w:rsidRDefault="00F82D53" w:rsidP="007E3D02">
            <w:pPr>
              <w:rPr>
                <w:b/>
                <w:bCs/>
                <w:sz w:val="16"/>
                <w:szCs w:val="16"/>
              </w:rPr>
            </w:pPr>
            <w:r w:rsidRPr="00AD2C48">
              <w:rPr>
                <w:b/>
                <w:bCs/>
                <w:sz w:val="16"/>
                <w:szCs w:val="16"/>
              </w:rPr>
              <w:t>Indicators:</w:t>
            </w:r>
          </w:p>
          <w:p w14:paraId="38AE95CE" w14:textId="171EEA96" w:rsidR="00F82D53" w:rsidRPr="00AD2C48" w:rsidRDefault="00F82D53" w:rsidP="007E3D02">
            <w:pPr>
              <w:rPr>
                <w:sz w:val="16"/>
                <w:szCs w:val="16"/>
              </w:rPr>
            </w:pPr>
            <w:r w:rsidRPr="00AD2C48">
              <w:rPr>
                <w:sz w:val="16"/>
                <w:szCs w:val="16"/>
              </w:rPr>
              <w:t>3.2.1. Number of new public, private and judicial institutions leveraging digital technologies to deliver effective services (national/subnational level)</w:t>
            </w:r>
          </w:p>
          <w:p w14:paraId="1CB5C5F9" w14:textId="77777777" w:rsidR="00F82D53" w:rsidRPr="00AD2C48" w:rsidRDefault="00F82D53" w:rsidP="007E3D02">
            <w:pPr>
              <w:rPr>
                <w:sz w:val="16"/>
                <w:szCs w:val="16"/>
              </w:rPr>
            </w:pPr>
            <w:r w:rsidRPr="00AD2C48">
              <w:rPr>
                <w:sz w:val="16"/>
                <w:szCs w:val="16"/>
              </w:rPr>
              <w:t>National baseline (2022): 0</w:t>
            </w:r>
          </w:p>
          <w:p w14:paraId="04789589" w14:textId="77777777" w:rsidR="00F82D53" w:rsidRPr="00AD2C48" w:rsidRDefault="00F82D53" w:rsidP="007E3D02">
            <w:pPr>
              <w:rPr>
                <w:sz w:val="16"/>
                <w:szCs w:val="16"/>
              </w:rPr>
            </w:pPr>
            <w:r w:rsidRPr="00AD2C48">
              <w:rPr>
                <w:sz w:val="16"/>
                <w:szCs w:val="16"/>
              </w:rPr>
              <w:t>National target (2026): 15</w:t>
            </w:r>
          </w:p>
          <w:p w14:paraId="210D6577" w14:textId="181A483F" w:rsidR="00F82D53" w:rsidRPr="00AD2C48" w:rsidRDefault="00F82D53" w:rsidP="007E3D02">
            <w:pPr>
              <w:rPr>
                <w:sz w:val="16"/>
                <w:szCs w:val="16"/>
              </w:rPr>
            </w:pPr>
            <w:r w:rsidRPr="00AD2C48">
              <w:rPr>
                <w:sz w:val="16"/>
                <w:szCs w:val="16"/>
              </w:rPr>
              <w:t>Subnational baseline (2022): 0</w:t>
            </w:r>
          </w:p>
          <w:p w14:paraId="19FA3EA7" w14:textId="435264DD" w:rsidR="00F82D53" w:rsidRPr="00AD2C48" w:rsidRDefault="00F82D53" w:rsidP="007E3D02">
            <w:pPr>
              <w:rPr>
                <w:sz w:val="16"/>
                <w:szCs w:val="16"/>
              </w:rPr>
            </w:pPr>
            <w:r w:rsidRPr="00AD2C48">
              <w:rPr>
                <w:sz w:val="16"/>
                <w:szCs w:val="16"/>
              </w:rPr>
              <w:t>Subnational target: (2026): 10</w:t>
            </w:r>
          </w:p>
          <w:p w14:paraId="30425DE4" w14:textId="77777777" w:rsidR="00F82D53" w:rsidRPr="00AD2C48" w:rsidRDefault="00F82D53" w:rsidP="007E3D02">
            <w:pPr>
              <w:rPr>
                <w:sz w:val="16"/>
                <w:szCs w:val="16"/>
              </w:rPr>
            </w:pPr>
            <w:r w:rsidRPr="00AD2C48">
              <w:rPr>
                <w:sz w:val="16"/>
                <w:szCs w:val="16"/>
              </w:rPr>
              <w:lastRenderedPageBreak/>
              <w:t>Source/frequency: UNDP/annual</w:t>
            </w:r>
          </w:p>
          <w:p w14:paraId="7D18C9C4" w14:textId="77777777" w:rsidR="00F82D53" w:rsidRPr="00AD2C48" w:rsidRDefault="00F82D53" w:rsidP="007E3D02">
            <w:pPr>
              <w:rPr>
                <w:sz w:val="16"/>
                <w:szCs w:val="16"/>
              </w:rPr>
            </w:pPr>
          </w:p>
          <w:p w14:paraId="3B017185" w14:textId="0867B449" w:rsidR="00F82D53" w:rsidRPr="00AD2C48" w:rsidRDefault="00F82D53" w:rsidP="007E3D02">
            <w:pPr>
              <w:rPr>
                <w:sz w:val="16"/>
                <w:szCs w:val="16"/>
              </w:rPr>
            </w:pPr>
            <w:r w:rsidRPr="00AD2C48">
              <w:rPr>
                <w:sz w:val="16"/>
                <w:szCs w:val="16"/>
              </w:rPr>
              <w:t>3.2.2. Proportion of civil servants who have been promoted or rewarded based on their performance appraisal</w:t>
            </w:r>
          </w:p>
          <w:p w14:paraId="416CC4F9" w14:textId="09CDACF2" w:rsidR="00F82D53" w:rsidRPr="00AD2C48" w:rsidRDefault="00F82D53" w:rsidP="007E3D02">
            <w:pPr>
              <w:rPr>
                <w:sz w:val="16"/>
                <w:szCs w:val="16"/>
              </w:rPr>
            </w:pPr>
            <w:r w:rsidRPr="00AD2C48">
              <w:rPr>
                <w:sz w:val="16"/>
                <w:szCs w:val="16"/>
              </w:rPr>
              <w:t>Baseline 2020: 0</w:t>
            </w:r>
          </w:p>
          <w:p w14:paraId="04CD4D24" w14:textId="77777777" w:rsidR="00F82D53" w:rsidRPr="00AD2C48" w:rsidRDefault="00F82D53" w:rsidP="007E3D02">
            <w:pPr>
              <w:rPr>
                <w:sz w:val="16"/>
                <w:szCs w:val="16"/>
              </w:rPr>
            </w:pPr>
            <w:r w:rsidRPr="00AD2C48">
              <w:rPr>
                <w:sz w:val="16"/>
                <w:szCs w:val="16"/>
              </w:rPr>
              <w:t>Target 2027: 10%</w:t>
            </w:r>
          </w:p>
          <w:p w14:paraId="531518E5" w14:textId="77777777" w:rsidR="00F82D53" w:rsidRPr="00AD2C48" w:rsidRDefault="00F82D53" w:rsidP="007E3D02">
            <w:pPr>
              <w:rPr>
                <w:sz w:val="16"/>
                <w:szCs w:val="16"/>
              </w:rPr>
            </w:pPr>
            <w:r w:rsidRPr="00AD2C48">
              <w:rPr>
                <w:sz w:val="16"/>
                <w:szCs w:val="16"/>
              </w:rPr>
              <w:t xml:space="preserve">Source/frequency: Government/annually </w:t>
            </w:r>
          </w:p>
          <w:p w14:paraId="6B68F995" w14:textId="77777777" w:rsidR="00F82D53" w:rsidRPr="00AD2C48" w:rsidRDefault="00F82D53" w:rsidP="007E3D02">
            <w:pPr>
              <w:rPr>
                <w:sz w:val="16"/>
                <w:szCs w:val="16"/>
              </w:rPr>
            </w:pPr>
          </w:p>
          <w:p w14:paraId="353BB4A7" w14:textId="7985EEC7" w:rsidR="00F82D53" w:rsidRPr="00AD2C48" w:rsidRDefault="00F82D53" w:rsidP="007E3D02">
            <w:pPr>
              <w:rPr>
                <w:sz w:val="16"/>
                <w:szCs w:val="16"/>
              </w:rPr>
            </w:pPr>
            <w:r w:rsidRPr="00AD2C48">
              <w:rPr>
                <w:sz w:val="16"/>
                <w:szCs w:val="16"/>
              </w:rPr>
              <w:t xml:space="preserve">3.2.3. Proportion of citizens who are fully acquainted with the use of public administration </w:t>
            </w:r>
            <w:r w:rsidR="00ED7EAF" w:rsidRPr="00AD2C48">
              <w:rPr>
                <w:sz w:val="16"/>
                <w:szCs w:val="16"/>
              </w:rPr>
              <w:t xml:space="preserve">e-services </w:t>
            </w:r>
            <w:r w:rsidRPr="00AD2C48">
              <w:rPr>
                <w:sz w:val="16"/>
                <w:szCs w:val="16"/>
              </w:rPr>
              <w:t>(male/female)</w:t>
            </w:r>
          </w:p>
          <w:p w14:paraId="4E8E3752" w14:textId="38666A27" w:rsidR="00F82D53" w:rsidRPr="00AD2C48" w:rsidRDefault="00F82D53" w:rsidP="007E3D02">
            <w:pPr>
              <w:rPr>
                <w:sz w:val="16"/>
                <w:szCs w:val="16"/>
              </w:rPr>
            </w:pPr>
            <w:bookmarkStart w:id="8" w:name="_Hlk97107775"/>
            <w:r w:rsidRPr="00AD2C48">
              <w:rPr>
                <w:sz w:val="16"/>
                <w:szCs w:val="16"/>
              </w:rPr>
              <w:t>Baseline (</w:t>
            </w:r>
            <w:r w:rsidR="00CB4B4A" w:rsidRPr="00AD2C48">
              <w:rPr>
                <w:sz w:val="16"/>
                <w:szCs w:val="16"/>
              </w:rPr>
              <w:t>2021</w:t>
            </w:r>
            <w:r w:rsidRPr="00AD2C48">
              <w:rPr>
                <w:sz w:val="16"/>
                <w:szCs w:val="16"/>
              </w:rPr>
              <w:t>): 8.1% (</w:t>
            </w:r>
            <w:r w:rsidR="00C32997" w:rsidRPr="00AD2C48">
              <w:rPr>
                <w:sz w:val="16"/>
                <w:szCs w:val="16"/>
              </w:rPr>
              <w:t xml:space="preserve">male, </w:t>
            </w:r>
            <w:r w:rsidRPr="00AD2C48">
              <w:rPr>
                <w:sz w:val="16"/>
                <w:szCs w:val="16"/>
              </w:rPr>
              <w:t>4.2%</w:t>
            </w:r>
            <w:r w:rsidR="00C32997" w:rsidRPr="00AD2C48">
              <w:rPr>
                <w:sz w:val="16"/>
                <w:szCs w:val="16"/>
              </w:rPr>
              <w:t xml:space="preserve">; female, </w:t>
            </w:r>
            <w:r w:rsidRPr="00AD2C48">
              <w:rPr>
                <w:sz w:val="16"/>
                <w:szCs w:val="16"/>
              </w:rPr>
              <w:t>3.9%)</w:t>
            </w:r>
          </w:p>
          <w:p w14:paraId="40ED17A9" w14:textId="4C033EF2" w:rsidR="00F82D53" w:rsidRPr="00AD2C48" w:rsidRDefault="00F82D53" w:rsidP="007E3D02">
            <w:pPr>
              <w:rPr>
                <w:sz w:val="16"/>
                <w:szCs w:val="16"/>
              </w:rPr>
            </w:pPr>
            <w:r w:rsidRPr="00AD2C48">
              <w:rPr>
                <w:sz w:val="16"/>
                <w:szCs w:val="16"/>
              </w:rPr>
              <w:t>Target (2027): 10% (</w:t>
            </w:r>
            <w:r w:rsidR="00C32997" w:rsidRPr="00AD2C48">
              <w:rPr>
                <w:sz w:val="16"/>
                <w:szCs w:val="16"/>
              </w:rPr>
              <w:t xml:space="preserve">male, </w:t>
            </w:r>
            <w:r w:rsidRPr="00AD2C48">
              <w:rPr>
                <w:sz w:val="16"/>
                <w:szCs w:val="16"/>
              </w:rPr>
              <w:t>5.1%</w:t>
            </w:r>
            <w:r w:rsidR="00C32997" w:rsidRPr="00AD2C48">
              <w:rPr>
                <w:sz w:val="16"/>
                <w:szCs w:val="16"/>
              </w:rPr>
              <w:t xml:space="preserve">; female, </w:t>
            </w:r>
            <w:r w:rsidRPr="00AD2C48">
              <w:rPr>
                <w:sz w:val="16"/>
                <w:szCs w:val="16"/>
              </w:rPr>
              <w:t>4.9%)</w:t>
            </w:r>
          </w:p>
          <w:p w14:paraId="62B18430" w14:textId="3392AF85" w:rsidR="00F82D53" w:rsidRPr="00AD2C48" w:rsidRDefault="00F82D53" w:rsidP="007E3D02">
            <w:pPr>
              <w:pStyle w:val="CommentText"/>
              <w:rPr>
                <w:sz w:val="16"/>
                <w:szCs w:val="16"/>
                <w:lang w:val="en-GB"/>
              </w:rPr>
            </w:pPr>
            <w:r w:rsidRPr="00AD2C48">
              <w:rPr>
                <w:sz w:val="16"/>
                <w:szCs w:val="16"/>
              </w:rPr>
              <w:t xml:space="preserve">Source: </w:t>
            </w:r>
            <w:r w:rsidRPr="00AD2C48">
              <w:rPr>
                <w:sz w:val="16"/>
                <w:szCs w:val="16"/>
                <w:lang w:val="en-GB"/>
              </w:rPr>
              <w:t xml:space="preserve">UNDP (2021-2023), </w:t>
            </w:r>
            <w:r w:rsidR="00C32997" w:rsidRPr="00AD2C48">
              <w:rPr>
                <w:sz w:val="16"/>
                <w:szCs w:val="16"/>
                <w:lang w:val="en-GB"/>
              </w:rPr>
              <w:t>g</w:t>
            </w:r>
            <w:r w:rsidRPr="00AD2C48">
              <w:rPr>
                <w:sz w:val="16"/>
                <w:szCs w:val="16"/>
                <w:lang w:val="en-GB"/>
              </w:rPr>
              <w:t>overnment (2024-2027)</w:t>
            </w:r>
          </w:p>
          <w:p w14:paraId="4F28FE74" w14:textId="77777777" w:rsidR="00F82D53" w:rsidRPr="00AD2C48" w:rsidRDefault="00F82D53" w:rsidP="007E3D02">
            <w:pPr>
              <w:pStyle w:val="CommentText"/>
              <w:rPr>
                <w:sz w:val="16"/>
                <w:szCs w:val="16"/>
                <w:lang w:val="en-GB"/>
              </w:rPr>
            </w:pPr>
            <w:r w:rsidRPr="00AD2C48">
              <w:rPr>
                <w:sz w:val="16"/>
                <w:szCs w:val="16"/>
                <w:lang w:val="en-GB"/>
              </w:rPr>
              <w:t>Frequency: annually</w:t>
            </w:r>
          </w:p>
          <w:bookmarkEnd w:id="8"/>
          <w:p w14:paraId="72B679E2" w14:textId="77777777" w:rsidR="00F82D53" w:rsidRPr="00AD2C48" w:rsidRDefault="00F82D53" w:rsidP="007E3D02">
            <w:pPr>
              <w:rPr>
                <w:sz w:val="16"/>
                <w:szCs w:val="16"/>
              </w:rPr>
            </w:pPr>
          </w:p>
          <w:p w14:paraId="5D6ED9D2" w14:textId="77777777" w:rsidR="00F82D53" w:rsidRPr="00AD2C48" w:rsidRDefault="00F82D53" w:rsidP="007E3D02">
            <w:pPr>
              <w:rPr>
                <w:b/>
                <w:bCs/>
                <w:sz w:val="16"/>
                <w:szCs w:val="16"/>
              </w:rPr>
            </w:pPr>
            <w:r w:rsidRPr="00AD2C48">
              <w:rPr>
                <w:b/>
                <w:bCs/>
                <w:sz w:val="16"/>
                <w:szCs w:val="16"/>
              </w:rPr>
              <w:t xml:space="preserve">Output 3.3:  Mechanisms for public engagement expanded to create safe and secure civic space for dialogue and building trust. </w:t>
            </w:r>
          </w:p>
          <w:p w14:paraId="00A73DE9" w14:textId="77777777" w:rsidR="00F82D53" w:rsidRPr="00AD2C48" w:rsidRDefault="00F82D53" w:rsidP="007E3D02">
            <w:pPr>
              <w:rPr>
                <w:b/>
                <w:bCs/>
                <w:sz w:val="16"/>
                <w:szCs w:val="16"/>
              </w:rPr>
            </w:pPr>
            <w:r w:rsidRPr="00AD2C48">
              <w:rPr>
                <w:b/>
                <w:bCs/>
                <w:sz w:val="16"/>
                <w:szCs w:val="16"/>
              </w:rPr>
              <w:t>Indicators:</w:t>
            </w:r>
          </w:p>
          <w:p w14:paraId="2AFEC759" w14:textId="1E0A2BFB" w:rsidR="00F82D53" w:rsidRPr="00AD2C48" w:rsidRDefault="00F82D53" w:rsidP="007E3D02">
            <w:pPr>
              <w:rPr>
                <w:sz w:val="16"/>
                <w:szCs w:val="16"/>
              </w:rPr>
            </w:pPr>
            <w:r w:rsidRPr="00AD2C48">
              <w:rPr>
                <w:sz w:val="16"/>
                <w:szCs w:val="16"/>
              </w:rPr>
              <w:t>3.3.1. Number of people taking part in multi-stakeholder platforms to promote civic space</w:t>
            </w:r>
            <w:r w:rsidR="00ED7EAF" w:rsidRPr="00AD2C48">
              <w:rPr>
                <w:sz w:val="16"/>
                <w:szCs w:val="16"/>
              </w:rPr>
              <w:t xml:space="preserve"> and</w:t>
            </w:r>
            <w:r w:rsidRPr="00AD2C48">
              <w:rPr>
                <w:sz w:val="16"/>
                <w:szCs w:val="16"/>
              </w:rPr>
              <w:t xml:space="preserve"> dialogue, address hate speech and divisive narratives (male/female)</w:t>
            </w:r>
          </w:p>
          <w:p w14:paraId="0B32618D" w14:textId="602BE180" w:rsidR="00F82D53" w:rsidRPr="00AD2C48" w:rsidRDefault="00F82D53" w:rsidP="007E3D02">
            <w:pPr>
              <w:rPr>
                <w:sz w:val="16"/>
                <w:szCs w:val="16"/>
              </w:rPr>
            </w:pPr>
            <w:r w:rsidRPr="00AD2C48">
              <w:rPr>
                <w:sz w:val="16"/>
                <w:szCs w:val="16"/>
              </w:rPr>
              <w:t>Baseline (2022): 6,995 (</w:t>
            </w:r>
            <w:r w:rsidR="00A2569C">
              <w:rPr>
                <w:sz w:val="16"/>
                <w:szCs w:val="16"/>
              </w:rPr>
              <w:t xml:space="preserve">male, </w:t>
            </w:r>
            <w:r w:rsidRPr="00AD2C48">
              <w:rPr>
                <w:sz w:val="16"/>
                <w:szCs w:val="16"/>
              </w:rPr>
              <w:t>3</w:t>
            </w:r>
            <w:r w:rsidR="00ED7EAF" w:rsidRPr="00AD2C48">
              <w:rPr>
                <w:sz w:val="16"/>
                <w:szCs w:val="16"/>
              </w:rPr>
              <w:t>,</w:t>
            </w:r>
            <w:r w:rsidRPr="00AD2C48">
              <w:rPr>
                <w:sz w:val="16"/>
                <w:szCs w:val="16"/>
              </w:rPr>
              <w:t>193</w:t>
            </w:r>
            <w:r w:rsidR="00A2569C">
              <w:rPr>
                <w:sz w:val="16"/>
                <w:szCs w:val="16"/>
              </w:rPr>
              <w:t xml:space="preserve">; female, </w:t>
            </w:r>
            <w:r w:rsidRPr="00AD2C48">
              <w:rPr>
                <w:sz w:val="16"/>
                <w:szCs w:val="16"/>
              </w:rPr>
              <w:t>3</w:t>
            </w:r>
            <w:r w:rsidR="00ED7EAF" w:rsidRPr="00AD2C48">
              <w:rPr>
                <w:sz w:val="16"/>
                <w:szCs w:val="16"/>
              </w:rPr>
              <w:t>,</w:t>
            </w:r>
            <w:r w:rsidRPr="00AD2C48">
              <w:rPr>
                <w:sz w:val="16"/>
                <w:szCs w:val="16"/>
              </w:rPr>
              <w:t>802)</w:t>
            </w:r>
          </w:p>
          <w:p w14:paraId="26D51064" w14:textId="410DB865" w:rsidR="00F82D53" w:rsidRPr="00AD2C48" w:rsidRDefault="00F82D53" w:rsidP="007E3D02">
            <w:pPr>
              <w:rPr>
                <w:sz w:val="16"/>
                <w:szCs w:val="16"/>
              </w:rPr>
            </w:pPr>
            <w:r w:rsidRPr="00AD2C48">
              <w:rPr>
                <w:sz w:val="16"/>
                <w:szCs w:val="16"/>
              </w:rPr>
              <w:t>Target (2027): 13,600 (</w:t>
            </w:r>
            <w:r w:rsidR="00A2569C">
              <w:rPr>
                <w:sz w:val="16"/>
                <w:szCs w:val="16"/>
              </w:rPr>
              <w:t xml:space="preserve">male, </w:t>
            </w:r>
            <w:r w:rsidRPr="00AD2C48">
              <w:rPr>
                <w:sz w:val="16"/>
                <w:szCs w:val="16"/>
              </w:rPr>
              <w:t>6</w:t>
            </w:r>
            <w:r w:rsidR="00ED7EAF" w:rsidRPr="00AD2C48">
              <w:rPr>
                <w:sz w:val="16"/>
                <w:szCs w:val="16"/>
              </w:rPr>
              <w:t>,</w:t>
            </w:r>
            <w:r w:rsidRPr="00AD2C48">
              <w:rPr>
                <w:sz w:val="16"/>
                <w:szCs w:val="16"/>
              </w:rPr>
              <w:t>300</w:t>
            </w:r>
            <w:r w:rsidR="00A2569C">
              <w:rPr>
                <w:sz w:val="16"/>
                <w:szCs w:val="16"/>
              </w:rPr>
              <w:t xml:space="preserve">; female, </w:t>
            </w:r>
            <w:r w:rsidRPr="00AD2C48">
              <w:rPr>
                <w:sz w:val="16"/>
                <w:szCs w:val="16"/>
              </w:rPr>
              <w:t>7</w:t>
            </w:r>
            <w:r w:rsidR="00ED7EAF" w:rsidRPr="00AD2C48">
              <w:rPr>
                <w:sz w:val="16"/>
                <w:szCs w:val="16"/>
              </w:rPr>
              <w:t>,</w:t>
            </w:r>
            <w:r w:rsidRPr="00AD2C48">
              <w:rPr>
                <w:sz w:val="16"/>
                <w:szCs w:val="16"/>
              </w:rPr>
              <w:t>300)</w:t>
            </w:r>
          </w:p>
          <w:p w14:paraId="56E283F6" w14:textId="77777777" w:rsidR="00F82D53" w:rsidRPr="00AD2C48" w:rsidRDefault="00F82D53" w:rsidP="007E3D02">
            <w:pPr>
              <w:rPr>
                <w:sz w:val="16"/>
                <w:szCs w:val="16"/>
              </w:rPr>
            </w:pPr>
            <w:r w:rsidRPr="00AD2C48">
              <w:rPr>
                <w:sz w:val="16"/>
                <w:szCs w:val="16"/>
              </w:rPr>
              <w:t>Source/frequency: UNDP/annually</w:t>
            </w:r>
          </w:p>
          <w:p w14:paraId="0EFBF084" w14:textId="77777777" w:rsidR="00F82D53" w:rsidRPr="00AD2C48" w:rsidRDefault="00F82D53" w:rsidP="007E3D02">
            <w:pPr>
              <w:rPr>
                <w:sz w:val="16"/>
                <w:szCs w:val="16"/>
              </w:rPr>
            </w:pPr>
          </w:p>
          <w:p w14:paraId="7ADCA9DE" w14:textId="189B9A6B" w:rsidR="0064135C" w:rsidRPr="00AD2C48" w:rsidRDefault="00F82D53" w:rsidP="007E3D02">
            <w:pPr>
              <w:rPr>
                <w:sz w:val="16"/>
                <w:szCs w:val="16"/>
              </w:rPr>
            </w:pPr>
            <w:r w:rsidRPr="00AD2C48">
              <w:rPr>
                <w:sz w:val="16"/>
                <w:szCs w:val="16"/>
              </w:rPr>
              <w:t>3.3.2. N</w:t>
            </w:r>
            <w:r w:rsidR="00ED7EAF" w:rsidRPr="00AD2C48">
              <w:rPr>
                <w:sz w:val="16"/>
                <w:szCs w:val="16"/>
              </w:rPr>
              <w:t>umber</w:t>
            </w:r>
            <w:r w:rsidRPr="00AD2C48">
              <w:rPr>
                <w:sz w:val="16"/>
                <w:szCs w:val="16"/>
              </w:rPr>
              <w:t xml:space="preserve"> of </w:t>
            </w:r>
            <w:r w:rsidR="00ED7EAF" w:rsidRPr="00AD2C48">
              <w:rPr>
                <w:sz w:val="16"/>
                <w:szCs w:val="16"/>
              </w:rPr>
              <w:t>civil society groups</w:t>
            </w:r>
            <w:r w:rsidRPr="00AD2C48">
              <w:rPr>
                <w:sz w:val="16"/>
                <w:szCs w:val="16"/>
              </w:rPr>
              <w:t xml:space="preserve"> representing women, </w:t>
            </w:r>
            <w:r w:rsidRPr="00AD2C48">
              <w:rPr>
                <w:sz w:val="16"/>
                <w:szCs w:val="16"/>
                <w:lang w:val="bs-Latn-BA"/>
              </w:rPr>
              <w:t xml:space="preserve">including those with disabilities, </w:t>
            </w:r>
            <w:r w:rsidRPr="00AD2C48">
              <w:rPr>
                <w:sz w:val="16"/>
                <w:szCs w:val="16"/>
              </w:rPr>
              <w:t xml:space="preserve">consulted in the design and implementation of public sector initiatives </w:t>
            </w:r>
          </w:p>
          <w:p w14:paraId="23E3A124" w14:textId="6EA9AAE8" w:rsidR="002F59BE" w:rsidRPr="00AD2C48" w:rsidRDefault="00F82D53" w:rsidP="007E3D02">
            <w:pPr>
              <w:rPr>
                <w:sz w:val="16"/>
                <w:szCs w:val="16"/>
              </w:rPr>
            </w:pPr>
            <w:r w:rsidRPr="00AD2C48">
              <w:rPr>
                <w:sz w:val="16"/>
                <w:szCs w:val="16"/>
              </w:rPr>
              <w:t xml:space="preserve">Baseline (2021): 9 </w:t>
            </w:r>
          </w:p>
          <w:p w14:paraId="7E6BC6E7" w14:textId="1934234E" w:rsidR="002F59BE" w:rsidRPr="00AD2C48" w:rsidRDefault="00F82D53" w:rsidP="007E3D02">
            <w:pPr>
              <w:rPr>
                <w:sz w:val="16"/>
                <w:szCs w:val="16"/>
              </w:rPr>
            </w:pPr>
            <w:r w:rsidRPr="00AD2C48">
              <w:rPr>
                <w:sz w:val="16"/>
                <w:szCs w:val="16"/>
              </w:rPr>
              <w:t>Target (2027): 23</w:t>
            </w:r>
          </w:p>
          <w:p w14:paraId="72469DF0" w14:textId="7A8E208B" w:rsidR="00F82D53" w:rsidRPr="00AD2C48" w:rsidRDefault="00F82D53" w:rsidP="007E3D02">
            <w:pPr>
              <w:rPr>
                <w:sz w:val="16"/>
                <w:szCs w:val="16"/>
              </w:rPr>
            </w:pPr>
            <w:r w:rsidRPr="00AD2C48">
              <w:rPr>
                <w:sz w:val="16"/>
                <w:szCs w:val="16"/>
              </w:rPr>
              <w:t>Source/frequency: UNDP/annually</w:t>
            </w:r>
          </w:p>
          <w:p w14:paraId="1A2603EA" w14:textId="77777777" w:rsidR="00F82D53" w:rsidRPr="00AD2C48" w:rsidRDefault="00F82D53" w:rsidP="007E3D02">
            <w:pPr>
              <w:rPr>
                <w:sz w:val="16"/>
                <w:szCs w:val="16"/>
              </w:rPr>
            </w:pPr>
          </w:p>
          <w:p w14:paraId="3F70E812" w14:textId="77777777" w:rsidR="00F82D53" w:rsidRPr="00AD2C48" w:rsidRDefault="00F82D53" w:rsidP="007E3D02">
            <w:pPr>
              <w:rPr>
                <w:b/>
                <w:bCs/>
                <w:sz w:val="16"/>
                <w:szCs w:val="16"/>
              </w:rPr>
            </w:pPr>
            <w:r w:rsidRPr="00AD2C48">
              <w:rPr>
                <w:b/>
                <w:bCs/>
                <w:sz w:val="16"/>
                <w:szCs w:val="16"/>
              </w:rPr>
              <w:t xml:space="preserve">Output 3.4: Legal framework improved to enable increased women’s leadership and participation, in all their diversity, in public spheres </w:t>
            </w:r>
          </w:p>
          <w:p w14:paraId="6983DFFD" w14:textId="77777777" w:rsidR="00F82D53" w:rsidRPr="00AD2C48" w:rsidRDefault="00F82D53" w:rsidP="007E3D02">
            <w:pPr>
              <w:jc w:val="both"/>
              <w:rPr>
                <w:b/>
                <w:bCs/>
                <w:sz w:val="16"/>
                <w:szCs w:val="16"/>
              </w:rPr>
            </w:pPr>
            <w:r w:rsidRPr="00AD2C48">
              <w:rPr>
                <w:b/>
                <w:bCs/>
                <w:sz w:val="16"/>
                <w:szCs w:val="16"/>
              </w:rPr>
              <w:t>Indicators:</w:t>
            </w:r>
          </w:p>
          <w:p w14:paraId="20230717" w14:textId="353CE6FE" w:rsidR="00F82D53" w:rsidRPr="00AD2C48" w:rsidRDefault="00F82D53" w:rsidP="007E3D02">
            <w:pPr>
              <w:rPr>
                <w:sz w:val="16"/>
                <w:szCs w:val="16"/>
              </w:rPr>
            </w:pPr>
            <w:r w:rsidRPr="00AD2C48">
              <w:rPr>
                <w:sz w:val="16"/>
                <w:szCs w:val="16"/>
              </w:rPr>
              <w:t>3.4.1. Quota for less</w:t>
            </w:r>
            <w:r w:rsidR="00AD3139" w:rsidRPr="00AD2C48">
              <w:rPr>
                <w:sz w:val="16"/>
                <w:szCs w:val="16"/>
              </w:rPr>
              <w:t>-</w:t>
            </w:r>
            <w:r w:rsidRPr="00AD2C48">
              <w:rPr>
                <w:sz w:val="16"/>
                <w:szCs w:val="16"/>
              </w:rPr>
              <w:t xml:space="preserve">represented gender in draft electoral law </w:t>
            </w:r>
          </w:p>
          <w:p w14:paraId="7AD3B8EC" w14:textId="77777777" w:rsidR="00F82D53" w:rsidRPr="00AD2C48" w:rsidRDefault="00F82D53" w:rsidP="007E3D02">
            <w:pPr>
              <w:rPr>
                <w:sz w:val="16"/>
                <w:szCs w:val="16"/>
              </w:rPr>
            </w:pPr>
            <w:r w:rsidRPr="00AD2C48">
              <w:rPr>
                <w:sz w:val="16"/>
                <w:szCs w:val="16"/>
              </w:rPr>
              <w:t>Baseline (2021): 30%</w:t>
            </w:r>
          </w:p>
          <w:p w14:paraId="276A3617" w14:textId="77777777" w:rsidR="00F82D53" w:rsidRPr="00AD2C48" w:rsidRDefault="00F82D53" w:rsidP="007E3D02">
            <w:pPr>
              <w:rPr>
                <w:sz w:val="16"/>
                <w:szCs w:val="16"/>
              </w:rPr>
            </w:pPr>
            <w:r w:rsidRPr="00AD2C48">
              <w:rPr>
                <w:sz w:val="16"/>
                <w:szCs w:val="16"/>
              </w:rPr>
              <w:t>Target (2027): 40%</w:t>
            </w:r>
          </w:p>
          <w:p w14:paraId="30A9C9AD" w14:textId="2845F6DC" w:rsidR="00F82D53" w:rsidRPr="00AD2C48" w:rsidRDefault="00F82D53" w:rsidP="007E3D02">
            <w:pPr>
              <w:rPr>
                <w:sz w:val="16"/>
                <w:szCs w:val="16"/>
              </w:rPr>
            </w:pPr>
            <w:r w:rsidRPr="00AD2C48">
              <w:rPr>
                <w:sz w:val="16"/>
                <w:szCs w:val="16"/>
              </w:rPr>
              <w:t xml:space="preserve">Source/frequency: Draft </w:t>
            </w:r>
            <w:r w:rsidR="00AD3139" w:rsidRPr="00AD2C48">
              <w:rPr>
                <w:sz w:val="16"/>
                <w:szCs w:val="16"/>
              </w:rPr>
              <w:t>e</w:t>
            </w:r>
            <w:r w:rsidRPr="00AD2C48">
              <w:rPr>
                <w:sz w:val="16"/>
                <w:szCs w:val="16"/>
              </w:rPr>
              <w:t xml:space="preserve">lectoral </w:t>
            </w:r>
            <w:r w:rsidR="00AD3139" w:rsidRPr="00AD2C48">
              <w:rPr>
                <w:sz w:val="16"/>
                <w:szCs w:val="16"/>
              </w:rPr>
              <w:t>l</w:t>
            </w:r>
            <w:r w:rsidRPr="00AD2C48">
              <w:rPr>
                <w:sz w:val="16"/>
                <w:szCs w:val="16"/>
              </w:rPr>
              <w:t>aw/annually</w:t>
            </w:r>
          </w:p>
          <w:p w14:paraId="565C4163" w14:textId="1F1C0BCC" w:rsidR="002F59BE" w:rsidRPr="00AD2C48" w:rsidRDefault="00F82D53" w:rsidP="007E3D02">
            <w:pPr>
              <w:rPr>
                <w:sz w:val="16"/>
                <w:szCs w:val="16"/>
              </w:rPr>
            </w:pPr>
            <w:r w:rsidRPr="00AD2C48">
              <w:rPr>
                <w:sz w:val="16"/>
                <w:szCs w:val="16"/>
              </w:rPr>
              <w:t xml:space="preserve">3.4.2. Proportion of women </w:t>
            </w:r>
            <w:r w:rsidR="00AD3139" w:rsidRPr="00AD2C48">
              <w:rPr>
                <w:sz w:val="16"/>
                <w:szCs w:val="16"/>
              </w:rPr>
              <w:t xml:space="preserve">in </w:t>
            </w:r>
            <w:r w:rsidRPr="00AD2C48">
              <w:rPr>
                <w:sz w:val="16"/>
                <w:szCs w:val="16"/>
              </w:rPr>
              <w:t>leadership positions in public administration</w:t>
            </w:r>
          </w:p>
          <w:p w14:paraId="7229497C" w14:textId="77777777" w:rsidR="002F59BE" w:rsidRPr="00AD2C48" w:rsidRDefault="00F82D53" w:rsidP="007E3D02">
            <w:pPr>
              <w:rPr>
                <w:sz w:val="16"/>
                <w:szCs w:val="16"/>
              </w:rPr>
            </w:pPr>
            <w:r w:rsidRPr="00AD2C48">
              <w:rPr>
                <w:sz w:val="16"/>
                <w:szCs w:val="16"/>
              </w:rPr>
              <w:t>Baseline (2021): 10%</w:t>
            </w:r>
          </w:p>
          <w:p w14:paraId="2165605C" w14:textId="50CAD419" w:rsidR="002F59BE" w:rsidRPr="00AD2C48" w:rsidRDefault="00F82D53" w:rsidP="007E3D02">
            <w:pPr>
              <w:rPr>
                <w:sz w:val="16"/>
                <w:szCs w:val="16"/>
              </w:rPr>
            </w:pPr>
            <w:r w:rsidRPr="00AD2C48">
              <w:rPr>
                <w:sz w:val="16"/>
                <w:szCs w:val="16"/>
              </w:rPr>
              <w:t xml:space="preserve">Target (2027): 50% </w:t>
            </w:r>
          </w:p>
          <w:p w14:paraId="7CAAC9F6" w14:textId="35F2098E" w:rsidR="00F82D53" w:rsidRPr="00AD2C48" w:rsidRDefault="00F82D53" w:rsidP="007E3D02">
            <w:pPr>
              <w:rPr>
                <w:sz w:val="16"/>
                <w:szCs w:val="16"/>
              </w:rPr>
            </w:pPr>
            <w:r w:rsidRPr="00AD2C48">
              <w:rPr>
                <w:sz w:val="16"/>
                <w:szCs w:val="16"/>
              </w:rPr>
              <w:t>Source/frequency: Government/annually</w:t>
            </w:r>
          </w:p>
        </w:tc>
        <w:tc>
          <w:tcPr>
            <w:tcW w:w="2666" w:type="dxa"/>
            <w:shd w:val="clear" w:color="auto" w:fill="auto"/>
          </w:tcPr>
          <w:p w14:paraId="1CA5C918" w14:textId="77777777" w:rsidR="006E0938" w:rsidRPr="00AD2C48" w:rsidRDefault="00F82D53" w:rsidP="007E3D02">
            <w:pPr>
              <w:rPr>
                <w:sz w:val="16"/>
                <w:szCs w:val="16"/>
              </w:rPr>
            </w:pPr>
            <w:r w:rsidRPr="00AD2C48">
              <w:rPr>
                <w:sz w:val="16"/>
                <w:szCs w:val="16"/>
              </w:rPr>
              <w:lastRenderedPageBreak/>
              <w:t>Relevant ministries</w:t>
            </w:r>
          </w:p>
          <w:p w14:paraId="3F12D396" w14:textId="58008635" w:rsidR="00F82D53" w:rsidRPr="00AD2C48" w:rsidRDefault="006E0938" w:rsidP="007E3D02">
            <w:pPr>
              <w:rPr>
                <w:sz w:val="16"/>
                <w:szCs w:val="16"/>
              </w:rPr>
            </w:pPr>
            <w:r w:rsidRPr="00AD2C48">
              <w:rPr>
                <w:sz w:val="16"/>
                <w:szCs w:val="16"/>
              </w:rPr>
              <w:t>N</w:t>
            </w:r>
            <w:r w:rsidR="00F82D53" w:rsidRPr="00AD2C48">
              <w:rPr>
                <w:sz w:val="16"/>
                <w:szCs w:val="16"/>
              </w:rPr>
              <w:t>ational and subnational institutions</w:t>
            </w:r>
            <w:r w:rsidRPr="00AD2C48">
              <w:rPr>
                <w:sz w:val="16"/>
                <w:szCs w:val="16"/>
              </w:rPr>
              <w:t xml:space="preserve"> </w:t>
            </w:r>
          </w:p>
          <w:p w14:paraId="504BE6A6" w14:textId="7C70A6E3" w:rsidR="00F82D53" w:rsidRPr="00AD2C48" w:rsidRDefault="00F82D53" w:rsidP="007E3D02">
            <w:pPr>
              <w:rPr>
                <w:sz w:val="16"/>
                <w:szCs w:val="16"/>
              </w:rPr>
            </w:pPr>
            <w:r w:rsidRPr="00AD2C48">
              <w:rPr>
                <w:sz w:val="16"/>
                <w:szCs w:val="16"/>
              </w:rPr>
              <w:t xml:space="preserve">International </w:t>
            </w:r>
            <w:r w:rsidR="006E0938" w:rsidRPr="00AD2C48">
              <w:rPr>
                <w:sz w:val="16"/>
                <w:szCs w:val="16"/>
              </w:rPr>
              <w:t>o</w:t>
            </w:r>
            <w:r w:rsidRPr="00AD2C48">
              <w:rPr>
                <w:sz w:val="16"/>
                <w:szCs w:val="16"/>
              </w:rPr>
              <w:t>rganizations</w:t>
            </w:r>
          </w:p>
          <w:p w14:paraId="0ADC6140" w14:textId="377AE7C3" w:rsidR="00F82D53" w:rsidRPr="00AD2C48" w:rsidRDefault="00F82D53" w:rsidP="007E3D02">
            <w:pPr>
              <w:rPr>
                <w:sz w:val="16"/>
                <w:szCs w:val="16"/>
              </w:rPr>
            </w:pPr>
            <w:r w:rsidRPr="00AD2C48">
              <w:rPr>
                <w:sz w:val="16"/>
                <w:szCs w:val="16"/>
              </w:rPr>
              <w:lastRenderedPageBreak/>
              <w:t xml:space="preserve">Civil </w:t>
            </w:r>
            <w:r w:rsidR="006E0938" w:rsidRPr="00AD2C48">
              <w:rPr>
                <w:sz w:val="16"/>
                <w:szCs w:val="16"/>
              </w:rPr>
              <w:t>s</w:t>
            </w:r>
            <w:r w:rsidRPr="00AD2C48">
              <w:rPr>
                <w:sz w:val="16"/>
                <w:szCs w:val="16"/>
              </w:rPr>
              <w:t xml:space="preserve">ociety </w:t>
            </w:r>
            <w:r w:rsidR="006E0938" w:rsidRPr="00AD2C48">
              <w:rPr>
                <w:sz w:val="16"/>
                <w:szCs w:val="16"/>
              </w:rPr>
              <w:t>o</w:t>
            </w:r>
            <w:r w:rsidRPr="00AD2C48">
              <w:rPr>
                <w:sz w:val="16"/>
                <w:szCs w:val="16"/>
              </w:rPr>
              <w:t>rganizations</w:t>
            </w:r>
          </w:p>
          <w:p w14:paraId="438B79CA" w14:textId="322D1A18" w:rsidR="00F82D53" w:rsidRPr="00AD2C48" w:rsidRDefault="00F82D53" w:rsidP="007E3D02">
            <w:pPr>
              <w:rPr>
                <w:sz w:val="16"/>
                <w:szCs w:val="16"/>
              </w:rPr>
            </w:pPr>
            <w:r w:rsidRPr="00AD2C48">
              <w:rPr>
                <w:sz w:val="16"/>
                <w:szCs w:val="16"/>
              </w:rPr>
              <w:t>U</w:t>
            </w:r>
            <w:r w:rsidR="006E0938" w:rsidRPr="00AD2C48">
              <w:rPr>
                <w:sz w:val="16"/>
                <w:szCs w:val="16"/>
              </w:rPr>
              <w:t xml:space="preserve">nited </w:t>
            </w:r>
            <w:r w:rsidRPr="00AD2C48">
              <w:rPr>
                <w:sz w:val="16"/>
                <w:szCs w:val="16"/>
              </w:rPr>
              <w:t>N</w:t>
            </w:r>
            <w:r w:rsidR="006E0938" w:rsidRPr="00AD2C48">
              <w:rPr>
                <w:sz w:val="16"/>
                <w:szCs w:val="16"/>
              </w:rPr>
              <w:t>ations entities</w:t>
            </w:r>
          </w:p>
          <w:p w14:paraId="336E7552" w14:textId="77777777" w:rsidR="00F82D53" w:rsidRPr="00AD2C48" w:rsidRDefault="00F82D53" w:rsidP="000E4AA2">
            <w:pPr>
              <w:rPr>
                <w:sz w:val="16"/>
                <w:szCs w:val="16"/>
              </w:rPr>
            </w:pPr>
          </w:p>
        </w:tc>
        <w:tc>
          <w:tcPr>
            <w:tcW w:w="1350" w:type="dxa"/>
            <w:shd w:val="clear" w:color="auto" w:fill="auto"/>
            <w:tcMar>
              <w:top w:w="15" w:type="dxa"/>
              <w:left w:w="108" w:type="dxa"/>
              <w:bottom w:w="0" w:type="dxa"/>
              <w:right w:w="108" w:type="dxa"/>
            </w:tcMar>
          </w:tcPr>
          <w:p w14:paraId="2F979C2A" w14:textId="77777777" w:rsidR="00F82D53" w:rsidRPr="00AD2C48" w:rsidRDefault="00F82D53" w:rsidP="007E3D02">
            <w:pPr>
              <w:rPr>
                <w:b/>
                <w:sz w:val="16"/>
                <w:szCs w:val="16"/>
              </w:rPr>
            </w:pPr>
            <w:r w:rsidRPr="00AD2C48">
              <w:rPr>
                <w:b/>
                <w:sz w:val="16"/>
                <w:szCs w:val="16"/>
              </w:rPr>
              <w:lastRenderedPageBreak/>
              <w:t>Regular</w:t>
            </w:r>
          </w:p>
          <w:p w14:paraId="664EB4C6" w14:textId="77777777" w:rsidR="00F82D53" w:rsidRPr="00AD2C48" w:rsidRDefault="00F82D53" w:rsidP="007E3D02">
            <w:pPr>
              <w:rPr>
                <w:b/>
                <w:sz w:val="16"/>
                <w:szCs w:val="16"/>
              </w:rPr>
            </w:pPr>
            <w:r w:rsidRPr="00AD2C48">
              <w:rPr>
                <w:b/>
                <w:sz w:val="16"/>
                <w:szCs w:val="16"/>
              </w:rPr>
              <w:t>250,000</w:t>
            </w:r>
          </w:p>
          <w:p w14:paraId="7479EEA3" w14:textId="77777777" w:rsidR="00F82D53" w:rsidRPr="00AD2C48" w:rsidRDefault="00F82D53" w:rsidP="007E3D02">
            <w:pPr>
              <w:rPr>
                <w:b/>
                <w:sz w:val="16"/>
                <w:szCs w:val="16"/>
              </w:rPr>
            </w:pPr>
          </w:p>
          <w:p w14:paraId="04C4D3D6" w14:textId="77777777" w:rsidR="00F82D53" w:rsidRPr="00AD2C48" w:rsidRDefault="00F82D53" w:rsidP="007E3D02">
            <w:pPr>
              <w:rPr>
                <w:b/>
                <w:sz w:val="16"/>
                <w:szCs w:val="16"/>
              </w:rPr>
            </w:pPr>
            <w:r w:rsidRPr="00AD2C48">
              <w:rPr>
                <w:b/>
                <w:sz w:val="16"/>
                <w:szCs w:val="16"/>
              </w:rPr>
              <w:lastRenderedPageBreak/>
              <w:t xml:space="preserve">Other </w:t>
            </w:r>
          </w:p>
          <w:p w14:paraId="0DFF6C85" w14:textId="77777777" w:rsidR="00F82D53" w:rsidRPr="00AD2C48" w:rsidRDefault="00F82D53" w:rsidP="007E3D02">
            <w:pPr>
              <w:rPr>
                <w:b/>
                <w:sz w:val="16"/>
                <w:szCs w:val="16"/>
              </w:rPr>
            </w:pPr>
            <w:r w:rsidRPr="00AD2C48">
              <w:rPr>
                <w:b/>
                <w:sz w:val="16"/>
                <w:szCs w:val="16"/>
              </w:rPr>
              <w:t>5,500,000</w:t>
            </w:r>
          </w:p>
          <w:p w14:paraId="1AF2F180" w14:textId="77777777" w:rsidR="00F82D53" w:rsidRPr="00AD2C48" w:rsidRDefault="00F82D53" w:rsidP="007E3D02">
            <w:pPr>
              <w:rPr>
                <w:sz w:val="16"/>
                <w:szCs w:val="16"/>
              </w:rPr>
            </w:pPr>
          </w:p>
          <w:p w14:paraId="75278467" w14:textId="77777777" w:rsidR="00F82D53" w:rsidRPr="00AD2C48" w:rsidRDefault="00F82D53" w:rsidP="007E3D02">
            <w:pPr>
              <w:rPr>
                <w:b/>
                <w:bCs/>
                <w:sz w:val="16"/>
                <w:szCs w:val="16"/>
              </w:rPr>
            </w:pPr>
            <w:r w:rsidRPr="00AD2C48">
              <w:rPr>
                <w:b/>
                <w:bCs/>
                <w:sz w:val="16"/>
                <w:szCs w:val="16"/>
              </w:rPr>
              <w:t>TOTAL:</w:t>
            </w:r>
          </w:p>
          <w:p w14:paraId="080F5982" w14:textId="77777777" w:rsidR="00F82D53" w:rsidRPr="00AD2C48" w:rsidRDefault="00F82D53" w:rsidP="007E3D02">
            <w:pPr>
              <w:rPr>
                <w:b/>
                <w:sz w:val="16"/>
                <w:szCs w:val="16"/>
              </w:rPr>
            </w:pPr>
            <w:r w:rsidRPr="00AD2C48">
              <w:rPr>
                <w:b/>
                <w:sz w:val="16"/>
                <w:szCs w:val="16"/>
              </w:rPr>
              <w:t>5,750,000</w:t>
            </w:r>
          </w:p>
          <w:p w14:paraId="07E8AAD7" w14:textId="77777777" w:rsidR="00F82D53" w:rsidRPr="00AD2C48" w:rsidRDefault="00F82D53" w:rsidP="000E4AA2">
            <w:pPr>
              <w:rPr>
                <w:b/>
                <w:sz w:val="16"/>
                <w:szCs w:val="16"/>
              </w:rPr>
            </w:pPr>
          </w:p>
        </w:tc>
      </w:tr>
    </w:tbl>
    <w:p w14:paraId="7ABDB495" w14:textId="77777777" w:rsidR="0064135C" w:rsidRDefault="0064135C" w:rsidP="00F82D53">
      <w:pPr>
        <w:jc w:val="both"/>
        <w:rPr>
          <w:sz w:val="2"/>
          <w:szCs w:val="2"/>
        </w:rPr>
      </w:pPr>
    </w:p>
    <w:p w14:paraId="6D4ED148" w14:textId="77777777" w:rsidR="0064135C" w:rsidRDefault="0064135C" w:rsidP="00F82D53">
      <w:pPr>
        <w:jc w:val="both"/>
        <w:rPr>
          <w:sz w:val="2"/>
          <w:szCs w:val="2"/>
        </w:rPr>
      </w:pPr>
    </w:p>
    <w:p w14:paraId="6C5D3C94" w14:textId="77777777" w:rsidR="0064135C" w:rsidRDefault="0064135C" w:rsidP="00F82D53">
      <w:pPr>
        <w:jc w:val="both"/>
        <w:rPr>
          <w:sz w:val="2"/>
          <w:szCs w:val="2"/>
        </w:rPr>
      </w:pPr>
    </w:p>
    <w:p w14:paraId="0460948D" w14:textId="77777777" w:rsidR="0064135C" w:rsidRDefault="0064135C" w:rsidP="00F82D53">
      <w:pPr>
        <w:jc w:val="both"/>
      </w:pPr>
    </w:p>
    <w:p w14:paraId="5C165E59" w14:textId="06123AA6" w:rsidR="00E22EBA" w:rsidRPr="000E4C4E" w:rsidRDefault="0064135C" w:rsidP="0064135C">
      <w:pPr>
        <w:jc w:val="center"/>
        <w:rPr>
          <w:sz w:val="2"/>
          <w:szCs w:val="2"/>
        </w:rPr>
      </w:pPr>
      <w:r>
        <w:rPr>
          <w:noProof/>
          <w:sz w:val="2"/>
          <w:szCs w:val="2"/>
        </w:rPr>
        <w:drawing>
          <wp:inline distT="0" distB="0" distL="0" distR="0" wp14:anchorId="659AA4B4" wp14:editId="4E67DF27">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E22EBA" w:rsidRPr="000E4C4E" w:rsidSect="003F7907">
      <w:headerReference w:type="even" r:id="rId22"/>
      <w:headerReference w:type="default" r:id="rId23"/>
      <w:footerReference w:type="even" r:id="rId24"/>
      <w:footerReference w:type="default" r:id="rId25"/>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5601" w14:textId="77777777" w:rsidR="00C53944" w:rsidRDefault="00C53944" w:rsidP="00441061">
      <w:r>
        <w:separator/>
      </w:r>
    </w:p>
  </w:endnote>
  <w:endnote w:type="continuationSeparator" w:id="0">
    <w:p w14:paraId="3B81E7B1" w14:textId="77777777" w:rsidR="00C53944" w:rsidRDefault="00C53944" w:rsidP="00441061">
      <w:r>
        <w:continuationSeparator/>
      </w:r>
    </w:p>
  </w:endnote>
  <w:endnote w:type="continuationNotice" w:id="1">
    <w:p w14:paraId="4A7FB1DF" w14:textId="77777777" w:rsidR="00C53944" w:rsidRDefault="00C53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7E3D02" w:rsidRPr="005841A3" w:rsidRDefault="007E3D02" w:rsidP="00112F45">
    <w:pPr>
      <w:pStyle w:val="Footer"/>
      <w:ind w:firstLine="900"/>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2</w:t>
    </w:r>
    <w:r w:rsidRPr="005841A3">
      <w:rPr>
        <w:b/>
        <w:color w:val="2B579A"/>
        <w:sz w:val="17"/>
        <w:szCs w:val="17"/>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6403A566" w:rsidR="007E3D02" w:rsidRPr="00EC10C5" w:rsidRDefault="007E3D02" w:rsidP="00112F45">
    <w:pPr>
      <w:pStyle w:val="Footer"/>
      <w:tabs>
        <w:tab w:val="clear" w:pos="8640"/>
        <w:tab w:val="right" w:pos="9000"/>
      </w:tabs>
      <w:ind w:right="940"/>
      <w:jc w:val="right"/>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3</w:t>
    </w:r>
    <w:r w:rsidRPr="005841A3">
      <w:rPr>
        <w:b/>
        <w:color w:val="2B579A"/>
        <w:sz w:val="17"/>
        <w:szCs w:val="17"/>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829450"/>
      <w:docPartObj>
        <w:docPartGallery w:val="Page Numbers (Bottom of Page)"/>
        <w:docPartUnique/>
      </w:docPartObj>
    </w:sdtPr>
    <w:sdtEndPr>
      <w:rPr>
        <w:b/>
        <w:bCs/>
        <w:noProof/>
        <w:sz w:val="17"/>
        <w:szCs w:val="17"/>
      </w:rPr>
    </w:sdtEndPr>
    <w:sdtContent>
      <w:p w14:paraId="1BA6CD49" w14:textId="09D5A0A4" w:rsidR="00CB1655" w:rsidRPr="00CB1655" w:rsidRDefault="00CB1655" w:rsidP="00FD5779">
        <w:pPr>
          <w:pStyle w:val="Footer"/>
          <w:ind w:firstLine="900"/>
          <w:rPr>
            <w:b/>
            <w:bCs/>
            <w:sz w:val="17"/>
            <w:szCs w:val="17"/>
          </w:rPr>
        </w:pPr>
        <w:r w:rsidRPr="00CB1655">
          <w:rPr>
            <w:b/>
            <w:bCs/>
            <w:sz w:val="17"/>
            <w:szCs w:val="17"/>
          </w:rPr>
          <w:fldChar w:fldCharType="begin"/>
        </w:r>
        <w:r w:rsidRPr="00CB1655">
          <w:rPr>
            <w:b/>
            <w:bCs/>
            <w:sz w:val="17"/>
            <w:szCs w:val="17"/>
          </w:rPr>
          <w:instrText xml:space="preserve"> PAGE   \* MERGEFORMAT </w:instrText>
        </w:r>
        <w:r w:rsidRPr="00CB1655">
          <w:rPr>
            <w:b/>
            <w:bCs/>
            <w:sz w:val="17"/>
            <w:szCs w:val="17"/>
          </w:rPr>
          <w:fldChar w:fldCharType="separate"/>
        </w:r>
        <w:r w:rsidRPr="00CB1655">
          <w:rPr>
            <w:b/>
            <w:bCs/>
            <w:noProof/>
            <w:sz w:val="17"/>
            <w:szCs w:val="17"/>
          </w:rPr>
          <w:t>2</w:t>
        </w:r>
        <w:r w:rsidRPr="00CB1655">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4E20" w14:textId="77777777" w:rsidR="00F421F3" w:rsidRPr="005841A3" w:rsidRDefault="00F421F3" w:rsidP="00F421F3">
    <w:pPr>
      <w:pStyle w:val="Footer"/>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2</w:t>
    </w:r>
    <w:r w:rsidRPr="005841A3">
      <w:rPr>
        <w:b/>
        <w:color w:val="2B579A"/>
        <w:sz w:val="17"/>
        <w:szCs w:val="17"/>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422E" w14:textId="77777777" w:rsidR="00F421F3" w:rsidRPr="00EC10C5" w:rsidRDefault="00F421F3" w:rsidP="00F421F3">
    <w:pPr>
      <w:pStyle w:val="Footer"/>
      <w:tabs>
        <w:tab w:val="clear" w:pos="8640"/>
        <w:tab w:val="right" w:pos="9000"/>
      </w:tabs>
      <w:ind w:right="396"/>
      <w:jc w:val="right"/>
      <w:rPr>
        <w:b/>
        <w:sz w:val="17"/>
        <w:szCs w:val="17"/>
      </w:rPr>
    </w:pPr>
    <w:r w:rsidRPr="005841A3">
      <w:rPr>
        <w:b/>
        <w:color w:val="2B579A"/>
        <w:sz w:val="17"/>
        <w:szCs w:val="17"/>
        <w:shd w:val="clear" w:color="auto" w:fill="E6E6E6"/>
      </w:rPr>
      <w:fldChar w:fldCharType="begin"/>
    </w:r>
    <w:r w:rsidRPr="005841A3">
      <w:rPr>
        <w:b/>
        <w:sz w:val="17"/>
        <w:szCs w:val="17"/>
      </w:rPr>
      <w:instrText xml:space="preserve"> PAGE   \* MERGEFORMAT </w:instrText>
    </w:r>
    <w:r w:rsidRPr="005841A3">
      <w:rPr>
        <w:b/>
        <w:color w:val="2B579A"/>
        <w:sz w:val="17"/>
        <w:szCs w:val="17"/>
        <w:shd w:val="clear" w:color="auto" w:fill="E6E6E6"/>
      </w:rPr>
      <w:fldChar w:fldCharType="separate"/>
    </w:r>
    <w:r>
      <w:rPr>
        <w:b/>
        <w:noProof/>
        <w:sz w:val="17"/>
        <w:szCs w:val="17"/>
      </w:rPr>
      <w:t>3</w:t>
    </w:r>
    <w:r w:rsidRPr="005841A3">
      <w:rPr>
        <w:b/>
        <w:color w:val="2B579A"/>
        <w:sz w:val="17"/>
        <w:szCs w:val="17"/>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D0D0" w14:textId="77777777" w:rsidR="00C53944" w:rsidRDefault="00C53944" w:rsidP="00441061">
      <w:r>
        <w:separator/>
      </w:r>
    </w:p>
  </w:footnote>
  <w:footnote w:type="continuationSeparator" w:id="0">
    <w:p w14:paraId="7A40335C" w14:textId="77777777" w:rsidR="00C53944" w:rsidRDefault="00C53944" w:rsidP="00441061">
      <w:r>
        <w:continuationSeparator/>
      </w:r>
    </w:p>
  </w:footnote>
  <w:footnote w:type="continuationNotice" w:id="1">
    <w:p w14:paraId="5C49415B" w14:textId="77777777" w:rsidR="00C53944" w:rsidRDefault="00C53944"/>
  </w:footnote>
  <w:footnote w:id="2">
    <w:p w14:paraId="66CEDC60" w14:textId="380EF1B5" w:rsidR="007E3D02" w:rsidRPr="00991ECE" w:rsidRDefault="007E3D02" w:rsidP="00C966C7">
      <w:pPr>
        <w:pStyle w:val="FootnoteText"/>
        <w:rPr>
          <w:rFonts w:ascii="Times New Roman" w:hAnsi="Times New Roman"/>
          <w:sz w:val="16"/>
          <w:szCs w:val="16"/>
        </w:rPr>
      </w:pPr>
      <w:r w:rsidRPr="00991ECE">
        <w:rPr>
          <w:rStyle w:val="FootnoteReference"/>
          <w:rFonts w:ascii="Times New Roman" w:hAnsi="Times New Roman"/>
          <w:sz w:val="16"/>
          <w:szCs w:val="16"/>
        </w:rPr>
        <w:footnoteRef/>
      </w:r>
      <w:r w:rsidRPr="00991ECE">
        <w:rPr>
          <w:rFonts w:ascii="Times New Roman" w:hAnsi="Times New Roman"/>
          <w:sz w:val="16"/>
          <w:szCs w:val="16"/>
        </w:rPr>
        <w:t xml:space="preserve"> </w:t>
      </w:r>
      <w:r w:rsidR="007E61E0" w:rsidRPr="00991ECE">
        <w:rPr>
          <w:rFonts w:ascii="Times New Roman" w:hAnsi="Times New Roman"/>
          <w:sz w:val="16"/>
          <w:szCs w:val="16"/>
        </w:rPr>
        <w:t>http</w:t>
      </w:r>
      <w:r w:rsidRPr="00991ECE">
        <w:rPr>
          <w:rFonts w:ascii="Times New Roman" w:hAnsi="Times New Roman"/>
          <w:sz w:val="16"/>
          <w:szCs w:val="16"/>
        </w:rPr>
        <w:t>://hdr.undp.org/en/home</w:t>
      </w:r>
      <w:r w:rsidR="007E61E0" w:rsidRPr="00991ECE">
        <w:rPr>
          <w:rFonts w:ascii="Times New Roman" w:hAnsi="Times New Roman"/>
          <w:sz w:val="16"/>
          <w:szCs w:val="16"/>
        </w:rPr>
        <w:t>.</w:t>
      </w:r>
    </w:p>
  </w:footnote>
  <w:footnote w:id="3">
    <w:p w14:paraId="4666B110" w14:textId="2FD8FF89" w:rsidR="00386CAF" w:rsidRPr="00991ECE" w:rsidRDefault="00386CAF">
      <w:pPr>
        <w:pStyle w:val="FootnoteText"/>
        <w:rPr>
          <w:rFonts w:ascii="Times New Roman" w:hAnsi="Times New Roman"/>
          <w:sz w:val="16"/>
          <w:szCs w:val="16"/>
        </w:rPr>
      </w:pPr>
      <w:r w:rsidRPr="00991ECE">
        <w:rPr>
          <w:rStyle w:val="FootnoteReference"/>
          <w:rFonts w:ascii="Times New Roman" w:hAnsi="Times New Roman"/>
          <w:sz w:val="16"/>
          <w:szCs w:val="16"/>
        </w:rPr>
        <w:footnoteRef/>
      </w:r>
      <w:r w:rsidRPr="00991ECE">
        <w:rPr>
          <w:rStyle w:val="FootnoteReference"/>
          <w:rFonts w:ascii="Times New Roman" w:hAnsi="Times New Roman"/>
          <w:sz w:val="16"/>
          <w:szCs w:val="16"/>
        </w:rPr>
        <w:t xml:space="preserve"> </w:t>
      </w:r>
      <w:hyperlink r:id="rId1" w:history="1">
        <w:r w:rsidR="007E61E0" w:rsidRPr="00991ECE">
          <w:rPr>
            <w:rStyle w:val="Hyperlink"/>
            <w:rFonts w:ascii="Times New Roman" w:hAnsi="Times New Roman"/>
            <w:color w:val="auto"/>
            <w:sz w:val="16"/>
            <w:szCs w:val="16"/>
          </w:rPr>
          <w:t>https://documents1.worldbank.org/curated/en/900381634670558017/pdf/Greening-the-Recovery.pdf</w:t>
        </w:r>
      </w:hyperlink>
      <w:r w:rsidR="007E61E0" w:rsidRPr="00991ECE">
        <w:rPr>
          <w:rFonts w:ascii="Times New Roman" w:hAnsi="Times New Roman"/>
          <w:sz w:val="16"/>
          <w:szCs w:val="16"/>
        </w:rPr>
        <w:t>.</w:t>
      </w:r>
    </w:p>
  </w:footnote>
  <w:footnote w:id="4">
    <w:p w14:paraId="28E93BE6" w14:textId="41627076" w:rsidR="007E3D02" w:rsidRPr="00991ECE" w:rsidRDefault="007E3D02" w:rsidP="00C966C7">
      <w:pPr>
        <w:pStyle w:val="FootnoteText"/>
        <w:rPr>
          <w:rFonts w:ascii="Times New Roman" w:hAnsi="Times New Roman"/>
          <w:sz w:val="16"/>
          <w:szCs w:val="16"/>
        </w:rPr>
      </w:pPr>
      <w:r w:rsidRPr="00991ECE">
        <w:rPr>
          <w:rStyle w:val="FootnoteReference"/>
          <w:rFonts w:ascii="Times New Roman" w:hAnsi="Times New Roman"/>
          <w:sz w:val="16"/>
          <w:szCs w:val="16"/>
        </w:rPr>
        <w:footnoteRef/>
      </w:r>
      <w:r w:rsidR="0081764A" w:rsidRPr="00991ECE">
        <w:rPr>
          <w:rFonts w:ascii="Times New Roman" w:hAnsi="Times New Roman"/>
          <w:sz w:val="16"/>
          <w:szCs w:val="16"/>
        </w:rPr>
        <w:t xml:space="preserve"> </w:t>
      </w:r>
      <w:r w:rsidRPr="00991ECE">
        <w:rPr>
          <w:rFonts w:ascii="Times New Roman" w:hAnsi="Times New Roman"/>
          <w:sz w:val="16"/>
          <w:szCs w:val="16"/>
        </w:rPr>
        <w:t>https://hdr.undp.org/sites/default/files/2020_nhdr_montenegro.pdf</w:t>
      </w:r>
      <w:r w:rsidR="0081764A" w:rsidRPr="00991ECE">
        <w:rPr>
          <w:rFonts w:ascii="Times New Roman" w:hAnsi="Times New Roman"/>
          <w:sz w:val="16"/>
          <w:szCs w:val="16"/>
        </w:rPr>
        <w:t>.</w:t>
      </w:r>
    </w:p>
  </w:footnote>
  <w:footnote w:id="5">
    <w:p w14:paraId="16ABA50C" w14:textId="78813C4D" w:rsidR="007E3D02" w:rsidRPr="00991ECE" w:rsidRDefault="007E3D02" w:rsidP="00C966C7">
      <w:pPr>
        <w:pStyle w:val="FootnoteText"/>
        <w:rPr>
          <w:rFonts w:ascii="Times New Roman" w:hAnsi="Times New Roman"/>
          <w:sz w:val="16"/>
          <w:szCs w:val="16"/>
        </w:rPr>
      </w:pPr>
      <w:r w:rsidRPr="00991ECE">
        <w:rPr>
          <w:rStyle w:val="FootnoteReference"/>
          <w:rFonts w:ascii="Times New Roman" w:hAnsi="Times New Roman"/>
          <w:sz w:val="16"/>
          <w:szCs w:val="16"/>
        </w:rPr>
        <w:footnoteRef/>
      </w:r>
      <w:r w:rsidRPr="00991ECE">
        <w:rPr>
          <w:rFonts w:ascii="Times New Roman" w:hAnsi="Times New Roman"/>
          <w:sz w:val="16"/>
          <w:szCs w:val="16"/>
        </w:rPr>
        <w:t xml:space="preserve"> </w:t>
      </w:r>
      <w:hyperlink r:id="rId2" w:history="1">
        <w:r w:rsidR="0081764A" w:rsidRPr="00991ECE">
          <w:rPr>
            <w:rStyle w:val="Hyperlink"/>
            <w:rFonts w:ascii="Times New Roman" w:hAnsi="Times New Roman"/>
            <w:color w:val="auto"/>
            <w:sz w:val="16"/>
            <w:szCs w:val="16"/>
          </w:rPr>
          <w:t>https://montenegro.un.org/en/124464-un-common-country-analysis-montenegro-2021</w:t>
        </w:r>
      </w:hyperlink>
      <w:r w:rsidR="0081764A" w:rsidRPr="00991ECE">
        <w:rPr>
          <w:rFonts w:ascii="Times New Roman" w:hAnsi="Times New Roman"/>
          <w:sz w:val="16"/>
          <w:szCs w:val="16"/>
        </w:rPr>
        <w:t xml:space="preserve">. </w:t>
      </w:r>
    </w:p>
  </w:footnote>
  <w:footnote w:id="6">
    <w:p w14:paraId="51E78391" w14:textId="0379A2F7" w:rsidR="007E3D02" w:rsidRPr="00991ECE" w:rsidRDefault="007E3D02" w:rsidP="00DB70DC">
      <w:pPr>
        <w:rPr>
          <w:sz w:val="16"/>
          <w:szCs w:val="16"/>
        </w:rPr>
      </w:pPr>
      <w:r w:rsidRPr="00991ECE">
        <w:rPr>
          <w:rStyle w:val="FootnoteReference"/>
          <w:sz w:val="16"/>
          <w:szCs w:val="16"/>
        </w:rPr>
        <w:footnoteRef/>
      </w:r>
      <w:r w:rsidR="0081764A" w:rsidRPr="00991ECE">
        <w:rPr>
          <w:sz w:val="16"/>
          <w:szCs w:val="16"/>
        </w:rPr>
        <w:t xml:space="preserve"> </w:t>
      </w:r>
      <w:hyperlink r:id="rId3" w:history="1">
        <w:r w:rsidRPr="00991ECE">
          <w:rPr>
            <w:sz w:val="16"/>
            <w:szCs w:val="16"/>
          </w:rPr>
          <w:t>http://www.monstat.org/eng/page.php?id=1615&amp;pageid=22</w:t>
        </w:r>
      </w:hyperlink>
      <w:r w:rsidR="00212A61" w:rsidRPr="00991ECE">
        <w:rPr>
          <w:sz w:val="16"/>
          <w:szCs w:val="16"/>
        </w:rPr>
        <w:t>.</w:t>
      </w:r>
      <w:r w:rsidRPr="00991ECE">
        <w:rPr>
          <w:sz w:val="16"/>
          <w:szCs w:val="16"/>
        </w:rPr>
        <w:t xml:space="preserve"> </w:t>
      </w:r>
    </w:p>
  </w:footnote>
  <w:footnote w:id="7">
    <w:p w14:paraId="39AF3315" w14:textId="41B637F2" w:rsidR="007E3D02" w:rsidRPr="00991ECE" w:rsidRDefault="007E3D02" w:rsidP="00C966C7">
      <w:pPr>
        <w:pStyle w:val="FootnoteText"/>
        <w:rPr>
          <w:rFonts w:ascii="Times New Roman" w:hAnsi="Times New Roman"/>
          <w:sz w:val="16"/>
          <w:szCs w:val="16"/>
        </w:rPr>
      </w:pPr>
      <w:r w:rsidRPr="00991ECE">
        <w:rPr>
          <w:rStyle w:val="FootnoteReference"/>
          <w:rFonts w:ascii="Times New Roman" w:hAnsi="Times New Roman"/>
          <w:sz w:val="16"/>
          <w:szCs w:val="16"/>
        </w:rPr>
        <w:footnoteRef/>
      </w:r>
      <w:r w:rsidRPr="00991ECE">
        <w:rPr>
          <w:rFonts w:ascii="Times New Roman" w:hAnsi="Times New Roman"/>
          <w:sz w:val="16"/>
          <w:szCs w:val="16"/>
        </w:rPr>
        <w:t xml:space="preserve"> </w:t>
      </w:r>
      <w:hyperlink r:id="rId4" w:history="1">
        <w:r w:rsidR="001A39F6" w:rsidRPr="00991ECE">
          <w:rPr>
            <w:rStyle w:val="Hyperlink"/>
            <w:rFonts w:ascii="Times New Roman" w:hAnsi="Times New Roman"/>
            <w:color w:val="auto"/>
            <w:sz w:val="16"/>
            <w:szCs w:val="16"/>
          </w:rPr>
          <w:t>https://www.wfd.org/sites/default/files/2022-04/Youth%20perceptions%20and%20attitudes%20towards%20politics%20in%20MNE.pdf</w:t>
        </w:r>
      </w:hyperlink>
      <w:r w:rsidR="00C956CD" w:rsidRPr="00991ECE">
        <w:rPr>
          <w:rFonts w:ascii="Times New Roman" w:hAnsi="Times New Roman"/>
          <w:sz w:val="16"/>
          <w:szCs w:val="16"/>
        </w:rPr>
        <w:t>.</w:t>
      </w:r>
    </w:p>
  </w:footnote>
  <w:footnote w:id="8">
    <w:p w14:paraId="11478B91" w14:textId="66B6FA69" w:rsidR="007E3D02" w:rsidRPr="00991ECE" w:rsidRDefault="007E3D02" w:rsidP="004D4F35">
      <w:pPr>
        <w:pStyle w:val="Heading2"/>
        <w:shd w:val="clear" w:color="auto" w:fill="FFFFFF"/>
        <w:jc w:val="left"/>
        <w:rPr>
          <w:rFonts w:ascii="Times New Roman" w:hAnsi="Times New Roman"/>
          <w:sz w:val="16"/>
          <w:szCs w:val="16"/>
        </w:rPr>
      </w:pPr>
      <w:r w:rsidRPr="00991ECE">
        <w:rPr>
          <w:rStyle w:val="FootnoteReference"/>
          <w:rFonts w:ascii="Times New Roman" w:hAnsi="Times New Roman"/>
          <w:b w:val="0"/>
          <w:sz w:val="16"/>
          <w:szCs w:val="16"/>
        </w:rPr>
        <w:footnoteRef/>
      </w:r>
      <w:r w:rsidR="004D4F35" w:rsidRPr="00991ECE">
        <w:rPr>
          <w:rFonts w:ascii="Times New Roman" w:hAnsi="Times New Roman"/>
          <w:b w:val="0"/>
          <w:sz w:val="16"/>
          <w:szCs w:val="16"/>
        </w:rPr>
        <w:t xml:space="preserve"> https://www.imf.org/-/media/Files/Publications/CR/2022/English/1MNEEA2022001.ashx</w:t>
      </w:r>
      <w:r w:rsidRPr="00991ECE">
        <w:rPr>
          <w:rFonts w:ascii="Times New Roman" w:hAnsi="Times New Roman"/>
          <w:b w:val="0"/>
          <w:sz w:val="16"/>
          <w:szCs w:val="16"/>
        </w:rPr>
        <w:t xml:space="preserve"> </w:t>
      </w:r>
    </w:p>
  </w:footnote>
  <w:footnote w:id="9">
    <w:p w14:paraId="00C1F27A" w14:textId="31564FD4" w:rsidR="007E3D02" w:rsidRPr="00991ECE" w:rsidRDefault="007E3D02" w:rsidP="00DB70DC">
      <w:pPr>
        <w:rPr>
          <w:sz w:val="16"/>
          <w:szCs w:val="16"/>
        </w:rPr>
      </w:pPr>
      <w:r w:rsidRPr="00991ECE">
        <w:rPr>
          <w:rStyle w:val="FootnoteReference"/>
          <w:sz w:val="16"/>
          <w:szCs w:val="16"/>
        </w:rPr>
        <w:footnoteRef/>
      </w:r>
      <w:r w:rsidRPr="00991ECE">
        <w:rPr>
          <w:sz w:val="16"/>
          <w:szCs w:val="16"/>
        </w:rPr>
        <w:t xml:space="preserve"> </w:t>
      </w:r>
      <w:r w:rsidR="00DC2CA2" w:rsidRPr="00991ECE">
        <w:rPr>
          <w:rStyle w:val="Hyperlink"/>
          <w:color w:val="auto"/>
          <w:sz w:val="16"/>
          <w:szCs w:val="16"/>
        </w:rPr>
        <w:t>https://www.gov.me/dokumenta/7c683907-59a9-41e8-8a1f-72fded711eac</w:t>
      </w:r>
      <w:r w:rsidR="00C956CD" w:rsidRPr="00991ECE">
        <w:rPr>
          <w:rStyle w:val="Hyperlink"/>
          <w:color w:val="auto"/>
          <w:sz w:val="16"/>
          <w:szCs w:val="16"/>
        </w:rPr>
        <w:t>.</w:t>
      </w:r>
    </w:p>
  </w:footnote>
  <w:footnote w:id="10">
    <w:p w14:paraId="2B7FD9A9" w14:textId="523B7DB2" w:rsidR="007E3D02" w:rsidRPr="00991ECE" w:rsidRDefault="007E3D02" w:rsidP="00FC6617">
      <w:pPr>
        <w:rPr>
          <w:sz w:val="16"/>
          <w:szCs w:val="16"/>
        </w:rPr>
      </w:pPr>
      <w:r w:rsidRPr="00991ECE">
        <w:rPr>
          <w:rStyle w:val="FootnoteReference"/>
          <w:sz w:val="16"/>
          <w:szCs w:val="16"/>
        </w:rPr>
        <w:footnoteRef/>
      </w:r>
      <w:r w:rsidRPr="00991ECE">
        <w:rPr>
          <w:sz w:val="16"/>
          <w:szCs w:val="16"/>
        </w:rPr>
        <w:t xml:space="preserve"> </w:t>
      </w:r>
      <w:r w:rsidR="006E6B1B" w:rsidRPr="00991ECE">
        <w:rPr>
          <w:sz w:val="16"/>
          <w:szCs w:val="16"/>
        </w:rPr>
        <w:t>https://www.gov.me/dokumenta/ed5fc7c4-56d9-46ec-8ed8-b38186b87332</w:t>
      </w:r>
      <w:r w:rsidR="00C956CD" w:rsidRPr="00991ECE">
        <w:rPr>
          <w:sz w:val="16"/>
          <w:szCs w:val="16"/>
        </w:rPr>
        <w:t>.</w:t>
      </w:r>
    </w:p>
  </w:footnote>
  <w:footnote w:id="11">
    <w:p w14:paraId="6F53845C" w14:textId="718C7D07" w:rsidR="00293DE0" w:rsidRPr="00B31C6F" w:rsidRDefault="00293DE0" w:rsidP="00B31C6F">
      <w:pPr>
        <w:pStyle w:val="CommentText"/>
        <w:rPr>
          <w:rStyle w:val="FootnoteReference"/>
          <w:sz w:val="16"/>
          <w:szCs w:val="16"/>
        </w:rPr>
      </w:pPr>
      <w:r w:rsidRPr="00B31C6F">
        <w:rPr>
          <w:rStyle w:val="FootnoteReference"/>
          <w:sz w:val="16"/>
          <w:szCs w:val="16"/>
        </w:rPr>
        <w:footnoteRef/>
      </w:r>
      <w:r w:rsidRPr="00B31C6F">
        <w:rPr>
          <w:sz w:val="16"/>
          <w:szCs w:val="16"/>
        </w:rPr>
        <w:t xml:space="preserve"> </w:t>
      </w:r>
      <w:hyperlink r:id="rId5" w:history="1">
        <w:r w:rsidRPr="00B31C6F">
          <w:rPr>
            <w:rStyle w:val="Hyperlink"/>
            <w:color w:val="auto"/>
            <w:sz w:val="16"/>
            <w:szCs w:val="16"/>
          </w:rPr>
          <w:t>https://erc.undp.org/evaluation/evaluations/detail/12957</w:t>
        </w:r>
      </w:hyperlink>
      <w:r w:rsidRPr="00B31C6F">
        <w:rPr>
          <w:sz w:val="16"/>
          <w:szCs w:val="16"/>
        </w:rPr>
        <w:t>.</w:t>
      </w:r>
      <w:r w:rsidRPr="00B31C6F">
        <w:rPr>
          <w:rStyle w:val="FootnoteReference"/>
          <w:sz w:val="16"/>
          <w:szCs w:val="16"/>
        </w:rPr>
        <w:t xml:space="preserve"> </w:t>
      </w:r>
    </w:p>
  </w:footnote>
  <w:footnote w:id="12">
    <w:p w14:paraId="261B2F50" w14:textId="60EBB669" w:rsidR="00B31C6F" w:rsidRPr="00B31C6F" w:rsidRDefault="00B31C6F" w:rsidP="00B31C6F">
      <w:pPr>
        <w:pStyle w:val="CommentText"/>
      </w:pPr>
      <w:r w:rsidRPr="00B31C6F">
        <w:rPr>
          <w:rStyle w:val="FootnoteReference"/>
          <w:sz w:val="16"/>
          <w:szCs w:val="16"/>
        </w:rPr>
        <w:footnoteRef/>
      </w:r>
      <w:r w:rsidRPr="00B31C6F">
        <w:rPr>
          <w:rStyle w:val="FootnoteReference"/>
          <w:sz w:val="16"/>
          <w:szCs w:val="16"/>
          <w:vertAlign w:val="baseline"/>
        </w:rPr>
        <w:t xml:space="preserve"> Ibid.</w:t>
      </w:r>
    </w:p>
  </w:footnote>
  <w:footnote w:id="13">
    <w:p w14:paraId="7DC693EB" w14:textId="57EEBD75" w:rsidR="007E3D02" w:rsidRPr="00B31C6F" w:rsidRDefault="007E3D02" w:rsidP="00C966C7">
      <w:pPr>
        <w:pStyle w:val="FootnoteText"/>
        <w:rPr>
          <w:rFonts w:ascii="Times New Roman" w:hAnsi="Times New Roman"/>
          <w:sz w:val="16"/>
          <w:szCs w:val="16"/>
        </w:rPr>
      </w:pPr>
      <w:r w:rsidRPr="00B31C6F">
        <w:rPr>
          <w:rStyle w:val="FootnoteReference"/>
          <w:rFonts w:ascii="Times New Roman" w:hAnsi="Times New Roman"/>
          <w:sz w:val="16"/>
          <w:szCs w:val="16"/>
        </w:rPr>
        <w:footnoteRef/>
      </w:r>
      <w:r w:rsidRPr="00B31C6F">
        <w:rPr>
          <w:rFonts w:ascii="Times New Roman" w:hAnsi="Times New Roman"/>
          <w:sz w:val="16"/>
          <w:szCs w:val="16"/>
        </w:rPr>
        <w:t xml:space="preserve"> Ibid.</w:t>
      </w:r>
    </w:p>
  </w:footnote>
  <w:footnote w:id="14">
    <w:p w14:paraId="4625A29F" w14:textId="45D08A78" w:rsidR="007E3D02" w:rsidRPr="000C4D57" w:rsidRDefault="007E3D02" w:rsidP="00C966C7">
      <w:pPr>
        <w:pStyle w:val="FootnoteText"/>
      </w:pPr>
      <w:r w:rsidRPr="0051590E">
        <w:rPr>
          <w:rStyle w:val="FootnoteReference"/>
          <w:rFonts w:ascii="Times New Roman" w:hAnsi="Times New Roman"/>
          <w:sz w:val="16"/>
          <w:szCs w:val="16"/>
        </w:rPr>
        <w:footnoteRef/>
      </w:r>
      <w:r w:rsidR="00EB51A9">
        <w:rPr>
          <w:rFonts w:ascii="Times New Roman" w:hAnsi="Times New Roman"/>
          <w:sz w:val="16"/>
          <w:szCs w:val="16"/>
        </w:rPr>
        <w:t xml:space="preserve"> </w:t>
      </w:r>
      <w:r>
        <w:rPr>
          <w:rFonts w:ascii="Times New Roman" w:hAnsi="Times New Roman"/>
          <w:sz w:val="16"/>
          <w:szCs w:val="16"/>
        </w:rPr>
        <w:t>Ibid</w:t>
      </w:r>
      <w:r w:rsidRPr="0051590E">
        <w:rPr>
          <w:rFonts w:ascii="Times New Roman" w:hAnsi="Times New Roman"/>
          <w:sz w:val="16"/>
          <w:szCs w:val="16"/>
        </w:rPr>
        <w:t>.</w:t>
      </w:r>
    </w:p>
  </w:footnote>
  <w:footnote w:id="15">
    <w:p w14:paraId="788E44F8" w14:textId="2FB92DA6" w:rsidR="00D679F0" w:rsidRPr="00020C3F" w:rsidRDefault="00D679F0">
      <w:pPr>
        <w:pStyle w:val="FootnoteText"/>
        <w:rPr>
          <w:rFonts w:ascii="Times New Roman" w:hAnsi="Times New Roman"/>
          <w:sz w:val="16"/>
          <w:szCs w:val="16"/>
        </w:rPr>
      </w:pPr>
      <w:r w:rsidRPr="000A2B8C">
        <w:rPr>
          <w:rStyle w:val="FootnoteReference"/>
          <w:rFonts w:ascii="Times New Roman" w:hAnsi="Times New Roman"/>
          <w:sz w:val="16"/>
          <w:szCs w:val="16"/>
        </w:rPr>
        <w:footnoteRef/>
      </w:r>
      <w:r w:rsidRPr="000A2B8C">
        <w:rPr>
          <w:rFonts w:ascii="Times New Roman" w:hAnsi="Times New Roman"/>
          <w:sz w:val="16"/>
          <w:szCs w:val="16"/>
        </w:rPr>
        <w:t xml:space="preserve"> </w:t>
      </w:r>
      <w:r w:rsidRPr="00020C3F">
        <w:rPr>
          <w:rFonts w:ascii="Times New Roman" w:hAnsi="Times New Roman"/>
          <w:sz w:val="16"/>
          <w:szCs w:val="16"/>
        </w:rPr>
        <w:t>Natura 2000 is a network of</w:t>
      </w:r>
      <w:r w:rsidR="00DC2CA2">
        <w:rPr>
          <w:rFonts w:ascii="Times New Roman" w:hAnsi="Times New Roman"/>
          <w:sz w:val="16"/>
          <w:szCs w:val="16"/>
        </w:rPr>
        <w:t xml:space="preserve"> </w:t>
      </w:r>
      <w:r w:rsidR="00DC2CA2" w:rsidRPr="00020C3F">
        <w:rPr>
          <w:rFonts w:ascii="Times New Roman" w:hAnsi="Times New Roman"/>
          <w:sz w:val="16"/>
          <w:szCs w:val="16"/>
        </w:rPr>
        <w:t xml:space="preserve">nature protection areas in the </w:t>
      </w:r>
      <w:r w:rsidR="00F22408">
        <w:rPr>
          <w:rFonts w:ascii="Times New Roman" w:hAnsi="Times New Roman"/>
          <w:sz w:val="16"/>
          <w:szCs w:val="16"/>
        </w:rPr>
        <w:t>EU</w:t>
      </w:r>
      <w:r w:rsidR="00DC2CA2">
        <w:rPr>
          <w:rFonts w:ascii="Times New Roman" w:hAnsi="Times New Roman"/>
          <w:sz w:val="16"/>
          <w:szCs w:val="16"/>
        </w:rPr>
        <w:t xml:space="preserve">. </w:t>
      </w:r>
      <w:r w:rsidR="00DC2CA2" w:rsidRPr="00DC2CA2">
        <w:rPr>
          <w:rFonts w:ascii="Times New Roman" w:hAnsi="Times New Roman"/>
          <w:sz w:val="16"/>
          <w:szCs w:val="16"/>
        </w:rPr>
        <w:t>https://ec.europa.eu/environment/nature/natura2000/</w:t>
      </w:r>
      <w:r w:rsidRPr="00020C3F">
        <w:rPr>
          <w:rFonts w:ascii="Times New Roman" w:hAnsi="Times New Roman"/>
          <w:sz w:val="16"/>
          <w:szCs w:val="16"/>
        </w:rPr>
        <w:t xml:space="preserve"> </w:t>
      </w:r>
    </w:p>
  </w:footnote>
  <w:footnote w:id="16">
    <w:p w14:paraId="4C11B666" w14:textId="22ED0F1C" w:rsidR="001E5F41" w:rsidRPr="005A0445" w:rsidRDefault="001E5F41" w:rsidP="00CD75B1">
      <w:pPr>
        <w:pStyle w:val="FootnoteText"/>
        <w:tabs>
          <w:tab w:val="left" w:pos="180"/>
        </w:tabs>
        <w:rPr>
          <w:rFonts w:ascii="Times New Roman" w:hAnsi="Times New Roman"/>
          <w:sz w:val="16"/>
          <w:szCs w:val="16"/>
        </w:rPr>
      </w:pPr>
      <w:r w:rsidRPr="005A0445">
        <w:rPr>
          <w:rStyle w:val="FootnoteReference"/>
          <w:rFonts w:ascii="Times New Roman" w:hAnsi="Times New Roman"/>
          <w:sz w:val="16"/>
          <w:szCs w:val="16"/>
        </w:rPr>
        <w:footnoteRef/>
      </w:r>
      <w:r w:rsidR="005A0445" w:rsidRPr="005A0445">
        <w:rPr>
          <w:rFonts w:ascii="Times New Roman" w:hAnsi="Times New Roman"/>
          <w:sz w:val="16"/>
          <w:szCs w:val="16"/>
        </w:rPr>
        <w:t xml:space="preserve"> </w:t>
      </w:r>
      <w:hyperlink r:id="rId6" w:history="1">
        <w:r w:rsidR="002223E0" w:rsidRPr="005A0445">
          <w:rPr>
            <w:rStyle w:val="Hyperlink"/>
            <w:rFonts w:ascii="Times New Roman" w:hAnsi="Times New Roman"/>
            <w:color w:val="auto"/>
            <w:sz w:val="16"/>
            <w:szCs w:val="16"/>
          </w:rPr>
          <w:t>https://ec.europa.eu/environment/strategy/circular-economy-action-plan_en</w:t>
        </w:r>
      </w:hyperlink>
      <w:r w:rsidR="00C25108" w:rsidRPr="005A0445">
        <w:rPr>
          <w:rFonts w:ascii="Times New Roman" w:hAnsi="Times New Roman"/>
          <w:sz w:val="16"/>
          <w:szCs w:val="16"/>
        </w:rPr>
        <w:t>.</w:t>
      </w:r>
    </w:p>
  </w:footnote>
  <w:footnote w:id="17">
    <w:p w14:paraId="7C7568A2" w14:textId="14693F3F" w:rsidR="001E5F41" w:rsidRPr="005A0445" w:rsidRDefault="001E5F41" w:rsidP="00CD75B1">
      <w:pPr>
        <w:pStyle w:val="CommentText"/>
        <w:tabs>
          <w:tab w:val="left" w:pos="180"/>
        </w:tabs>
        <w:rPr>
          <w:sz w:val="16"/>
          <w:szCs w:val="16"/>
        </w:rPr>
      </w:pPr>
      <w:r w:rsidRPr="005A0445">
        <w:rPr>
          <w:rStyle w:val="FootnoteReference"/>
          <w:sz w:val="16"/>
          <w:szCs w:val="16"/>
        </w:rPr>
        <w:footnoteRef/>
      </w:r>
      <w:r w:rsidRPr="005A0445">
        <w:rPr>
          <w:rStyle w:val="FootnoteReference"/>
          <w:sz w:val="16"/>
          <w:szCs w:val="16"/>
        </w:rPr>
        <w:t xml:space="preserve"> </w:t>
      </w:r>
      <w:hyperlink r:id="rId7" w:history="1">
        <w:r w:rsidR="002223E0" w:rsidRPr="005A0445">
          <w:rPr>
            <w:rStyle w:val="Hyperlink"/>
            <w:color w:val="auto"/>
            <w:sz w:val="16"/>
            <w:szCs w:val="16"/>
          </w:rPr>
          <w:t>https://www.ebrd.com/news/2021/ebrd-launches-first-circulareconomy-programme.html</w:t>
        </w:r>
      </w:hyperlink>
      <w:r w:rsidR="00C25108" w:rsidRPr="005A0445">
        <w:rPr>
          <w:sz w:val="16"/>
          <w:szCs w:val="16"/>
        </w:rPr>
        <w:t>.</w:t>
      </w:r>
    </w:p>
  </w:footnote>
  <w:footnote w:id="18">
    <w:p w14:paraId="1F3A1EAC" w14:textId="24AC0A36" w:rsidR="001E5F41" w:rsidRPr="005A0445" w:rsidRDefault="001E5F41" w:rsidP="00CD75B1">
      <w:pPr>
        <w:pStyle w:val="FootnoteText"/>
        <w:tabs>
          <w:tab w:val="left" w:pos="180"/>
        </w:tabs>
        <w:rPr>
          <w:rFonts w:ascii="Times New Roman" w:hAnsi="Times New Roman"/>
          <w:sz w:val="16"/>
          <w:szCs w:val="16"/>
        </w:rPr>
      </w:pPr>
      <w:r w:rsidRPr="005A0445">
        <w:rPr>
          <w:rStyle w:val="FootnoteReference"/>
          <w:rFonts w:ascii="Times New Roman" w:hAnsi="Times New Roman"/>
          <w:sz w:val="16"/>
          <w:szCs w:val="16"/>
        </w:rPr>
        <w:footnoteRef/>
      </w:r>
      <w:r w:rsidRPr="005A0445">
        <w:rPr>
          <w:rFonts w:ascii="Times New Roman" w:hAnsi="Times New Roman"/>
          <w:sz w:val="16"/>
          <w:szCs w:val="16"/>
        </w:rPr>
        <w:t xml:space="preserve"> </w:t>
      </w:r>
      <w:hyperlink r:id="rId8" w:history="1">
        <w:r w:rsidR="00C25108" w:rsidRPr="005A0445">
          <w:rPr>
            <w:rStyle w:val="Hyperlink"/>
            <w:rFonts w:ascii="Times New Roman" w:hAnsi="Times New Roman"/>
            <w:color w:val="auto"/>
            <w:sz w:val="16"/>
            <w:szCs w:val="16"/>
          </w:rPr>
          <w:t>https://www.eib.org/attachments/publications/eib_in_western_balkans_2021_en.pdf</w:t>
        </w:r>
      </w:hyperlink>
      <w:r w:rsidR="00C25108" w:rsidRPr="005A0445">
        <w:rPr>
          <w:rFonts w:ascii="Times New Roman" w:hAnsi="Times New Roman"/>
          <w:sz w:val="16"/>
          <w:szCs w:val="16"/>
        </w:rPr>
        <w:t>.</w:t>
      </w:r>
    </w:p>
  </w:footnote>
  <w:footnote w:id="19">
    <w:p w14:paraId="2CDC782B" w14:textId="15BF9485" w:rsidR="007E3D02" w:rsidRPr="00256F98" w:rsidRDefault="007E3D02" w:rsidP="00CD75B1">
      <w:pPr>
        <w:pStyle w:val="FootnoteText"/>
        <w:tabs>
          <w:tab w:val="left" w:pos="180"/>
        </w:tabs>
        <w:rPr>
          <w:rStyle w:val="FootnoteReference"/>
          <w:rFonts w:ascii="Times New Roman" w:hAnsi="Times New Roman"/>
          <w:sz w:val="16"/>
          <w:szCs w:val="16"/>
        </w:rPr>
      </w:pPr>
      <w:r w:rsidRPr="005A0445">
        <w:rPr>
          <w:rStyle w:val="FootnoteReference"/>
          <w:rFonts w:ascii="Times New Roman" w:hAnsi="Times New Roman"/>
          <w:sz w:val="16"/>
          <w:szCs w:val="16"/>
        </w:rPr>
        <w:footnoteRef/>
      </w:r>
      <w:r w:rsidR="00256F98" w:rsidRPr="005A0445">
        <w:rPr>
          <w:rFonts w:ascii="Times New Roman" w:hAnsi="Times New Roman"/>
          <w:sz w:val="16"/>
          <w:szCs w:val="16"/>
        </w:rPr>
        <w:t xml:space="preserve"> </w:t>
      </w:r>
      <w:r w:rsidRPr="005A0445">
        <w:rPr>
          <w:rFonts w:ascii="Times New Roman" w:hAnsi="Times New Roman"/>
          <w:sz w:val="16"/>
          <w:szCs w:val="16"/>
        </w:rPr>
        <w:t>https://montenegro.un.org/en/124464-un-common-country-analysis-montenegro-2021</w:t>
      </w:r>
      <w:r w:rsidR="005A0445">
        <w:rPr>
          <w:rFonts w:ascii="Times New Roman" w:hAnsi="Times New Roman"/>
          <w:sz w:val="16"/>
          <w:szCs w:val="16"/>
        </w:rPr>
        <w:t>.</w:t>
      </w:r>
    </w:p>
  </w:footnote>
  <w:footnote w:id="20">
    <w:p w14:paraId="742D39D4" w14:textId="576B782C" w:rsidR="007E3D02" w:rsidRPr="00CC714D" w:rsidRDefault="007E3D02" w:rsidP="00F82D53">
      <w:pPr>
        <w:rPr>
          <w:i/>
          <w:iCs/>
          <w:sz w:val="16"/>
          <w:szCs w:val="16"/>
        </w:rPr>
      </w:pPr>
      <w:r>
        <w:rPr>
          <w:rStyle w:val="FootnoteReference"/>
        </w:rPr>
        <w:footnoteRef/>
      </w:r>
      <w:r>
        <w:t xml:space="preserve"> </w:t>
      </w:r>
      <w:r w:rsidRPr="004B6ED2">
        <w:rPr>
          <w:i/>
          <w:iCs/>
          <w:sz w:val="16"/>
          <w:szCs w:val="16"/>
        </w:rPr>
        <w:t xml:space="preserve">Note: </w:t>
      </w:r>
      <w:r w:rsidRPr="00F04DF9">
        <w:rPr>
          <w:i/>
          <w:iCs/>
          <w:sz w:val="16"/>
          <w:szCs w:val="16"/>
        </w:rPr>
        <w:t xml:space="preserve">Rating scale: 0 = Not in place, 1 = </w:t>
      </w:r>
      <w:r w:rsidR="00407335">
        <w:rPr>
          <w:i/>
          <w:iCs/>
          <w:sz w:val="16"/>
          <w:szCs w:val="16"/>
        </w:rPr>
        <w:t>w</w:t>
      </w:r>
      <w:r w:rsidRPr="00F04DF9">
        <w:rPr>
          <w:i/>
          <w:iCs/>
          <w:sz w:val="16"/>
          <w:szCs w:val="16"/>
        </w:rPr>
        <w:t xml:space="preserve">ork started, 2 = </w:t>
      </w:r>
      <w:r w:rsidR="00407335">
        <w:rPr>
          <w:i/>
          <w:iCs/>
          <w:sz w:val="16"/>
          <w:szCs w:val="16"/>
        </w:rPr>
        <w:t>w</w:t>
      </w:r>
      <w:r w:rsidRPr="00F04DF9">
        <w:rPr>
          <w:i/>
          <w:iCs/>
          <w:sz w:val="16"/>
          <w:szCs w:val="16"/>
        </w:rPr>
        <w:t xml:space="preserve">ork in progress, 3 = </w:t>
      </w:r>
      <w:r w:rsidR="00407335">
        <w:rPr>
          <w:i/>
          <w:iCs/>
          <w:sz w:val="16"/>
          <w:szCs w:val="16"/>
        </w:rPr>
        <w:t>w</w:t>
      </w:r>
      <w:r w:rsidRPr="00F04DF9">
        <w:rPr>
          <w:i/>
          <w:iCs/>
          <w:sz w:val="16"/>
          <w:szCs w:val="16"/>
        </w:rPr>
        <w:t xml:space="preserve">ork almost complete, 4 = </w:t>
      </w:r>
      <w:r w:rsidR="00407335">
        <w:rPr>
          <w:i/>
          <w:iCs/>
          <w:sz w:val="16"/>
          <w:szCs w:val="16"/>
        </w:rPr>
        <w:t>i</w:t>
      </w:r>
      <w:r w:rsidRPr="00F04DF9">
        <w:rPr>
          <w:i/>
          <w:iCs/>
          <w:sz w:val="16"/>
          <w:szCs w:val="16"/>
        </w:rPr>
        <w:t>n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512"/>
    </w:tblGrid>
    <w:tr w:rsidR="00EC10C5" w:rsidRPr="00657A41" w14:paraId="16AC04EE" w14:textId="77777777" w:rsidTr="00112F45">
      <w:trPr>
        <w:trHeight w:hRule="exact" w:val="864"/>
      </w:trPr>
      <w:tc>
        <w:tcPr>
          <w:tcW w:w="4128" w:type="dxa"/>
          <w:shd w:val="clear" w:color="auto" w:fill="auto"/>
          <w:vAlign w:val="bottom"/>
        </w:tcPr>
        <w:p w14:paraId="177F6555" w14:textId="77777777" w:rsidR="00EC10C5" w:rsidRPr="00657A41" w:rsidRDefault="00EC10C5" w:rsidP="00EC10C5">
          <w:pPr>
            <w:tabs>
              <w:tab w:val="center" w:pos="4320"/>
              <w:tab w:val="right" w:pos="8640"/>
            </w:tabs>
            <w:spacing w:after="80"/>
            <w:rPr>
              <w:b/>
              <w:noProof/>
              <w:sz w:val="17"/>
            </w:rPr>
          </w:pPr>
          <w:r w:rsidRPr="00657A41">
            <w:rPr>
              <w:b/>
              <w:noProof/>
              <w:sz w:val="17"/>
            </w:rPr>
            <w:t>DP/DCP/</w:t>
          </w:r>
          <w:r>
            <w:rPr>
              <w:b/>
              <w:noProof/>
              <w:sz w:val="17"/>
            </w:rPr>
            <w:t>MNE</w:t>
          </w:r>
          <w:r w:rsidRPr="00657A41">
            <w:rPr>
              <w:b/>
              <w:noProof/>
              <w:sz w:val="17"/>
            </w:rPr>
            <w:t>/</w:t>
          </w:r>
          <w:r>
            <w:rPr>
              <w:b/>
              <w:noProof/>
              <w:sz w:val="17"/>
            </w:rPr>
            <w:t>3</w:t>
          </w:r>
        </w:p>
      </w:tc>
      <w:tc>
        <w:tcPr>
          <w:tcW w:w="4512" w:type="dxa"/>
          <w:shd w:val="clear" w:color="auto" w:fill="auto"/>
          <w:vAlign w:val="bottom"/>
        </w:tcPr>
        <w:p w14:paraId="0D5F28C7" w14:textId="77777777" w:rsidR="00EC10C5" w:rsidRPr="00657A41" w:rsidRDefault="00EC10C5" w:rsidP="00EC10C5">
          <w:pPr>
            <w:tabs>
              <w:tab w:val="center" w:pos="4320"/>
              <w:tab w:val="right" w:pos="8640"/>
            </w:tabs>
            <w:jc w:val="right"/>
            <w:rPr>
              <w:b/>
              <w:noProof/>
              <w:sz w:val="17"/>
            </w:rPr>
          </w:pPr>
        </w:p>
      </w:tc>
    </w:tr>
  </w:tbl>
  <w:p w14:paraId="4B218A64" w14:textId="77777777" w:rsidR="00CB1655" w:rsidRPr="00EC10C5" w:rsidRDefault="00CB1655">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2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398"/>
      <w:gridCol w:w="4602"/>
    </w:tblGrid>
    <w:tr w:rsidR="00EC10C5" w:rsidRPr="00657A41" w14:paraId="782A7885" w14:textId="77777777" w:rsidTr="00256D08">
      <w:trPr>
        <w:trHeight w:hRule="exact" w:val="864"/>
      </w:trPr>
      <w:tc>
        <w:tcPr>
          <w:tcW w:w="4398" w:type="dxa"/>
          <w:shd w:val="clear" w:color="auto" w:fill="auto"/>
          <w:vAlign w:val="bottom"/>
        </w:tcPr>
        <w:p w14:paraId="7851D3D6" w14:textId="77777777" w:rsidR="00EC10C5" w:rsidRPr="00657A41" w:rsidRDefault="00EC10C5" w:rsidP="00EC10C5">
          <w:pPr>
            <w:tabs>
              <w:tab w:val="center" w:pos="4320"/>
              <w:tab w:val="right" w:pos="8640"/>
            </w:tabs>
            <w:spacing w:after="80"/>
            <w:rPr>
              <w:b/>
              <w:noProof/>
              <w:sz w:val="17"/>
            </w:rPr>
          </w:pPr>
        </w:p>
      </w:tc>
      <w:tc>
        <w:tcPr>
          <w:tcW w:w="4602" w:type="dxa"/>
          <w:shd w:val="clear" w:color="auto" w:fill="auto"/>
          <w:vAlign w:val="bottom"/>
        </w:tcPr>
        <w:p w14:paraId="7638B2A6" w14:textId="0FFD7122" w:rsidR="00EC10C5" w:rsidRPr="00657A41" w:rsidRDefault="00EC10C5" w:rsidP="00EC10C5">
          <w:pPr>
            <w:tabs>
              <w:tab w:val="center" w:pos="4320"/>
              <w:tab w:val="right" w:pos="8640"/>
            </w:tabs>
            <w:jc w:val="right"/>
            <w:rPr>
              <w:b/>
              <w:noProof/>
              <w:sz w:val="17"/>
            </w:rPr>
          </w:pPr>
          <w:r w:rsidRPr="00657A41">
            <w:rPr>
              <w:b/>
              <w:noProof/>
              <w:sz w:val="17"/>
            </w:rPr>
            <w:t>DP/DCP/</w:t>
          </w:r>
          <w:r>
            <w:rPr>
              <w:b/>
              <w:noProof/>
              <w:sz w:val="17"/>
            </w:rPr>
            <w:t>MNE</w:t>
          </w:r>
          <w:r w:rsidRPr="00657A41">
            <w:rPr>
              <w:b/>
              <w:noProof/>
              <w:sz w:val="17"/>
            </w:rPr>
            <w:t>/</w:t>
          </w:r>
          <w:r>
            <w:rPr>
              <w:b/>
              <w:noProof/>
              <w:sz w:val="17"/>
            </w:rPr>
            <w:t>3</w:t>
          </w:r>
        </w:p>
      </w:tc>
    </w:tr>
  </w:tbl>
  <w:p w14:paraId="4C8A3706" w14:textId="77777777" w:rsidR="00CB1655" w:rsidRPr="00EC10C5" w:rsidRDefault="00CB1655">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CA20B5" w14:paraId="48454E55" w14:textId="77777777" w:rsidTr="00256D08">
      <w:trPr>
        <w:trHeight w:hRule="exact" w:val="864"/>
      </w:trPr>
      <w:tc>
        <w:tcPr>
          <w:tcW w:w="1267" w:type="dxa"/>
          <w:tcBorders>
            <w:top w:val="nil"/>
            <w:left w:val="nil"/>
            <w:bottom w:val="nil"/>
            <w:right w:val="nil"/>
          </w:tcBorders>
          <w:vAlign w:val="bottom"/>
        </w:tcPr>
        <w:p w14:paraId="544C98B5" w14:textId="77777777" w:rsidR="00CA20B5" w:rsidRPr="007C6F85" w:rsidRDefault="00CA20B5" w:rsidP="00CA20B5">
          <w:pPr>
            <w:pStyle w:val="Header"/>
            <w:spacing w:after="120"/>
            <w:rPr>
              <w:lang w:val="en-US" w:eastAsia="en-US"/>
            </w:rPr>
          </w:pPr>
        </w:p>
      </w:tc>
      <w:tc>
        <w:tcPr>
          <w:tcW w:w="1872" w:type="dxa"/>
          <w:tcBorders>
            <w:top w:val="nil"/>
            <w:left w:val="nil"/>
            <w:bottom w:val="nil"/>
            <w:right w:val="nil"/>
          </w:tcBorders>
          <w:vAlign w:val="bottom"/>
        </w:tcPr>
        <w:p w14:paraId="198B3B7C" w14:textId="77777777" w:rsidR="00CA20B5" w:rsidRDefault="00CA20B5" w:rsidP="00CA20B5">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0D75D4D3" w14:textId="77777777" w:rsidR="00CA20B5" w:rsidRPr="007C6F85" w:rsidRDefault="00CA20B5" w:rsidP="00CA20B5">
          <w:pPr>
            <w:pStyle w:val="Header"/>
            <w:spacing w:after="120"/>
            <w:rPr>
              <w:lang w:val="en-US" w:eastAsia="en-US"/>
            </w:rPr>
          </w:pPr>
        </w:p>
      </w:tc>
      <w:tc>
        <w:tcPr>
          <w:tcW w:w="6876" w:type="dxa"/>
          <w:gridSpan w:val="3"/>
          <w:tcBorders>
            <w:top w:val="nil"/>
            <w:left w:val="nil"/>
            <w:bottom w:val="nil"/>
            <w:right w:val="nil"/>
          </w:tcBorders>
          <w:vAlign w:val="bottom"/>
        </w:tcPr>
        <w:p w14:paraId="7C724EC8" w14:textId="719DCF17" w:rsidR="00CA20B5" w:rsidRDefault="00CA20B5" w:rsidP="00CA20B5">
          <w:pPr>
            <w:spacing w:after="80"/>
            <w:jc w:val="center"/>
            <w:rPr>
              <w:position w:val="-4"/>
            </w:rPr>
          </w:pPr>
          <w:r>
            <w:rPr>
              <w:position w:val="-4"/>
              <w:sz w:val="40"/>
            </w:rPr>
            <w:t xml:space="preserve">                         DP</w:t>
          </w:r>
          <w:r>
            <w:rPr>
              <w:position w:val="-4"/>
            </w:rPr>
            <w:t>/DCP/MNE/3</w:t>
          </w:r>
        </w:p>
      </w:tc>
    </w:tr>
    <w:tr w:rsidR="00CA20B5" w14:paraId="283CBEA4" w14:textId="77777777" w:rsidTr="00256D08">
      <w:trPr>
        <w:trHeight w:hRule="exact" w:val="1936"/>
      </w:trPr>
      <w:tc>
        <w:tcPr>
          <w:tcW w:w="1267" w:type="dxa"/>
          <w:tcBorders>
            <w:top w:val="single" w:sz="4" w:space="0" w:color="auto"/>
            <w:left w:val="nil"/>
            <w:bottom w:val="single" w:sz="12" w:space="0" w:color="auto"/>
            <w:right w:val="nil"/>
          </w:tcBorders>
        </w:tcPr>
        <w:p w14:paraId="25DB0080" w14:textId="77777777" w:rsidR="00CA20B5" w:rsidRPr="007C6F85" w:rsidRDefault="00CA20B5" w:rsidP="00CA20B5">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3D6A71EB" wp14:editId="37A12421">
                <wp:extent cx="716280" cy="586740"/>
                <wp:effectExtent l="0" t="0" r="7620" b="3810"/>
                <wp:docPr id="8" name="Picture 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5DAEFE5F" w14:textId="77777777" w:rsidR="00CA20B5" w:rsidRPr="007C6F85" w:rsidRDefault="00CA20B5" w:rsidP="00CA20B5">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1D61747B" w14:textId="77777777" w:rsidR="00CA20B5" w:rsidRDefault="00CA20B5" w:rsidP="00CA20B5">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3EBE50BA" w14:textId="77777777" w:rsidR="00CA20B5" w:rsidRPr="007C6F85" w:rsidRDefault="00CA20B5" w:rsidP="00CA20B5">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62BB255" w14:textId="77777777" w:rsidR="00CA20B5" w:rsidRDefault="00CA20B5" w:rsidP="00CA20B5">
          <w:pPr>
            <w:spacing w:before="240"/>
          </w:pPr>
          <w:r>
            <w:t>Distr.: General</w:t>
          </w:r>
        </w:p>
        <w:p w14:paraId="75653AA5" w14:textId="14645D7B" w:rsidR="00CA20B5" w:rsidRDefault="00E45E28" w:rsidP="00CA20B5">
          <w:r>
            <w:t>10</w:t>
          </w:r>
          <w:r w:rsidR="00A876D7">
            <w:t xml:space="preserve"> June</w:t>
          </w:r>
          <w:r w:rsidR="00CA20B5">
            <w:t xml:space="preserve"> 2022</w:t>
          </w:r>
        </w:p>
        <w:p w14:paraId="4787CEFE" w14:textId="77777777" w:rsidR="00CA20B5" w:rsidRDefault="00CA20B5" w:rsidP="00CA20B5"/>
        <w:p w14:paraId="401CB446" w14:textId="77777777" w:rsidR="00CA20B5" w:rsidRDefault="00CA20B5" w:rsidP="00CA20B5">
          <w:r>
            <w:t>Original: English</w:t>
          </w:r>
        </w:p>
      </w:tc>
    </w:tr>
  </w:tbl>
  <w:p w14:paraId="43EA559F" w14:textId="77777777" w:rsidR="00CA20B5" w:rsidRPr="00CA20B5" w:rsidRDefault="00CA20B5">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B1655" w:rsidRPr="00657A41" w14:paraId="545CC881" w14:textId="77777777" w:rsidTr="00256D08">
      <w:trPr>
        <w:trHeight w:hRule="exact" w:val="864"/>
      </w:trPr>
      <w:tc>
        <w:tcPr>
          <w:tcW w:w="4838" w:type="dxa"/>
          <w:shd w:val="clear" w:color="auto" w:fill="auto"/>
          <w:vAlign w:val="bottom"/>
        </w:tcPr>
        <w:p w14:paraId="5FA7AC7B" w14:textId="55512280" w:rsidR="00CB1655" w:rsidRPr="00657A41" w:rsidRDefault="00CB1655" w:rsidP="00CB1655">
          <w:pPr>
            <w:tabs>
              <w:tab w:val="center" w:pos="4320"/>
              <w:tab w:val="right" w:pos="8640"/>
            </w:tabs>
            <w:spacing w:after="80"/>
            <w:rPr>
              <w:b/>
              <w:noProof/>
              <w:sz w:val="17"/>
            </w:rPr>
          </w:pPr>
          <w:bookmarkStart w:id="3" w:name="_Hlk72161445"/>
          <w:r w:rsidRPr="00657A41">
            <w:rPr>
              <w:b/>
              <w:noProof/>
              <w:sz w:val="17"/>
            </w:rPr>
            <w:t>DP/DCP/</w:t>
          </w:r>
          <w:r>
            <w:rPr>
              <w:b/>
              <w:noProof/>
              <w:sz w:val="17"/>
            </w:rPr>
            <w:t>MNE</w:t>
          </w:r>
          <w:r w:rsidRPr="00657A41">
            <w:rPr>
              <w:b/>
              <w:noProof/>
              <w:sz w:val="17"/>
            </w:rPr>
            <w:t>/</w:t>
          </w:r>
          <w:r>
            <w:rPr>
              <w:b/>
              <w:noProof/>
              <w:sz w:val="17"/>
            </w:rPr>
            <w:t>3</w:t>
          </w:r>
        </w:p>
      </w:tc>
      <w:tc>
        <w:tcPr>
          <w:tcW w:w="5033" w:type="dxa"/>
          <w:shd w:val="clear" w:color="auto" w:fill="auto"/>
          <w:vAlign w:val="bottom"/>
        </w:tcPr>
        <w:p w14:paraId="3E90CEDD" w14:textId="77777777" w:rsidR="00CB1655" w:rsidRPr="00657A41" w:rsidRDefault="00CB1655" w:rsidP="00CB1655">
          <w:pPr>
            <w:tabs>
              <w:tab w:val="center" w:pos="4320"/>
              <w:tab w:val="right" w:pos="8640"/>
            </w:tabs>
            <w:jc w:val="right"/>
            <w:rPr>
              <w:b/>
              <w:noProof/>
              <w:sz w:val="17"/>
            </w:rPr>
          </w:pPr>
        </w:p>
      </w:tc>
    </w:tr>
    <w:bookmarkEnd w:id="3"/>
  </w:tbl>
  <w:p w14:paraId="04384CB7" w14:textId="77777777" w:rsidR="00CA20B5" w:rsidRPr="00CA20B5" w:rsidRDefault="00CA20B5">
    <w:pPr>
      <w:pStyle w:val="Header"/>
      <w:rPr>
        <w:sz w:val="6"/>
        <w:szCs w:val="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3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562"/>
    </w:tblGrid>
    <w:tr w:rsidR="00DF25D6" w:rsidRPr="00657A41" w14:paraId="402F5E3F" w14:textId="77777777" w:rsidTr="00F421F3">
      <w:trPr>
        <w:trHeight w:hRule="exact" w:val="864"/>
      </w:trPr>
      <w:tc>
        <w:tcPr>
          <w:tcW w:w="4668" w:type="dxa"/>
          <w:shd w:val="clear" w:color="auto" w:fill="auto"/>
          <w:vAlign w:val="bottom"/>
        </w:tcPr>
        <w:p w14:paraId="5FB235FC" w14:textId="77777777" w:rsidR="00DF25D6" w:rsidRPr="00657A41" w:rsidRDefault="00DF25D6" w:rsidP="00EC10C5">
          <w:pPr>
            <w:tabs>
              <w:tab w:val="center" w:pos="4320"/>
              <w:tab w:val="right" w:pos="8640"/>
            </w:tabs>
            <w:spacing w:after="80"/>
            <w:rPr>
              <w:b/>
              <w:noProof/>
              <w:sz w:val="17"/>
            </w:rPr>
          </w:pPr>
          <w:r w:rsidRPr="00657A41">
            <w:rPr>
              <w:b/>
              <w:noProof/>
              <w:sz w:val="17"/>
            </w:rPr>
            <w:t>DP/DCP/</w:t>
          </w:r>
          <w:r>
            <w:rPr>
              <w:b/>
              <w:noProof/>
              <w:sz w:val="17"/>
            </w:rPr>
            <w:t>MNE</w:t>
          </w:r>
          <w:r w:rsidRPr="00657A41">
            <w:rPr>
              <w:b/>
              <w:noProof/>
              <w:sz w:val="17"/>
            </w:rPr>
            <w:t>/</w:t>
          </w:r>
          <w:r>
            <w:rPr>
              <w:b/>
              <w:noProof/>
              <w:sz w:val="17"/>
            </w:rPr>
            <w:t>3</w:t>
          </w:r>
        </w:p>
      </w:tc>
      <w:tc>
        <w:tcPr>
          <w:tcW w:w="8562" w:type="dxa"/>
          <w:shd w:val="clear" w:color="auto" w:fill="auto"/>
          <w:vAlign w:val="bottom"/>
        </w:tcPr>
        <w:p w14:paraId="52CDE74D" w14:textId="77777777" w:rsidR="00DF25D6" w:rsidRPr="00657A41" w:rsidRDefault="00DF25D6" w:rsidP="00EC10C5">
          <w:pPr>
            <w:tabs>
              <w:tab w:val="center" w:pos="4320"/>
              <w:tab w:val="right" w:pos="8640"/>
            </w:tabs>
            <w:jc w:val="right"/>
            <w:rPr>
              <w:b/>
              <w:noProof/>
              <w:sz w:val="17"/>
            </w:rPr>
          </w:pPr>
        </w:p>
      </w:tc>
    </w:tr>
  </w:tbl>
  <w:p w14:paraId="743F7897" w14:textId="77777777" w:rsidR="00DF25D6" w:rsidRPr="00EC10C5" w:rsidRDefault="00DF25D6">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3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562"/>
    </w:tblGrid>
    <w:tr w:rsidR="00DF25D6" w:rsidRPr="00657A41" w14:paraId="356A3F70" w14:textId="77777777" w:rsidTr="00F421F3">
      <w:trPr>
        <w:trHeight w:hRule="exact" w:val="864"/>
      </w:trPr>
      <w:tc>
        <w:tcPr>
          <w:tcW w:w="4668" w:type="dxa"/>
          <w:shd w:val="clear" w:color="auto" w:fill="auto"/>
          <w:vAlign w:val="bottom"/>
        </w:tcPr>
        <w:p w14:paraId="7AD39E93" w14:textId="77777777" w:rsidR="00DF25D6" w:rsidRPr="00657A41" w:rsidRDefault="00DF25D6" w:rsidP="00EC10C5">
          <w:pPr>
            <w:tabs>
              <w:tab w:val="center" w:pos="4320"/>
              <w:tab w:val="right" w:pos="8640"/>
            </w:tabs>
            <w:spacing w:after="80"/>
            <w:rPr>
              <w:b/>
              <w:noProof/>
              <w:sz w:val="17"/>
            </w:rPr>
          </w:pPr>
        </w:p>
      </w:tc>
      <w:tc>
        <w:tcPr>
          <w:tcW w:w="8562" w:type="dxa"/>
          <w:shd w:val="clear" w:color="auto" w:fill="auto"/>
          <w:vAlign w:val="bottom"/>
        </w:tcPr>
        <w:p w14:paraId="23775E52" w14:textId="77777777" w:rsidR="00DF25D6" w:rsidRPr="00657A41" w:rsidRDefault="00DF25D6" w:rsidP="00EC10C5">
          <w:pPr>
            <w:tabs>
              <w:tab w:val="center" w:pos="4320"/>
              <w:tab w:val="right" w:pos="8640"/>
            </w:tabs>
            <w:jc w:val="right"/>
            <w:rPr>
              <w:b/>
              <w:noProof/>
              <w:sz w:val="17"/>
            </w:rPr>
          </w:pPr>
          <w:r w:rsidRPr="00657A41">
            <w:rPr>
              <w:b/>
              <w:noProof/>
              <w:sz w:val="17"/>
            </w:rPr>
            <w:t>DP/DCP/</w:t>
          </w:r>
          <w:r>
            <w:rPr>
              <w:b/>
              <w:noProof/>
              <w:sz w:val="17"/>
            </w:rPr>
            <w:t>MNE</w:t>
          </w:r>
          <w:r w:rsidRPr="00657A41">
            <w:rPr>
              <w:b/>
              <w:noProof/>
              <w:sz w:val="17"/>
            </w:rPr>
            <w:t>/</w:t>
          </w:r>
          <w:r>
            <w:rPr>
              <w:b/>
              <w:noProof/>
              <w:sz w:val="17"/>
            </w:rPr>
            <w:t>3</w:t>
          </w:r>
        </w:p>
      </w:tc>
    </w:tr>
  </w:tbl>
  <w:p w14:paraId="481088C0" w14:textId="77777777" w:rsidR="00DF25D6" w:rsidRPr="00EC10C5" w:rsidRDefault="00DF25D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1339"/>
    <w:multiLevelType w:val="hybridMultilevel"/>
    <w:tmpl w:val="370658DA"/>
    <w:lvl w:ilvl="0" w:tplc="0809000F">
      <w:start w:val="1"/>
      <w:numFmt w:val="decimal"/>
      <w:lvlText w:val="%1."/>
      <w:lvlJc w:val="left"/>
      <w:pPr>
        <w:ind w:left="548" w:hanging="360"/>
      </w:pPr>
    </w:lvl>
    <w:lvl w:ilvl="1" w:tplc="08090019" w:tentative="1">
      <w:start w:val="1"/>
      <w:numFmt w:val="lowerLetter"/>
      <w:lvlText w:val="%2."/>
      <w:lvlJc w:val="left"/>
      <w:pPr>
        <w:ind w:left="1268" w:hanging="360"/>
      </w:pPr>
    </w:lvl>
    <w:lvl w:ilvl="2" w:tplc="0809001B" w:tentative="1">
      <w:start w:val="1"/>
      <w:numFmt w:val="lowerRoman"/>
      <w:lvlText w:val="%3."/>
      <w:lvlJc w:val="right"/>
      <w:pPr>
        <w:ind w:left="1988" w:hanging="180"/>
      </w:pPr>
    </w:lvl>
    <w:lvl w:ilvl="3" w:tplc="0809000F" w:tentative="1">
      <w:start w:val="1"/>
      <w:numFmt w:val="decimal"/>
      <w:lvlText w:val="%4."/>
      <w:lvlJc w:val="left"/>
      <w:pPr>
        <w:ind w:left="2708" w:hanging="360"/>
      </w:pPr>
    </w:lvl>
    <w:lvl w:ilvl="4" w:tplc="08090019" w:tentative="1">
      <w:start w:val="1"/>
      <w:numFmt w:val="lowerLetter"/>
      <w:lvlText w:val="%5."/>
      <w:lvlJc w:val="left"/>
      <w:pPr>
        <w:ind w:left="3428" w:hanging="360"/>
      </w:pPr>
    </w:lvl>
    <w:lvl w:ilvl="5" w:tplc="0809001B" w:tentative="1">
      <w:start w:val="1"/>
      <w:numFmt w:val="lowerRoman"/>
      <w:lvlText w:val="%6."/>
      <w:lvlJc w:val="right"/>
      <w:pPr>
        <w:ind w:left="4148" w:hanging="180"/>
      </w:pPr>
    </w:lvl>
    <w:lvl w:ilvl="6" w:tplc="0809000F" w:tentative="1">
      <w:start w:val="1"/>
      <w:numFmt w:val="decimal"/>
      <w:lvlText w:val="%7."/>
      <w:lvlJc w:val="left"/>
      <w:pPr>
        <w:ind w:left="4868" w:hanging="360"/>
      </w:pPr>
    </w:lvl>
    <w:lvl w:ilvl="7" w:tplc="08090019" w:tentative="1">
      <w:start w:val="1"/>
      <w:numFmt w:val="lowerLetter"/>
      <w:lvlText w:val="%8."/>
      <w:lvlJc w:val="left"/>
      <w:pPr>
        <w:ind w:left="5588" w:hanging="360"/>
      </w:pPr>
    </w:lvl>
    <w:lvl w:ilvl="8" w:tplc="0809001B" w:tentative="1">
      <w:start w:val="1"/>
      <w:numFmt w:val="lowerRoman"/>
      <w:lvlText w:val="%9."/>
      <w:lvlJc w:val="right"/>
      <w:pPr>
        <w:ind w:left="6308" w:hanging="180"/>
      </w:pPr>
    </w:lvl>
  </w:abstractNum>
  <w:abstractNum w:abstractNumId="1" w15:restartNumberingAfterBreak="0">
    <w:nsid w:val="0C472EAB"/>
    <w:multiLevelType w:val="hybridMultilevel"/>
    <w:tmpl w:val="8A322B50"/>
    <w:lvl w:ilvl="0" w:tplc="740439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786797"/>
    <w:multiLevelType w:val="hybridMultilevel"/>
    <w:tmpl w:val="A91E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13E01"/>
    <w:multiLevelType w:val="hybridMultilevel"/>
    <w:tmpl w:val="6332D160"/>
    <w:lvl w:ilvl="0" w:tplc="27B232E2">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FE5F8D"/>
    <w:multiLevelType w:val="multilevel"/>
    <w:tmpl w:val="38B852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15977057"/>
    <w:multiLevelType w:val="multilevel"/>
    <w:tmpl w:val="5212042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 w15:restartNumberingAfterBreak="0">
    <w:nsid w:val="18C85867"/>
    <w:multiLevelType w:val="hybridMultilevel"/>
    <w:tmpl w:val="74BCB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AB4877"/>
    <w:multiLevelType w:val="hybridMultilevel"/>
    <w:tmpl w:val="A5125592"/>
    <w:lvl w:ilvl="0" w:tplc="64160F24">
      <w:start w:val="2"/>
      <w:numFmt w:val="bullet"/>
      <w:lvlText w:val="-"/>
      <w:lvlJc w:val="left"/>
      <w:pPr>
        <w:ind w:left="712" w:hanging="360"/>
      </w:pPr>
      <w:rPr>
        <w:rFonts w:ascii="Calibri" w:eastAsiaTheme="minorHAnsi" w:hAnsi="Calibri" w:cs="Calibri"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8" w15:restartNumberingAfterBreak="0">
    <w:nsid w:val="2D990D5A"/>
    <w:multiLevelType w:val="hybridMultilevel"/>
    <w:tmpl w:val="6192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C624F"/>
    <w:multiLevelType w:val="hybridMultilevel"/>
    <w:tmpl w:val="DBDC0442"/>
    <w:lvl w:ilvl="0" w:tplc="A872D1AE">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01917"/>
    <w:multiLevelType w:val="hybridMultilevel"/>
    <w:tmpl w:val="86700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53A3D"/>
    <w:multiLevelType w:val="hybridMultilevel"/>
    <w:tmpl w:val="A7EC77EE"/>
    <w:lvl w:ilvl="0" w:tplc="0EAE8E6E">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3C21C0"/>
    <w:multiLevelType w:val="hybridMultilevel"/>
    <w:tmpl w:val="FA80C5B2"/>
    <w:lvl w:ilvl="0" w:tplc="64160F2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019AF"/>
    <w:multiLevelType w:val="hybridMultilevel"/>
    <w:tmpl w:val="00B6B600"/>
    <w:lvl w:ilvl="0" w:tplc="64160F24">
      <w:start w:val="2"/>
      <w:numFmt w:val="bullet"/>
      <w:lvlText w:val="-"/>
      <w:lvlJc w:val="left"/>
      <w:pPr>
        <w:ind w:left="712" w:hanging="360"/>
      </w:pPr>
      <w:rPr>
        <w:rFonts w:ascii="Calibri" w:eastAsiaTheme="minorHAnsi" w:hAnsi="Calibri" w:cs="Calibri"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95F00BF"/>
    <w:multiLevelType w:val="hybridMultilevel"/>
    <w:tmpl w:val="FBCEC4EE"/>
    <w:lvl w:ilvl="0" w:tplc="25DE1FA2">
      <w:start w:val="1"/>
      <w:numFmt w:val="lowerRoman"/>
      <w:lvlText w:val="%1)"/>
      <w:lvlJc w:val="left"/>
      <w:pPr>
        <w:ind w:left="1141" w:hanging="72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6" w15:restartNumberingAfterBreak="0">
    <w:nsid w:val="4EB07282"/>
    <w:multiLevelType w:val="hybridMultilevel"/>
    <w:tmpl w:val="13AAC96A"/>
    <w:lvl w:ilvl="0" w:tplc="A20C39E4">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21324"/>
    <w:multiLevelType w:val="hybridMultilevel"/>
    <w:tmpl w:val="0BC61DF2"/>
    <w:lvl w:ilvl="0" w:tplc="0809000F">
      <w:start w:val="1"/>
      <w:numFmt w:val="decimal"/>
      <w:lvlText w:val="%1."/>
      <w:lvlJc w:val="left"/>
      <w:pPr>
        <w:ind w:left="996" w:hanging="360"/>
      </w:p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8" w15:restartNumberingAfterBreak="0">
    <w:nsid w:val="55E03EBB"/>
    <w:multiLevelType w:val="hybridMultilevel"/>
    <w:tmpl w:val="9CD664EE"/>
    <w:lvl w:ilvl="0" w:tplc="DF14C742">
      <w:start w:val="1"/>
      <w:numFmt w:val="decimal"/>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9637E"/>
    <w:multiLevelType w:val="hybridMultilevel"/>
    <w:tmpl w:val="6192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E79C3"/>
    <w:multiLevelType w:val="hybridMultilevel"/>
    <w:tmpl w:val="F5DED39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553D1"/>
    <w:multiLevelType w:val="hybridMultilevel"/>
    <w:tmpl w:val="0296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24D79"/>
    <w:multiLevelType w:val="hybridMultilevel"/>
    <w:tmpl w:val="09CEA89C"/>
    <w:lvl w:ilvl="0" w:tplc="914ED0CE">
      <w:start w:val="2"/>
      <w:numFmt w:val="lowerLetter"/>
      <w:lvlText w:val="%1)"/>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A1CAA"/>
    <w:multiLevelType w:val="hybridMultilevel"/>
    <w:tmpl w:val="DA125C9E"/>
    <w:lvl w:ilvl="0" w:tplc="81F2AF9E">
      <w:start w:val="1"/>
      <w:numFmt w:val="low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5" w15:restartNumberingAfterBreak="0">
    <w:nsid w:val="771C424E"/>
    <w:multiLevelType w:val="hybridMultilevel"/>
    <w:tmpl w:val="D6284DC0"/>
    <w:lvl w:ilvl="0" w:tplc="36DE3C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3318A"/>
    <w:multiLevelType w:val="hybridMultilevel"/>
    <w:tmpl w:val="4718E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5"/>
  </w:num>
  <w:num w:numId="4">
    <w:abstractNumId w:val="4"/>
  </w:num>
  <w:num w:numId="5">
    <w:abstractNumId w:val="16"/>
  </w:num>
  <w:num w:numId="6">
    <w:abstractNumId w:val="9"/>
  </w:num>
  <w:num w:numId="7">
    <w:abstractNumId w:val="12"/>
  </w:num>
  <w:num w:numId="8">
    <w:abstractNumId w:val="7"/>
  </w:num>
  <w:num w:numId="9">
    <w:abstractNumId w:val="13"/>
  </w:num>
  <w:num w:numId="10">
    <w:abstractNumId w:val="8"/>
  </w:num>
  <w:num w:numId="11">
    <w:abstractNumId w:val="21"/>
  </w:num>
  <w:num w:numId="12">
    <w:abstractNumId w:val="22"/>
  </w:num>
  <w:num w:numId="13">
    <w:abstractNumId w:val="15"/>
  </w:num>
  <w:num w:numId="14">
    <w:abstractNumId w:val="26"/>
  </w:num>
  <w:num w:numId="15">
    <w:abstractNumId w:val="6"/>
  </w:num>
  <w:num w:numId="16">
    <w:abstractNumId w:val="17"/>
  </w:num>
  <w:num w:numId="17">
    <w:abstractNumId w:val="0"/>
  </w:num>
  <w:num w:numId="18">
    <w:abstractNumId w:val="20"/>
  </w:num>
  <w:num w:numId="19">
    <w:abstractNumId w:val="10"/>
  </w:num>
  <w:num w:numId="20">
    <w:abstractNumId w:val="19"/>
  </w:num>
  <w:num w:numId="21">
    <w:abstractNumId w:val="25"/>
  </w:num>
  <w:num w:numId="22">
    <w:abstractNumId w:val="2"/>
  </w:num>
  <w:num w:numId="23">
    <w:abstractNumId w:val="14"/>
  </w:num>
  <w:num w:numId="24">
    <w:abstractNumId w:val="1"/>
  </w:num>
  <w:num w:numId="25">
    <w:abstractNumId w:val="24"/>
  </w:num>
  <w:num w:numId="26">
    <w:abstractNumId w:val="3"/>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E8B"/>
    <w:rsid w:val="00005E26"/>
    <w:rsid w:val="00006E59"/>
    <w:rsid w:val="000101AD"/>
    <w:rsid w:val="000112C6"/>
    <w:rsid w:val="0001309E"/>
    <w:rsid w:val="00015241"/>
    <w:rsid w:val="000153EB"/>
    <w:rsid w:val="00015FDE"/>
    <w:rsid w:val="00016217"/>
    <w:rsid w:val="00016861"/>
    <w:rsid w:val="00017D05"/>
    <w:rsid w:val="000200CF"/>
    <w:rsid w:val="000205F1"/>
    <w:rsid w:val="00020C3F"/>
    <w:rsid w:val="00021052"/>
    <w:rsid w:val="00022047"/>
    <w:rsid w:val="00023AEE"/>
    <w:rsid w:val="000274B9"/>
    <w:rsid w:val="0002758B"/>
    <w:rsid w:val="000276A0"/>
    <w:rsid w:val="0003257C"/>
    <w:rsid w:val="000330DB"/>
    <w:rsid w:val="000333D1"/>
    <w:rsid w:val="0003429F"/>
    <w:rsid w:val="0003469E"/>
    <w:rsid w:val="0003562A"/>
    <w:rsid w:val="00036095"/>
    <w:rsid w:val="000367E0"/>
    <w:rsid w:val="00036AF4"/>
    <w:rsid w:val="00037E2B"/>
    <w:rsid w:val="00041C10"/>
    <w:rsid w:val="00043804"/>
    <w:rsid w:val="000441A1"/>
    <w:rsid w:val="00050869"/>
    <w:rsid w:val="00051E3C"/>
    <w:rsid w:val="000551AB"/>
    <w:rsid w:val="00055596"/>
    <w:rsid w:val="00055CA2"/>
    <w:rsid w:val="00056014"/>
    <w:rsid w:val="000561C1"/>
    <w:rsid w:val="00056204"/>
    <w:rsid w:val="000570D1"/>
    <w:rsid w:val="000571A9"/>
    <w:rsid w:val="00060290"/>
    <w:rsid w:val="000611AB"/>
    <w:rsid w:val="00061F3B"/>
    <w:rsid w:val="00063E24"/>
    <w:rsid w:val="00064ABA"/>
    <w:rsid w:val="00072229"/>
    <w:rsid w:val="000728F8"/>
    <w:rsid w:val="00072911"/>
    <w:rsid w:val="00073CF1"/>
    <w:rsid w:val="00074BD0"/>
    <w:rsid w:val="00074D9A"/>
    <w:rsid w:val="00074DB9"/>
    <w:rsid w:val="000753C4"/>
    <w:rsid w:val="00075DF0"/>
    <w:rsid w:val="00075F06"/>
    <w:rsid w:val="000762CA"/>
    <w:rsid w:val="00077EBF"/>
    <w:rsid w:val="000803A4"/>
    <w:rsid w:val="000806E3"/>
    <w:rsid w:val="0008339E"/>
    <w:rsid w:val="00083BCA"/>
    <w:rsid w:val="00090AD1"/>
    <w:rsid w:val="00090F49"/>
    <w:rsid w:val="00090F4F"/>
    <w:rsid w:val="00091476"/>
    <w:rsid w:val="00091984"/>
    <w:rsid w:val="00091AF7"/>
    <w:rsid w:val="00092879"/>
    <w:rsid w:val="00094E87"/>
    <w:rsid w:val="0009516A"/>
    <w:rsid w:val="00097FB2"/>
    <w:rsid w:val="000A151D"/>
    <w:rsid w:val="000A24C5"/>
    <w:rsid w:val="000A2967"/>
    <w:rsid w:val="000A2ABD"/>
    <w:rsid w:val="000A2B8C"/>
    <w:rsid w:val="000A30A1"/>
    <w:rsid w:val="000A3A38"/>
    <w:rsid w:val="000A3F7F"/>
    <w:rsid w:val="000A47FD"/>
    <w:rsid w:val="000A5B44"/>
    <w:rsid w:val="000A61AE"/>
    <w:rsid w:val="000A7192"/>
    <w:rsid w:val="000B0228"/>
    <w:rsid w:val="000B2E16"/>
    <w:rsid w:val="000B3A13"/>
    <w:rsid w:val="000B4BB2"/>
    <w:rsid w:val="000B6379"/>
    <w:rsid w:val="000B7477"/>
    <w:rsid w:val="000C4035"/>
    <w:rsid w:val="000C4E54"/>
    <w:rsid w:val="000C76B0"/>
    <w:rsid w:val="000C7BBE"/>
    <w:rsid w:val="000D048B"/>
    <w:rsid w:val="000D0683"/>
    <w:rsid w:val="000D0742"/>
    <w:rsid w:val="000D2475"/>
    <w:rsid w:val="000D442C"/>
    <w:rsid w:val="000D4DC4"/>
    <w:rsid w:val="000D6B78"/>
    <w:rsid w:val="000E4AA2"/>
    <w:rsid w:val="000E4C4E"/>
    <w:rsid w:val="000E55D6"/>
    <w:rsid w:val="000E612D"/>
    <w:rsid w:val="000E6AB1"/>
    <w:rsid w:val="000E745A"/>
    <w:rsid w:val="000E7E9E"/>
    <w:rsid w:val="000F0044"/>
    <w:rsid w:val="000F0EFD"/>
    <w:rsid w:val="000F1985"/>
    <w:rsid w:val="000F4813"/>
    <w:rsid w:val="000F5541"/>
    <w:rsid w:val="000F703B"/>
    <w:rsid w:val="000F72ED"/>
    <w:rsid w:val="000F79FC"/>
    <w:rsid w:val="000F7A4C"/>
    <w:rsid w:val="0010088A"/>
    <w:rsid w:val="00103698"/>
    <w:rsid w:val="00106EF8"/>
    <w:rsid w:val="001079CD"/>
    <w:rsid w:val="001101A2"/>
    <w:rsid w:val="00111489"/>
    <w:rsid w:val="00111792"/>
    <w:rsid w:val="00111797"/>
    <w:rsid w:val="00111B19"/>
    <w:rsid w:val="00112F45"/>
    <w:rsid w:val="00114A64"/>
    <w:rsid w:val="00115F59"/>
    <w:rsid w:val="00116C1A"/>
    <w:rsid w:val="00120808"/>
    <w:rsid w:val="00121554"/>
    <w:rsid w:val="00121F3E"/>
    <w:rsid w:val="0012229E"/>
    <w:rsid w:val="00123849"/>
    <w:rsid w:val="00123A5E"/>
    <w:rsid w:val="00125010"/>
    <w:rsid w:val="001251C8"/>
    <w:rsid w:val="00125266"/>
    <w:rsid w:val="00125B82"/>
    <w:rsid w:val="001305E6"/>
    <w:rsid w:val="001315CD"/>
    <w:rsid w:val="0013239A"/>
    <w:rsid w:val="00132D93"/>
    <w:rsid w:val="001334D3"/>
    <w:rsid w:val="00134EB2"/>
    <w:rsid w:val="0013761A"/>
    <w:rsid w:val="001434A4"/>
    <w:rsid w:val="0014423A"/>
    <w:rsid w:val="00147042"/>
    <w:rsid w:val="001471A7"/>
    <w:rsid w:val="001506F6"/>
    <w:rsid w:val="001508E6"/>
    <w:rsid w:val="00154032"/>
    <w:rsid w:val="001547D3"/>
    <w:rsid w:val="001559BD"/>
    <w:rsid w:val="00157F09"/>
    <w:rsid w:val="00157F79"/>
    <w:rsid w:val="00161113"/>
    <w:rsid w:val="00163E84"/>
    <w:rsid w:val="00165A12"/>
    <w:rsid w:val="001668AA"/>
    <w:rsid w:val="001675B1"/>
    <w:rsid w:val="0016789D"/>
    <w:rsid w:val="00167C87"/>
    <w:rsid w:val="00171F01"/>
    <w:rsid w:val="00172EE3"/>
    <w:rsid w:val="00174F19"/>
    <w:rsid w:val="00177E7E"/>
    <w:rsid w:val="00180BB5"/>
    <w:rsid w:val="0018356F"/>
    <w:rsid w:val="00184887"/>
    <w:rsid w:val="001874A7"/>
    <w:rsid w:val="001876C5"/>
    <w:rsid w:val="00187D68"/>
    <w:rsid w:val="00190155"/>
    <w:rsid w:val="001906B5"/>
    <w:rsid w:val="001913A7"/>
    <w:rsid w:val="00192198"/>
    <w:rsid w:val="00193394"/>
    <w:rsid w:val="00194163"/>
    <w:rsid w:val="00194359"/>
    <w:rsid w:val="00194FEB"/>
    <w:rsid w:val="001970A4"/>
    <w:rsid w:val="00197AD1"/>
    <w:rsid w:val="001A175D"/>
    <w:rsid w:val="001A17DA"/>
    <w:rsid w:val="001A1EA3"/>
    <w:rsid w:val="001A224D"/>
    <w:rsid w:val="001A3655"/>
    <w:rsid w:val="001A39F6"/>
    <w:rsid w:val="001A5714"/>
    <w:rsid w:val="001B0020"/>
    <w:rsid w:val="001B076F"/>
    <w:rsid w:val="001B1403"/>
    <w:rsid w:val="001B1955"/>
    <w:rsid w:val="001B3F87"/>
    <w:rsid w:val="001B4026"/>
    <w:rsid w:val="001B598C"/>
    <w:rsid w:val="001B6419"/>
    <w:rsid w:val="001B76A6"/>
    <w:rsid w:val="001B7A16"/>
    <w:rsid w:val="001C07F8"/>
    <w:rsid w:val="001C1147"/>
    <w:rsid w:val="001C1C96"/>
    <w:rsid w:val="001C2D7D"/>
    <w:rsid w:val="001C2F59"/>
    <w:rsid w:val="001C4D94"/>
    <w:rsid w:val="001C6C08"/>
    <w:rsid w:val="001D0646"/>
    <w:rsid w:val="001D1B55"/>
    <w:rsid w:val="001D2056"/>
    <w:rsid w:val="001D220F"/>
    <w:rsid w:val="001D42D1"/>
    <w:rsid w:val="001D547F"/>
    <w:rsid w:val="001D5D49"/>
    <w:rsid w:val="001D5F99"/>
    <w:rsid w:val="001D64E5"/>
    <w:rsid w:val="001D6EB8"/>
    <w:rsid w:val="001E05EC"/>
    <w:rsid w:val="001E2165"/>
    <w:rsid w:val="001E4809"/>
    <w:rsid w:val="001E4F4F"/>
    <w:rsid w:val="001E5005"/>
    <w:rsid w:val="001E5F41"/>
    <w:rsid w:val="001F2346"/>
    <w:rsid w:val="001F27F4"/>
    <w:rsid w:val="001F34D4"/>
    <w:rsid w:val="001F3DC0"/>
    <w:rsid w:val="001F460A"/>
    <w:rsid w:val="001F4C5A"/>
    <w:rsid w:val="001F4EA9"/>
    <w:rsid w:val="001F4F73"/>
    <w:rsid w:val="001F56C2"/>
    <w:rsid w:val="001F5E9F"/>
    <w:rsid w:val="001F6425"/>
    <w:rsid w:val="001F6772"/>
    <w:rsid w:val="001F695F"/>
    <w:rsid w:val="001F7118"/>
    <w:rsid w:val="001F7421"/>
    <w:rsid w:val="001F7EC8"/>
    <w:rsid w:val="00200195"/>
    <w:rsid w:val="00200B5F"/>
    <w:rsid w:val="00201EEF"/>
    <w:rsid w:val="00202132"/>
    <w:rsid w:val="00202476"/>
    <w:rsid w:val="00202B58"/>
    <w:rsid w:val="002047C8"/>
    <w:rsid w:val="002052B3"/>
    <w:rsid w:val="00205453"/>
    <w:rsid w:val="002058F9"/>
    <w:rsid w:val="0020650A"/>
    <w:rsid w:val="00206B9E"/>
    <w:rsid w:val="00207F32"/>
    <w:rsid w:val="00212A61"/>
    <w:rsid w:val="00212B1F"/>
    <w:rsid w:val="00213340"/>
    <w:rsid w:val="00213D7C"/>
    <w:rsid w:val="00214513"/>
    <w:rsid w:val="00215032"/>
    <w:rsid w:val="002153F5"/>
    <w:rsid w:val="002155B7"/>
    <w:rsid w:val="0021766A"/>
    <w:rsid w:val="00220C88"/>
    <w:rsid w:val="002223E0"/>
    <w:rsid w:val="002225D3"/>
    <w:rsid w:val="00222A35"/>
    <w:rsid w:val="0022301D"/>
    <w:rsid w:val="00223318"/>
    <w:rsid w:val="002236F0"/>
    <w:rsid w:val="00224B2C"/>
    <w:rsid w:val="00224E28"/>
    <w:rsid w:val="00225412"/>
    <w:rsid w:val="00226274"/>
    <w:rsid w:val="00226F3A"/>
    <w:rsid w:val="002272E2"/>
    <w:rsid w:val="00227C6A"/>
    <w:rsid w:val="00227E55"/>
    <w:rsid w:val="00227FD5"/>
    <w:rsid w:val="00232AA0"/>
    <w:rsid w:val="00234CDF"/>
    <w:rsid w:val="00235FC9"/>
    <w:rsid w:val="00236B91"/>
    <w:rsid w:val="00236BF6"/>
    <w:rsid w:val="00237FD0"/>
    <w:rsid w:val="002424C0"/>
    <w:rsid w:val="00242617"/>
    <w:rsid w:val="00242CAA"/>
    <w:rsid w:val="00242FF6"/>
    <w:rsid w:val="00244FE5"/>
    <w:rsid w:val="0024503B"/>
    <w:rsid w:val="002452D7"/>
    <w:rsid w:val="00245304"/>
    <w:rsid w:val="00245588"/>
    <w:rsid w:val="00245609"/>
    <w:rsid w:val="0024573D"/>
    <w:rsid w:val="00245A89"/>
    <w:rsid w:val="00245D74"/>
    <w:rsid w:val="00245EFE"/>
    <w:rsid w:val="00246D03"/>
    <w:rsid w:val="00246DDF"/>
    <w:rsid w:val="0024799F"/>
    <w:rsid w:val="00251A9E"/>
    <w:rsid w:val="00256F98"/>
    <w:rsid w:val="002573CC"/>
    <w:rsid w:val="002579B6"/>
    <w:rsid w:val="00260FAA"/>
    <w:rsid w:val="00262338"/>
    <w:rsid w:val="00263694"/>
    <w:rsid w:val="00263938"/>
    <w:rsid w:val="002646D7"/>
    <w:rsid w:val="00264990"/>
    <w:rsid w:val="002671D7"/>
    <w:rsid w:val="00271472"/>
    <w:rsid w:val="0027259C"/>
    <w:rsid w:val="00273543"/>
    <w:rsid w:val="00274C82"/>
    <w:rsid w:val="00275865"/>
    <w:rsid w:val="0027649C"/>
    <w:rsid w:val="0027654D"/>
    <w:rsid w:val="002810DF"/>
    <w:rsid w:val="002812AB"/>
    <w:rsid w:val="002816D8"/>
    <w:rsid w:val="00281F8F"/>
    <w:rsid w:val="00282A8C"/>
    <w:rsid w:val="002844C4"/>
    <w:rsid w:val="002854EE"/>
    <w:rsid w:val="0028565C"/>
    <w:rsid w:val="002875DE"/>
    <w:rsid w:val="00287E07"/>
    <w:rsid w:val="00290EB3"/>
    <w:rsid w:val="00292846"/>
    <w:rsid w:val="00292A90"/>
    <w:rsid w:val="00293712"/>
    <w:rsid w:val="00293DE0"/>
    <w:rsid w:val="00296173"/>
    <w:rsid w:val="002971D6"/>
    <w:rsid w:val="002971FF"/>
    <w:rsid w:val="002A2F08"/>
    <w:rsid w:val="002A3641"/>
    <w:rsid w:val="002A3765"/>
    <w:rsid w:val="002A418F"/>
    <w:rsid w:val="002A495F"/>
    <w:rsid w:val="002A4CE1"/>
    <w:rsid w:val="002A706F"/>
    <w:rsid w:val="002A70EA"/>
    <w:rsid w:val="002A7363"/>
    <w:rsid w:val="002A7F43"/>
    <w:rsid w:val="002B365E"/>
    <w:rsid w:val="002B3E6C"/>
    <w:rsid w:val="002B489A"/>
    <w:rsid w:val="002B60F0"/>
    <w:rsid w:val="002B6341"/>
    <w:rsid w:val="002C031A"/>
    <w:rsid w:val="002C0526"/>
    <w:rsid w:val="002C27A8"/>
    <w:rsid w:val="002C333E"/>
    <w:rsid w:val="002C36C8"/>
    <w:rsid w:val="002C3C0A"/>
    <w:rsid w:val="002C51A0"/>
    <w:rsid w:val="002C57E0"/>
    <w:rsid w:val="002C7971"/>
    <w:rsid w:val="002D0584"/>
    <w:rsid w:val="002D2E2A"/>
    <w:rsid w:val="002D4274"/>
    <w:rsid w:val="002D4292"/>
    <w:rsid w:val="002D4F19"/>
    <w:rsid w:val="002D5295"/>
    <w:rsid w:val="002D52BF"/>
    <w:rsid w:val="002D6630"/>
    <w:rsid w:val="002D68FA"/>
    <w:rsid w:val="002D7373"/>
    <w:rsid w:val="002D7A2B"/>
    <w:rsid w:val="002D7ECA"/>
    <w:rsid w:val="002E0141"/>
    <w:rsid w:val="002E0B5D"/>
    <w:rsid w:val="002E0B76"/>
    <w:rsid w:val="002E1495"/>
    <w:rsid w:val="002E2466"/>
    <w:rsid w:val="002E2900"/>
    <w:rsid w:val="002E3C0D"/>
    <w:rsid w:val="002E43EC"/>
    <w:rsid w:val="002E484E"/>
    <w:rsid w:val="002E4883"/>
    <w:rsid w:val="002E5B3C"/>
    <w:rsid w:val="002E6269"/>
    <w:rsid w:val="002E7A79"/>
    <w:rsid w:val="002F05F1"/>
    <w:rsid w:val="002F1D9E"/>
    <w:rsid w:val="002F2BA1"/>
    <w:rsid w:val="002F2C6E"/>
    <w:rsid w:val="002F3B30"/>
    <w:rsid w:val="002F3C88"/>
    <w:rsid w:val="002F4067"/>
    <w:rsid w:val="002F47EB"/>
    <w:rsid w:val="002F59BE"/>
    <w:rsid w:val="002F7339"/>
    <w:rsid w:val="002F7461"/>
    <w:rsid w:val="002F7924"/>
    <w:rsid w:val="003025E2"/>
    <w:rsid w:val="00303CB0"/>
    <w:rsid w:val="00306D24"/>
    <w:rsid w:val="00307712"/>
    <w:rsid w:val="00307F30"/>
    <w:rsid w:val="0031404A"/>
    <w:rsid w:val="00314B7C"/>
    <w:rsid w:val="00314E49"/>
    <w:rsid w:val="00315445"/>
    <w:rsid w:val="00317183"/>
    <w:rsid w:val="003204AE"/>
    <w:rsid w:val="003208EF"/>
    <w:rsid w:val="00323D35"/>
    <w:rsid w:val="003244B9"/>
    <w:rsid w:val="00324846"/>
    <w:rsid w:val="00324ABD"/>
    <w:rsid w:val="00324D9B"/>
    <w:rsid w:val="00326336"/>
    <w:rsid w:val="003272A6"/>
    <w:rsid w:val="003273CB"/>
    <w:rsid w:val="0033125E"/>
    <w:rsid w:val="00332ED2"/>
    <w:rsid w:val="0033325E"/>
    <w:rsid w:val="003356B8"/>
    <w:rsid w:val="00335C99"/>
    <w:rsid w:val="00336913"/>
    <w:rsid w:val="0033718C"/>
    <w:rsid w:val="00337407"/>
    <w:rsid w:val="00337BB8"/>
    <w:rsid w:val="003401DB"/>
    <w:rsid w:val="00340E02"/>
    <w:rsid w:val="00341F33"/>
    <w:rsid w:val="00342E94"/>
    <w:rsid w:val="00343E6E"/>
    <w:rsid w:val="00343E9A"/>
    <w:rsid w:val="003450C8"/>
    <w:rsid w:val="00345BA7"/>
    <w:rsid w:val="0034782B"/>
    <w:rsid w:val="00347ACB"/>
    <w:rsid w:val="00351E5C"/>
    <w:rsid w:val="00351F5A"/>
    <w:rsid w:val="003538F7"/>
    <w:rsid w:val="0035409F"/>
    <w:rsid w:val="0035580F"/>
    <w:rsid w:val="00357CB4"/>
    <w:rsid w:val="003604EE"/>
    <w:rsid w:val="0036286B"/>
    <w:rsid w:val="00363371"/>
    <w:rsid w:val="00363FBA"/>
    <w:rsid w:val="0036432B"/>
    <w:rsid w:val="00364989"/>
    <w:rsid w:val="00365321"/>
    <w:rsid w:val="003664C0"/>
    <w:rsid w:val="00366769"/>
    <w:rsid w:val="00366C17"/>
    <w:rsid w:val="00367A28"/>
    <w:rsid w:val="00367E04"/>
    <w:rsid w:val="003706BE"/>
    <w:rsid w:val="00370D36"/>
    <w:rsid w:val="00374D53"/>
    <w:rsid w:val="00375433"/>
    <w:rsid w:val="003761F2"/>
    <w:rsid w:val="00376A05"/>
    <w:rsid w:val="003774FE"/>
    <w:rsid w:val="00386CAF"/>
    <w:rsid w:val="00390E30"/>
    <w:rsid w:val="0039264F"/>
    <w:rsid w:val="00392823"/>
    <w:rsid w:val="003938AC"/>
    <w:rsid w:val="00393ABE"/>
    <w:rsid w:val="0039458D"/>
    <w:rsid w:val="00394D61"/>
    <w:rsid w:val="00395201"/>
    <w:rsid w:val="003A05FC"/>
    <w:rsid w:val="003A1F5A"/>
    <w:rsid w:val="003A20C4"/>
    <w:rsid w:val="003A2ECE"/>
    <w:rsid w:val="003A3A13"/>
    <w:rsid w:val="003A4252"/>
    <w:rsid w:val="003A539A"/>
    <w:rsid w:val="003A62A4"/>
    <w:rsid w:val="003A7476"/>
    <w:rsid w:val="003A7D86"/>
    <w:rsid w:val="003B0AA1"/>
    <w:rsid w:val="003B243D"/>
    <w:rsid w:val="003B304F"/>
    <w:rsid w:val="003B5D18"/>
    <w:rsid w:val="003B795D"/>
    <w:rsid w:val="003C26A6"/>
    <w:rsid w:val="003C26C1"/>
    <w:rsid w:val="003C5C11"/>
    <w:rsid w:val="003C654B"/>
    <w:rsid w:val="003C6A5A"/>
    <w:rsid w:val="003C6AAD"/>
    <w:rsid w:val="003C76E4"/>
    <w:rsid w:val="003D1D4D"/>
    <w:rsid w:val="003D2D68"/>
    <w:rsid w:val="003D3682"/>
    <w:rsid w:val="003D37DD"/>
    <w:rsid w:val="003D45DF"/>
    <w:rsid w:val="003D47C6"/>
    <w:rsid w:val="003D7E38"/>
    <w:rsid w:val="003D7EAC"/>
    <w:rsid w:val="003E188D"/>
    <w:rsid w:val="003E1AFA"/>
    <w:rsid w:val="003E1F52"/>
    <w:rsid w:val="003E375F"/>
    <w:rsid w:val="003E379A"/>
    <w:rsid w:val="003E52B0"/>
    <w:rsid w:val="003E64DC"/>
    <w:rsid w:val="003E666E"/>
    <w:rsid w:val="003E7A43"/>
    <w:rsid w:val="003E7CBD"/>
    <w:rsid w:val="003F0B58"/>
    <w:rsid w:val="003F0D40"/>
    <w:rsid w:val="003F2236"/>
    <w:rsid w:val="003F27B7"/>
    <w:rsid w:val="003F4051"/>
    <w:rsid w:val="003F5812"/>
    <w:rsid w:val="003F625A"/>
    <w:rsid w:val="003F6AA4"/>
    <w:rsid w:val="003F6EA1"/>
    <w:rsid w:val="003F7907"/>
    <w:rsid w:val="00400CFA"/>
    <w:rsid w:val="00400E4A"/>
    <w:rsid w:val="004028E7"/>
    <w:rsid w:val="00402E9A"/>
    <w:rsid w:val="00403B37"/>
    <w:rsid w:val="00403FA8"/>
    <w:rsid w:val="00404040"/>
    <w:rsid w:val="00404213"/>
    <w:rsid w:val="004048AC"/>
    <w:rsid w:val="00404B8E"/>
    <w:rsid w:val="004068C2"/>
    <w:rsid w:val="00406E61"/>
    <w:rsid w:val="00407335"/>
    <w:rsid w:val="00407DD6"/>
    <w:rsid w:val="00412559"/>
    <w:rsid w:val="004145F0"/>
    <w:rsid w:val="00415E7F"/>
    <w:rsid w:val="00420288"/>
    <w:rsid w:val="00421C78"/>
    <w:rsid w:val="004224CE"/>
    <w:rsid w:val="00423D5E"/>
    <w:rsid w:val="00424A78"/>
    <w:rsid w:val="004254DB"/>
    <w:rsid w:val="00427EEA"/>
    <w:rsid w:val="00431836"/>
    <w:rsid w:val="004321E6"/>
    <w:rsid w:val="0043278E"/>
    <w:rsid w:val="004332A4"/>
    <w:rsid w:val="004360AC"/>
    <w:rsid w:val="00436B83"/>
    <w:rsid w:val="00441061"/>
    <w:rsid w:val="004447D2"/>
    <w:rsid w:val="0044560C"/>
    <w:rsid w:val="004501C9"/>
    <w:rsid w:val="00450C70"/>
    <w:rsid w:val="00452DD3"/>
    <w:rsid w:val="00453344"/>
    <w:rsid w:val="00453D10"/>
    <w:rsid w:val="00454E76"/>
    <w:rsid w:val="00454F0D"/>
    <w:rsid w:val="00457080"/>
    <w:rsid w:val="00460891"/>
    <w:rsid w:val="00464FB2"/>
    <w:rsid w:val="004653A0"/>
    <w:rsid w:val="004662A8"/>
    <w:rsid w:val="00466381"/>
    <w:rsid w:val="00466CDC"/>
    <w:rsid w:val="0046745E"/>
    <w:rsid w:val="0047036E"/>
    <w:rsid w:val="004725ED"/>
    <w:rsid w:val="004736BE"/>
    <w:rsid w:val="0047556D"/>
    <w:rsid w:val="00475789"/>
    <w:rsid w:val="00476170"/>
    <w:rsid w:val="00477102"/>
    <w:rsid w:val="00477467"/>
    <w:rsid w:val="004801D4"/>
    <w:rsid w:val="00480284"/>
    <w:rsid w:val="004820B0"/>
    <w:rsid w:val="00482117"/>
    <w:rsid w:val="00482E2F"/>
    <w:rsid w:val="00484BE0"/>
    <w:rsid w:val="004859B4"/>
    <w:rsid w:val="00486ACD"/>
    <w:rsid w:val="00490B8D"/>
    <w:rsid w:val="0049255A"/>
    <w:rsid w:val="00492C65"/>
    <w:rsid w:val="0049403F"/>
    <w:rsid w:val="00494323"/>
    <w:rsid w:val="00494349"/>
    <w:rsid w:val="00494485"/>
    <w:rsid w:val="0049682B"/>
    <w:rsid w:val="004971FC"/>
    <w:rsid w:val="0049762B"/>
    <w:rsid w:val="004A0F27"/>
    <w:rsid w:val="004A0F37"/>
    <w:rsid w:val="004A0F68"/>
    <w:rsid w:val="004A3608"/>
    <w:rsid w:val="004A4FBD"/>
    <w:rsid w:val="004A76FF"/>
    <w:rsid w:val="004A7810"/>
    <w:rsid w:val="004A7E93"/>
    <w:rsid w:val="004B021E"/>
    <w:rsid w:val="004B34AF"/>
    <w:rsid w:val="004B3CFB"/>
    <w:rsid w:val="004B5190"/>
    <w:rsid w:val="004B5D6B"/>
    <w:rsid w:val="004B6A76"/>
    <w:rsid w:val="004B76F8"/>
    <w:rsid w:val="004B7909"/>
    <w:rsid w:val="004C1FA6"/>
    <w:rsid w:val="004C2869"/>
    <w:rsid w:val="004C4B1B"/>
    <w:rsid w:val="004C5CFD"/>
    <w:rsid w:val="004D12C0"/>
    <w:rsid w:val="004D18EA"/>
    <w:rsid w:val="004D2B29"/>
    <w:rsid w:val="004D3713"/>
    <w:rsid w:val="004D4F35"/>
    <w:rsid w:val="004D5F08"/>
    <w:rsid w:val="004D6254"/>
    <w:rsid w:val="004D70FD"/>
    <w:rsid w:val="004D7520"/>
    <w:rsid w:val="004D7E99"/>
    <w:rsid w:val="004E00CE"/>
    <w:rsid w:val="004E0410"/>
    <w:rsid w:val="004E2BDB"/>
    <w:rsid w:val="004E307B"/>
    <w:rsid w:val="004E44F6"/>
    <w:rsid w:val="004E7727"/>
    <w:rsid w:val="004F0966"/>
    <w:rsid w:val="004F42C3"/>
    <w:rsid w:val="004F50AF"/>
    <w:rsid w:val="004F681D"/>
    <w:rsid w:val="004F6E14"/>
    <w:rsid w:val="004F7BDB"/>
    <w:rsid w:val="0050228C"/>
    <w:rsid w:val="00502857"/>
    <w:rsid w:val="005044A9"/>
    <w:rsid w:val="00504F68"/>
    <w:rsid w:val="005054DC"/>
    <w:rsid w:val="00505994"/>
    <w:rsid w:val="00505FD4"/>
    <w:rsid w:val="005062F0"/>
    <w:rsid w:val="00506E25"/>
    <w:rsid w:val="0051132C"/>
    <w:rsid w:val="005119D0"/>
    <w:rsid w:val="00513483"/>
    <w:rsid w:val="00514A55"/>
    <w:rsid w:val="00514EF5"/>
    <w:rsid w:val="0051782D"/>
    <w:rsid w:val="0052087E"/>
    <w:rsid w:val="0052315E"/>
    <w:rsid w:val="00523B73"/>
    <w:rsid w:val="00530ED3"/>
    <w:rsid w:val="005318D9"/>
    <w:rsid w:val="0053273A"/>
    <w:rsid w:val="00532D58"/>
    <w:rsid w:val="00533D2D"/>
    <w:rsid w:val="005340E1"/>
    <w:rsid w:val="0053438E"/>
    <w:rsid w:val="005343E5"/>
    <w:rsid w:val="005346B7"/>
    <w:rsid w:val="005355EE"/>
    <w:rsid w:val="00535B16"/>
    <w:rsid w:val="005366D0"/>
    <w:rsid w:val="00537E27"/>
    <w:rsid w:val="00540B4D"/>
    <w:rsid w:val="00540FFA"/>
    <w:rsid w:val="00542930"/>
    <w:rsid w:val="005435B3"/>
    <w:rsid w:val="0054382A"/>
    <w:rsid w:val="00545568"/>
    <w:rsid w:val="00550849"/>
    <w:rsid w:val="00550866"/>
    <w:rsid w:val="0055089B"/>
    <w:rsid w:val="005543CD"/>
    <w:rsid w:val="00554BF3"/>
    <w:rsid w:val="0055655F"/>
    <w:rsid w:val="0055657D"/>
    <w:rsid w:val="005579B9"/>
    <w:rsid w:val="00560D0D"/>
    <w:rsid w:val="005628EA"/>
    <w:rsid w:val="005632F1"/>
    <w:rsid w:val="005644AD"/>
    <w:rsid w:val="00565FB1"/>
    <w:rsid w:val="005662FB"/>
    <w:rsid w:val="00566DCC"/>
    <w:rsid w:val="00567781"/>
    <w:rsid w:val="00567ECC"/>
    <w:rsid w:val="0057019C"/>
    <w:rsid w:val="005713B1"/>
    <w:rsid w:val="0057363E"/>
    <w:rsid w:val="0057624B"/>
    <w:rsid w:val="0057644D"/>
    <w:rsid w:val="0057649A"/>
    <w:rsid w:val="00580820"/>
    <w:rsid w:val="00581F07"/>
    <w:rsid w:val="00583090"/>
    <w:rsid w:val="005835F4"/>
    <w:rsid w:val="00583EFE"/>
    <w:rsid w:val="00584076"/>
    <w:rsid w:val="005841A3"/>
    <w:rsid w:val="00586D9A"/>
    <w:rsid w:val="00590EAE"/>
    <w:rsid w:val="0059112A"/>
    <w:rsid w:val="0059116B"/>
    <w:rsid w:val="00591B65"/>
    <w:rsid w:val="00592A14"/>
    <w:rsid w:val="00593216"/>
    <w:rsid w:val="00593C88"/>
    <w:rsid w:val="00594BC3"/>
    <w:rsid w:val="00596CA7"/>
    <w:rsid w:val="00596DC8"/>
    <w:rsid w:val="00596E16"/>
    <w:rsid w:val="00597A78"/>
    <w:rsid w:val="00597DC7"/>
    <w:rsid w:val="005A0445"/>
    <w:rsid w:val="005A16A3"/>
    <w:rsid w:val="005A1C48"/>
    <w:rsid w:val="005A253A"/>
    <w:rsid w:val="005A2AC4"/>
    <w:rsid w:val="005A2AD8"/>
    <w:rsid w:val="005A3152"/>
    <w:rsid w:val="005A40AF"/>
    <w:rsid w:val="005A454C"/>
    <w:rsid w:val="005A5CEA"/>
    <w:rsid w:val="005A64BF"/>
    <w:rsid w:val="005B0565"/>
    <w:rsid w:val="005B4421"/>
    <w:rsid w:val="005B513F"/>
    <w:rsid w:val="005B7483"/>
    <w:rsid w:val="005B7929"/>
    <w:rsid w:val="005C0643"/>
    <w:rsid w:val="005C215C"/>
    <w:rsid w:val="005C23AF"/>
    <w:rsid w:val="005C25D1"/>
    <w:rsid w:val="005C35A9"/>
    <w:rsid w:val="005C464B"/>
    <w:rsid w:val="005C4E5F"/>
    <w:rsid w:val="005C74A0"/>
    <w:rsid w:val="005D052C"/>
    <w:rsid w:val="005D16FE"/>
    <w:rsid w:val="005D27FC"/>
    <w:rsid w:val="005D4084"/>
    <w:rsid w:val="005D4777"/>
    <w:rsid w:val="005D4C2B"/>
    <w:rsid w:val="005D5784"/>
    <w:rsid w:val="005E22CD"/>
    <w:rsid w:val="005E6B93"/>
    <w:rsid w:val="005E7953"/>
    <w:rsid w:val="005E7E82"/>
    <w:rsid w:val="005F2C42"/>
    <w:rsid w:val="005F6754"/>
    <w:rsid w:val="005F6BAB"/>
    <w:rsid w:val="005F6C28"/>
    <w:rsid w:val="005F7AB6"/>
    <w:rsid w:val="005F7E3C"/>
    <w:rsid w:val="00600FA8"/>
    <w:rsid w:val="00603360"/>
    <w:rsid w:val="006063DA"/>
    <w:rsid w:val="00606CD0"/>
    <w:rsid w:val="00606CE3"/>
    <w:rsid w:val="00606CF2"/>
    <w:rsid w:val="006105AA"/>
    <w:rsid w:val="00611DD3"/>
    <w:rsid w:val="00611EF0"/>
    <w:rsid w:val="00612219"/>
    <w:rsid w:val="00612E04"/>
    <w:rsid w:val="006173A4"/>
    <w:rsid w:val="00617C44"/>
    <w:rsid w:val="00620086"/>
    <w:rsid w:val="006209A8"/>
    <w:rsid w:val="00622074"/>
    <w:rsid w:val="00622CE4"/>
    <w:rsid w:val="006234A7"/>
    <w:rsid w:val="00623F8E"/>
    <w:rsid w:val="00625917"/>
    <w:rsid w:val="0062789F"/>
    <w:rsid w:val="006301BE"/>
    <w:rsid w:val="0063096E"/>
    <w:rsid w:val="00632DB2"/>
    <w:rsid w:val="00633349"/>
    <w:rsid w:val="006337AF"/>
    <w:rsid w:val="00633D61"/>
    <w:rsid w:val="0063402B"/>
    <w:rsid w:val="0063410D"/>
    <w:rsid w:val="00636570"/>
    <w:rsid w:val="00637859"/>
    <w:rsid w:val="00637901"/>
    <w:rsid w:val="00637E1B"/>
    <w:rsid w:val="006402DF"/>
    <w:rsid w:val="0064135C"/>
    <w:rsid w:val="0064164B"/>
    <w:rsid w:val="00643173"/>
    <w:rsid w:val="0064405A"/>
    <w:rsid w:val="0064416A"/>
    <w:rsid w:val="00644468"/>
    <w:rsid w:val="00644CE7"/>
    <w:rsid w:val="00645F5E"/>
    <w:rsid w:val="00647B1E"/>
    <w:rsid w:val="00647C55"/>
    <w:rsid w:val="0065008B"/>
    <w:rsid w:val="00653721"/>
    <w:rsid w:val="00653A3B"/>
    <w:rsid w:val="00653FD9"/>
    <w:rsid w:val="006543A2"/>
    <w:rsid w:val="00654D42"/>
    <w:rsid w:val="0065508F"/>
    <w:rsid w:val="00656328"/>
    <w:rsid w:val="00660279"/>
    <w:rsid w:val="00660A94"/>
    <w:rsid w:val="006622B9"/>
    <w:rsid w:val="00662E1E"/>
    <w:rsid w:val="0066371E"/>
    <w:rsid w:val="0066455B"/>
    <w:rsid w:val="00670BC4"/>
    <w:rsid w:val="006718ED"/>
    <w:rsid w:val="006724AD"/>
    <w:rsid w:val="00672BAB"/>
    <w:rsid w:val="0067314A"/>
    <w:rsid w:val="00673614"/>
    <w:rsid w:val="00673D1E"/>
    <w:rsid w:val="00674159"/>
    <w:rsid w:val="0067557E"/>
    <w:rsid w:val="00675E9D"/>
    <w:rsid w:val="006779CF"/>
    <w:rsid w:val="00677A8F"/>
    <w:rsid w:val="00677D63"/>
    <w:rsid w:val="00677F8A"/>
    <w:rsid w:val="006821E3"/>
    <w:rsid w:val="00683AD6"/>
    <w:rsid w:val="006842AE"/>
    <w:rsid w:val="006875BA"/>
    <w:rsid w:val="0069097D"/>
    <w:rsid w:val="00693E61"/>
    <w:rsid w:val="00693FEA"/>
    <w:rsid w:val="00694C68"/>
    <w:rsid w:val="006A5773"/>
    <w:rsid w:val="006A5804"/>
    <w:rsid w:val="006A58F0"/>
    <w:rsid w:val="006A6262"/>
    <w:rsid w:val="006B0372"/>
    <w:rsid w:val="006B0764"/>
    <w:rsid w:val="006B081C"/>
    <w:rsid w:val="006B1F3C"/>
    <w:rsid w:val="006B4467"/>
    <w:rsid w:val="006B660A"/>
    <w:rsid w:val="006B6899"/>
    <w:rsid w:val="006B6C46"/>
    <w:rsid w:val="006B6E78"/>
    <w:rsid w:val="006B7970"/>
    <w:rsid w:val="006C0039"/>
    <w:rsid w:val="006C1927"/>
    <w:rsid w:val="006C2585"/>
    <w:rsid w:val="006C2F77"/>
    <w:rsid w:val="006C4008"/>
    <w:rsid w:val="006C4E2C"/>
    <w:rsid w:val="006C5931"/>
    <w:rsid w:val="006C6DB0"/>
    <w:rsid w:val="006C73EF"/>
    <w:rsid w:val="006D1723"/>
    <w:rsid w:val="006D5D3F"/>
    <w:rsid w:val="006D60ED"/>
    <w:rsid w:val="006E0938"/>
    <w:rsid w:val="006E1166"/>
    <w:rsid w:val="006E24D9"/>
    <w:rsid w:val="006E25BA"/>
    <w:rsid w:val="006E596E"/>
    <w:rsid w:val="006E65E0"/>
    <w:rsid w:val="006E69CB"/>
    <w:rsid w:val="006E6B1B"/>
    <w:rsid w:val="006F033F"/>
    <w:rsid w:val="006F2399"/>
    <w:rsid w:val="006F24D8"/>
    <w:rsid w:val="006F33B8"/>
    <w:rsid w:val="006F4C9C"/>
    <w:rsid w:val="006F640F"/>
    <w:rsid w:val="006F762A"/>
    <w:rsid w:val="00701B6B"/>
    <w:rsid w:val="007026CB"/>
    <w:rsid w:val="00702D07"/>
    <w:rsid w:val="0070384F"/>
    <w:rsid w:val="00703A9E"/>
    <w:rsid w:val="00703D6D"/>
    <w:rsid w:val="00704095"/>
    <w:rsid w:val="00704152"/>
    <w:rsid w:val="00704368"/>
    <w:rsid w:val="00704FB5"/>
    <w:rsid w:val="00705EDE"/>
    <w:rsid w:val="00706B71"/>
    <w:rsid w:val="0071022A"/>
    <w:rsid w:val="0071277A"/>
    <w:rsid w:val="00712EE5"/>
    <w:rsid w:val="00713493"/>
    <w:rsid w:val="00713494"/>
    <w:rsid w:val="00713EA7"/>
    <w:rsid w:val="00714031"/>
    <w:rsid w:val="0071466E"/>
    <w:rsid w:val="00714A6C"/>
    <w:rsid w:val="00714CD3"/>
    <w:rsid w:val="0071582C"/>
    <w:rsid w:val="00716174"/>
    <w:rsid w:val="007203D8"/>
    <w:rsid w:val="007206A8"/>
    <w:rsid w:val="0072116D"/>
    <w:rsid w:val="0072226F"/>
    <w:rsid w:val="007247B6"/>
    <w:rsid w:val="00725712"/>
    <w:rsid w:val="007257CE"/>
    <w:rsid w:val="00725B78"/>
    <w:rsid w:val="00727082"/>
    <w:rsid w:val="00732143"/>
    <w:rsid w:val="0073233C"/>
    <w:rsid w:val="00732D0C"/>
    <w:rsid w:val="00733BD6"/>
    <w:rsid w:val="00733EAD"/>
    <w:rsid w:val="00733FEA"/>
    <w:rsid w:val="0073435D"/>
    <w:rsid w:val="00734D14"/>
    <w:rsid w:val="00734F54"/>
    <w:rsid w:val="00736BA8"/>
    <w:rsid w:val="00736D93"/>
    <w:rsid w:val="00737C04"/>
    <w:rsid w:val="00737F64"/>
    <w:rsid w:val="007402E2"/>
    <w:rsid w:val="007422C9"/>
    <w:rsid w:val="00744110"/>
    <w:rsid w:val="00744595"/>
    <w:rsid w:val="00744F3E"/>
    <w:rsid w:val="0074695A"/>
    <w:rsid w:val="00747A52"/>
    <w:rsid w:val="00750007"/>
    <w:rsid w:val="00750F1E"/>
    <w:rsid w:val="00751C12"/>
    <w:rsid w:val="00752691"/>
    <w:rsid w:val="007528F2"/>
    <w:rsid w:val="00752F8F"/>
    <w:rsid w:val="0075334B"/>
    <w:rsid w:val="007575C4"/>
    <w:rsid w:val="00757D63"/>
    <w:rsid w:val="00760DBB"/>
    <w:rsid w:val="00762A1B"/>
    <w:rsid w:val="00762D6D"/>
    <w:rsid w:val="00763700"/>
    <w:rsid w:val="0076427C"/>
    <w:rsid w:val="00765217"/>
    <w:rsid w:val="007659AA"/>
    <w:rsid w:val="00766231"/>
    <w:rsid w:val="00766334"/>
    <w:rsid w:val="00771B41"/>
    <w:rsid w:val="0077266C"/>
    <w:rsid w:val="00772802"/>
    <w:rsid w:val="00775066"/>
    <w:rsid w:val="00776406"/>
    <w:rsid w:val="00776A4A"/>
    <w:rsid w:val="0078005A"/>
    <w:rsid w:val="00781B6F"/>
    <w:rsid w:val="00781F9C"/>
    <w:rsid w:val="007820ED"/>
    <w:rsid w:val="00782DFD"/>
    <w:rsid w:val="00782FB1"/>
    <w:rsid w:val="00784424"/>
    <w:rsid w:val="00784D6B"/>
    <w:rsid w:val="00785474"/>
    <w:rsid w:val="0078772C"/>
    <w:rsid w:val="00787B99"/>
    <w:rsid w:val="007907C8"/>
    <w:rsid w:val="00790BE6"/>
    <w:rsid w:val="00791FFC"/>
    <w:rsid w:val="007925B6"/>
    <w:rsid w:val="007934F5"/>
    <w:rsid w:val="0079421C"/>
    <w:rsid w:val="0079526D"/>
    <w:rsid w:val="00795A2C"/>
    <w:rsid w:val="00797309"/>
    <w:rsid w:val="00797390"/>
    <w:rsid w:val="007A05B6"/>
    <w:rsid w:val="007A1C0A"/>
    <w:rsid w:val="007A1C59"/>
    <w:rsid w:val="007A2CEE"/>
    <w:rsid w:val="007A3CF5"/>
    <w:rsid w:val="007A4397"/>
    <w:rsid w:val="007A5B41"/>
    <w:rsid w:val="007A7EBB"/>
    <w:rsid w:val="007A7F0B"/>
    <w:rsid w:val="007B18C4"/>
    <w:rsid w:val="007B373F"/>
    <w:rsid w:val="007B3A76"/>
    <w:rsid w:val="007B5792"/>
    <w:rsid w:val="007B60D7"/>
    <w:rsid w:val="007C2934"/>
    <w:rsid w:val="007C31E2"/>
    <w:rsid w:val="007C5CE1"/>
    <w:rsid w:val="007C6F85"/>
    <w:rsid w:val="007D0569"/>
    <w:rsid w:val="007D16B1"/>
    <w:rsid w:val="007D19E4"/>
    <w:rsid w:val="007D2001"/>
    <w:rsid w:val="007D7400"/>
    <w:rsid w:val="007D7761"/>
    <w:rsid w:val="007D79FF"/>
    <w:rsid w:val="007E02A7"/>
    <w:rsid w:val="007E3D02"/>
    <w:rsid w:val="007E468A"/>
    <w:rsid w:val="007E51A5"/>
    <w:rsid w:val="007E5629"/>
    <w:rsid w:val="007E61E0"/>
    <w:rsid w:val="007E6A6D"/>
    <w:rsid w:val="007E7F4C"/>
    <w:rsid w:val="007F2EC6"/>
    <w:rsid w:val="007F3018"/>
    <w:rsid w:val="007F3BCD"/>
    <w:rsid w:val="007F3EF5"/>
    <w:rsid w:val="007F6862"/>
    <w:rsid w:val="008013FC"/>
    <w:rsid w:val="008052F1"/>
    <w:rsid w:val="008060C3"/>
    <w:rsid w:val="008063A1"/>
    <w:rsid w:val="00807F00"/>
    <w:rsid w:val="008110D1"/>
    <w:rsid w:val="00812095"/>
    <w:rsid w:val="008134BD"/>
    <w:rsid w:val="008139A5"/>
    <w:rsid w:val="00814656"/>
    <w:rsid w:val="0081764A"/>
    <w:rsid w:val="00820E45"/>
    <w:rsid w:val="0082198E"/>
    <w:rsid w:val="00821E2C"/>
    <w:rsid w:val="00822835"/>
    <w:rsid w:val="0082459B"/>
    <w:rsid w:val="00826758"/>
    <w:rsid w:val="008313D1"/>
    <w:rsid w:val="00833261"/>
    <w:rsid w:val="00834A04"/>
    <w:rsid w:val="00834A7F"/>
    <w:rsid w:val="008353E0"/>
    <w:rsid w:val="008365F0"/>
    <w:rsid w:val="0083763B"/>
    <w:rsid w:val="00837EAF"/>
    <w:rsid w:val="00841534"/>
    <w:rsid w:val="00842311"/>
    <w:rsid w:val="008462F1"/>
    <w:rsid w:val="00846930"/>
    <w:rsid w:val="00850FDE"/>
    <w:rsid w:val="00852876"/>
    <w:rsid w:val="008543F5"/>
    <w:rsid w:val="00855004"/>
    <w:rsid w:val="00855B3B"/>
    <w:rsid w:val="008572C4"/>
    <w:rsid w:val="0085733E"/>
    <w:rsid w:val="0085765A"/>
    <w:rsid w:val="008604A8"/>
    <w:rsid w:val="00860E64"/>
    <w:rsid w:val="00860FEE"/>
    <w:rsid w:val="008616F7"/>
    <w:rsid w:val="00861AFA"/>
    <w:rsid w:val="00863C61"/>
    <w:rsid w:val="00865522"/>
    <w:rsid w:val="00865ADF"/>
    <w:rsid w:val="0086644C"/>
    <w:rsid w:val="008666B5"/>
    <w:rsid w:val="00867CEC"/>
    <w:rsid w:val="008703B3"/>
    <w:rsid w:val="00871F13"/>
    <w:rsid w:val="00876985"/>
    <w:rsid w:val="008771AF"/>
    <w:rsid w:val="00877EAD"/>
    <w:rsid w:val="008808E6"/>
    <w:rsid w:val="00881C27"/>
    <w:rsid w:val="00883780"/>
    <w:rsid w:val="00883B99"/>
    <w:rsid w:val="00885066"/>
    <w:rsid w:val="00885F85"/>
    <w:rsid w:val="00886125"/>
    <w:rsid w:val="0088665E"/>
    <w:rsid w:val="00886FD7"/>
    <w:rsid w:val="008878F6"/>
    <w:rsid w:val="00887F48"/>
    <w:rsid w:val="00890FEF"/>
    <w:rsid w:val="008923C8"/>
    <w:rsid w:val="008924B5"/>
    <w:rsid w:val="00893260"/>
    <w:rsid w:val="008932A8"/>
    <w:rsid w:val="00893756"/>
    <w:rsid w:val="008946B6"/>
    <w:rsid w:val="00894A9E"/>
    <w:rsid w:val="008950F6"/>
    <w:rsid w:val="00895175"/>
    <w:rsid w:val="008957E0"/>
    <w:rsid w:val="00896815"/>
    <w:rsid w:val="008A0744"/>
    <w:rsid w:val="008A0A6E"/>
    <w:rsid w:val="008A0D0F"/>
    <w:rsid w:val="008A2FB3"/>
    <w:rsid w:val="008A398B"/>
    <w:rsid w:val="008A5601"/>
    <w:rsid w:val="008A59AD"/>
    <w:rsid w:val="008A7A76"/>
    <w:rsid w:val="008B0EEB"/>
    <w:rsid w:val="008B431D"/>
    <w:rsid w:val="008B51FD"/>
    <w:rsid w:val="008B6269"/>
    <w:rsid w:val="008B6766"/>
    <w:rsid w:val="008B70F5"/>
    <w:rsid w:val="008B7186"/>
    <w:rsid w:val="008B7192"/>
    <w:rsid w:val="008B7E0F"/>
    <w:rsid w:val="008C0FD4"/>
    <w:rsid w:val="008C1939"/>
    <w:rsid w:val="008C3396"/>
    <w:rsid w:val="008C416E"/>
    <w:rsid w:val="008C621C"/>
    <w:rsid w:val="008C697C"/>
    <w:rsid w:val="008C7448"/>
    <w:rsid w:val="008C75ED"/>
    <w:rsid w:val="008C7649"/>
    <w:rsid w:val="008E03B0"/>
    <w:rsid w:val="008E0991"/>
    <w:rsid w:val="008E09AE"/>
    <w:rsid w:val="008E1204"/>
    <w:rsid w:val="008E338E"/>
    <w:rsid w:val="008E4444"/>
    <w:rsid w:val="008E57FE"/>
    <w:rsid w:val="008E7147"/>
    <w:rsid w:val="008F0DDC"/>
    <w:rsid w:val="008F1818"/>
    <w:rsid w:val="008F2665"/>
    <w:rsid w:val="008F507E"/>
    <w:rsid w:val="008F5251"/>
    <w:rsid w:val="008F5553"/>
    <w:rsid w:val="008F6376"/>
    <w:rsid w:val="008F6A9E"/>
    <w:rsid w:val="008F72BE"/>
    <w:rsid w:val="00900CC2"/>
    <w:rsid w:val="00901770"/>
    <w:rsid w:val="009019FB"/>
    <w:rsid w:val="00902AA5"/>
    <w:rsid w:val="009052B7"/>
    <w:rsid w:val="00905B05"/>
    <w:rsid w:val="0090753C"/>
    <w:rsid w:val="0090759D"/>
    <w:rsid w:val="00911095"/>
    <w:rsid w:val="0091156F"/>
    <w:rsid w:val="00911B66"/>
    <w:rsid w:val="00912A7E"/>
    <w:rsid w:val="00915330"/>
    <w:rsid w:val="00916E69"/>
    <w:rsid w:val="00917525"/>
    <w:rsid w:val="0091777D"/>
    <w:rsid w:val="0091798E"/>
    <w:rsid w:val="00917C39"/>
    <w:rsid w:val="0092057D"/>
    <w:rsid w:val="0092113B"/>
    <w:rsid w:val="009218DE"/>
    <w:rsid w:val="00922D00"/>
    <w:rsid w:val="009233CC"/>
    <w:rsid w:val="00923F17"/>
    <w:rsid w:val="00925DDF"/>
    <w:rsid w:val="0092613E"/>
    <w:rsid w:val="009266DA"/>
    <w:rsid w:val="00927F35"/>
    <w:rsid w:val="00930DE8"/>
    <w:rsid w:val="009318DD"/>
    <w:rsid w:val="009330A8"/>
    <w:rsid w:val="00933857"/>
    <w:rsid w:val="009352C3"/>
    <w:rsid w:val="00935413"/>
    <w:rsid w:val="00935F5D"/>
    <w:rsid w:val="0093669F"/>
    <w:rsid w:val="009368E0"/>
    <w:rsid w:val="0094260B"/>
    <w:rsid w:val="00942661"/>
    <w:rsid w:val="00945307"/>
    <w:rsid w:val="0094558D"/>
    <w:rsid w:val="0094697C"/>
    <w:rsid w:val="00946FCE"/>
    <w:rsid w:val="00947D09"/>
    <w:rsid w:val="009515BC"/>
    <w:rsid w:val="0095349A"/>
    <w:rsid w:val="00953B5B"/>
    <w:rsid w:val="00953ED0"/>
    <w:rsid w:val="0095492E"/>
    <w:rsid w:val="00955F7D"/>
    <w:rsid w:val="00957074"/>
    <w:rsid w:val="0096242F"/>
    <w:rsid w:val="00962E3B"/>
    <w:rsid w:val="00962FF5"/>
    <w:rsid w:val="00964A4E"/>
    <w:rsid w:val="00965B02"/>
    <w:rsid w:val="00965C07"/>
    <w:rsid w:val="00965D2D"/>
    <w:rsid w:val="00967C86"/>
    <w:rsid w:val="00970A16"/>
    <w:rsid w:val="009717ED"/>
    <w:rsid w:val="00971847"/>
    <w:rsid w:val="009726ED"/>
    <w:rsid w:val="00972964"/>
    <w:rsid w:val="0097762F"/>
    <w:rsid w:val="00977C0A"/>
    <w:rsid w:val="009816B8"/>
    <w:rsid w:val="00981AC8"/>
    <w:rsid w:val="00983B45"/>
    <w:rsid w:val="00983B5C"/>
    <w:rsid w:val="00985A61"/>
    <w:rsid w:val="0098766F"/>
    <w:rsid w:val="00991ECE"/>
    <w:rsid w:val="0099361D"/>
    <w:rsid w:val="00993912"/>
    <w:rsid w:val="00994050"/>
    <w:rsid w:val="00995DFA"/>
    <w:rsid w:val="009962CF"/>
    <w:rsid w:val="009969D6"/>
    <w:rsid w:val="009A4543"/>
    <w:rsid w:val="009A5DB1"/>
    <w:rsid w:val="009A7C5A"/>
    <w:rsid w:val="009A7E51"/>
    <w:rsid w:val="009B21B9"/>
    <w:rsid w:val="009B2FAD"/>
    <w:rsid w:val="009B32AF"/>
    <w:rsid w:val="009B46A7"/>
    <w:rsid w:val="009B4CD0"/>
    <w:rsid w:val="009B4DA7"/>
    <w:rsid w:val="009B686F"/>
    <w:rsid w:val="009C21C6"/>
    <w:rsid w:val="009C383B"/>
    <w:rsid w:val="009C3A80"/>
    <w:rsid w:val="009C41EC"/>
    <w:rsid w:val="009C5238"/>
    <w:rsid w:val="009D12B4"/>
    <w:rsid w:val="009D1E70"/>
    <w:rsid w:val="009D2135"/>
    <w:rsid w:val="009D2FA7"/>
    <w:rsid w:val="009D3673"/>
    <w:rsid w:val="009D4166"/>
    <w:rsid w:val="009D4CAE"/>
    <w:rsid w:val="009D55F9"/>
    <w:rsid w:val="009D5837"/>
    <w:rsid w:val="009D5A11"/>
    <w:rsid w:val="009D607D"/>
    <w:rsid w:val="009D765F"/>
    <w:rsid w:val="009D7760"/>
    <w:rsid w:val="009E160E"/>
    <w:rsid w:val="009E16E6"/>
    <w:rsid w:val="009E1C0D"/>
    <w:rsid w:val="009E1E62"/>
    <w:rsid w:val="009E2953"/>
    <w:rsid w:val="009E30CE"/>
    <w:rsid w:val="009E4BA2"/>
    <w:rsid w:val="009E4CDF"/>
    <w:rsid w:val="009F04C3"/>
    <w:rsid w:val="009F0760"/>
    <w:rsid w:val="009F3B29"/>
    <w:rsid w:val="009F4860"/>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6126"/>
    <w:rsid w:val="00A165DB"/>
    <w:rsid w:val="00A20043"/>
    <w:rsid w:val="00A2083D"/>
    <w:rsid w:val="00A20CDE"/>
    <w:rsid w:val="00A21C6C"/>
    <w:rsid w:val="00A2365A"/>
    <w:rsid w:val="00A24133"/>
    <w:rsid w:val="00A24B81"/>
    <w:rsid w:val="00A2569C"/>
    <w:rsid w:val="00A262BF"/>
    <w:rsid w:val="00A27809"/>
    <w:rsid w:val="00A301AC"/>
    <w:rsid w:val="00A30533"/>
    <w:rsid w:val="00A317B0"/>
    <w:rsid w:val="00A31BF6"/>
    <w:rsid w:val="00A33FCB"/>
    <w:rsid w:val="00A344CF"/>
    <w:rsid w:val="00A34591"/>
    <w:rsid w:val="00A34E44"/>
    <w:rsid w:val="00A35B8F"/>
    <w:rsid w:val="00A3640F"/>
    <w:rsid w:val="00A37ECF"/>
    <w:rsid w:val="00A40CE2"/>
    <w:rsid w:val="00A41D69"/>
    <w:rsid w:val="00A42FAE"/>
    <w:rsid w:val="00A434A7"/>
    <w:rsid w:val="00A43553"/>
    <w:rsid w:val="00A47176"/>
    <w:rsid w:val="00A475C5"/>
    <w:rsid w:val="00A4768C"/>
    <w:rsid w:val="00A50A68"/>
    <w:rsid w:val="00A50D3B"/>
    <w:rsid w:val="00A50E38"/>
    <w:rsid w:val="00A510C6"/>
    <w:rsid w:val="00A518AA"/>
    <w:rsid w:val="00A525E7"/>
    <w:rsid w:val="00A52F9E"/>
    <w:rsid w:val="00A539ED"/>
    <w:rsid w:val="00A56348"/>
    <w:rsid w:val="00A5703F"/>
    <w:rsid w:val="00A57D39"/>
    <w:rsid w:val="00A61825"/>
    <w:rsid w:val="00A6316B"/>
    <w:rsid w:val="00A65316"/>
    <w:rsid w:val="00A674FF"/>
    <w:rsid w:val="00A709CE"/>
    <w:rsid w:val="00A70F69"/>
    <w:rsid w:val="00A72611"/>
    <w:rsid w:val="00A73972"/>
    <w:rsid w:val="00A73ABB"/>
    <w:rsid w:val="00A751A1"/>
    <w:rsid w:val="00A76D2C"/>
    <w:rsid w:val="00A77746"/>
    <w:rsid w:val="00A806AA"/>
    <w:rsid w:val="00A82D31"/>
    <w:rsid w:val="00A83BF6"/>
    <w:rsid w:val="00A84BAC"/>
    <w:rsid w:val="00A876D7"/>
    <w:rsid w:val="00A87B4F"/>
    <w:rsid w:val="00A87F31"/>
    <w:rsid w:val="00A90D27"/>
    <w:rsid w:val="00A9103B"/>
    <w:rsid w:val="00A91284"/>
    <w:rsid w:val="00A918A7"/>
    <w:rsid w:val="00A92871"/>
    <w:rsid w:val="00A955EB"/>
    <w:rsid w:val="00A9591E"/>
    <w:rsid w:val="00A96B72"/>
    <w:rsid w:val="00A96C95"/>
    <w:rsid w:val="00AA1F49"/>
    <w:rsid w:val="00AA3A2E"/>
    <w:rsid w:val="00AA4099"/>
    <w:rsid w:val="00AA4D5A"/>
    <w:rsid w:val="00AA6913"/>
    <w:rsid w:val="00AB2190"/>
    <w:rsid w:val="00AB39EB"/>
    <w:rsid w:val="00AB3F27"/>
    <w:rsid w:val="00AB3FD9"/>
    <w:rsid w:val="00AB5C19"/>
    <w:rsid w:val="00AB6714"/>
    <w:rsid w:val="00AB7DE7"/>
    <w:rsid w:val="00AC01D4"/>
    <w:rsid w:val="00AC03AB"/>
    <w:rsid w:val="00AC0650"/>
    <w:rsid w:val="00AC13AD"/>
    <w:rsid w:val="00AC1BE7"/>
    <w:rsid w:val="00AC275F"/>
    <w:rsid w:val="00AC3225"/>
    <w:rsid w:val="00AC3E02"/>
    <w:rsid w:val="00AC3EE4"/>
    <w:rsid w:val="00AC4D72"/>
    <w:rsid w:val="00AC50A4"/>
    <w:rsid w:val="00AC56BA"/>
    <w:rsid w:val="00AC5A95"/>
    <w:rsid w:val="00AC6074"/>
    <w:rsid w:val="00AC6471"/>
    <w:rsid w:val="00AD0F84"/>
    <w:rsid w:val="00AD1751"/>
    <w:rsid w:val="00AD2B6E"/>
    <w:rsid w:val="00AD2C48"/>
    <w:rsid w:val="00AD3139"/>
    <w:rsid w:val="00AD340D"/>
    <w:rsid w:val="00AD3443"/>
    <w:rsid w:val="00AD3D5B"/>
    <w:rsid w:val="00AD3E9B"/>
    <w:rsid w:val="00AD4B3C"/>
    <w:rsid w:val="00AD66C0"/>
    <w:rsid w:val="00AD68A5"/>
    <w:rsid w:val="00AE01A4"/>
    <w:rsid w:val="00AE147F"/>
    <w:rsid w:val="00AE185D"/>
    <w:rsid w:val="00AE1BFE"/>
    <w:rsid w:val="00AE1C14"/>
    <w:rsid w:val="00AE22F5"/>
    <w:rsid w:val="00AE3842"/>
    <w:rsid w:val="00AE3D83"/>
    <w:rsid w:val="00AE4374"/>
    <w:rsid w:val="00AE466A"/>
    <w:rsid w:val="00AE47E9"/>
    <w:rsid w:val="00AE485C"/>
    <w:rsid w:val="00AE7D4F"/>
    <w:rsid w:val="00AE7FE4"/>
    <w:rsid w:val="00AF0117"/>
    <w:rsid w:val="00AF16AD"/>
    <w:rsid w:val="00AF17D3"/>
    <w:rsid w:val="00AF1D77"/>
    <w:rsid w:val="00AF1E50"/>
    <w:rsid w:val="00AF318D"/>
    <w:rsid w:val="00AF38BA"/>
    <w:rsid w:val="00AF4F67"/>
    <w:rsid w:val="00AF5811"/>
    <w:rsid w:val="00AF5A90"/>
    <w:rsid w:val="00AF6509"/>
    <w:rsid w:val="00B00BBE"/>
    <w:rsid w:val="00B0456E"/>
    <w:rsid w:val="00B05F7B"/>
    <w:rsid w:val="00B06A05"/>
    <w:rsid w:val="00B06BF6"/>
    <w:rsid w:val="00B06F7F"/>
    <w:rsid w:val="00B100F0"/>
    <w:rsid w:val="00B11925"/>
    <w:rsid w:val="00B1194F"/>
    <w:rsid w:val="00B1402E"/>
    <w:rsid w:val="00B142FD"/>
    <w:rsid w:val="00B14865"/>
    <w:rsid w:val="00B173CA"/>
    <w:rsid w:val="00B21D50"/>
    <w:rsid w:val="00B229BE"/>
    <w:rsid w:val="00B22BE8"/>
    <w:rsid w:val="00B22F9B"/>
    <w:rsid w:val="00B234B1"/>
    <w:rsid w:val="00B23747"/>
    <w:rsid w:val="00B23E0A"/>
    <w:rsid w:val="00B24090"/>
    <w:rsid w:val="00B257E3"/>
    <w:rsid w:val="00B260C7"/>
    <w:rsid w:val="00B266AC"/>
    <w:rsid w:val="00B272AB"/>
    <w:rsid w:val="00B27494"/>
    <w:rsid w:val="00B279B9"/>
    <w:rsid w:val="00B27BFD"/>
    <w:rsid w:val="00B307CA"/>
    <w:rsid w:val="00B30FD0"/>
    <w:rsid w:val="00B31C6F"/>
    <w:rsid w:val="00B34F48"/>
    <w:rsid w:val="00B41624"/>
    <w:rsid w:val="00B45DF2"/>
    <w:rsid w:val="00B51BA0"/>
    <w:rsid w:val="00B535BD"/>
    <w:rsid w:val="00B53701"/>
    <w:rsid w:val="00B5509D"/>
    <w:rsid w:val="00B56A26"/>
    <w:rsid w:val="00B573E6"/>
    <w:rsid w:val="00B6110A"/>
    <w:rsid w:val="00B6176A"/>
    <w:rsid w:val="00B6301A"/>
    <w:rsid w:val="00B64799"/>
    <w:rsid w:val="00B64ACD"/>
    <w:rsid w:val="00B64CAD"/>
    <w:rsid w:val="00B651FA"/>
    <w:rsid w:val="00B66751"/>
    <w:rsid w:val="00B66B7C"/>
    <w:rsid w:val="00B66CD7"/>
    <w:rsid w:val="00B67AA6"/>
    <w:rsid w:val="00B704FF"/>
    <w:rsid w:val="00B7066C"/>
    <w:rsid w:val="00B70DBA"/>
    <w:rsid w:val="00B717D8"/>
    <w:rsid w:val="00B718E0"/>
    <w:rsid w:val="00B72DF3"/>
    <w:rsid w:val="00B74146"/>
    <w:rsid w:val="00B747A3"/>
    <w:rsid w:val="00B75A27"/>
    <w:rsid w:val="00B75AE9"/>
    <w:rsid w:val="00B75E52"/>
    <w:rsid w:val="00B76F6C"/>
    <w:rsid w:val="00B8080B"/>
    <w:rsid w:val="00B811EF"/>
    <w:rsid w:val="00B81568"/>
    <w:rsid w:val="00B81D20"/>
    <w:rsid w:val="00B8310D"/>
    <w:rsid w:val="00B831B9"/>
    <w:rsid w:val="00B86EF1"/>
    <w:rsid w:val="00B90674"/>
    <w:rsid w:val="00B91F77"/>
    <w:rsid w:val="00B91FFF"/>
    <w:rsid w:val="00B934E3"/>
    <w:rsid w:val="00B94323"/>
    <w:rsid w:val="00B94444"/>
    <w:rsid w:val="00B9566B"/>
    <w:rsid w:val="00B95F92"/>
    <w:rsid w:val="00B961B7"/>
    <w:rsid w:val="00B963D4"/>
    <w:rsid w:val="00B9648B"/>
    <w:rsid w:val="00B9772B"/>
    <w:rsid w:val="00BA2DEF"/>
    <w:rsid w:val="00BA35F2"/>
    <w:rsid w:val="00BA42FB"/>
    <w:rsid w:val="00BA4768"/>
    <w:rsid w:val="00BA4861"/>
    <w:rsid w:val="00BA4A92"/>
    <w:rsid w:val="00BA516F"/>
    <w:rsid w:val="00BA53FC"/>
    <w:rsid w:val="00BA628C"/>
    <w:rsid w:val="00BA7059"/>
    <w:rsid w:val="00BB0051"/>
    <w:rsid w:val="00BB0127"/>
    <w:rsid w:val="00BB02C6"/>
    <w:rsid w:val="00BB1082"/>
    <w:rsid w:val="00BB2127"/>
    <w:rsid w:val="00BB3805"/>
    <w:rsid w:val="00BB4589"/>
    <w:rsid w:val="00BB52A5"/>
    <w:rsid w:val="00BB5893"/>
    <w:rsid w:val="00BB6740"/>
    <w:rsid w:val="00BB6DDE"/>
    <w:rsid w:val="00BB74CA"/>
    <w:rsid w:val="00BB7EA1"/>
    <w:rsid w:val="00BB7F81"/>
    <w:rsid w:val="00BC11C8"/>
    <w:rsid w:val="00BC269B"/>
    <w:rsid w:val="00BC27D2"/>
    <w:rsid w:val="00BC299D"/>
    <w:rsid w:val="00BC58D1"/>
    <w:rsid w:val="00BC6D0F"/>
    <w:rsid w:val="00BD2AEF"/>
    <w:rsid w:val="00BD35E1"/>
    <w:rsid w:val="00BD3A56"/>
    <w:rsid w:val="00BD54FC"/>
    <w:rsid w:val="00BD63C3"/>
    <w:rsid w:val="00BD67CE"/>
    <w:rsid w:val="00BD76A4"/>
    <w:rsid w:val="00BE0186"/>
    <w:rsid w:val="00BE10F7"/>
    <w:rsid w:val="00BE1C8A"/>
    <w:rsid w:val="00BE28F4"/>
    <w:rsid w:val="00BE3C99"/>
    <w:rsid w:val="00BE4857"/>
    <w:rsid w:val="00BE5847"/>
    <w:rsid w:val="00BE5BE0"/>
    <w:rsid w:val="00BE5D1D"/>
    <w:rsid w:val="00BE697B"/>
    <w:rsid w:val="00BE70E8"/>
    <w:rsid w:val="00BF0B4F"/>
    <w:rsid w:val="00BF0E76"/>
    <w:rsid w:val="00BF19DC"/>
    <w:rsid w:val="00BF2B3E"/>
    <w:rsid w:val="00BF2DAF"/>
    <w:rsid w:val="00BF4E1B"/>
    <w:rsid w:val="00BF5AB9"/>
    <w:rsid w:val="00C00257"/>
    <w:rsid w:val="00C01083"/>
    <w:rsid w:val="00C0480F"/>
    <w:rsid w:val="00C04C9A"/>
    <w:rsid w:val="00C1043C"/>
    <w:rsid w:val="00C10D90"/>
    <w:rsid w:val="00C126CB"/>
    <w:rsid w:val="00C12A51"/>
    <w:rsid w:val="00C12C65"/>
    <w:rsid w:val="00C12CD1"/>
    <w:rsid w:val="00C1591E"/>
    <w:rsid w:val="00C173EE"/>
    <w:rsid w:val="00C20D36"/>
    <w:rsid w:val="00C21038"/>
    <w:rsid w:val="00C2286B"/>
    <w:rsid w:val="00C2396B"/>
    <w:rsid w:val="00C25108"/>
    <w:rsid w:val="00C257CE"/>
    <w:rsid w:val="00C26865"/>
    <w:rsid w:val="00C269B5"/>
    <w:rsid w:val="00C2785F"/>
    <w:rsid w:val="00C30BA6"/>
    <w:rsid w:val="00C312E7"/>
    <w:rsid w:val="00C31467"/>
    <w:rsid w:val="00C31FFD"/>
    <w:rsid w:val="00C32997"/>
    <w:rsid w:val="00C32B15"/>
    <w:rsid w:val="00C33F0C"/>
    <w:rsid w:val="00C34C59"/>
    <w:rsid w:val="00C34CCB"/>
    <w:rsid w:val="00C34D57"/>
    <w:rsid w:val="00C35515"/>
    <w:rsid w:val="00C35807"/>
    <w:rsid w:val="00C35A4B"/>
    <w:rsid w:val="00C360AF"/>
    <w:rsid w:val="00C36152"/>
    <w:rsid w:val="00C36696"/>
    <w:rsid w:val="00C36720"/>
    <w:rsid w:val="00C36777"/>
    <w:rsid w:val="00C37518"/>
    <w:rsid w:val="00C37F00"/>
    <w:rsid w:val="00C414FC"/>
    <w:rsid w:val="00C421C9"/>
    <w:rsid w:val="00C42A3A"/>
    <w:rsid w:val="00C4334F"/>
    <w:rsid w:val="00C437C6"/>
    <w:rsid w:val="00C44D35"/>
    <w:rsid w:val="00C4517F"/>
    <w:rsid w:val="00C45232"/>
    <w:rsid w:val="00C46E94"/>
    <w:rsid w:val="00C4713F"/>
    <w:rsid w:val="00C47407"/>
    <w:rsid w:val="00C476D9"/>
    <w:rsid w:val="00C5030B"/>
    <w:rsid w:val="00C51509"/>
    <w:rsid w:val="00C51CE5"/>
    <w:rsid w:val="00C52097"/>
    <w:rsid w:val="00C52BA5"/>
    <w:rsid w:val="00C52F47"/>
    <w:rsid w:val="00C53323"/>
    <w:rsid w:val="00C53944"/>
    <w:rsid w:val="00C53C4B"/>
    <w:rsid w:val="00C54D8C"/>
    <w:rsid w:val="00C57493"/>
    <w:rsid w:val="00C605E6"/>
    <w:rsid w:val="00C627DD"/>
    <w:rsid w:val="00C64D07"/>
    <w:rsid w:val="00C651DC"/>
    <w:rsid w:val="00C652A8"/>
    <w:rsid w:val="00C66CEF"/>
    <w:rsid w:val="00C670FE"/>
    <w:rsid w:val="00C71087"/>
    <w:rsid w:val="00C71E3C"/>
    <w:rsid w:val="00C73C17"/>
    <w:rsid w:val="00C74081"/>
    <w:rsid w:val="00C75492"/>
    <w:rsid w:val="00C77C78"/>
    <w:rsid w:val="00C81458"/>
    <w:rsid w:val="00C8146C"/>
    <w:rsid w:val="00C8231E"/>
    <w:rsid w:val="00C846DD"/>
    <w:rsid w:val="00C85CA6"/>
    <w:rsid w:val="00C873DA"/>
    <w:rsid w:val="00C90A7F"/>
    <w:rsid w:val="00C9147E"/>
    <w:rsid w:val="00C92057"/>
    <w:rsid w:val="00C925ED"/>
    <w:rsid w:val="00C9339F"/>
    <w:rsid w:val="00C956CD"/>
    <w:rsid w:val="00C95976"/>
    <w:rsid w:val="00C96618"/>
    <w:rsid w:val="00C966C7"/>
    <w:rsid w:val="00C96A10"/>
    <w:rsid w:val="00C9753B"/>
    <w:rsid w:val="00CA0C87"/>
    <w:rsid w:val="00CA19CD"/>
    <w:rsid w:val="00CA1F28"/>
    <w:rsid w:val="00CA20B5"/>
    <w:rsid w:val="00CA20F3"/>
    <w:rsid w:val="00CA2747"/>
    <w:rsid w:val="00CA2B0F"/>
    <w:rsid w:val="00CA4A62"/>
    <w:rsid w:val="00CA5080"/>
    <w:rsid w:val="00CA561E"/>
    <w:rsid w:val="00CA5B58"/>
    <w:rsid w:val="00CA659E"/>
    <w:rsid w:val="00CA6A39"/>
    <w:rsid w:val="00CA76D3"/>
    <w:rsid w:val="00CA7DAD"/>
    <w:rsid w:val="00CB1655"/>
    <w:rsid w:val="00CB1819"/>
    <w:rsid w:val="00CB23DD"/>
    <w:rsid w:val="00CB2757"/>
    <w:rsid w:val="00CB2FE7"/>
    <w:rsid w:val="00CB3B57"/>
    <w:rsid w:val="00CB42AE"/>
    <w:rsid w:val="00CB4B4A"/>
    <w:rsid w:val="00CB5100"/>
    <w:rsid w:val="00CB6768"/>
    <w:rsid w:val="00CB768F"/>
    <w:rsid w:val="00CC0848"/>
    <w:rsid w:val="00CC17DB"/>
    <w:rsid w:val="00CC2F01"/>
    <w:rsid w:val="00CC586C"/>
    <w:rsid w:val="00CC6453"/>
    <w:rsid w:val="00CC65FE"/>
    <w:rsid w:val="00CC66C1"/>
    <w:rsid w:val="00CD2D8A"/>
    <w:rsid w:val="00CD31EA"/>
    <w:rsid w:val="00CD4B6F"/>
    <w:rsid w:val="00CD692F"/>
    <w:rsid w:val="00CD75B1"/>
    <w:rsid w:val="00CD76F6"/>
    <w:rsid w:val="00CE0392"/>
    <w:rsid w:val="00CE186F"/>
    <w:rsid w:val="00CE2303"/>
    <w:rsid w:val="00CE263E"/>
    <w:rsid w:val="00CE3121"/>
    <w:rsid w:val="00CE5481"/>
    <w:rsid w:val="00CE5866"/>
    <w:rsid w:val="00CF003F"/>
    <w:rsid w:val="00CF0045"/>
    <w:rsid w:val="00CF2BE3"/>
    <w:rsid w:val="00CF7194"/>
    <w:rsid w:val="00CF74AE"/>
    <w:rsid w:val="00CF7C90"/>
    <w:rsid w:val="00CF7EA0"/>
    <w:rsid w:val="00D00600"/>
    <w:rsid w:val="00D00A29"/>
    <w:rsid w:val="00D02612"/>
    <w:rsid w:val="00D0329F"/>
    <w:rsid w:val="00D04372"/>
    <w:rsid w:val="00D04F9C"/>
    <w:rsid w:val="00D05DB1"/>
    <w:rsid w:val="00D06299"/>
    <w:rsid w:val="00D1045D"/>
    <w:rsid w:val="00D133AA"/>
    <w:rsid w:val="00D133F3"/>
    <w:rsid w:val="00D13B0B"/>
    <w:rsid w:val="00D13CCF"/>
    <w:rsid w:val="00D14CF7"/>
    <w:rsid w:val="00D1576E"/>
    <w:rsid w:val="00D15BBC"/>
    <w:rsid w:val="00D15E67"/>
    <w:rsid w:val="00D20ABB"/>
    <w:rsid w:val="00D24AEE"/>
    <w:rsid w:val="00D25315"/>
    <w:rsid w:val="00D26A33"/>
    <w:rsid w:val="00D27F82"/>
    <w:rsid w:val="00D3073E"/>
    <w:rsid w:val="00D31676"/>
    <w:rsid w:val="00D316C8"/>
    <w:rsid w:val="00D337D5"/>
    <w:rsid w:val="00D33FB9"/>
    <w:rsid w:val="00D34343"/>
    <w:rsid w:val="00D34817"/>
    <w:rsid w:val="00D35A5F"/>
    <w:rsid w:val="00D365BB"/>
    <w:rsid w:val="00D3795A"/>
    <w:rsid w:val="00D37AB5"/>
    <w:rsid w:val="00D40C74"/>
    <w:rsid w:val="00D43282"/>
    <w:rsid w:val="00D43EA4"/>
    <w:rsid w:val="00D44453"/>
    <w:rsid w:val="00D44508"/>
    <w:rsid w:val="00D460BD"/>
    <w:rsid w:val="00D476E4"/>
    <w:rsid w:val="00D47810"/>
    <w:rsid w:val="00D5128E"/>
    <w:rsid w:val="00D52FD0"/>
    <w:rsid w:val="00D535E4"/>
    <w:rsid w:val="00D54385"/>
    <w:rsid w:val="00D558ED"/>
    <w:rsid w:val="00D606D9"/>
    <w:rsid w:val="00D6259C"/>
    <w:rsid w:val="00D63B91"/>
    <w:rsid w:val="00D64114"/>
    <w:rsid w:val="00D64A4A"/>
    <w:rsid w:val="00D657C5"/>
    <w:rsid w:val="00D6679C"/>
    <w:rsid w:val="00D67601"/>
    <w:rsid w:val="00D679F0"/>
    <w:rsid w:val="00D72F5D"/>
    <w:rsid w:val="00D7370C"/>
    <w:rsid w:val="00D73EE6"/>
    <w:rsid w:val="00D742D2"/>
    <w:rsid w:val="00D742E4"/>
    <w:rsid w:val="00D744DC"/>
    <w:rsid w:val="00D74556"/>
    <w:rsid w:val="00D75CF7"/>
    <w:rsid w:val="00D75F59"/>
    <w:rsid w:val="00D76217"/>
    <w:rsid w:val="00D776C3"/>
    <w:rsid w:val="00D80153"/>
    <w:rsid w:val="00D814BC"/>
    <w:rsid w:val="00D81AC7"/>
    <w:rsid w:val="00D81D7E"/>
    <w:rsid w:val="00D8210A"/>
    <w:rsid w:val="00D83E45"/>
    <w:rsid w:val="00D842CD"/>
    <w:rsid w:val="00D8495C"/>
    <w:rsid w:val="00D86737"/>
    <w:rsid w:val="00D8696A"/>
    <w:rsid w:val="00D90419"/>
    <w:rsid w:val="00D90551"/>
    <w:rsid w:val="00D907AC"/>
    <w:rsid w:val="00D90F5A"/>
    <w:rsid w:val="00D9153B"/>
    <w:rsid w:val="00D9160A"/>
    <w:rsid w:val="00D95903"/>
    <w:rsid w:val="00D95D78"/>
    <w:rsid w:val="00DA0810"/>
    <w:rsid w:val="00DA0C47"/>
    <w:rsid w:val="00DA3FCE"/>
    <w:rsid w:val="00DA4B42"/>
    <w:rsid w:val="00DA6D08"/>
    <w:rsid w:val="00DB09BE"/>
    <w:rsid w:val="00DB1DC4"/>
    <w:rsid w:val="00DB2BE7"/>
    <w:rsid w:val="00DB3524"/>
    <w:rsid w:val="00DB4203"/>
    <w:rsid w:val="00DB4491"/>
    <w:rsid w:val="00DB6B88"/>
    <w:rsid w:val="00DB70DC"/>
    <w:rsid w:val="00DB7CA1"/>
    <w:rsid w:val="00DC094F"/>
    <w:rsid w:val="00DC24B5"/>
    <w:rsid w:val="00DC25DA"/>
    <w:rsid w:val="00DC2CA2"/>
    <w:rsid w:val="00DC4325"/>
    <w:rsid w:val="00DC4915"/>
    <w:rsid w:val="00DC4C59"/>
    <w:rsid w:val="00DC5149"/>
    <w:rsid w:val="00DC5B77"/>
    <w:rsid w:val="00DC6733"/>
    <w:rsid w:val="00DC68E1"/>
    <w:rsid w:val="00DC7FCE"/>
    <w:rsid w:val="00DD0452"/>
    <w:rsid w:val="00DD1191"/>
    <w:rsid w:val="00DD1B88"/>
    <w:rsid w:val="00DD334C"/>
    <w:rsid w:val="00DD3C08"/>
    <w:rsid w:val="00DD7B58"/>
    <w:rsid w:val="00DD7EDA"/>
    <w:rsid w:val="00DE0476"/>
    <w:rsid w:val="00DE1B2F"/>
    <w:rsid w:val="00DE1C5A"/>
    <w:rsid w:val="00DE2AAC"/>
    <w:rsid w:val="00DE4C0F"/>
    <w:rsid w:val="00DE5E04"/>
    <w:rsid w:val="00DE6634"/>
    <w:rsid w:val="00DE69E4"/>
    <w:rsid w:val="00DF0922"/>
    <w:rsid w:val="00DF1125"/>
    <w:rsid w:val="00DF22E5"/>
    <w:rsid w:val="00DF25D6"/>
    <w:rsid w:val="00DF27AC"/>
    <w:rsid w:val="00DF28E7"/>
    <w:rsid w:val="00DF2FD1"/>
    <w:rsid w:val="00DF399A"/>
    <w:rsid w:val="00DF447B"/>
    <w:rsid w:val="00DF4DCA"/>
    <w:rsid w:val="00DF6270"/>
    <w:rsid w:val="00DF6280"/>
    <w:rsid w:val="00DF7B14"/>
    <w:rsid w:val="00DF7B16"/>
    <w:rsid w:val="00E00009"/>
    <w:rsid w:val="00E01EF4"/>
    <w:rsid w:val="00E02CF2"/>
    <w:rsid w:val="00E04947"/>
    <w:rsid w:val="00E069F7"/>
    <w:rsid w:val="00E06C35"/>
    <w:rsid w:val="00E0710D"/>
    <w:rsid w:val="00E07F71"/>
    <w:rsid w:val="00E101C6"/>
    <w:rsid w:val="00E114D8"/>
    <w:rsid w:val="00E1256E"/>
    <w:rsid w:val="00E1279D"/>
    <w:rsid w:val="00E127BB"/>
    <w:rsid w:val="00E1347F"/>
    <w:rsid w:val="00E15645"/>
    <w:rsid w:val="00E1621B"/>
    <w:rsid w:val="00E21114"/>
    <w:rsid w:val="00E22B84"/>
    <w:rsid w:val="00E22EBA"/>
    <w:rsid w:val="00E25E8A"/>
    <w:rsid w:val="00E26045"/>
    <w:rsid w:val="00E26BDB"/>
    <w:rsid w:val="00E27304"/>
    <w:rsid w:val="00E304D5"/>
    <w:rsid w:val="00E33084"/>
    <w:rsid w:val="00E337F5"/>
    <w:rsid w:val="00E339E4"/>
    <w:rsid w:val="00E34A1B"/>
    <w:rsid w:val="00E34EBC"/>
    <w:rsid w:val="00E3529F"/>
    <w:rsid w:val="00E352D0"/>
    <w:rsid w:val="00E37211"/>
    <w:rsid w:val="00E37848"/>
    <w:rsid w:val="00E4034D"/>
    <w:rsid w:val="00E404B3"/>
    <w:rsid w:val="00E41511"/>
    <w:rsid w:val="00E41EE7"/>
    <w:rsid w:val="00E42084"/>
    <w:rsid w:val="00E44854"/>
    <w:rsid w:val="00E44D59"/>
    <w:rsid w:val="00E44F25"/>
    <w:rsid w:val="00E4540D"/>
    <w:rsid w:val="00E45E28"/>
    <w:rsid w:val="00E50B82"/>
    <w:rsid w:val="00E51630"/>
    <w:rsid w:val="00E552CC"/>
    <w:rsid w:val="00E55808"/>
    <w:rsid w:val="00E559EA"/>
    <w:rsid w:val="00E5696D"/>
    <w:rsid w:val="00E56E45"/>
    <w:rsid w:val="00E61344"/>
    <w:rsid w:val="00E6161C"/>
    <w:rsid w:val="00E62655"/>
    <w:rsid w:val="00E62ACB"/>
    <w:rsid w:val="00E62DEC"/>
    <w:rsid w:val="00E63233"/>
    <w:rsid w:val="00E63FE6"/>
    <w:rsid w:val="00E65960"/>
    <w:rsid w:val="00E65C10"/>
    <w:rsid w:val="00E65D3A"/>
    <w:rsid w:val="00E65F8A"/>
    <w:rsid w:val="00E66033"/>
    <w:rsid w:val="00E66ECB"/>
    <w:rsid w:val="00E67486"/>
    <w:rsid w:val="00E67D57"/>
    <w:rsid w:val="00E71139"/>
    <w:rsid w:val="00E727CE"/>
    <w:rsid w:val="00E7336A"/>
    <w:rsid w:val="00E73D84"/>
    <w:rsid w:val="00E749E1"/>
    <w:rsid w:val="00E759A5"/>
    <w:rsid w:val="00E76C92"/>
    <w:rsid w:val="00E77F2F"/>
    <w:rsid w:val="00E8007A"/>
    <w:rsid w:val="00E80578"/>
    <w:rsid w:val="00E80B43"/>
    <w:rsid w:val="00E8125D"/>
    <w:rsid w:val="00E82A52"/>
    <w:rsid w:val="00E833CB"/>
    <w:rsid w:val="00E83995"/>
    <w:rsid w:val="00E83CBA"/>
    <w:rsid w:val="00E83D2E"/>
    <w:rsid w:val="00E83FB2"/>
    <w:rsid w:val="00E844D4"/>
    <w:rsid w:val="00E85CED"/>
    <w:rsid w:val="00E90615"/>
    <w:rsid w:val="00E91FE0"/>
    <w:rsid w:val="00E92273"/>
    <w:rsid w:val="00E95AC2"/>
    <w:rsid w:val="00E964FC"/>
    <w:rsid w:val="00E97167"/>
    <w:rsid w:val="00E97787"/>
    <w:rsid w:val="00E97DBB"/>
    <w:rsid w:val="00EA0169"/>
    <w:rsid w:val="00EA057E"/>
    <w:rsid w:val="00EA093A"/>
    <w:rsid w:val="00EA2A22"/>
    <w:rsid w:val="00EA3781"/>
    <w:rsid w:val="00EA5023"/>
    <w:rsid w:val="00EA7061"/>
    <w:rsid w:val="00EA7C5B"/>
    <w:rsid w:val="00EB13FE"/>
    <w:rsid w:val="00EB254B"/>
    <w:rsid w:val="00EB39F1"/>
    <w:rsid w:val="00EB405C"/>
    <w:rsid w:val="00EB460F"/>
    <w:rsid w:val="00EB472E"/>
    <w:rsid w:val="00EB51A9"/>
    <w:rsid w:val="00EB5434"/>
    <w:rsid w:val="00EB5D6C"/>
    <w:rsid w:val="00EB6A9B"/>
    <w:rsid w:val="00EB76D6"/>
    <w:rsid w:val="00EC0178"/>
    <w:rsid w:val="00EC049F"/>
    <w:rsid w:val="00EC10C5"/>
    <w:rsid w:val="00EC11E3"/>
    <w:rsid w:val="00EC17F8"/>
    <w:rsid w:val="00EC6822"/>
    <w:rsid w:val="00EC7A4E"/>
    <w:rsid w:val="00ED024E"/>
    <w:rsid w:val="00ED194C"/>
    <w:rsid w:val="00ED2C26"/>
    <w:rsid w:val="00ED3898"/>
    <w:rsid w:val="00ED38BF"/>
    <w:rsid w:val="00ED39EC"/>
    <w:rsid w:val="00ED3EFC"/>
    <w:rsid w:val="00ED5DB2"/>
    <w:rsid w:val="00ED5EC2"/>
    <w:rsid w:val="00ED7EAF"/>
    <w:rsid w:val="00EE0DF2"/>
    <w:rsid w:val="00EE1124"/>
    <w:rsid w:val="00EE21DD"/>
    <w:rsid w:val="00EE56DF"/>
    <w:rsid w:val="00EE587F"/>
    <w:rsid w:val="00EE5ED7"/>
    <w:rsid w:val="00EE64CC"/>
    <w:rsid w:val="00EE6D6B"/>
    <w:rsid w:val="00EE7BB5"/>
    <w:rsid w:val="00EF0755"/>
    <w:rsid w:val="00EF1A24"/>
    <w:rsid w:val="00EF1BF1"/>
    <w:rsid w:val="00EF3173"/>
    <w:rsid w:val="00EF4F52"/>
    <w:rsid w:val="00EF5716"/>
    <w:rsid w:val="00EF71E1"/>
    <w:rsid w:val="00F0021F"/>
    <w:rsid w:val="00F003B9"/>
    <w:rsid w:val="00F01BD5"/>
    <w:rsid w:val="00F024E3"/>
    <w:rsid w:val="00F0264E"/>
    <w:rsid w:val="00F02815"/>
    <w:rsid w:val="00F041B2"/>
    <w:rsid w:val="00F04BCF"/>
    <w:rsid w:val="00F0505F"/>
    <w:rsid w:val="00F05EAF"/>
    <w:rsid w:val="00F06D7C"/>
    <w:rsid w:val="00F07642"/>
    <w:rsid w:val="00F1049D"/>
    <w:rsid w:val="00F119F0"/>
    <w:rsid w:val="00F147FD"/>
    <w:rsid w:val="00F15FC1"/>
    <w:rsid w:val="00F166CE"/>
    <w:rsid w:val="00F17762"/>
    <w:rsid w:val="00F2007C"/>
    <w:rsid w:val="00F22408"/>
    <w:rsid w:val="00F23C5A"/>
    <w:rsid w:val="00F23E91"/>
    <w:rsid w:val="00F24199"/>
    <w:rsid w:val="00F261BC"/>
    <w:rsid w:val="00F277D4"/>
    <w:rsid w:val="00F30A70"/>
    <w:rsid w:val="00F31104"/>
    <w:rsid w:val="00F33E65"/>
    <w:rsid w:val="00F34E93"/>
    <w:rsid w:val="00F4188C"/>
    <w:rsid w:val="00F421F3"/>
    <w:rsid w:val="00F43F5A"/>
    <w:rsid w:val="00F44511"/>
    <w:rsid w:val="00F4474B"/>
    <w:rsid w:val="00F4597B"/>
    <w:rsid w:val="00F5097D"/>
    <w:rsid w:val="00F513E5"/>
    <w:rsid w:val="00F5219B"/>
    <w:rsid w:val="00F527A6"/>
    <w:rsid w:val="00F53138"/>
    <w:rsid w:val="00F534C0"/>
    <w:rsid w:val="00F54930"/>
    <w:rsid w:val="00F5523B"/>
    <w:rsid w:val="00F55621"/>
    <w:rsid w:val="00F623B6"/>
    <w:rsid w:val="00F6280F"/>
    <w:rsid w:val="00F62819"/>
    <w:rsid w:val="00F6394B"/>
    <w:rsid w:val="00F642FE"/>
    <w:rsid w:val="00F65F76"/>
    <w:rsid w:val="00F6653B"/>
    <w:rsid w:val="00F7050F"/>
    <w:rsid w:val="00F708D9"/>
    <w:rsid w:val="00F709FE"/>
    <w:rsid w:val="00F70F76"/>
    <w:rsid w:val="00F7183E"/>
    <w:rsid w:val="00F71C2F"/>
    <w:rsid w:val="00F720FB"/>
    <w:rsid w:val="00F721C2"/>
    <w:rsid w:val="00F76CBD"/>
    <w:rsid w:val="00F80602"/>
    <w:rsid w:val="00F81376"/>
    <w:rsid w:val="00F814DF"/>
    <w:rsid w:val="00F81DAB"/>
    <w:rsid w:val="00F81E48"/>
    <w:rsid w:val="00F82D53"/>
    <w:rsid w:val="00F84B7B"/>
    <w:rsid w:val="00F84C20"/>
    <w:rsid w:val="00F8509D"/>
    <w:rsid w:val="00F87614"/>
    <w:rsid w:val="00F90586"/>
    <w:rsid w:val="00F92112"/>
    <w:rsid w:val="00F9230A"/>
    <w:rsid w:val="00F92366"/>
    <w:rsid w:val="00F92753"/>
    <w:rsid w:val="00F9598E"/>
    <w:rsid w:val="00F96B32"/>
    <w:rsid w:val="00F9735A"/>
    <w:rsid w:val="00FA3E8B"/>
    <w:rsid w:val="00FA42F4"/>
    <w:rsid w:val="00FA4EBA"/>
    <w:rsid w:val="00FA6502"/>
    <w:rsid w:val="00FA7B72"/>
    <w:rsid w:val="00FB0730"/>
    <w:rsid w:val="00FB0BC1"/>
    <w:rsid w:val="00FB14A0"/>
    <w:rsid w:val="00FB18A8"/>
    <w:rsid w:val="00FB34A3"/>
    <w:rsid w:val="00FB4739"/>
    <w:rsid w:val="00FB4E4A"/>
    <w:rsid w:val="00FB60AC"/>
    <w:rsid w:val="00FB6D3A"/>
    <w:rsid w:val="00FB760E"/>
    <w:rsid w:val="00FB7924"/>
    <w:rsid w:val="00FB7F35"/>
    <w:rsid w:val="00FC11D6"/>
    <w:rsid w:val="00FC345F"/>
    <w:rsid w:val="00FC39CF"/>
    <w:rsid w:val="00FC48DD"/>
    <w:rsid w:val="00FC569E"/>
    <w:rsid w:val="00FC6617"/>
    <w:rsid w:val="00FC67E5"/>
    <w:rsid w:val="00FC6BFF"/>
    <w:rsid w:val="00FC7B5F"/>
    <w:rsid w:val="00FD04EB"/>
    <w:rsid w:val="00FD1036"/>
    <w:rsid w:val="00FD1062"/>
    <w:rsid w:val="00FD131D"/>
    <w:rsid w:val="00FD3049"/>
    <w:rsid w:val="00FD5177"/>
    <w:rsid w:val="00FD5398"/>
    <w:rsid w:val="00FD5779"/>
    <w:rsid w:val="00FE35E1"/>
    <w:rsid w:val="00FE3AC8"/>
    <w:rsid w:val="00FE3AFC"/>
    <w:rsid w:val="00FE6D86"/>
    <w:rsid w:val="00FE7FB0"/>
    <w:rsid w:val="00FF0DA7"/>
    <w:rsid w:val="00FF274C"/>
    <w:rsid w:val="00FF3276"/>
    <w:rsid w:val="00FF4397"/>
    <w:rsid w:val="00FF5B26"/>
    <w:rsid w:val="00FF69CB"/>
    <w:rsid w:val="00FF7DE7"/>
    <w:rsid w:val="05DCA70E"/>
    <w:rsid w:val="06F4E285"/>
    <w:rsid w:val="0BB8E9D1"/>
    <w:rsid w:val="0D07041C"/>
    <w:rsid w:val="0E881644"/>
    <w:rsid w:val="105FB781"/>
    <w:rsid w:val="15EC49AB"/>
    <w:rsid w:val="190F23C1"/>
    <w:rsid w:val="191E27F6"/>
    <w:rsid w:val="1A0C8E14"/>
    <w:rsid w:val="1A0CC0E5"/>
    <w:rsid w:val="1D92B17A"/>
    <w:rsid w:val="1F6C22BC"/>
    <w:rsid w:val="20189EB8"/>
    <w:rsid w:val="20428F6D"/>
    <w:rsid w:val="20C7524C"/>
    <w:rsid w:val="22FE51C4"/>
    <w:rsid w:val="23B964A7"/>
    <w:rsid w:val="2FB1A42D"/>
    <w:rsid w:val="320526F7"/>
    <w:rsid w:val="324A1DE6"/>
    <w:rsid w:val="33EEE284"/>
    <w:rsid w:val="34DA534A"/>
    <w:rsid w:val="38AD8C00"/>
    <w:rsid w:val="38F968C3"/>
    <w:rsid w:val="3924DEE4"/>
    <w:rsid w:val="3CA063A8"/>
    <w:rsid w:val="3D5EA41B"/>
    <w:rsid w:val="3F5D63BD"/>
    <w:rsid w:val="4175D7A1"/>
    <w:rsid w:val="424F7618"/>
    <w:rsid w:val="433AE6DE"/>
    <w:rsid w:val="44196853"/>
    <w:rsid w:val="480EE4E1"/>
    <w:rsid w:val="4836C2F7"/>
    <w:rsid w:val="4AA6FC38"/>
    <w:rsid w:val="4E2CB9FC"/>
    <w:rsid w:val="55573CFE"/>
    <w:rsid w:val="55BB4C61"/>
    <w:rsid w:val="56157D71"/>
    <w:rsid w:val="5FE0A32A"/>
    <w:rsid w:val="600D7456"/>
    <w:rsid w:val="62AF79C4"/>
    <w:rsid w:val="69F1C5A7"/>
    <w:rsid w:val="6B88D8FE"/>
    <w:rsid w:val="6C2F17B1"/>
    <w:rsid w:val="6D0DA179"/>
    <w:rsid w:val="6DB2EFA0"/>
    <w:rsid w:val="7324C391"/>
    <w:rsid w:val="76BAAADD"/>
    <w:rsid w:val="788C6CFD"/>
    <w:rsid w:val="79679378"/>
    <w:rsid w:val="7DC3BDED"/>
    <w:rsid w:val="7E33AF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3C2B7F78-C5CB-4B4D-8CAA-E3CC3A9A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uiPriority w:val="9"/>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single space,footnote tex"/>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NECG) Footnote Reference,Ref,de nota al pie,Footnote Reference Char Char Char,Carattere Char Carattere Carattere Char Carattere Char Carattere Char Char Char1 Char,Carattere Carattere Char Char Char Carattere Char,4_G,16 Point"/>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Lettre d'introduction,Paragrafo elenco,List Paragraph1,1st level - Bullet List Paragraph,Medium Grid 1 - Accent 21,Normal bullet 2,Bullet list,Numbered List,cS List Paragraph,Numbered Para 1,Dot pt,WB Para,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uiPriority w:val="9"/>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1 Char,Footnote Text Char Char1 Char,Footnote Text Char1 Char Char1 Char,Footnote Text Char Char1 Char Char Char,Footnote Text Char1 Char Char1 Char Char Char,ft Char Char Char Char Char Char,single space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ettre d'introduction Char,Paragrafo elenco Char,List Paragraph1 Char,1st level - Bullet List Paragraph Char,Medium Grid 1 - Accent 21 Char,Normal bullet 2 Char,Bullet list Char,Numbered List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unhideWhenUsed/>
    <w:rsid w:val="00523B73"/>
    <w:rPr>
      <w:color w:val="605E5C"/>
      <w:shd w:val="clear" w:color="auto" w:fill="E1DFDD"/>
    </w:rPr>
  </w:style>
  <w:style w:type="paragraph" w:customStyle="1" w:styleId="BVIfnrCarCar">
    <w:name w:val="BVI fnr Car Car"/>
    <w:aliases w:val="BVI fnr Car,BVI fnr Car Car Car Car"/>
    <w:basedOn w:val="Normal"/>
    <w:link w:val="FootnoteReference"/>
    <w:uiPriority w:val="99"/>
    <w:rsid w:val="00C966C7"/>
    <w:pPr>
      <w:autoSpaceDE w:val="0"/>
      <w:autoSpaceDN w:val="0"/>
      <w:adjustRightInd w:val="0"/>
      <w:spacing w:line="240" w:lineRule="exact"/>
    </w:pPr>
    <w:rPr>
      <w:vertAlign w:val="superscript"/>
      <w:lang w:val="en-GB" w:eastAsia="en-GB"/>
    </w:rPr>
  </w:style>
  <w:style w:type="character" w:styleId="Emphasis">
    <w:name w:val="Emphasis"/>
    <w:basedOn w:val="DefaultParagraphFont"/>
    <w:uiPriority w:val="20"/>
    <w:qFormat/>
    <w:locked/>
    <w:rsid w:val="00C966C7"/>
    <w:rPr>
      <w:i/>
      <w:iCs/>
    </w:rPr>
  </w:style>
  <w:style w:type="character" w:styleId="Mention">
    <w:name w:val="Mention"/>
    <w:basedOn w:val="DefaultParagraphFont"/>
    <w:uiPriority w:val="99"/>
    <w:unhideWhenUsed/>
    <w:rsid w:val="00A33FCB"/>
    <w:rPr>
      <w:color w:val="2B579A"/>
      <w:shd w:val="clear" w:color="auto" w:fill="E6E6E6"/>
    </w:rPr>
  </w:style>
  <w:style w:type="character" w:customStyle="1" w:styleId="BalloonTextChar">
    <w:name w:val="Balloon Text Char"/>
    <w:basedOn w:val="DefaultParagraphFont"/>
    <w:link w:val="BalloonText"/>
    <w:uiPriority w:val="99"/>
    <w:semiHidden/>
    <w:rsid w:val="002153F5"/>
    <w:rPr>
      <w:rFonts w:ascii="Tahoma" w:hAnsi="Tahoma" w:cs="Tahoma"/>
      <w:sz w:val="16"/>
      <w:szCs w:val="16"/>
      <w:lang w:val="en-US" w:eastAsia="en-US"/>
    </w:rPr>
  </w:style>
  <w:style w:type="character" w:customStyle="1" w:styleId="normaltextrun">
    <w:name w:val="normaltextrun"/>
    <w:basedOn w:val="DefaultParagraphFont"/>
    <w:rsid w:val="002153F5"/>
  </w:style>
  <w:style w:type="character" w:customStyle="1" w:styleId="Heading4Char">
    <w:name w:val="Heading 4 Char"/>
    <w:basedOn w:val="DefaultParagraphFont"/>
    <w:link w:val="Heading4"/>
    <w:rsid w:val="002153F5"/>
    <w:rPr>
      <w:rFonts w:ascii="Arial" w:hAnsi="Arial"/>
      <w:b/>
      <w:sz w:val="22"/>
      <w:lang w:val="en-US" w:eastAsia="en-US"/>
    </w:rPr>
  </w:style>
  <w:style w:type="paragraph" w:customStyle="1" w:styleId="xxmsonormal">
    <w:name w:val="x_xmsonormal"/>
    <w:basedOn w:val="Normal"/>
    <w:rsid w:val="002153F5"/>
    <w:pPr>
      <w:spacing w:before="100" w:beforeAutospacing="1" w:after="100" w:afterAutospacing="1"/>
    </w:pPr>
    <w:rPr>
      <w:rFonts w:ascii="Calibri" w:eastAsiaTheme="minorHAnsi" w:hAnsi="Calibri"/>
      <w:sz w:val="22"/>
      <w:szCs w:val="22"/>
      <w:lang w:val="en-GB" w:eastAsia="en-GB"/>
    </w:rPr>
  </w:style>
  <w:style w:type="paragraph" w:customStyle="1" w:styleId="xxparagraph">
    <w:name w:val="x_xparagraph"/>
    <w:basedOn w:val="Normal"/>
    <w:rsid w:val="002153F5"/>
    <w:pPr>
      <w:spacing w:before="100" w:beforeAutospacing="1" w:after="100" w:afterAutospacing="1"/>
    </w:pPr>
    <w:rPr>
      <w:rFonts w:ascii="Calibri" w:eastAsiaTheme="minorHAnsi" w:hAnsi="Calibri"/>
      <w:sz w:val="22"/>
      <w:szCs w:val="22"/>
      <w:lang w:val="en-GB" w:eastAsia="en-GB"/>
    </w:rPr>
  </w:style>
  <w:style w:type="table" w:customStyle="1" w:styleId="GridTable5Dark-Accent41">
    <w:name w:val="Grid Table 5 Dark - Accent 41"/>
    <w:basedOn w:val="TableNormal"/>
    <w:uiPriority w:val="50"/>
    <w:rsid w:val="002153F5"/>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Grid">
    <w:name w:val="Table Grid"/>
    <w:basedOn w:val="TableNormal"/>
    <w:uiPriority w:val="59"/>
    <w:rsid w:val="002153F5"/>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rkedcontent">
    <w:name w:val="markedcontent"/>
    <w:basedOn w:val="DefaultParagraphFont"/>
    <w:rsid w:val="007E61E0"/>
  </w:style>
  <w:style w:type="character" w:customStyle="1" w:styleId="js-about-item-abstr">
    <w:name w:val="js-about-item-abstr"/>
    <w:basedOn w:val="DefaultParagraphFont"/>
    <w:rsid w:val="00DC2CA2"/>
  </w:style>
  <w:style w:type="paragraph" w:customStyle="1" w:styleId="paragraph">
    <w:name w:val="paragraph"/>
    <w:basedOn w:val="Normal"/>
    <w:rsid w:val="00DD1191"/>
    <w:pPr>
      <w:spacing w:before="100" w:beforeAutospacing="1" w:after="100" w:afterAutospacing="1"/>
    </w:pPr>
    <w:rPr>
      <w:rFonts w:ascii="Times" w:eastAsiaTheme="minorEastAsia" w:hAnsi="Times"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19686660">
      <w:bodyDiv w:val="1"/>
      <w:marLeft w:val="0"/>
      <w:marRight w:val="0"/>
      <w:marTop w:val="0"/>
      <w:marBottom w:val="0"/>
      <w:divBdr>
        <w:top w:val="none" w:sz="0" w:space="0" w:color="auto"/>
        <w:left w:val="none" w:sz="0" w:space="0" w:color="auto"/>
        <w:bottom w:val="none" w:sz="0" w:space="0" w:color="auto"/>
        <w:right w:val="none" w:sz="0" w:space="0" w:color="auto"/>
      </w:divBdr>
    </w:div>
    <w:div w:id="728117472">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75679585">
      <w:bodyDiv w:val="1"/>
      <w:marLeft w:val="0"/>
      <w:marRight w:val="0"/>
      <w:marTop w:val="0"/>
      <w:marBottom w:val="0"/>
      <w:divBdr>
        <w:top w:val="none" w:sz="0" w:space="0" w:color="auto"/>
        <w:left w:val="none" w:sz="0" w:space="0" w:color="auto"/>
        <w:bottom w:val="none" w:sz="0" w:space="0" w:color="auto"/>
        <w:right w:val="none" w:sz="0" w:space="0" w:color="auto"/>
      </w:divBdr>
    </w:div>
    <w:div w:id="15913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SitePages/POPPSubject.aspx?SBJID=7&amp;Menu=BusinessUn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ib.org/attachments/publications/eib_in_western_balkans_2021_en.pdf" TargetMode="External"/><Relationship Id="rId3" Type="http://schemas.openxmlformats.org/officeDocument/2006/relationships/hyperlink" Target="https://eur03.safelinks.protection.outlook.com/?url=http%3A%2F%2Fwww.monstat.org%2Feng%2Fpage.php%3Fid%3D1615%26pageid%3D22&amp;data=04%7C01%7Cdaniela.gasparikova%40undp.org%7Cd8b95e9d67fd4597e79408da12696726%7Cb3e5db5e2944483799f57488ace54319%7C0%7C0%7C637842541150207985%7CUnknown%7CTWFpbGZsb3d8eyJWIjoiMC4wLjAwMDAiLCJQIjoiV2luMzIiLCJBTiI6Ik1haWwiLCJXVCI6Mn0%3D%7C3000&amp;sdata=K%2F6X5dE%2BwC2wYeDx5Lz54lOLPTNRsvr3dJUFt%2F3oGsA%3D&amp;reserved=0" TargetMode="External"/><Relationship Id="rId7" Type="http://schemas.openxmlformats.org/officeDocument/2006/relationships/hyperlink" Target="https://www.ebrd.com/news/2021/ebrd-launches-first-circulareconomy-programme.html" TargetMode="External"/><Relationship Id="rId2" Type="http://schemas.openxmlformats.org/officeDocument/2006/relationships/hyperlink" Target="https://montenegro.un.org/en/124464-un-common-country-analysis-montenegro-2021" TargetMode="External"/><Relationship Id="rId1" Type="http://schemas.openxmlformats.org/officeDocument/2006/relationships/hyperlink" Target="https://documents1.worldbank.org/curated/en/900381634670558017/pdf/Greening-the-Recovery.pdf" TargetMode="External"/><Relationship Id="rId6" Type="http://schemas.openxmlformats.org/officeDocument/2006/relationships/hyperlink" Target="https://ec.europa.eu/environment/strategy/circular-economy-action-plan_en" TargetMode="External"/><Relationship Id="rId5" Type="http://schemas.openxmlformats.org/officeDocument/2006/relationships/hyperlink" Target="https://erc.undp.org/evaluation/evaluations/detail/12957" TargetMode="External"/><Relationship Id="rId4" Type="http://schemas.openxmlformats.org/officeDocument/2006/relationships/hyperlink" Target="https://www.wfd.org/sites/default/files/2022-04/Youth%20perceptions%20and%20attitudes%20towards%20politics%20in%20MN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UNITOFFICE-440-2243</_dlc_DocId>
    <_dlc_DocIdUrl xmlns="5ebeba3d-fd60-4dcb-8548-a9fd3c51d9ff">
      <Url>https://intranet.undp.org/unit/office/exo/sp2014/SP201417/_layouts/15/DocIdRedir.aspx?ID=UNITOFFICE-440-2243</Url>
      <Description>UNITOFFICE-440-2243</Description>
    </_dlc_DocIdUrl>
  </documentManagement>
</p:properties>
</file>

<file path=customXml/itemProps1.xml><?xml version="1.0" encoding="utf-8"?>
<ds:datastoreItem xmlns:ds="http://schemas.openxmlformats.org/officeDocument/2006/customXml" ds:itemID="{4A1B4DCC-6414-4146-9881-C542F5103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8E23C-761A-46AD-9384-023FF7FAA129}">
  <ds:schemaRefs>
    <ds:schemaRef ds:uri="http://schemas.openxmlformats.org/officeDocument/2006/bibliography"/>
  </ds:schemaRefs>
</ds:datastoreItem>
</file>

<file path=customXml/itemProps3.xml><?xml version="1.0" encoding="utf-8"?>
<ds:datastoreItem xmlns:ds="http://schemas.openxmlformats.org/officeDocument/2006/customXml" ds:itemID="{75CA3F74-958D-4D20-BD58-DED4F50F4431}">
  <ds:schemaRefs>
    <ds:schemaRef ds:uri="http://schemas.microsoft.com/sharepoint/events"/>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6518</Words>
  <Characters>37156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5</cp:revision>
  <cp:lastPrinted>2014-09-17T13:01:00Z</cp:lastPrinted>
  <dcterms:created xsi:type="dcterms:W3CDTF">2022-06-06T14:31:00Z</dcterms:created>
  <dcterms:modified xsi:type="dcterms:W3CDTF">2022-06-10T16:14:00Z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9d8e32ea-8dcf-4698-be22-d972b1d41309</vt:lpwstr>
  </property>
</Properties>
</file>