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27673" w14:textId="12128686" w:rsidR="00FC77E2" w:rsidRPr="005D3A5A" w:rsidRDefault="00A46085" w:rsidP="00A64775">
      <w:pPr>
        <w:spacing w:before="0" w:after="0" w:line="240" w:lineRule="auto"/>
        <w:jc w:val="right"/>
        <w:rPr>
          <w:rFonts w:ascii="Times New Roman" w:hAnsi="Times New Roman"/>
          <w:b/>
          <w:sz w:val="20"/>
          <w:szCs w:val="20"/>
          <w:lang w:bidi="ar-SA"/>
        </w:rPr>
      </w:pPr>
      <w:bookmarkStart w:id="0" w:name="_Hlk83224932"/>
      <w:r>
        <w:rPr>
          <w:rFonts w:ascii="Times New Roman" w:hAnsi="Times New Roman"/>
          <w:b/>
          <w:sz w:val="20"/>
          <w:szCs w:val="20"/>
          <w:lang w:bidi="ar-SA"/>
        </w:rPr>
        <w:t>2</w:t>
      </w:r>
      <w:r w:rsidR="008A08BF">
        <w:rPr>
          <w:rFonts w:ascii="Times New Roman" w:hAnsi="Times New Roman"/>
          <w:b/>
          <w:sz w:val="20"/>
          <w:szCs w:val="20"/>
          <w:lang w:bidi="ar-SA"/>
        </w:rPr>
        <w:t>2</w:t>
      </w:r>
      <w:r w:rsidR="00A64775">
        <w:rPr>
          <w:rFonts w:ascii="Times New Roman" w:hAnsi="Times New Roman"/>
          <w:b/>
          <w:sz w:val="20"/>
          <w:szCs w:val="20"/>
          <w:lang w:bidi="ar-SA"/>
        </w:rPr>
        <w:t xml:space="preserve"> April 2022</w:t>
      </w:r>
    </w:p>
    <w:p w14:paraId="66AC2D94" w14:textId="77777777" w:rsidR="00A64775" w:rsidRPr="00A64775" w:rsidRDefault="00A64775" w:rsidP="00A64775">
      <w:pPr>
        <w:rPr>
          <w:lang w:bidi="ar-SA"/>
        </w:rPr>
      </w:pPr>
      <w:bookmarkStart w:id="1" w:name="_Toc85731102"/>
      <w:bookmarkStart w:id="2" w:name="_Toc84174530"/>
      <w:bookmarkStart w:id="3" w:name="_Toc84174572"/>
      <w:bookmarkStart w:id="4" w:name="_Toc85648197"/>
    </w:p>
    <w:p w14:paraId="7F4CC3AA" w14:textId="05C78532" w:rsidR="00C41CD7" w:rsidRPr="00313A96" w:rsidRDefault="008A08BF" w:rsidP="008A08BF">
      <w:pPr>
        <w:pStyle w:val="HM"/>
        <w:tabs>
          <w:tab w:val="left" w:pos="0"/>
          <w:tab w:val="left" w:pos="810"/>
          <w:tab w:val="left" w:pos="9360"/>
        </w:tabs>
        <w:spacing w:line="240" w:lineRule="auto"/>
        <w:jc w:val="center"/>
        <w:rPr>
          <w:spacing w:val="0"/>
          <w:w w:val="100"/>
          <w:kern w:val="0"/>
          <w:sz w:val="28"/>
          <w:szCs w:val="28"/>
          <w:lang w:bidi="en-US"/>
        </w:rPr>
      </w:pPr>
      <w:bookmarkStart w:id="5" w:name="_Toc89174474"/>
      <w:bookmarkStart w:id="6" w:name="_Toc96078554"/>
      <w:bookmarkStart w:id="7" w:name="_Toc96439222"/>
      <w:bookmarkStart w:id="8" w:name="_Toc97115529"/>
      <w:bookmarkStart w:id="9" w:name="_Toc94794729"/>
      <w:bookmarkStart w:id="10" w:name="_Toc94795382"/>
      <w:r w:rsidRPr="008A08BF">
        <w:rPr>
          <w:spacing w:val="0"/>
          <w:w w:val="100"/>
          <w:kern w:val="0"/>
          <w:sz w:val="24"/>
          <w:szCs w:val="24"/>
          <w:lang w:bidi="en-US"/>
        </w:rPr>
        <w:t xml:space="preserve">Information </w:t>
      </w:r>
      <w:r>
        <w:rPr>
          <w:spacing w:val="0"/>
          <w:w w:val="100"/>
          <w:kern w:val="0"/>
          <w:sz w:val="24"/>
          <w:szCs w:val="24"/>
          <w:lang w:bidi="en-US"/>
        </w:rPr>
        <w:t>n</w:t>
      </w:r>
      <w:r w:rsidRPr="008A08BF">
        <w:rPr>
          <w:spacing w:val="0"/>
          <w:w w:val="100"/>
          <w:kern w:val="0"/>
          <w:sz w:val="24"/>
          <w:szCs w:val="24"/>
          <w:lang w:bidi="en-US"/>
        </w:rPr>
        <w:t xml:space="preserve">ote: </w:t>
      </w:r>
      <w:r w:rsidR="00A64775" w:rsidRPr="008A08BF">
        <w:rPr>
          <w:spacing w:val="0"/>
          <w:w w:val="100"/>
          <w:kern w:val="0"/>
          <w:sz w:val="24"/>
          <w:szCs w:val="24"/>
          <w:lang w:bidi="en-US"/>
        </w:rPr>
        <w:t>A r</w:t>
      </w:r>
      <w:r w:rsidR="00265C87" w:rsidRPr="008A08BF">
        <w:rPr>
          <w:spacing w:val="0"/>
          <w:w w:val="100"/>
          <w:kern w:val="0"/>
          <w:sz w:val="24"/>
          <w:szCs w:val="24"/>
          <w:lang w:bidi="en-US"/>
        </w:rPr>
        <w:t>oad</w:t>
      </w:r>
      <w:r w:rsidR="009C1166" w:rsidRPr="008A08BF">
        <w:rPr>
          <w:spacing w:val="0"/>
          <w:w w:val="100"/>
          <w:kern w:val="0"/>
          <w:sz w:val="24"/>
          <w:szCs w:val="24"/>
          <w:lang w:bidi="en-US"/>
        </w:rPr>
        <w:t xml:space="preserve"> </w:t>
      </w:r>
      <w:r w:rsidR="00265C87" w:rsidRPr="008A08BF">
        <w:rPr>
          <w:spacing w:val="0"/>
          <w:w w:val="100"/>
          <w:kern w:val="0"/>
          <w:sz w:val="24"/>
          <w:szCs w:val="24"/>
          <w:lang w:bidi="en-US"/>
        </w:rPr>
        <w:t xml:space="preserve">map for strengthening </w:t>
      </w:r>
      <w:r w:rsidR="00122451" w:rsidRPr="008A08BF">
        <w:rPr>
          <w:spacing w:val="0"/>
          <w:w w:val="100"/>
          <w:kern w:val="0"/>
          <w:sz w:val="24"/>
          <w:szCs w:val="24"/>
          <w:lang w:bidi="en-US"/>
        </w:rPr>
        <w:t>d</w:t>
      </w:r>
      <w:r w:rsidR="00265C87" w:rsidRPr="008A08BF">
        <w:rPr>
          <w:spacing w:val="0"/>
          <w:w w:val="100"/>
          <w:kern w:val="0"/>
          <w:sz w:val="24"/>
          <w:szCs w:val="24"/>
          <w:lang w:bidi="en-US"/>
        </w:rPr>
        <w:t>ecentrali</w:t>
      </w:r>
      <w:r w:rsidR="009C1166" w:rsidRPr="008A08BF">
        <w:rPr>
          <w:spacing w:val="0"/>
          <w:w w:val="100"/>
          <w:kern w:val="0"/>
          <w:sz w:val="24"/>
          <w:szCs w:val="24"/>
          <w:lang w:bidi="en-US"/>
        </w:rPr>
        <w:t>z</w:t>
      </w:r>
      <w:r w:rsidR="00265C87" w:rsidRPr="008A08BF">
        <w:rPr>
          <w:spacing w:val="0"/>
          <w:w w:val="100"/>
          <w:kern w:val="0"/>
          <w:sz w:val="24"/>
          <w:szCs w:val="24"/>
          <w:lang w:bidi="en-US"/>
        </w:rPr>
        <w:t xml:space="preserve">ed </w:t>
      </w:r>
      <w:r w:rsidR="00122451" w:rsidRPr="008A08BF">
        <w:rPr>
          <w:spacing w:val="0"/>
          <w:w w:val="100"/>
          <w:kern w:val="0"/>
          <w:sz w:val="24"/>
          <w:szCs w:val="24"/>
          <w:lang w:bidi="en-US"/>
        </w:rPr>
        <w:t>e</w:t>
      </w:r>
      <w:r w:rsidR="00265C87" w:rsidRPr="008A08BF">
        <w:rPr>
          <w:spacing w:val="0"/>
          <w:w w:val="100"/>
          <w:kern w:val="0"/>
          <w:sz w:val="24"/>
          <w:szCs w:val="24"/>
          <w:lang w:bidi="en-US"/>
        </w:rPr>
        <w:t>valuation</w:t>
      </w:r>
      <w:r w:rsidR="00BA557A" w:rsidRPr="008A08BF">
        <w:rPr>
          <w:spacing w:val="0"/>
          <w:w w:val="100"/>
          <w:kern w:val="0"/>
          <w:sz w:val="24"/>
          <w:szCs w:val="24"/>
          <w:lang w:bidi="en-US"/>
        </w:rPr>
        <w:t>s in UNDP</w:t>
      </w:r>
      <w:bookmarkEnd w:id="1"/>
      <w:bookmarkEnd w:id="2"/>
      <w:bookmarkEnd w:id="3"/>
      <w:bookmarkEnd w:id="4"/>
      <w:bookmarkEnd w:id="5"/>
      <w:bookmarkEnd w:id="6"/>
      <w:bookmarkEnd w:id="7"/>
      <w:bookmarkEnd w:id="8"/>
      <w:bookmarkEnd w:id="9"/>
      <w:bookmarkEnd w:id="10"/>
    </w:p>
    <w:p w14:paraId="3B24D466" w14:textId="77777777" w:rsidR="007E1F16" w:rsidRPr="005D3A5A" w:rsidRDefault="007E1F16" w:rsidP="00210A2A">
      <w:pPr>
        <w:spacing w:before="0" w:after="0" w:line="240" w:lineRule="auto"/>
        <w:jc w:val="both"/>
        <w:rPr>
          <w:rFonts w:ascii="Times New Roman" w:hAnsi="Times New Roman"/>
          <w:sz w:val="20"/>
          <w:szCs w:val="20"/>
        </w:rPr>
      </w:pPr>
    </w:p>
    <w:p w14:paraId="78DC6981" w14:textId="28912629" w:rsidR="00C41CD7" w:rsidRPr="005D3A5A" w:rsidRDefault="00D158CD" w:rsidP="007A608F">
      <w:pPr>
        <w:pStyle w:val="TOCHeading"/>
        <w:numPr>
          <w:ilvl w:val="0"/>
          <w:numId w:val="0"/>
        </w:numPr>
        <w:spacing w:before="0" w:after="0" w:line="240" w:lineRule="auto"/>
        <w:jc w:val="both"/>
        <w:rPr>
          <w:rFonts w:ascii="Times New Roman" w:hAnsi="Times New Roman"/>
          <w:sz w:val="20"/>
          <w:szCs w:val="20"/>
        </w:rPr>
      </w:pPr>
      <w:r w:rsidRPr="005D3A5A">
        <w:rPr>
          <w:rFonts w:ascii="Times New Roman" w:eastAsia="Calibri" w:hAnsi="Times New Roman"/>
          <w:spacing w:val="4"/>
          <w:w w:val="99"/>
          <w:kern w:val="14"/>
          <w:sz w:val="20"/>
          <w:szCs w:val="20"/>
          <w:lang w:bidi="ar-SA"/>
        </w:rPr>
        <w:tab/>
      </w:r>
    </w:p>
    <w:p w14:paraId="446CF7AC" w14:textId="4736092F" w:rsidR="00C41CD7" w:rsidRPr="005D3A5A" w:rsidRDefault="00C41CD7" w:rsidP="00210A2A">
      <w:pPr>
        <w:pStyle w:val="Heading1"/>
        <w:spacing w:before="0" w:after="0"/>
        <w:jc w:val="both"/>
        <w:rPr>
          <w:rFonts w:ascii="Times New Roman" w:hAnsi="Times New Roman"/>
          <w:color w:val="auto"/>
          <w:sz w:val="20"/>
          <w:szCs w:val="20"/>
        </w:rPr>
      </w:pPr>
      <w:bookmarkStart w:id="11" w:name="_Toc97115530"/>
      <w:bookmarkEnd w:id="0"/>
      <w:r w:rsidRPr="005D3A5A">
        <w:rPr>
          <w:rFonts w:ascii="Times New Roman" w:hAnsi="Times New Roman"/>
          <w:color w:val="auto"/>
          <w:sz w:val="20"/>
          <w:szCs w:val="20"/>
        </w:rPr>
        <w:t xml:space="preserve">Background </w:t>
      </w:r>
      <w:bookmarkEnd w:id="11"/>
    </w:p>
    <w:p w14:paraId="1A82BC1E" w14:textId="77777777" w:rsidR="00CB5054" w:rsidRPr="005D3A5A" w:rsidRDefault="00CB5054" w:rsidP="00210A2A">
      <w:pPr>
        <w:spacing w:before="0" w:after="0" w:line="240" w:lineRule="auto"/>
        <w:jc w:val="both"/>
        <w:rPr>
          <w:rFonts w:ascii="Times New Roman" w:hAnsi="Times New Roman"/>
          <w:sz w:val="20"/>
          <w:szCs w:val="20"/>
        </w:rPr>
      </w:pPr>
    </w:p>
    <w:p w14:paraId="3833BF0C" w14:textId="78EC4D55" w:rsidR="004E1F0F" w:rsidRPr="001E5D3B" w:rsidRDefault="00D82960" w:rsidP="001E5D3B">
      <w:pPr>
        <w:pStyle w:val="NormalWeb"/>
        <w:numPr>
          <w:ilvl w:val="0"/>
          <w:numId w:val="41"/>
        </w:numPr>
        <w:tabs>
          <w:tab w:val="left" w:pos="270"/>
        </w:tabs>
        <w:spacing w:before="0" w:beforeAutospacing="0" w:after="200" w:afterAutospacing="0"/>
        <w:ind w:left="-180" w:right="-169" w:firstLine="0"/>
        <w:jc w:val="both"/>
        <w:rPr>
          <w:sz w:val="20"/>
          <w:szCs w:val="20"/>
          <w:lang w:val="en-GB"/>
        </w:rPr>
      </w:pPr>
      <w:r w:rsidRPr="001E5D3B">
        <w:rPr>
          <w:sz w:val="20"/>
          <w:szCs w:val="20"/>
          <w:lang w:val="en-GB"/>
        </w:rPr>
        <w:t>T</w:t>
      </w:r>
      <w:r w:rsidR="004E1F0F" w:rsidRPr="001E5D3B">
        <w:rPr>
          <w:sz w:val="20"/>
          <w:szCs w:val="20"/>
          <w:lang w:val="en-GB"/>
        </w:rPr>
        <w:t xml:space="preserve">he </w:t>
      </w:r>
      <w:r w:rsidR="005F1D9A">
        <w:rPr>
          <w:sz w:val="20"/>
          <w:szCs w:val="20"/>
          <w:lang w:val="en-GB"/>
        </w:rPr>
        <w:t xml:space="preserve">revised </w:t>
      </w:r>
      <w:r w:rsidR="00231BE9">
        <w:rPr>
          <w:sz w:val="20"/>
          <w:szCs w:val="20"/>
          <w:lang w:val="en-GB"/>
        </w:rPr>
        <w:t xml:space="preserve">UNDP </w:t>
      </w:r>
      <w:r w:rsidR="001E5D3B">
        <w:rPr>
          <w:sz w:val="20"/>
          <w:szCs w:val="20"/>
          <w:lang w:val="en-GB"/>
        </w:rPr>
        <w:t>e</w:t>
      </w:r>
      <w:r w:rsidR="004E1F0F" w:rsidRPr="001E5D3B">
        <w:rPr>
          <w:sz w:val="20"/>
          <w:szCs w:val="20"/>
          <w:lang w:val="en-GB"/>
        </w:rPr>
        <w:t xml:space="preserve">valuation </w:t>
      </w:r>
      <w:r w:rsidR="001E5D3B">
        <w:rPr>
          <w:sz w:val="20"/>
          <w:szCs w:val="20"/>
          <w:lang w:val="en-GB"/>
        </w:rPr>
        <w:t>p</w:t>
      </w:r>
      <w:r w:rsidR="004E1F0F" w:rsidRPr="001E5D3B">
        <w:rPr>
          <w:sz w:val="20"/>
          <w:szCs w:val="20"/>
          <w:lang w:val="en-GB"/>
        </w:rPr>
        <w:t xml:space="preserve">olicy </w:t>
      </w:r>
      <w:r w:rsidR="00163F80" w:rsidRPr="001E5D3B">
        <w:rPr>
          <w:sz w:val="20"/>
          <w:szCs w:val="20"/>
          <w:lang w:val="en-GB"/>
        </w:rPr>
        <w:t xml:space="preserve">adopted by the Executive Board </w:t>
      </w:r>
      <w:r w:rsidR="004E1F0F" w:rsidRPr="001E5D3B">
        <w:rPr>
          <w:sz w:val="20"/>
          <w:szCs w:val="20"/>
          <w:lang w:val="en-GB"/>
        </w:rPr>
        <w:t>in 2019</w:t>
      </w:r>
      <w:r w:rsidR="00163F80" w:rsidRPr="001E5D3B">
        <w:rPr>
          <w:sz w:val="20"/>
          <w:szCs w:val="20"/>
          <w:lang w:val="en-GB"/>
        </w:rPr>
        <w:t xml:space="preserve"> </w:t>
      </w:r>
      <w:r w:rsidR="00783369">
        <w:rPr>
          <w:sz w:val="20"/>
          <w:szCs w:val="20"/>
          <w:lang w:val="en-GB"/>
        </w:rPr>
        <w:t>(</w:t>
      </w:r>
      <w:hyperlink r:id="rId11" w:history="1">
        <w:r w:rsidR="00783369" w:rsidRPr="00436A54">
          <w:rPr>
            <w:sz w:val="20"/>
            <w:szCs w:val="20"/>
            <w:lang w:val="en-GB"/>
          </w:rPr>
          <w:t>DP/2019/29</w:t>
        </w:r>
      </w:hyperlink>
      <w:r w:rsidR="00783369">
        <w:rPr>
          <w:sz w:val="20"/>
          <w:szCs w:val="20"/>
          <w:lang w:val="en-GB"/>
        </w:rPr>
        <w:t xml:space="preserve"> and decision</w:t>
      </w:r>
      <w:r w:rsidR="00202796">
        <w:rPr>
          <w:sz w:val="20"/>
          <w:szCs w:val="20"/>
          <w:lang w:val="en-GB"/>
        </w:rPr>
        <w:t xml:space="preserve"> 2019/19)</w:t>
      </w:r>
      <w:r w:rsidR="00783369">
        <w:rPr>
          <w:sz w:val="20"/>
          <w:szCs w:val="20"/>
          <w:lang w:val="en-GB"/>
        </w:rPr>
        <w:t xml:space="preserve"> </w:t>
      </w:r>
      <w:r w:rsidR="004E1F0F" w:rsidRPr="001E5D3B">
        <w:rPr>
          <w:sz w:val="20"/>
          <w:szCs w:val="20"/>
          <w:lang w:val="en-GB"/>
        </w:rPr>
        <w:t xml:space="preserve">sets out the </w:t>
      </w:r>
      <w:r w:rsidR="00231BE9">
        <w:rPr>
          <w:sz w:val="20"/>
          <w:szCs w:val="20"/>
          <w:lang w:val="en-GB"/>
        </w:rPr>
        <w:t xml:space="preserve">organization’s </w:t>
      </w:r>
      <w:r w:rsidR="004E1F0F" w:rsidRPr="001E5D3B">
        <w:rPr>
          <w:sz w:val="20"/>
          <w:szCs w:val="20"/>
          <w:lang w:val="en-GB"/>
        </w:rPr>
        <w:t xml:space="preserve">evaluation systems and functions.  UNDP has a bifurcated evaluation system, </w:t>
      </w:r>
      <w:r w:rsidR="00231BE9">
        <w:rPr>
          <w:sz w:val="20"/>
          <w:szCs w:val="20"/>
          <w:lang w:val="en-GB"/>
        </w:rPr>
        <w:t xml:space="preserve">with </w:t>
      </w:r>
      <w:r w:rsidR="004E1F0F" w:rsidRPr="001E5D3B">
        <w:rPr>
          <w:sz w:val="20"/>
          <w:szCs w:val="20"/>
          <w:lang w:val="en-GB"/>
        </w:rPr>
        <w:t>thematic, programmatic and country</w:t>
      </w:r>
      <w:r w:rsidR="00163F80" w:rsidRPr="001E5D3B">
        <w:rPr>
          <w:sz w:val="20"/>
          <w:szCs w:val="20"/>
          <w:lang w:val="en-GB"/>
        </w:rPr>
        <w:t xml:space="preserve"> programme</w:t>
      </w:r>
      <w:r w:rsidR="004E1F0F" w:rsidRPr="001E5D3B">
        <w:rPr>
          <w:sz w:val="20"/>
          <w:szCs w:val="20"/>
          <w:lang w:val="en-GB"/>
        </w:rPr>
        <w:t xml:space="preserve"> evaluations carried out by the Independent Evaluation Office</w:t>
      </w:r>
      <w:r w:rsidR="00D30AE0" w:rsidRPr="001E5D3B">
        <w:rPr>
          <w:sz w:val="20"/>
          <w:szCs w:val="20"/>
          <w:lang w:val="en-GB"/>
        </w:rPr>
        <w:t xml:space="preserve"> (IEO)</w:t>
      </w:r>
      <w:r w:rsidR="004E1F0F" w:rsidRPr="001E5D3B">
        <w:rPr>
          <w:sz w:val="20"/>
          <w:szCs w:val="20"/>
          <w:lang w:val="en-GB"/>
        </w:rPr>
        <w:t xml:space="preserve">, and decentralized evaluations commissioned by the programme units (policy and regional bureaux and country offices). </w:t>
      </w:r>
    </w:p>
    <w:p w14:paraId="7B68FFF9" w14:textId="28548A3D" w:rsidR="00163F80" w:rsidRPr="00231BE9" w:rsidRDefault="00163F80" w:rsidP="00231BE9">
      <w:pPr>
        <w:pStyle w:val="NormalWeb"/>
        <w:numPr>
          <w:ilvl w:val="0"/>
          <w:numId w:val="41"/>
        </w:numPr>
        <w:tabs>
          <w:tab w:val="left" w:pos="270"/>
        </w:tabs>
        <w:spacing w:before="0" w:beforeAutospacing="0" w:after="200" w:afterAutospacing="0"/>
        <w:ind w:left="-180" w:right="-169" w:firstLine="0"/>
        <w:jc w:val="both"/>
        <w:rPr>
          <w:sz w:val="20"/>
          <w:szCs w:val="20"/>
          <w:lang w:val="en-GB"/>
        </w:rPr>
      </w:pPr>
      <w:r w:rsidRPr="00231BE9">
        <w:rPr>
          <w:sz w:val="20"/>
          <w:szCs w:val="20"/>
          <w:lang w:val="en-GB"/>
        </w:rPr>
        <w:t>The</w:t>
      </w:r>
      <w:r w:rsidR="00D82960" w:rsidRPr="00231BE9">
        <w:rPr>
          <w:sz w:val="20"/>
          <w:szCs w:val="20"/>
          <w:lang w:val="en-GB"/>
        </w:rPr>
        <w:t xml:space="preserve"> </w:t>
      </w:r>
      <w:r w:rsidR="00202796">
        <w:rPr>
          <w:sz w:val="20"/>
          <w:szCs w:val="20"/>
          <w:lang w:val="en-GB"/>
        </w:rPr>
        <w:t>revised e</w:t>
      </w:r>
      <w:r w:rsidRPr="00231BE9">
        <w:rPr>
          <w:sz w:val="20"/>
          <w:szCs w:val="20"/>
          <w:lang w:val="en-GB"/>
        </w:rPr>
        <w:t xml:space="preserve">valuation </w:t>
      </w:r>
      <w:r w:rsidR="00231BE9" w:rsidRPr="00231BE9">
        <w:rPr>
          <w:sz w:val="20"/>
          <w:szCs w:val="20"/>
          <w:lang w:val="en-GB"/>
        </w:rPr>
        <w:t>p</w:t>
      </w:r>
      <w:r w:rsidRPr="00231BE9">
        <w:rPr>
          <w:sz w:val="20"/>
          <w:szCs w:val="20"/>
          <w:lang w:val="en-GB"/>
        </w:rPr>
        <w:t>olicy sets out the roles and responsibilities of the</w:t>
      </w:r>
      <w:r w:rsidR="00D36A1C" w:rsidRPr="00231BE9">
        <w:rPr>
          <w:sz w:val="20"/>
          <w:szCs w:val="20"/>
          <w:lang w:val="en-GB"/>
        </w:rPr>
        <w:t xml:space="preserve"> I</w:t>
      </w:r>
      <w:r w:rsidR="00D30AE0" w:rsidRPr="00231BE9">
        <w:rPr>
          <w:sz w:val="20"/>
          <w:szCs w:val="20"/>
          <w:lang w:val="en-GB"/>
        </w:rPr>
        <w:t>EO</w:t>
      </w:r>
      <w:r w:rsidRPr="00231BE9">
        <w:rPr>
          <w:sz w:val="20"/>
          <w:szCs w:val="20"/>
          <w:lang w:val="en-GB"/>
        </w:rPr>
        <w:t>. Pertinent to the issue of decentrali</w:t>
      </w:r>
      <w:r w:rsidR="00231BE9">
        <w:rPr>
          <w:sz w:val="20"/>
          <w:szCs w:val="20"/>
          <w:lang w:val="en-GB"/>
        </w:rPr>
        <w:t>z</w:t>
      </w:r>
      <w:r w:rsidRPr="00231BE9">
        <w:rPr>
          <w:sz w:val="20"/>
          <w:szCs w:val="20"/>
          <w:lang w:val="en-GB"/>
        </w:rPr>
        <w:t xml:space="preserve">ed evaluation, these include: “assessing the quality of decentralized evaluations of UNDP, </w:t>
      </w:r>
      <w:r w:rsidR="00202796">
        <w:rPr>
          <w:sz w:val="20"/>
          <w:szCs w:val="20"/>
          <w:lang w:val="en-GB"/>
        </w:rPr>
        <w:t xml:space="preserve">[the United Nations Capital Development Fund] </w:t>
      </w:r>
      <w:r w:rsidRPr="00231BE9">
        <w:rPr>
          <w:sz w:val="20"/>
          <w:szCs w:val="20"/>
          <w:lang w:val="en-GB"/>
        </w:rPr>
        <w:t xml:space="preserve">and </w:t>
      </w:r>
      <w:r w:rsidR="00CA3FA1">
        <w:rPr>
          <w:sz w:val="20"/>
          <w:szCs w:val="20"/>
          <w:lang w:val="en-GB"/>
        </w:rPr>
        <w:t>[the United Nations Volunteers programme]</w:t>
      </w:r>
      <w:r w:rsidRPr="00231BE9">
        <w:rPr>
          <w:sz w:val="20"/>
          <w:szCs w:val="20"/>
          <w:lang w:val="en-GB"/>
        </w:rPr>
        <w:t>, and monitoring compliance with best international evaluation and data</w:t>
      </w:r>
      <w:r w:rsidR="00D250D2">
        <w:rPr>
          <w:sz w:val="20"/>
          <w:szCs w:val="20"/>
          <w:lang w:val="en-GB"/>
        </w:rPr>
        <w:t>-</w:t>
      </w:r>
      <w:r w:rsidRPr="00231BE9">
        <w:rPr>
          <w:sz w:val="20"/>
          <w:szCs w:val="20"/>
          <w:lang w:val="en-GB"/>
        </w:rPr>
        <w:t xml:space="preserve">collection standards including the </w:t>
      </w:r>
      <w:r w:rsidR="00CA3FA1">
        <w:rPr>
          <w:sz w:val="20"/>
          <w:szCs w:val="20"/>
          <w:lang w:val="en-GB"/>
        </w:rPr>
        <w:t xml:space="preserve">[United Nations Evaluation Group] </w:t>
      </w:r>
      <w:r w:rsidRPr="00231BE9">
        <w:rPr>
          <w:sz w:val="20"/>
          <w:szCs w:val="20"/>
          <w:lang w:val="en-GB"/>
        </w:rPr>
        <w:t>norms and standards, code of conduct and ethical guidelines.</w:t>
      </w:r>
      <w:r w:rsidR="00D36A1C" w:rsidRPr="00231BE9">
        <w:rPr>
          <w:sz w:val="20"/>
          <w:szCs w:val="20"/>
          <w:lang w:val="en-GB"/>
        </w:rPr>
        <w:t xml:space="preserve">” </w:t>
      </w:r>
      <w:r w:rsidRPr="00231BE9">
        <w:rPr>
          <w:sz w:val="20"/>
          <w:szCs w:val="20"/>
          <w:lang w:val="en-GB"/>
        </w:rPr>
        <w:t xml:space="preserve"> </w:t>
      </w:r>
      <w:r w:rsidR="00CA3FA1">
        <w:rPr>
          <w:sz w:val="20"/>
          <w:szCs w:val="20"/>
          <w:lang w:val="en-GB"/>
        </w:rPr>
        <w:t>(2019/</w:t>
      </w:r>
      <w:r w:rsidR="00E90912">
        <w:rPr>
          <w:sz w:val="20"/>
          <w:szCs w:val="20"/>
          <w:lang w:val="en-GB"/>
        </w:rPr>
        <w:t>2</w:t>
      </w:r>
      <w:r w:rsidR="00CA3FA1">
        <w:rPr>
          <w:sz w:val="20"/>
          <w:szCs w:val="20"/>
          <w:lang w:val="en-GB"/>
        </w:rPr>
        <w:t>9, para</w:t>
      </w:r>
      <w:r w:rsidR="00FA5C6D">
        <w:rPr>
          <w:sz w:val="20"/>
          <w:szCs w:val="20"/>
          <w:lang w:val="en-GB"/>
        </w:rPr>
        <w:t xml:space="preserve">. </w:t>
      </w:r>
      <w:r w:rsidR="00E90912">
        <w:rPr>
          <w:sz w:val="20"/>
          <w:szCs w:val="20"/>
          <w:lang w:val="en-GB"/>
        </w:rPr>
        <w:t>42(d)</w:t>
      </w:r>
      <w:r w:rsidR="008C0E77">
        <w:rPr>
          <w:sz w:val="20"/>
          <w:szCs w:val="20"/>
          <w:lang w:val="en-GB"/>
        </w:rPr>
        <w:t>)</w:t>
      </w:r>
      <w:r w:rsidR="00E90912">
        <w:rPr>
          <w:sz w:val="20"/>
          <w:szCs w:val="20"/>
          <w:lang w:val="en-GB"/>
        </w:rPr>
        <w:t>.</w:t>
      </w:r>
      <w:r w:rsidR="00CA3FA1">
        <w:rPr>
          <w:sz w:val="20"/>
          <w:szCs w:val="20"/>
          <w:lang w:val="en-GB"/>
        </w:rPr>
        <w:t xml:space="preserve"> </w:t>
      </w:r>
      <w:r w:rsidRPr="00231BE9">
        <w:rPr>
          <w:sz w:val="20"/>
          <w:szCs w:val="20"/>
          <w:lang w:val="en-GB"/>
        </w:rPr>
        <w:t xml:space="preserve">In addition, the </w:t>
      </w:r>
      <w:r w:rsidR="00D30AE0" w:rsidRPr="00231BE9">
        <w:rPr>
          <w:sz w:val="20"/>
          <w:szCs w:val="20"/>
          <w:lang w:val="en-GB"/>
        </w:rPr>
        <w:t xml:space="preserve">IEO </w:t>
      </w:r>
      <w:r w:rsidRPr="00231BE9">
        <w:rPr>
          <w:sz w:val="20"/>
          <w:szCs w:val="20"/>
          <w:lang w:val="en-GB"/>
        </w:rPr>
        <w:t>is expected through its regional evaluation advisers, to: “work with senior managers accountable for development results in the regions</w:t>
      </w:r>
      <w:r w:rsidR="00D36A1C" w:rsidRPr="00231BE9">
        <w:rPr>
          <w:sz w:val="20"/>
          <w:szCs w:val="20"/>
          <w:lang w:val="en-GB"/>
        </w:rPr>
        <w:t>”</w:t>
      </w:r>
      <w:r w:rsidR="00E90912">
        <w:rPr>
          <w:sz w:val="20"/>
          <w:szCs w:val="20"/>
          <w:lang w:val="en-GB"/>
        </w:rPr>
        <w:t xml:space="preserve"> </w:t>
      </w:r>
      <w:r w:rsidR="00D36A1C" w:rsidRPr="00231BE9">
        <w:rPr>
          <w:sz w:val="20"/>
          <w:szCs w:val="20"/>
          <w:lang w:val="en-GB"/>
        </w:rPr>
        <w:t>whose roles are to</w:t>
      </w:r>
      <w:r w:rsidRPr="00231BE9">
        <w:rPr>
          <w:sz w:val="20"/>
          <w:szCs w:val="20"/>
          <w:lang w:val="en-GB"/>
        </w:rPr>
        <w:t xml:space="preserve"> </w:t>
      </w:r>
      <w:r w:rsidR="00D36A1C" w:rsidRPr="00231BE9">
        <w:rPr>
          <w:sz w:val="20"/>
          <w:szCs w:val="20"/>
          <w:lang w:val="en-GB"/>
        </w:rPr>
        <w:t>“</w:t>
      </w:r>
      <w:r w:rsidRPr="00231BE9">
        <w:rPr>
          <w:sz w:val="20"/>
          <w:szCs w:val="20"/>
          <w:lang w:val="en-GB"/>
        </w:rPr>
        <w:t>assess regional and country office evaluation plans, help to ensure that qualified independent evaluators are hired for regional and country office-commissioned evaluations, assess the quality and utility of regional and country office-commissioned evaluations, support capacity-building on evaluation and manage independent country programme evaluations led by the Independent Evaluation Office.”</w:t>
      </w:r>
      <w:r w:rsidR="00FA5C6D">
        <w:rPr>
          <w:sz w:val="20"/>
          <w:szCs w:val="20"/>
          <w:lang w:val="en-GB"/>
        </w:rPr>
        <w:t xml:space="preserve"> (para. 43)</w:t>
      </w:r>
    </w:p>
    <w:p w14:paraId="798D622F" w14:textId="33B4AA57" w:rsidR="00B04EFA" w:rsidRPr="00231BE9" w:rsidRDefault="001C4BC7" w:rsidP="00231BE9">
      <w:pPr>
        <w:pStyle w:val="NormalWeb"/>
        <w:numPr>
          <w:ilvl w:val="0"/>
          <w:numId w:val="41"/>
        </w:numPr>
        <w:tabs>
          <w:tab w:val="left" w:pos="270"/>
        </w:tabs>
        <w:spacing w:before="0" w:beforeAutospacing="0" w:after="200" w:afterAutospacing="0"/>
        <w:ind w:left="-180" w:right="-169" w:firstLine="0"/>
        <w:jc w:val="both"/>
        <w:rPr>
          <w:sz w:val="20"/>
          <w:szCs w:val="20"/>
          <w:lang w:val="en-GB"/>
        </w:rPr>
      </w:pPr>
      <w:r>
        <w:rPr>
          <w:sz w:val="20"/>
          <w:szCs w:val="20"/>
          <w:lang w:val="en-GB"/>
        </w:rPr>
        <w:t xml:space="preserve">The </w:t>
      </w:r>
      <w:r w:rsidR="00FA5C6D">
        <w:rPr>
          <w:sz w:val="20"/>
          <w:szCs w:val="20"/>
          <w:lang w:val="en-GB"/>
        </w:rPr>
        <w:t>p</w:t>
      </w:r>
      <w:r w:rsidR="009E53F9" w:rsidRPr="00231BE9">
        <w:rPr>
          <w:sz w:val="20"/>
          <w:szCs w:val="20"/>
          <w:lang w:val="en-GB"/>
        </w:rPr>
        <w:t>olicy</w:t>
      </w:r>
      <w:r>
        <w:rPr>
          <w:sz w:val="20"/>
          <w:szCs w:val="20"/>
          <w:lang w:val="en-GB"/>
        </w:rPr>
        <w:t xml:space="preserve"> specifies that </w:t>
      </w:r>
      <w:r w:rsidR="0000348D" w:rsidRPr="00231BE9">
        <w:rPr>
          <w:sz w:val="20"/>
          <w:szCs w:val="20"/>
          <w:lang w:val="en-GB"/>
        </w:rPr>
        <w:t xml:space="preserve">UNDP programme and policy units “commission decentralized evaluations according to evaluation plans that coincide with relevant programmes (regional and country) and global projects” which are to be “carried out by independent external consultants, and UNDP management shall take all necessary actions to ensure the objectivity and impartiality of the process and persons hired.” </w:t>
      </w:r>
      <w:r>
        <w:rPr>
          <w:sz w:val="20"/>
          <w:szCs w:val="20"/>
          <w:lang w:val="en-GB"/>
        </w:rPr>
        <w:t xml:space="preserve">(para. 38) </w:t>
      </w:r>
      <w:r w:rsidR="0000348D" w:rsidRPr="00231BE9">
        <w:rPr>
          <w:sz w:val="20"/>
          <w:szCs w:val="20"/>
          <w:lang w:val="en-GB"/>
        </w:rPr>
        <w:t xml:space="preserve">Subject to delegation of authority from the UNDP Administrator, the Bureau for Policy and Programme Support </w:t>
      </w:r>
      <w:r w:rsidR="009670C6" w:rsidRPr="00231BE9">
        <w:rPr>
          <w:sz w:val="20"/>
          <w:szCs w:val="20"/>
          <w:lang w:val="en-GB"/>
        </w:rPr>
        <w:t>(BPPS)</w:t>
      </w:r>
      <w:r w:rsidR="002C3614">
        <w:rPr>
          <w:sz w:val="20"/>
          <w:szCs w:val="20"/>
          <w:lang w:val="en-GB"/>
        </w:rPr>
        <w:t xml:space="preserve"> </w:t>
      </w:r>
      <w:r w:rsidR="00B04EFA" w:rsidRPr="00231BE9">
        <w:rPr>
          <w:sz w:val="20"/>
          <w:szCs w:val="20"/>
          <w:lang w:val="en-GB"/>
        </w:rPr>
        <w:t>“</w:t>
      </w:r>
      <w:r w:rsidR="0000348D" w:rsidRPr="00231BE9">
        <w:rPr>
          <w:sz w:val="20"/>
          <w:szCs w:val="20"/>
          <w:lang w:val="en-GB"/>
        </w:rPr>
        <w:t>advises regional bureaux on the decentralized evaluation function for UNDP</w:t>
      </w:r>
      <w:r w:rsidR="00B04EFA" w:rsidRPr="00231BE9">
        <w:rPr>
          <w:sz w:val="20"/>
          <w:szCs w:val="20"/>
          <w:lang w:val="en-GB"/>
        </w:rPr>
        <w:t>” and “</w:t>
      </w:r>
      <w:r w:rsidR="0000348D" w:rsidRPr="00231BE9">
        <w:rPr>
          <w:sz w:val="20"/>
          <w:szCs w:val="20"/>
          <w:lang w:val="en-GB"/>
        </w:rPr>
        <w:t>works with the monitoring and evaluation staff of UNDP units to ensure that evaluation plans are properly implemented.</w:t>
      </w:r>
      <w:r w:rsidR="00B04EFA" w:rsidRPr="00231BE9">
        <w:rPr>
          <w:sz w:val="20"/>
          <w:szCs w:val="20"/>
          <w:lang w:val="en-GB"/>
        </w:rPr>
        <w:t>”</w:t>
      </w:r>
      <w:r w:rsidR="0000348D" w:rsidRPr="00231BE9">
        <w:rPr>
          <w:sz w:val="20"/>
          <w:szCs w:val="20"/>
          <w:lang w:val="en-GB"/>
        </w:rPr>
        <w:t xml:space="preserve"> Together with the </w:t>
      </w:r>
      <w:r w:rsidR="002C3614">
        <w:rPr>
          <w:sz w:val="20"/>
          <w:szCs w:val="20"/>
          <w:lang w:val="en-GB"/>
        </w:rPr>
        <w:t>IEO</w:t>
      </w:r>
      <w:r w:rsidR="0000348D" w:rsidRPr="00231BE9">
        <w:rPr>
          <w:sz w:val="20"/>
          <w:szCs w:val="20"/>
          <w:lang w:val="en-GB"/>
        </w:rPr>
        <w:t xml:space="preserve">, the Bureau </w:t>
      </w:r>
      <w:r w:rsidR="00B04EFA" w:rsidRPr="00231BE9">
        <w:rPr>
          <w:sz w:val="20"/>
          <w:szCs w:val="20"/>
          <w:lang w:val="en-GB"/>
        </w:rPr>
        <w:t>“</w:t>
      </w:r>
      <w:r w:rsidR="0000348D" w:rsidRPr="00231BE9">
        <w:rPr>
          <w:sz w:val="20"/>
          <w:szCs w:val="20"/>
          <w:lang w:val="en-GB"/>
        </w:rPr>
        <w:t xml:space="preserve">provides guidance to UNDP units on the use of evaluation findings and lessons to improve organizational decision-making and </w:t>
      </w:r>
      <w:r w:rsidR="00313A96" w:rsidRPr="00231BE9">
        <w:rPr>
          <w:sz w:val="20"/>
          <w:szCs w:val="20"/>
          <w:lang w:val="en-GB"/>
        </w:rPr>
        <w:t>accountability and</w:t>
      </w:r>
      <w:r w:rsidR="0000348D" w:rsidRPr="00231BE9">
        <w:rPr>
          <w:sz w:val="20"/>
          <w:szCs w:val="20"/>
          <w:lang w:val="en-GB"/>
        </w:rPr>
        <w:t xml:space="preserve"> synthesizes evaluation lessons for institutional learning.</w:t>
      </w:r>
      <w:r w:rsidR="00B04EFA" w:rsidRPr="00231BE9">
        <w:rPr>
          <w:sz w:val="20"/>
          <w:szCs w:val="20"/>
          <w:lang w:val="en-GB"/>
        </w:rPr>
        <w:t>”</w:t>
      </w:r>
      <w:r w:rsidR="0000348D" w:rsidRPr="00231BE9">
        <w:rPr>
          <w:sz w:val="20"/>
          <w:szCs w:val="20"/>
          <w:lang w:val="en-GB"/>
        </w:rPr>
        <w:t xml:space="preserve"> </w:t>
      </w:r>
      <w:r w:rsidR="00A27215">
        <w:rPr>
          <w:sz w:val="20"/>
          <w:szCs w:val="20"/>
          <w:lang w:val="en-GB"/>
        </w:rPr>
        <w:t>(para. 39)</w:t>
      </w:r>
    </w:p>
    <w:p w14:paraId="7A167953" w14:textId="7657E89B" w:rsidR="006F77A7" w:rsidRPr="00231BE9" w:rsidRDefault="009E53F9" w:rsidP="00231BE9">
      <w:pPr>
        <w:pStyle w:val="NormalWeb"/>
        <w:numPr>
          <w:ilvl w:val="0"/>
          <w:numId w:val="41"/>
        </w:numPr>
        <w:tabs>
          <w:tab w:val="left" w:pos="270"/>
        </w:tabs>
        <w:spacing w:before="0" w:beforeAutospacing="0" w:after="200" w:afterAutospacing="0"/>
        <w:ind w:left="-180" w:right="-169" w:firstLine="0"/>
        <w:jc w:val="both"/>
        <w:rPr>
          <w:sz w:val="20"/>
          <w:szCs w:val="20"/>
          <w:lang w:val="en-GB"/>
        </w:rPr>
      </w:pPr>
      <w:r w:rsidRPr="00231BE9">
        <w:rPr>
          <w:sz w:val="20"/>
          <w:szCs w:val="20"/>
          <w:lang w:val="en-GB"/>
        </w:rPr>
        <w:t xml:space="preserve">UNDP implements </w:t>
      </w:r>
      <w:r w:rsidR="00D256C1" w:rsidRPr="00231BE9">
        <w:rPr>
          <w:sz w:val="20"/>
          <w:szCs w:val="20"/>
          <w:lang w:val="en-GB"/>
        </w:rPr>
        <w:t>approximately</w:t>
      </w:r>
      <w:r w:rsidRPr="00231BE9">
        <w:rPr>
          <w:sz w:val="20"/>
          <w:szCs w:val="20"/>
          <w:lang w:val="en-GB"/>
        </w:rPr>
        <w:t xml:space="preserve"> 300 decentrali</w:t>
      </w:r>
      <w:r w:rsidR="00A27215">
        <w:rPr>
          <w:sz w:val="20"/>
          <w:szCs w:val="20"/>
          <w:lang w:val="en-GB"/>
        </w:rPr>
        <w:t>z</w:t>
      </w:r>
      <w:r w:rsidRPr="00231BE9">
        <w:rPr>
          <w:sz w:val="20"/>
          <w:szCs w:val="20"/>
          <w:lang w:val="en-GB"/>
        </w:rPr>
        <w:t xml:space="preserve">ed evaluations </w:t>
      </w:r>
      <w:r w:rsidR="00D256C1" w:rsidRPr="00231BE9">
        <w:rPr>
          <w:sz w:val="20"/>
          <w:szCs w:val="20"/>
          <w:lang w:val="en-GB"/>
        </w:rPr>
        <w:t>annually</w:t>
      </w:r>
      <w:r w:rsidRPr="00231BE9">
        <w:rPr>
          <w:sz w:val="20"/>
          <w:szCs w:val="20"/>
          <w:lang w:val="en-GB"/>
        </w:rPr>
        <w:t xml:space="preserve">, providing a wealth of information that is available in the UNDP </w:t>
      </w:r>
      <w:hyperlink r:id="rId12" w:history="1">
        <w:r w:rsidRPr="00A27215">
          <w:rPr>
            <w:rStyle w:val="Hyperlink"/>
            <w:sz w:val="20"/>
            <w:szCs w:val="20"/>
            <w:lang w:val="en-GB"/>
          </w:rPr>
          <w:t>Evaluation Resource Centre</w:t>
        </w:r>
      </w:hyperlink>
      <w:r w:rsidR="00F32426" w:rsidRPr="00231BE9">
        <w:rPr>
          <w:sz w:val="20"/>
          <w:szCs w:val="20"/>
          <w:lang w:val="en-GB"/>
        </w:rPr>
        <w:t>.  The quality of decentralized evaluation shows improvement</w:t>
      </w:r>
      <w:r w:rsidR="00A27215">
        <w:rPr>
          <w:sz w:val="20"/>
          <w:szCs w:val="20"/>
          <w:lang w:val="en-GB"/>
        </w:rPr>
        <w:t>:</w:t>
      </w:r>
      <w:r w:rsidR="00D256C1" w:rsidRPr="00231BE9">
        <w:rPr>
          <w:sz w:val="20"/>
          <w:szCs w:val="20"/>
          <w:lang w:val="en-GB"/>
        </w:rPr>
        <w:t xml:space="preserve"> in 2021, </w:t>
      </w:r>
      <w:r w:rsidR="00F32426" w:rsidRPr="00231BE9">
        <w:rPr>
          <w:sz w:val="20"/>
          <w:szCs w:val="20"/>
          <w:lang w:val="en-GB"/>
        </w:rPr>
        <w:t xml:space="preserve">42 per cent of </w:t>
      </w:r>
      <w:r w:rsidR="00D256C1" w:rsidRPr="00231BE9">
        <w:rPr>
          <w:sz w:val="20"/>
          <w:szCs w:val="20"/>
          <w:lang w:val="en-GB"/>
        </w:rPr>
        <w:t xml:space="preserve">decentralized </w:t>
      </w:r>
      <w:r w:rsidR="00F32426" w:rsidRPr="00231BE9">
        <w:rPr>
          <w:sz w:val="20"/>
          <w:szCs w:val="20"/>
          <w:lang w:val="en-GB"/>
        </w:rPr>
        <w:t>evaluations</w:t>
      </w:r>
      <w:r w:rsidR="00D256C1" w:rsidRPr="00231BE9">
        <w:rPr>
          <w:sz w:val="20"/>
          <w:szCs w:val="20"/>
          <w:lang w:val="en-GB"/>
        </w:rPr>
        <w:t xml:space="preserve"> out of 2</w:t>
      </w:r>
      <w:r w:rsidR="00435AE2" w:rsidRPr="00231BE9">
        <w:rPr>
          <w:sz w:val="20"/>
          <w:szCs w:val="20"/>
          <w:lang w:val="en-GB"/>
        </w:rPr>
        <w:t xml:space="preserve">72 </w:t>
      </w:r>
      <w:r w:rsidR="00A27215">
        <w:rPr>
          <w:sz w:val="20"/>
          <w:szCs w:val="20"/>
          <w:lang w:val="en-GB"/>
        </w:rPr>
        <w:t xml:space="preserve">that were </w:t>
      </w:r>
      <w:r w:rsidR="00D256C1" w:rsidRPr="00231BE9">
        <w:rPr>
          <w:sz w:val="20"/>
          <w:szCs w:val="20"/>
          <w:lang w:val="en-GB"/>
        </w:rPr>
        <w:t>quality</w:t>
      </w:r>
      <w:r w:rsidR="00A27215">
        <w:rPr>
          <w:sz w:val="20"/>
          <w:szCs w:val="20"/>
          <w:lang w:val="en-GB"/>
        </w:rPr>
        <w:t>-</w:t>
      </w:r>
      <w:r w:rsidR="00D256C1" w:rsidRPr="00231BE9">
        <w:rPr>
          <w:sz w:val="20"/>
          <w:szCs w:val="20"/>
          <w:lang w:val="en-GB"/>
        </w:rPr>
        <w:t xml:space="preserve">assessed by the IEO </w:t>
      </w:r>
      <w:r w:rsidR="00F32426" w:rsidRPr="00231BE9">
        <w:rPr>
          <w:sz w:val="20"/>
          <w:szCs w:val="20"/>
          <w:lang w:val="en-GB"/>
        </w:rPr>
        <w:t xml:space="preserve">rated </w:t>
      </w:r>
      <w:r w:rsidR="002D2EB0">
        <w:rPr>
          <w:sz w:val="20"/>
          <w:szCs w:val="20"/>
          <w:lang w:val="en-GB"/>
        </w:rPr>
        <w:t>‘</w:t>
      </w:r>
      <w:r w:rsidR="00F32426" w:rsidRPr="00231BE9">
        <w:rPr>
          <w:sz w:val="20"/>
          <w:szCs w:val="20"/>
          <w:lang w:val="en-GB"/>
        </w:rPr>
        <w:t>satisfactory</w:t>
      </w:r>
      <w:r w:rsidR="002D2EB0">
        <w:rPr>
          <w:sz w:val="20"/>
          <w:szCs w:val="20"/>
          <w:lang w:val="en-GB"/>
        </w:rPr>
        <w:t>’</w:t>
      </w:r>
      <w:r w:rsidR="00D256C1" w:rsidRPr="00231BE9">
        <w:rPr>
          <w:sz w:val="20"/>
          <w:szCs w:val="20"/>
          <w:lang w:val="en-GB"/>
        </w:rPr>
        <w:t xml:space="preserve">. In the meantime, </w:t>
      </w:r>
      <w:r w:rsidR="00D82960" w:rsidRPr="00231BE9">
        <w:rPr>
          <w:sz w:val="20"/>
          <w:szCs w:val="20"/>
          <w:lang w:val="en-GB"/>
        </w:rPr>
        <w:t xml:space="preserve">several </w:t>
      </w:r>
      <w:r w:rsidRPr="00231BE9">
        <w:rPr>
          <w:sz w:val="20"/>
          <w:szCs w:val="20"/>
          <w:lang w:val="en-GB"/>
        </w:rPr>
        <w:t xml:space="preserve">challenges </w:t>
      </w:r>
      <w:r w:rsidR="00D82960" w:rsidRPr="00231BE9">
        <w:rPr>
          <w:sz w:val="20"/>
          <w:szCs w:val="20"/>
          <w:lang w:val="en-GB"/>
        </w:rPr>
        <w:t xml:space="preserve">remained </w:t>
      </w:r>
      <w:r w:rsidRPr="00231BE9">
        <w:rPr>
          <w:sz w:val="20"/>
          <w:szCs w:val="20"/>
          <w:lang w:val="en-GB"/>
        </w:rPr>
        <w:t xml:space="preserve">in term of the </w:t>
      </w:r>
      <w:r w:rsidR="00D256C1" w:rsidRPr="00231BE9">
        <w:rPr>
          <w:sz w:val="20"/>
          <w:szCs w:val="20"/>
          <w:lang w:val="en-GB"/>
        </w:rPr>
        <w:t xml:space="preserve">implementation, </w:t>
      </w:r>
      <w:r w:rsidRPr="00231BE9">
        <w:rPr>
          <w:sz w:val="20"/>
          <w:szCs w:val="20"/>
          <w:lang w:val="en-GB"/>
        </w:rPr>
        <w:t>coverage and usability of these decentralized evaluations</w:t>
      </w:r>
      <w:r w:rsidR="00D256C1" w:rsidRPr="00231BE9">
        <w:rPr>
          <w:sz w:val="20"/>
          <w:szCs w:val="20"/>
          <w:lang w:val="en-GB"/>
        </w:rPr>
        <w:t xml:space="preserve">.  </w:t>
      </w:r>
      <w:r w:rsidR="00C3273B" w:rsidRPr="00231BE9">
        <w:rPr>
          <w:sz w:val="20"/>
          <w:szCs w:val="20"/>
          <w:lang w:val="en-GB"/>
        </w:rPr>
        <w:t xml:space="preserve">The </w:t>
      </w:r>
      <w:r w:rsidR="002D2EB0">
        <w:rPr>
          <w:sz w:val="20"/>
          <w:szCs w:val="20"/>
          <w:lang w:val="en-GB"/>
        </w:rPr>
        <w:t>revised e</w:t>
      </w:r>
      <w:r w:rsidR="00C3273B" w:rsidRPr="00231BE9">
        <w:rPr>
          <w:sz w:val="20"/>
          <w:szCs w:val="20"/>
          <w:lang w:val="en-GB"/>
        </w:rPr>
        <w:t xml:space="preserve">valuation </w:t>
      </w:r>
      <w:r w:rsidR="002D2EB0">
        <w:rPr>
          <w:sz w:val="20"/>
          <w:szCs w:val="20"/>
          <w:lang w:val="en-GB"/>
        </w:rPr>
        <w:t>p</w:t>
      </w:r>
      <w:r w:rsidR="00C3273B" w:rsidRPr="00231BE9">
        <w:rPr>
          <w:sz w:val="20"/>
          <w:szCs w:val="20"/>
          <w:lang w:val="en-GB"/>
        </w:rPr>
        <w:t>olicy retains the goal of a</w:t>
      </w:r>
      <w:r w:rsidR="00FD458F" w:rsidRPr="00231BE9">
        <w:rPr>
          <w:sz w:val="20"/>
          <w:szCs w:val="20"/>
          <w:lang w:val="en-GB"/>
        </w:rPr>
        <w:t xml:space="preserve"> </w:t>
      </w:r>
      <w:r w:rsidR="002D2EB0">
        <w:rPr>
          <w:sz w:val="20"/>
          <w:szCs w:val="20"/>
          <w:lang w:val="en-GB"/>
        </w:rPr>
        <w:t xml:space="preserve">1 </w:t>
      </w:r>
      <w:r w:rsidR="00FD458F" w:rsidRPr="00231BE9">
        <w:rPr>
          <w:sz w:val="20"/>
          <w:szCs w:val="20"/>
          <w:lang w:val="en-GB"/>
        </w:rPr>
        <w:t>per</w:t>
      </w:r>
      <w:r w:rsidR="002D2EB0">
        <w:rPr>
          <w:sz w:val="20"/>
          <w:szCs w:val="20"/>
          <w:lang w:val="en-GB"/>
        </w:rPr>
        <w:t xml:space="preserve"> </w:t>
      </w:r>
      <w:r w:rsidR="00FD458F" w:rsidRPr="00231BE9">
        <w:rPr>
          <w:sz w:val="20"/>
          <w:szCs w:val="20"/>
          <w:lang w:val="en-GB"/>
        </w:rPr>
        <w:t>cent</w:t>
      </w:r>
      <w:r w:rsidR="00C3273B" w:rsidRPr="00231BE9">
        <w:rPr>
          <w:sz w:val="20"/>
          <w:szCs w:val="20"/>
          <w:lang w:val="en-GB"/>
        </w:rPr>
        <w:t xml:space="preserve"> budget allocation for evaluation across the organi</w:t>
      </w:r>
      <w:r w:rsidR="002D2EB0">
        <w:rPr>
          <w:sz w:val="20"/>
          <w:szCs w:val="20"/>
          <w:lang w:val="en-GB"/>
        </w:rPr>
        <w:t>z</w:t>
      </w:r>
      <w:r w:rsidR="00C3273B" w:rsidRPr="00231BE9">
        <w:rPr>
          <w:sz w:val="20"/>
          <w:szCs w:val="20"/>
          <w:lang w:val="en-GB"/>
        </w:rPr>
        <w:t>ation, with 0.3</w:t>
      </w:r>
      <w:r w:rsidR="00FD458F" w:rsidRPr="00231BE9">
        <w:rPr>
          <w:sz w:val="20"/>
          <w:szCs w:val="20"/>
          <w:lang w:val="en-GB"/>
        </w:rPr>
        <w:t xml:space="preserve"> per cent</w:t>
      </w:r>
      <w:r w:rsidR="00C3273B" w:rsidRPr="00231BE9">
        <w:rPr>
          <w:sz w:val="20"/>
          <w:szCs w:val="20"/>
          <w:lang w:val="en-GB"/>
        </w:rPr>
        <w:t xml:space="preserve"> to cover the work of the I</w:t>
      </w:r>
      <w:r w:rsidR="00FD458F" w:rsidRPr="00231BE9">
        <w:rPr>
          <w:sz w:val="20"/>
          <w:szCs w:val="20"/>
          <w:lang w:val="en-GB"/>
        </w:rPr>
        <w:t>EO</w:t>
      </w:r>
      <w:r w:rsidR="00C3273B" w:rsidRPr="00231BE9">
        <w:rPr>
          <w:sz w:val="20"/>
          <w:szCs w:val="20"/>
          <w:lang w:val="en-GB"/>
        </w:rPr>
        <w:t xml:space="preserve"> and 0.7</w:t>
      </w:r>
      <w:r w:rsidR="00FD458F" w:rsidRPr="00231BE9">
        <w:rPr>
          <w:sz w:val="20"/>
          <w:szCs w:val="20"/>
          <w:lang w:val="en-GB"/>
        </w:rPr>
        <w:t xml:space="preserve"> per cent</w:t>
      </w:r>
      <w:r w:rsidR="00C3273B" w:rsidRPr="00231BE9">
        <w:rPr>
          <w:sz w:val="20"/>
          <w:szCs w:val="20"/>
          <w:lang w:val="en-GB"/>
        </w:rPr>
        <w:t xml:space="preserve"> for decentrali</w:t>
      </w:r>
      <w:r w:rsidR="002D2EB0">
        <w:rPr>
          <w:sz w:val="20"/>
          <w:szCs w:val="20"/>
          <w:lang w:val="en-GB"/>
        </w:rPr>
        <w:t>z</w:t>
      </w:r>
      <w:r w:rsidR="00C3273B" w:rsidRPr="00231BE9">
        <w:rPr>
          <w:sz w:val="20"/>
          <w:szCs w:val="20"/>
          <w:lang w:val="en-GB"/>
        </w:rPr>
        <w:t xml:space="preserve">ed evaluations. While </w:t>
      </w:r>
      <w:r w:rsidR="00E42548">
        <w:rPr>
          <w:sz w:val="20"/>
          <w:szCs w:val="20"/>
          <w:lang w:val="en-GB"/>
        </w:rPr>
        <w:t xml:space="preserve">IEO </w:t>
      </w:r>
      <w:r w:rsidR="002D2EB0">
        <w:rPr>
          <w:sz w:val="20"/>
          <w:szCs w:val="20"/>
          <w:lang w:val="en-GB"/>
        </w:rPr>
        <w:t>expenditures are</w:t>
      </w:r>
      <w:r w:rsidR="00C3273B" w:rsidRPr="00231BE9">
        <w:rPr>
          <w:sz w:val="20"/>
          <w:szCs w:val="20"/>
          <w:lang w:val="en-GB"/>
        </w:rPr>
        <w:t xml:space="preserve"> </w:t>
      </w:r>
      <w:r w:rsidR="006F77A7" w:rsidRPr="00231BE9">
        <w:rPr>
          <w:sz w:val="20"/>
          <w:szCs w:val="20"/>
          <w:lang w:val="en-GB"/>
        </w:rPr>
        <w:t xml:space="preserve">approaching the 0.3 per cent benchmark, </w:t>
      </w:r>
      <w:r w:rsidR="002D2EB0">
        <w:rPr>
          <w:sz w:val="20"/>
          <w:szCs w:val="20"/>
          <w:lang w:val="en-GB"/>
        </w:rPr>
        <w:t xml:space="preserve">having reached </w:t>
      </w:r>
      <w:r w:rsidR="00C3273B" w:rsidRPr="00231BE9">
        <w:rPr>
          <w:sz w:val="20"/>
          <w:szCs w:val="20"/>
          <w:lang w:val="en-GB"/>
        </w:rPr>
        <w:t>0.25</w:t>
      </w:r>
      <w:r w:rsidR="00601A5F" w:rsidRPr="00231BE9">
        <w:rPr>
          <w:sz w:val="20"/>
          <w:szCs w:val="20"/>
          <w:lang w:val="en-GB"/>
        </w:rPr>
        <w:t xml:space="preserve"> per cent</w:t>
      </w:r>
      <w:r w:rsidR="00C3273B" w:rsidRPr="00231BE9">
        <w:rPr>
          <w:sz w:val="20"/>
          <w:szCs w:val="20"/>
          <w:lang w:val="en-GB"/>
        </w:rPr>
        <w:t xml:space="preserve"> in 2020, </w:t>
      </w:r>
      <w:r w:rsidR="00AB7CB7">
        <w:rPr>
          <w:sz w:val="20"/>
          <w:szCs w:val="20"/>
          <w:lang w:val="en-GB"/>
        </w:rPr>
        <w:t xml:space="preserve">overall </w:t>
      </w:r>
      <w:r w:rsidR="00FD458F" w:rsidRPr="00231BE9">
        <w:rPr>
          <w:sz w:val="20"/>
          <w:szCs w:val="20"/>
          <w:lang w:val="en-GB"/>
        </w:rPr>
        <w:t>UNDP</w:t>
      </w:r>
      <w:r w:rsidR="00D256C1" w:rsidRPr="00231BE9">
        <w:rPr>
          <w:sz w:val="20"/>
          <w:szCs w:val="20"/>
          <w:lang w:val="en-GB"/>
        </w:rPr>
        <w:t xml:space="preserve"> expenditure on evaluations </w:t>
      </w:r>
      <w:r w:rsidR="00FD458F" w:rsidRPr="00231BE9">
        <w:rPr>
          <w:sz w:val="20"/>
          <w:szCs w:val="20"/>
          <w:lang w:val="en-GB"/>
        </w:rPr>
        <w:t xml:space="preserve">was </w:t>
      </w:r>
      <w:r w:rsidR="00C3273B" w:rsidRPr="00231BE9">
        <w:rPr>
          <w:sz w:val="20"/>
          <w:szCs w:val="20"/>
          <w:lang w:val="en-GB"/>
        </w:rPr>
        <w:t>0.32</w:t>
      </w:r>
      <w:r w:rsidR="00601A5F" w:rsidRPr="00231BE9">
        <w:rPr>
          <w:sz w:val="20"/>
          <w:szCs w:val="20"/>
          <w:lang w:val="en-GB"/>
        </w:rPr>
        <w:t xml:space="preserve"> per cent</w:t>
      </w:r>
      <w:r w:rsidR="00FD458F" w:rsidRPr="00231BE9">
        <w:rPr>
          <w:sz w:val="20"/>
          <w:szCs w:val="20"/>
          <w:lang w:val="en-GB"/>
        </w:rPr>
        <w:t>, making the spending for evaluations 0.57 per cent of total programme expenditure</w:t>
      </w:r>
      <w:r w:rsidR="00CD1F69" w:rsidRPr="00231BE9">
        <w:rPr>
          <w:sz w:val="20"/>
          <w:szCs w:val="20"/>
          <w:lang w:val="en-GB"/>
        </w:rPr>
        <w:t xml:space="preserve">, short of the 1 per cent commitment under the 2019 </w:t>
      </w:r>
      <w:r w:rsidR="00AB7CB7">
        <w:rPr>
          <w:sz w:val="20"/>
          <w:szCs w:val="20"/>
          <w:lang w:val="en-GB"/>
        </w:rPr>
        <w:t>e</w:t>
      </w:r>
      <w:r w:rsidR="00CD1F69" w:rsidRPr="00231BE9">
        <w:rPr>
          <w:sz w:val="20"/>
          <w:szCs w:val="20"/>
          <w:lang w:val="en-GB"/>
        </w:rPr>
        <w:t xml:space="preserve">valuation </w:t>
      </w:r>
      <w:r w:rsidR="00AB7CB7">
        <w:rPr>
          <w:sz w:val="20"/>
          <w:szCs w:val="20"/>
          <w:lang w:val="en-GB"/>
        </w:rPr>
        <w:t>p</w:t>
      </w:r>
      <w:r w:rsidR="00CD1F69" w:rsidRPr="00231BE9">
        <w:rPr>
          <w:sz w:val="20"/>
          <w:szCs w:val="20"/>
          <w:lang w:val="en-GB"/>
        </w:rPr>
        <w:t>olicy</w:t>
      </w:r>
      <w:r w:rsidR="00FD458F" w:rsidRPr="00231BE9">
        <w:rPr>
          <w:sz w:val="20"/>
          <w:szCs w:val="20"/>
          <w:lang w:val="en-GB"/>
        </w:rPr>
        <w:t>.</w:t>
      </w:r>
      <w:r w:rsidR="00601A5F" w:rsidRPr="00AB7CB7">
        <w:rPr>
          <w:sz w:val="20"/>
          <w:szCs w:val="20"/>
          <w:vertAlign w:val="superscript"/>
          <w:lang w:val="en-GB"/>
        </w:rPr>
        <w:footnoteReference w:id="2"/>
      </w:r>
    </w:p>
    <w:p w14:paraId="41D29406" w14:textId="0DD2BAEF" w:rsidR="005A16E7" w:rsidRPr="00231BE9" w:rsidRDefault="00C3273B" w:rsidP="00231BE9">
      <w:pPr>
        <w:pStyle w:val="NormalWeb"/>
        <w:numPr>
          <w:ilvl w:val="0"/>
          <w:numId w:val="41"/>
        </w:numPr>
        <w:tabs>
          <w:tab w:val="left" w:pos="270"/>
        </w:tabs>
        <w:spacing w:before="0" w:beforeAutospacing="0" w:after="200" w:afterAutospacing="0"/>
        <w:ind w:left="-180" w:right="-169" w:firstLine="0"/>
        <w:jc w:val="both"/>
        <w:rPr>
          <w:sz w:val="20"/>
          <w:szCs w:val="20"/>
          <w:lang w:val="en-GB"/>
        </w:rPr>
      </w:pPr>
      <w:r w:rsidRPr="00231BE9">
        <w:rPr>
          <w:sz w:val="20"/>
          <w:szCs w:val="20"/>
          <w:lang w:val="en-GB"/>
        </w:rPr>
        <w:t xml:space="preserve">In response to the </w:t>
      </w:r>
      <w:hyperlink r:id="rId13" w:history="1">
        <w:r w:rsidR="00AB7CB7" w:rsidRPr="001A22CD">
          <w:rPr>
            <w:rStyle w:val="Hyperlink"/>
            <w:sz w:val="20"/>
            <w:szCs w:val="20"/>
            <w:lang w:val="en-GB"/>
          </w:rPr>
          <w:t>a</w:t>
        </w:r>
        <w:r w:rsidRPr="001A22CD">
          <w:rPr>
            <w:rStyle w:val="Hyperlink"/>
            <w:sz w:val="20"/>
            <w:szCs w:val="20"/>
            <w:lang w:val="en-GB"/>
          </w:rPr>
          <w:t xml:space="preserve">nnual </w:t>
        </w:r>
        <w:r w:rsidR="00AB7CB7" w:rsidRPr="001A22CD">
          <w:rPr>
            <w:rStyle w:val="Hyperlink"/>
            <w:sz w:val="20"/>
            <w:szCs w:val="20"/>
            <w:lang w:val="en-GB"/>
          </w:rPr>
          <w:t>r</w:t>
        </w:r>
        <w:r w:rsidRPr="001A22CD">
          <w:rPr>
            <w:rStyle w:val="Hyperlink"/>
            <w:sz w:val="20"/>
            <w:szCs w:val="20"/>
            <w:lang w:val="en-GB"/>
          </w:rPr>
          <w:t xml:space="preserve">eport on </w:t>
        </w:r>
        <w:r w:rsidR="00AB7CB7" w:rsidRPr="001A22CD">
          <w:rPr>
            <w:rStyle w:val="Hyperlink"/>
            <w:sz w:val="20"/>
            <w:szCs w:val="20"/>
            <w:lang w:val="en-GB"/>
          </w:rPr>
          <w:t>e</w:t>
        </w:r>
        <w:r w:rsidRPr="001A22CD">
          <w:rPr>
            <w:rStyle w:val="Hyperlink"/>
            <w:sz w:val="20"/>
            <w:szCs w:val="20"/>
            <w:lang w:val="en-GB"/>
          </w:rPr>
          <w:t>valuation, 2020</w:t>
        </w:r>
      </w:hyperlink>
      <w:r w:rsidR="001A22CD">
        <w:rPr>
          <w:sz w:val="20"/>
          <w:szCs w:val="20"/>
          <w:lang w:val="en-GB"/>
        </w:rPr>
        <w:t xml:space="preserve"> </w:t>
      </w:r>
      <w:r w:rsidR="00441B54">
        <w:rPr>
          <w:sz w:val="20"/>
          <w:szCs w:val="20"/>
          <w:lang w:val="en-GB"/>
        </w:rPr>
        <w:t>(</w:t>
      </w:r>
      <w:r w:rsidRPr="00231BE9">
        <w:rPr>
          <w:sz w:val="20"/>
          <w:szCs w:val="20"/>
          <w:lang w:val="en-GB"/>
        </w:rPr>
        <w:t>which highlighted gaps in the quality, coverage, credibility and usability of decentrali</w:t>
      </w:r>
      <w:r w:rsidR="00F602E1">
        <w:rPr>
          <w:sz w:val="20"/>
          <w:szCs w:val="20"/>
          <w:lang w:val="en-GB"/>
        </w:rPr>
        <w:t>z</w:t>
      </w:r>
      <w:r w:rsidRPr="00231BE9">
        <w:rPr>
          <w:sz w:val="20"/>
          <w:szCs w:val="20"/>
          <w:lang w:val="en-GB"/>
        </w:rPr>
        <w:t>ed evaluations</w:t>
      </w:r>
      <w:r w:rsidR="0081383A" w:rsidRPr="00231BE9">
        <w:rPr>
          <w:sz w:val="20"/>
          <w:szCs w:val="20"/>
          <w:lang w:val="en-GB"/>
        </w:rPr>
        <w:t xml:space="preserve"> as well as the low spending on decentralized evaluations</w:t>
      </w:r>
      <w:r w:rsidR="008C0E77">
        <w:rPr>
          <w:sz w:val="20"/>
          <w:szCs w:val="20"/>
          <w:lang w:val="en-GB"/>
        </w:rPr>
        <w:t>)</w:t>
      </w:r>
      <w:r w:rsidRPr="00231BE9">
        <w:rPr>
          <w:sz w:val="20"/>
          <w:szCs w:val="20"/>
          <w:lang w:val="en-GB"/>
        </w:rPr>
        <w:t xml:space="preserve">, </w:t>
      </w:r>
      <w:r w:rsidR="009E53F9" w:rsidRPr="00231BE9">
        <w:rPr>
          <w:sz w:val="20"/>
          <w:szCs w:val="20"/>
          <w:lang w:val="en-GB"/>
        </w:rPr>
        <w:t>the Executive Board</w:t>
      </w:r>
      <w:r w:rsidR="00664605">
        <w:rPr>
          <w:sz w:val="20"/>
          <w:szCs w:val="20"/>
          <w:lang w:val="en-GB"/>
        </w:rPr>
        <w:t>, in decision 2021/5,</w:t>
      </w:r>
      <w:r w:rsidR="009E53F9" w:rsidRPr="00231BE9">
        <w:rPr>
          <w:sz w:val="20"/>
          <w:szCs w:val="20"/>
          <w:lang w:val="en-GB"/>
        </w:rPr>
        <w:t xml:space="preserve"> </w:t>
      </w:r>
      <w:r w:rsidR="00F32426" w:rsidRPr="00231BE9">
        <w:rPr>
          <w:sz w:val="20"/>
          <w:szCs w:val="20"/>
          <w:lang w:val="en-GB"/>
        </w:rPr>
        <w:t>en</w:t>
      </w:r>
      <w:r w:rsidR="009E53F9" w:rsidRPr="00231BE9">
        <w:rPr>
          <w:sz w:val="20"/>
          <w:szCs w:val="20"/>
          <w:lang w:val="en-GB"/>
        </w:rPr>
        <w:t xml:space="preserve">couraged UNDP to “continue this effort to identify and build evaluation capacities and resources to increase the satisfactory rating of decentralized evaluations significantly.” </w:t>
      </w:r>
      <w:r w:rsidRPr="00231BE9">
        <w:rPr>
          <w:sz w:val="20"/>
          <w:szCs w:val="20"/>
          <w:lang w:val="en-GB"/>
        </w:rPr>
        <w:t xml:space="preserve"> </w:t>
      </w:r>
      <w:r w:rsidR="00CB6184" w:rsidRPr="00231BE9">
        <w:rPr>
          <w:sz w:val="20"/>
          <w:szCs w:val="20"/>
          <w:lang w:val="en-GB"/>
        </w:rPr>
        <w:t>At the first regular session of 2022, the Executive Board</w:t>
      </w:r>
      <w:r w:rsidR="0051125F">
        <w:rPr>
          <w:sz w:val="20"/>
          <w:szCs w:val="20"/>
          <w:lang w:val="en-GB"/>
        </w:rPr>
        <w:t>,</w:t>
      </w:r>
      <w:r w:rsidR="00CB6184" w:rsidRPr="00231BE9">
        <w:rPr>
          <w:sz w:val="20"/>
          <w:szCs w:val="20"/>
          <w:lang w:val="en-GB"/>
        </w:rPr>
        <w:t xml:space="preserve"> </w:t>
      </w:r>
      <w:r w:rsidR="006071CA">
        <w:rPr>
          <w:sz w:val="20"/>
          <w:szCs w:val="20"/>
          <w:lang w:val="en-GB"/>
        </w:rPr>
        <w:t xml:space="preserve">in decision 2022/3, </w:t>
      </w:r>
      <w:r w:rsidR="00CB6184" w:rsidRPr="00231BE9">
        <w:rPr>
          <w:sz w:val="20"/>
          <w:szCs w:val="20"/>
          <w:lang w:val="en-GB"/>
        </w:rPr>
        <w:t xml:space="preserve">requested </w:t>
      </w:r>
      <w:r w:rsidR="000969E2" w:rsidRPr="00231BE9">
        <w:rPr>
          <w:sz w:val="20"/>
          <w:szCs w:val="20"/>
          <w:lang w:val="en-GB"/>
        </w:rPr>
        <w:t xml:space="preserve">UNDP management and </w:t>
      </w:r>
      <w:r w:rsidR="00CB6184" w:rsidRPr="00231BE9">
        <w:rPr>
          <w:sz w:val="20"/>
          <w:szCs w:val="20"/>
          <w:lang w:val="en-GB"/>
        </w:rPr>
        <w:t xml:space="preserve">the </w:t>
      </w:r>
      <w:r w:rsidR="00E42548">
        <w:rPr>
          <w:sz w:val="20"/>
          <w:szCs w:val="20"/>
          <w:lang w:val="en-GB"/>
        </w:rPr>
        <w:t>IEO</w:t>
      </w:r>
      <w:r w:rsidR="00CB6184" w:rsidRPr="00231BE9">
        <w:rPr>
          <w:sz w:val="20"/>
          <w:szCs w:val="20"/>
          <w:lang w:val="en-GB"/>
        </w:rPr>
        <w:t xml:space="preserve"> to “formulate a plan to improve the independence, reliability, and quality of decentralized evaluations and to present it to the Executive Board at its annual session 2022.”</w:t>
      </w:r>
      <w:r w:rsidR="00CB6184" w:rsidRPr="00CA01D0">
        <w:rPr>
          <w:sz w:val="20"/>
          <w:szCs w:val="20"/>
          <w:vertAlign w:val="superscript"/>
          <w:lang w:val="en-GB"/>
        </w:rPr>
        <w:t xml:space="preserve"> </w:t>
      </w:r>
      <w:r w:rsidR="0051125F">
        <w:rPr>
          <w:sz w:val="20"/>
          <w:szCs w:val="20"/>
          <w:lang w:val="en-GB"/>
        </w:rPr>
        <w:t xml:space="preserve"> Th</w:t>
      </w:r>
      <w:r w:rsidR="00E42548">
        <w:rPr>
          <w:sz w:val="20"/>
          <w:szCs w:val="20"/>
          <w:lang w:val="en-GB"/>
        </w:rPr>
        <w:t>e present report</w:t>
      </w:r>
      <w:r w:rsidR="0051125F">
        <w:rPr>
          <w:sz w:val="20"/>
          <w:szCs w:val="20"/>
          <w:lang w:val="en-GB"/>
        </w:rPr>
        <w:t xml:space="preserve"> has been prepared in response to that deci</w:t>
      </w:r>
      <w:r w:rsidR="00CD1A32">
        <w:rPr>
          <w:sz w:val="20"/>
          <w:szCs w:val="20"/>
          <w:lang w:val="en-GB"/>
        </w:rPr>
        <w:t>sion.</w:t>
      </w:r>
    </w:p>
    <w:p w14:paraId="075D2E03" w14:textId="754C6167" w:rsidR="005D3A5A" w:rsidRDefault="00CB6184" w:rsidP="00D759D4">
      <w:pPr>
        <w:pStyle w:val="NormalWeb"/>
        <w:numPr>
          <w:ilvl w:val="0"/>
          <w:numId w:val="41"/>
        </w:numPr>
        <w:tabs>
          <w:tab w:val="left" w:pos="270"/>
        </w:tabs>
        <w:spacing w:before="0" w:beforeAutospacing="0" w:after="0" w:afterAutospacing="0"/>
        <w:ind w:left="-180" w:right="-169" w:firstLine="0"/>
        <w:jc w:val="both"/>
        <w:rPr>
          <w:sz w:val="20"/>
          <w:szCs w:val="20"/>
          <w:lang w:val="en-GB"/>
        </w:rPr>
      </w:pPr>
      <w:r w:rsidRPr="00231BE9">
        <w:rPr>
          <w:sz w:val="20"/>
          <w:szCs w:val="20"/>
          <w:lang w:val="en-GB"/>
        </w:rPr>
        <w:t xml:space="preserve">This </w:t>
      </w:r>
      <w:r w:rsidR="001A22CD">
        <w:rPr>
          <w:sz w:val="20"/>
          <w:szCs w:val="20"/>
          <w:lang w:val="en-GB"/>
        </w:rPr>
        <w:t>r</w:t>
      </w:r>
      <w:r w:rsidR="00BC174A" w:rsidRPr="00231BE9">
        <w:rPr>
          <w:sz w:val="20"/>
          <w:szCs w:val="20"/>
          <w:lang w:val="en-GB"/>
        </w:rPr>
        <w:t>oad</w:t>
      </w:r>
      <w:r w:rsidR="006071CA">
        <w:rPr>
          <w:sz w:val="20"/>
          <w:szCs w:val="20"/>
          <w:lang w:val="en-GB"/>
        </w:rPr>
        <w:t xml:space="preserve"> </w:t>
      </w:r>
      <w:r w:rsidR="00BC174A" w:rsidRPr="00231BE9">
        <w:rPr>
          <w:sz w:val="20"/>
          <w:szCs w:val="20"/>
          <w:lang w:val="en-GB"/>
        </w:rPr>
        <w:t>map for strengthening decentrali</w:t>
      </w:r>
      <w:r w:rsidR="006071CA">
        <w:rPr>
          <w:sz w:val="20"/>
          <w:szCs w:val="20"/>
          <w:lang w:val="en-GB"/>
        </w:rPr>
        <w:t>z</w:t>
      </w:r>
      <w:r w:rsidR="00BC174A" w:rsidRPr="00231BE9">
        <w:rPr>
          <w:sz w:val="20"/>
          <w:szCs w:val="20"/>
          <w:lang w:val="en-GB"/>
        </w:rPr>
        <w:t xml:space="preserve">ed evaluations in UNDP </w:t>
      </w:r>
      <w:r w:rsidRPr="00231BE9">
        <w:rPr>
          <w:sz w:val="20"/>
          <w:szCs w:val="20"/>
          <w:lang w:val="en-GB"/>
        </w:rPr>
        <w:t>provid</w:t>
      </w:r>
      <w:r w:rsidR="00CD1A32">
        <w:rPr>
          <w:sz w:val="20"/>
          <w:szCs w:val="20"/>
          <w:lang w:val="en-GB"/>
        </w:rPr>
        <w:t xml:space="preserve">es </w:t>
      </w:r>
      <w:r w:rsidRPr="00231BE9">
        <w:rPr>
          <w:sz w:val="20"/>
          <w:szCs w:val="20"/>
          <w:lang w:val="en-GB"/>
        </w:rPr>
        <w:t xml:space="preserve">a </w:t>
      </w:r>
      <w:r w:rsidR="00CD1A32">
        <w:rPr>
          <w:sz w:val="20"/>
          <w:szCs w:val="20"/>
          <w:lang w:val="en-GB"/>
        </w:rPr>
        <w:t xml:space="preserve">plan </w:t>
      </w:r>
      <w:r w:rsidRPr="00231BE9">
        <w:rPr>
          <w:sz w:val="20"/>
          <w:szCs w:val="20"/>
          <w:lang w:val="en-GB"/>
        </w:rPr>
        <w:t xml:space="preserve">of action to be implemented in </w:t>
      </w:r>
      <w:r w:rsidR="00CD1A32">
        <w:rPr>
          <w:sz w:val="20"/>
          <w:szCs w:val="20"/>
          <w:lang w:val="en-GB"/>
        </w:rPr>
        <w:t xml:space="preserve">conjunction with </w:t>
      </w:r>
      <w:r w:rsidRPr="00231BE9">
        <w:rPr>
          <w:sz w:val="20"/>
          <w:szCs w:val="20"/>
          <w:lang w:val="en-GB"/>
        </w:rPr>
        <w:t xml:space="preserve">the </w:t>
      </w:r>
      <w:r w:rsidR="00CD1A32">
        <w:rPr>
          <w:sz w:val="20"/>
          <w:szCs w:val="20"/>
          <w:lang w:val="en-GB"/>
        </w:rPr>
        <w:t>S</w:t>
      </w:r>
      <w:r w:rsidRPr="00231BE9">
        <w:rPr>
          <w:sz w:val="20"/>
          <w:szCs w:val="20"/>
          <w:lang w:val="en-GB"/>
        </w:rPr>
        <w:t xml:space="preserve">trategic </w:t>
      </w:r>
      <w:r w:rsidR="00CD1A32">
        <w:rPr>
          <w:sz w:val="20"/>
          <w:szCs w:val="20"/>
          <w:lang w:val="en-GB"/>
        </w:rPr>
        <w:t>P</w:t>
      </w:r>
      <w:r w:rsidRPr="00231BE9">
        <w:rPr>
          <w:sz w:val="20"/>
          <w:szCs w:val="20"/>
          <w:lang w:val="en-GB"/>
        </w:rPr>
        <w:t>lan</w:t>
      </w:r>
      <w:r w:rsidR="00CD1A32">
        <w:rPr>
          <w:sz w:val="20"/>
          <w:szCs w:val="20"/>
          <w:lang w:val="en-GB"/>
        </w:rPr>
        <w:t>,</w:t>
      </w:r>
      <w:r w:rsidR="00BC174A" w:rsidRPr="00231BE9">
        <w:rPr>
          <w:sz w:val="20"/>
          <w:szCs w:val="20"/>
          <w:lang w:val="en-GB"/>
        </w:rPr>
        <w:t xml:space="preserve"> </w:t>
      </w:r>
      <w:r w:rsidRPr="00231BE9">
        <w:rPr>
          <w:sz w:val="20"/>
          <w:szCs w:val="20"/>
          <w:lang w:val="en-GB"/>
        </w:rPr>
        <w:t xml:space="preserve">2022-2025. </w:t>
      </w:r>
      <w:r w:rsidR="00253C95">
        <w:rPr>
          <w:sz w:val="20"/>
          <w:szCs w:val="20"/>
          <w:lang w:val="en-GB"/>
        </w:rPr>
        <w:t>T</w:t>
      </w:r>
      <w:r w:rsidR="00706D95" w:rsidRPr="00231BE9">
        <w:rPr>
          <w:sz w:val="20"/>
          <w:szCs w:val="20"/>
          <w:lang w:val="en-GB"/>
        </w:rPr>
        <w:t xml:space="preserve">he actions taken during the previous </w:t>
      </w:r>
      <w:r w:rsidR="00F33C4C" w:rsidRPr="00231BE9">
        <w:rPr>
          <w:sz w:val="20"/>
          <w:szCs w:val="20"/>
          <w:lang w:val="en-GB"/>
        </w:rPr>
        <w:t>s</w:t>
      </w:r>
      <w:r w:rsidR="00706D95" w:rsidRPr="00231BE9">
        <w:rPr>
          <w:sz w:val="20"/>
          <w:szCs w:val="20"/>
          <w:lang w:val="en-GB"/>
        </w:rPr>
        <w:t xml:space="preserve">trategic </w:t>
      </w:r>
      <w:r w:rsidR="00F33C4C" w:rsidRPr="00231BE9">
        <w:rPr>
          <w:sz w:val="20"/>
          <w:szCs w:val="20"/>
          <w:lang w:val="en-GB"/>
        </w:rPr>
        <w:lastRenderedPageBreak/>
        <w:t>p</w:t>
      </w:r>
      <w:r w:rsidR="00706D95" w:rsidRPr="00231BE9">
        <w:rPr>
          <w:sz w:val="20"/>
          <w:szCs w:val="20"/>
          <w:lang w:val="en-GB"/>
        </w:rPr>
        <w:t>lan period (2018-2021) to support decentrali</w:t>
      </w:r>
      <w:r w:rsidR="00253C95">
        <w:rPr>
          <w:sz w:val="20"/>
          <w:szCs w:val="20"/>
          <w:lang w:val="en-GB"/>
        </w:rPr>
        <w:t>z</w:t>
      </w:r>
      <w:r w:rsidR="00706D95" w:rsidRPr="00231BE9">
        <w:rPr>
          <w:sz w:val="20"/>
          <w:szCs w:val="20"/>
          <w:lang w:val="en-GB"/>
        </w:rPr>
        <w:t>ed evaluation</w:t>
      </w:r>
      <w:r w:rsidR="00253C95">
        <w:rPr>
          <w:sz w:val="20"/>
          <w:szCs w:val="20"/>
          <w:lang w:val="en-GB"/>
        </w:rPr>
        <w:t>s</w:t>
      </w:r>
      <w:r w:rsidR="00706D95" w:rsidRPr="00231BE9">
        <w:rPr>
          <w:sz w:val="20"/>
          <w:szCs w:val="20"/>
          <w:lang w:val="en-GB"/>
        </w:rPr>
        <w:t xml:space="preserve"> </w:t>
      </w:r>
      <w:r w:rsidR="00C71281">
        <w:rPr>
          <w:sz w:val="20"/>
          <w:szCs w:val="20"/>
          <w:lang w:val="en-GB"/>
        </w:rPr>
        <w:t xml:space="preserve">are discussed in </w:t>
      </w:r>
      <w:r w:rsidR="00253C95">
        <w:rPr>
          <w:sz w:val="20"/>
          <w:szCs w:val="20"/>
          <w:lang w:val="en-GB"/>
        </w:rPr>
        <w:t>a</w:t>
      </w:r>
      <w:r w:rsidR="00706D95" w:rsidRPr="00231BE9">
        <w:rPr>
          <w:sz w:val="20"/>
          <w:szCs w:val="20"/>
          <w:lang w:val="en-GB"/>
        </w:rPr>
        <w:t>nnex</w:t>
      </w:r>
      <w:r w:rsidR="00F33C4C" w:rsidRPr="00231BE9">
        <w:rPr>
          <w:sz w:val="20"/>
          <w:szCs w:val="20"/>
          <w:lang w:val="en-GB"/>
        </w:rPr>
        <w:t xml:space="preserve"> I</w:t>
      </w:r>
      <w:r w:rsidR="00C71281">
        <w:rPr>
          <w:sz w:val="20"/>
          <w:szCs w:val="20"/>
          <w:lang w:val="en-GB"/>
        </w:rPr>
        <w:t xml:space="preserve"> and the financial data are </w:t>
      </w:r>
      <w:r w:rsidR="00185137">
        <w:rPr>
          <w:sz w:val="20"/>
          <w:szCs w:val="20"/>
          <w:lang w:val="en-GB"/>
        </w:rPr>
        <w:t>contained in the table</w:t>
      </w:r>
      <w:r w:rsidR="00C71281">
        <w:rPr>
          <w:sz w:val="20"/>
          <w:szCs w:val="20"/>
          <w:lang w:val="en-GB"/>
        </w:rPr>
        <w:t xml:space="preserve"> in annex II</w:t>
      </w:r>
      <w:r w:rsidR="00543F71" w:rsidRPr="00231BE9">
        <w:rPr>
          <w:sz w:val="20"/>
          <w:szCs w:val="20"/>
          <w:lang w:val="en-GB"/>
        </w:rPr>
        <w:t>.</w:t>
      </w:r>
    </w:p>
    <w:p w14:paraId="0E419BB1" w14:textId="77777777" w:rsidR="00D759D4" w:rsidRPr="00D759D4" w:rsidRDefault="00D759D4" w:rsidP="00D759D4">
      <w:pPr>
        <w:pStyle w:val="NormalWeb"/>
        <w:tabs>
          <w:tab w:val="left" w:pos="270"/>
        </w:tabs>
        <w:spacing w:before="0" w:beforeAutospacing="0" w:after="0" w:afterAutospacing="0"/>
        <w:ind w:left="-180" w:right="-169"/>
        <w:jc w:val="both"/>
        <w:rPr>
          <w:sz w:val="22"/>
          <w:szCs w:val="22"/>
          <w:lang w:val="en-GB"/>
        </w:rPr>
      </w:pPr>
    </w:p>
    <w:p w14:paraId="159427DB" w14:textId="3D8B5941" w:rsidR="009670C6" w:rsidRDefault="00683D25" w:rsidP="00210A2A">
      <w:pPr>
        <w:pStyle w:val="Heading1"/>
        <w:spacing w:before="0" w:after="0"/>
        <w:jc w:val="both"/>
        <w:rPr>
          <w:rFonts w:ascii="Times New Roman" w:hAnsi="Times New Roman"/>
          <w:color w:val="auto"/>
          <w:sz w:val="20"/>
          <w:szCs w:val="20"/>
        </w:rPr>
      </w:pPr>
      <w:bookmarkStart w:id="12" w:name="_Toc97115602"/>
      <w:bookmarkStart w:id="13" w:name="_Toc97115603"/>
      <w:bookmarkStart w:id="14" w:name="_Toc97115604"/>
      <w:bookmarkEnd w:id="12"/>
      <w:bookmarkEnd w:id="13"/>
      <w:r w:rsidRPr="00D95432">
        <w:rPr>
          <w:rFonts w:ascii="Times New Roman" w:hAnsi="Times New Roman"/>
          <w:color w:val="auto"/>
          <w:sz w:val="20"/>
          <w:szCs w:val="20"/>
        </w:rPr>
        <w:t xml:space="preserve">Strengthening </w:t>
      </w:r>
      <w:r w:rsidR="00253C95">
        <w:rPr>
          <w:rFonts w:ascii="Times New Roman" w:hAnsi="Times New Roman"/>
          <w:color w:val="auto"/>
          <w:sz w:val="20"/>
          <w:szCs w:val="20"/>
        </w:rPr>
        <w:t>d</w:t>
      </w:r>
      <w:r w:rsidRPr="00D95432">
        <w:rPr>
          <w:rFonts w:ascii="Times New Roman" w:hAnsi="Times New Roman"/>
          <w:color w:val="auto"/>
          <w:sz w:val="20"/>
          <w:szCs w:val="20"/>
        </w:rPr>
        <w:t>ecentrali</w:t>
      </w:r>
      <w:r w:rsidR="00053D10">
        <w:rPr>
          <w:rFonts w:ascii="Times New Roman" w:hAnsi="Times New Roman"/>
          <w:color w:val="auto"/>
          <w:sz w:val="20"/>
          <w:szCs w:val="20"/>
        </w:rPr>
        <w:t>z</w:t>
      </w:r>
      <w:r w:rsidRPr="00D95432">
        <w:rPr>
          <w:rFonts w:ascii="Times New Roman" w:hAnsi="Times New Roman"/>
          <w:color w:val="auto"/>
          <w:sz w:val="20"/>
          <w:szCs w:val="20"/>
        </w:rPr>
        <w:t xml:space="preserve">ed </w:t>
      </w:r>
      <w:r w:rsidR="00253C95">
        <w:rPr>
          <w:rFonts w:ascii="Times New Roman" w:hAnsi="Times New Roman"/>
          <w:color w:val="auto"/>
          <w:sz w:val="20"/>
          <w:szCs w:val="20"/>
        </w:rPr>
        <w:t>e</w:t>
      </w:r>
      <w:r w:rsidRPr="00D95432">
        <w:rPr>
          <w:rFonts w:ascii="Times New Roman" w:hAnsi="Times New Roman"/>
          <w:color w:val="auto"/>
          <w:sz w:val="20"/>
          <w:szCs w:val="20"/>
        </w:rPr>
        <w:t>valuations, 2022</w:t>
      </w:r>
      <w:r w:rsidR="00253C95">
        <w:rPr>
          <w:rFonts w:ascii="Times New Roman" w:hAnsi="Times New Roman"/>
          <w:color w:val="auto"/>
          <w:sz w:val="20"/>
          <w:szCs w:val="20"/>
        </w:rPr>
        <w:t>-</w:t>
      </w:r>
      <w:r w:rsidRPr="00D95432">
        <w:rPr>
          <w:rFonts w:ascii="Times New Roman" w:hAnsi="Times New Roman"/>
          <w:color w:val="auto"/>
          <w:sz w:val="20"/>
          <w:szCs w:val="20"/>
        </w:rPr>
        <w:t>2025</w:t>
      </w:r>
      <w:bookmarkEnd w:id="14"/>
    </w:p>
    <w:p w14:paraId="51DAEE40" w14:textId="77777777" w:rsidR="009670C6" w:rsidRPr="00D95432" w:rsidRDefault="009670C6" w:rsidP="00210A2A">
      <w:pPr>
        <w:spacing w:before="0" w:after="0"/>
        <w:jc w:val="both"/>
      </w:pPr>
    </w:p>
    <w:p w14:paraId="202B051B" w14:textId="685A2A61" w:rsidR="00726F93" w:rsidRPr="00253C95" w:rsidRDefault="005E7C0C" w:rsidP="00253C95">
      <w:pPr>
        <w:pStyle w:val="NormalWeb"/>
        <w:numPr>
          <w:ilvl w:val="0"/>
          <w:numId w:val="41"/>
        </w:numPr>
        <w:tabs>
          <w:tab w:val="left" w:pos="270"/>
        </w:tabs>
        <w:spacing w:before="0" w:beforeAutospacing="0" w:after="200" w:afterAutospacing="0"/>
        <w:ind w:left="-180" w:right="-169" w:firstLine="0"/>
        <w:jc w:val="both"/>
        <w:rPr>
          <w:sz w:val="20"/>
          <w:szCs w:val="20"/>
          <w:lang w:val="en-GB"/>
        </w:rPr>
      </w:pPr>
      <w:r w:rsidRPr="00253C95">
        <w:rPr>
          <w:sz w:val="20"/>
          <w:szCs w:val="20"/>
          <w:lang w:val="en-GB"/>
        </w:rPr>
        <w:t xml:space="preserve">To further strengthen and improve </w:t>
      </w:r>
      <w:r w:rsidR="00726F93" w:rsidRPr="00253C95">
        <w:rPr>
          <w:sz w:val="20"/>
          <w:szCs w:val="20"/>
          <w:lang w:val="en-GB"/>
        </w:rPr>
        <w:t>the quality of decentrali</w:t>
      </w:r>
      <w:r w:rsidR="00253C95">
        <w:rPr>
          <w:sz w:val="20"/>
          <w:szCs w:val="20"/>
          <w:lang w:val="en-GB"/>
        </w:rPr>
        <w:t>z</w:t>
      </w:r>
      <w:r w:rsidR="00726F93" w:rsidRPr="00253C95">
        <w:rPr>
          <w:sz w:val="20"/>
          <w:szCs w:val="20"/>
          <w:lang w:val="en-GB"/>
        </w:rPr>
        <w:t>ed evaluations and improve</w:t>
      </w:r>
      <w:r w:rsidRPr="00253C95">
        <w:rPr>
          <w:sz w:val="20"/>
          <w:szCs w:val="20"/>
          <w:lang w:val="en-GB"/>
        </w:rPr>
        <w:t xml:space="preserve"> </w:t>
      </w:r>
      <w:r w:rsidR="00726F93" w:rsidRPr="00253C95">
        <w:rPr>
          <w:sz w:val="20"/>
          <w:szCs w:val="20"/>
          <w:lang w:val="en-GB"/>
        </w:rPr>
        <w:t>management</w:t>
      </w:r>
      <w:r w:rsidR="00053D10">
        <w:rPr>
          <w:sz w:val="20"/>
          <w:szCs w:val="20"/>
          <w:lang w:val="en-GB"/>
        </w:rPr>
        <w:t>,</w:t>
      </w:r>
      <w:r w:rsidR="00726F93" w:rsidRPr="00253C95">
        <w:rPr>
          <w:sz w:val="20"/>
          <w:szCs w:val="20"/>
          <w:lang w:val="en-GB"/>
        </w:rPr>
        <w:t xml:space="preserve"> oversight </w:t>
      </w:r>
      <w:r w:rsidR="00053D10">
        <w:rPr>
          <w:sz w:val="20"/>
          <w:szCs w:val="20"/>
          <w:lang w:val="en-GB"/>
        </w:rPr>
        <w:t xml:space="preserve">and </w:t>
      </w:r>
      <w:r w:rsidRPr="00253C95">
        <w:rPr>
          <w:sz w:val="20"/>
          <w:szCs w:val="20"/>
          <w:lang w:val="en-GB"/>
        </w:rPr>
        <w:t>the culture of evaluation across the organi</w:t>
      </w:r>
      <w:r w:rsidR="00053D10">
        <w:rPr>
          <w:sz w:val="20"/>
          <w:szCs w:val="20"/>
          <w:lang w:val="en-GB"/>
        </w:rPr>
        <w:t>z</w:t>
      </w:r>
      <w:r w:rsidRPr="00253C95">
        <w:rPr>
          <w:sz w:val="20"/>
          <w:szCs w:val="20"/>
          <w:lang w:val="en-GB"/>
        </w:rPr>
        <w:t>ation</w:t>
      </w:r>
      <w:r w:rsidR="00726F93" w:rsidRPr="00253C95">
        <w:rPr>
          <w:sz w:val="20"/>
          <w:szCs w:val="20"/>
          <w:lang w:val="en-GB"/>
        </w:rPr>
        <w:t xml:space="preserve">, </w:t>
      </w:r>
      <w:r w:rsidR="00216FB8" w:rsidRPr="00253C95">
        <w:rPr>
          <w:sz w:val="20"/>
          <w:szCs w:val="20"/>
          <w:lang w:val="en-GB"/>
        </w:rPr>
        <w:t xml:space="preserve">the Executive Office, </w:t>
      </w:r>
      <w:r w:rsidR="00726F93" w:rsidRPr="00253C95">
        <w:rPr>
          <w:sz w:val="20"/>
          <w:szCs w:val="20"/>
          <w:lang w:val="en-GB"/>
        </w:rPr>
        <w:t xml:space="preserve">BPPS, </w:t>
      </w:r>
      <w:r w:rsidR="00053D10">
        <w:rPr>
          <w:sz w:val="20"/>
          <w:szCs w:val="20"/>
          <w:lang w:val="en-GB"/>
        </w:rPr>
        <w:t>r</w:t>
      </w:r>
      <w:r w:rsidR="00726F93" w:rsidRPr="00253C95">
        <w:rPr>
          <w:sz w:val="20"/>
          <w:szCs w:val="20"/>
          <w:lang w:val="en-GB"/>
        </w:rPr>
        <w:t xml:space="preserve">egional </w:t>
      </w:r>
      <w:r w:rsidR="00053D10">
        <w:rPr>
          <w:sz w:val="20"/>
          <w:szCs w:val="20"/>
          <w:lang w:val="en-GB"/>
        </w:rPr>
        <w:t>b</w:t>
      </w:r>
      <w:r w:rsidR="00726F93" w:rsidRPr="00253C95">
        <w:rPr>
          <w:sz w:val="20"/>
          <w:szCs w:val="20"/>
          <w:lang w:val="en-GB"/>
        </w:rPr>
        <w:t>ureau</w:t>
      </w:r>
      <w:r w:rsidR="00053D10">
        <w:rPr>
          <w:sz w:val="20"/>
          <w:szCs w:val="20"/>
          <w:lang w:val="en-GB"/>
        </w:rPr>
        <w:t>x</w:t>
      </w:r>
      <w:r w:rsidR="00726F93" w:rsidRPr="00253C95">
        <w:rPr>
          <w:sz w:val="20"/>
          <w:szCs w:val="20"/>
          <w:lang w:val="en-GB"/>
        </w:rPr>
        <w:t xml:space="preserve"> and IEO collaborated in 2021 </w:t>
      </w:r>
      <w:r w:rsidR="00053D10">
        <w:rPr>
          <w:sz w:val="20"/>
          <w:szCs w:val="20"/>
          <w:lang w:val="en-GB"/>
        </w:rPr>
        <w:t>on the</w:t>
      </w:r>
      <w:r w:rsidR="00726F93" w:rsidRPr="00253C95">
        <w:rPr>
          <w:sz w:val="20"/>
          <w:szCs w:val="20"/>
          <w:lang w:val="en-GB"/>
        </w:rPr>
        <w:t xml:space="preserve"> develop</w:t>
      </w:r>
      <w:r w:rsidR="00053D10">
        <w:rPr>
          <w:sz w:val="20"/>
          <w:szCs w:val="20"/>
          <w:lang w:val="en-GB"/>
        </w:rPr>
        <w:t xml:space="preserve">ment of the </w:t>
      </w:r>
      <w:r w:rsidR="00726F93" w:rsidRPr="00253C95">
        <w:rPr>
          <w:sz w:val="20"/>
          <w:szCs w:val="20"/>
          <w:lang w:val="en-GB"/>
        </w:rPr>
        <w:t>road</w:t>
      </w:r>
      <w:r w:rsidR="00053D10">
        <w:rPr>
          <w:sz w:val="20"/>
          <w:szCs w:val="20"/>
          <w:lang w:val="en-GB"/>
        </w:rPr>
        <w:t xml:space="preserve"> </w:t>
      </w:r>
      <w:r w:rsidR="00726F93" w:rsidRPr="00253C95">
        <w:rPr>
          <w:sz w:val="20"/>
          <w:szCs w:val="20"/>
          <w:lang w:val="en-GB"/>
        </w:rPr>
        <w:t>map.</w:t>
      </w:r>
      <w:r w:rsidR="00887A59" w:rsidRPr="00253C95">
        <w:rPr>
          <w:sz w:val="20"/>
          <w:szCs w:val="20"/>
          <w:lang w:val="en-GB"/>
        </w:rPr>
        <w:t xml:space="preserve"> </w:t>
      </w:r>
      <w:r w:rsidR="00726F93" w:rsidRPr="00253C95">
        <w:rPr>
          <w:sz w:val="20"/>
          <w:szCs w:val="20"/>
          <w:lang w:val="en-GB"/>
        </w:rPr>
        <w:t xml:space="preserve">Approved in November 2021, the </w:t>
      </w:r>
      <w:r w:rsidR="00AA66B5" w:rsidRPr="00253C95">
        <w:rPr>
          <w:sz w:val="20"/>
          <w:szCs w:val="20"/>
          <w:lang w:val="en-GB"/>
        </w:rPr>
        <w:t>road</w:t>
      </w:r>
      <w:r w:rsidR="00053D10">
        <w:rPr>
          <w:sz w:val="20"/>
          <w:szCs w:val="20"/>
          <w:lang w:val="en-GB"/>
        </w:rPr>
        <w:t xml:space="preserve"> </w:t>
      </w:r>
      <w:r w:rsidR="00AA66B5" w:rsidRPr="00253C95">
        <w:rPr>
          <w:sz w:val="20"/>
          <w:szCs w:val="20"/>
          <w:lang w:val="en-GB"/>
        </w:rPr>
        <w:t xml:space="preserve">map </w:t>
      </w:r>
      <w:r w:rsidR="00726F93" w:rsidRPr="00253C95">
        <w:rPr>
          <w:sz w:val="20"/>
          <w:szCs w:val="20"/>
          <w:lang w:val="en-GB"/>
        </w:rPr>
        <w:t xml:space="preserve">includes implementation and </w:t>
      </w:r>
      <w:r w:rsidR="00053D10">
        <w:rPr>
          <w:sz w:val="20"/>
          <w:szCs w:val="20"/>
          <w:lang w:val="en-GB"/>
        </w:rPr>
        <w:t xml:space="preserve">enhanced </w:t>
      </w:r>
      <w:r w:rsidR="00726F93" w:rsidRPr="00253C95">
        <w:rPr>
          <w:sz w:val="20"/>
          <w:szCs w:val="20"/>
          <w:lang w:val="en-GB"/>
        </w:rPr>
        <w:t xml:space="preserve">oversight </w:t>
      </w:r>
      <w:r w:rsidR="00DB3F81">
        <w:rPr>
          <w:sz w:val="20"/>
          <w:szCs w:val="20"/>
          <w:lang w:val="en-GB"/>
        </w:rPr>
        <w:t>of</w:t>
      </w:r>
      <w:r w:rsidR="00DB3F81" w:rsidRPr="00253C95">
        <w:rPr>
          <w:sz w:val="20"/>
          <w:szCs w:val="20"/>
          <w:lang w:val="en-GB"/>
        </w:rPr>
        <w:t xml:space="preserve"> </w:t>
      </w:r>
      <w:r w:rsidR="00726F93" w:rsidRPr="00253C95">
        <w:rPr>
          <w:sz w:val="20"/>
          <w:szCs w:val="20"/>
          <w:lang w:val="en-GB"/>
        </w:rPr>
        <w:t>decentrali</w:t>
      </w:r>
      <w:r w:rsidR="00DB3F81">
        <w:rPr>
          <w:sz w:val="20"/>
          <w:szCs w:val="20"/>
          <w:lang w:val="en-GB"/>
        </w:rPr>
        <w:t>z</w:t>
      </w:r>
      <w:r w:rsidR="00726F93" w:rsidRPr="00253C95">
        <w:rPr>
          <w:sz w:val="20"/>
          <w:szCs w:val="20"/>
          <w:lang w:val="en-GB"/>
        </w:rPr>
        <w:t>ed evaluation</w:t>
      </w:r>
      <w:r w:rsidR="00AA66B5" w:rsidRPr="00253C95">
        <w:rPr>
          <w:sz w:val="20"/>
          <w:szCs w:val="20"/>
          <w:lang w:val="en-GB"/>
        </w:rPr>
        <w:t>s</w:t>
      </w:r>
      <w:r w:rsidR="00726F93" w:rsidRPr="00253C95">
        <w:rPr>
          <w:sz w:val="20"/>
          <w:szCs w:val="20"/>
          <w:lang w:val="en-GB"/>
        </w:rPr>
        <w:t xml:space="preserve"> to improve their independence, quality and use for management decision</w:t>
      </w:r>
      <w:r w:rsidR="00DB3F81">
        <w:rPr>
          <w:sz w:val="20"/>
          <w:szCs w:val="20"/>
          <w:lang w:val="en-GB"/>
        </w:rPr>
        <w:t>-</w:t>
      </w:r>
      <w:r w:rsidR="00726F93" w:rsidRPr="00253C95">
        <w:rPr>
          <w:sz w:val="20"/>
          <w:szCs w:val="20"/>
          <w:lang w:val="en-GB"/>
        </w:rPr>
        <w:t xml:space="preserve">making. </w:t>
      </w:r>
      <w:r w:rsidR="00DB3F81">
        <w:rPr>
          <w:sz w:val="20"/>
          <w:szCs w:val="20"/>
          <w:lang w:val="en-GB"/>
        </w:rPr>
        <w:t>It is expected that a</w:t>
      </w:r>
      <w:r w:rsidR="00726F93" w:rsidRPr="00253C95">
        <w:rPr>
          <w:sz w:val="20"/>
          <w:szCs w:val="20"/>
          <w:lang w:val="en-GB"/>
        </w:rPr>
        <w:t>ll elements</w:t>
      </w:r>
      <w:r w:rsidR="00D30AE0" w:rsidRPr="00253C95">
        <w:rPr>
          <w:sz w:val="20"/>
          <w:szCs w:val="20"/>
          <w:lang w:val="en-GB"/>
        </w:rPr>
        <w:t xml:space="preserve"> </w:t>
      </w:r>
      <w:r w:rsidR="00DB3F81">
        <w:rPr>
          <w:sz w:val="20"/>
          <w:szCs w:val="20"/>
          <w:lang w:val="en-GB"/>
        </w:rPr>
        <w:t xml:space="preserve">of </w:t>
      </w:r>
      <w:r w:rsidR="00D30AE0" w:rsidRPr="00253C95">
        <w:rPr>
          <w:sz w:val="20"/>
          <w:szCs w:val="20"/>
          <w:lang w:val="en-GB"/>
        </w:rPr>
        <w:t xml:space="preserve">the </w:t>
      </w:r>
      <w:r w:rsidR="00AA66B5" w:rsidRPr="00253C95">
        <w:rPr>
          <w:sz w:val="20"/>
          <w:szCs w:val="20"/>
          <w:lang w:val="en-GB"/>
        </w:rPr>
        <w:t>road</w:t>
      </w:r>
      <w:r w:rsidR="00DB3F81">
        <w:rPr>
          <w:sz w:val="20"/>
          <w:szCs w:val="20"/>
          <w:lang w:val="en-GB"/>
        </w:rPr>
        <w:t xml:space="preserve"> </w:t>
      </w:r>
      <w:r w:rsidR="00AA66B5" w:rsidRPr="00253C95">
        <w:rPr>
          <w:sz w:val="20"/>
          <w:szCs w:val="20"/>
          <w:lang w:val="en-GB"/>
        </w:rPr>
        <w:t>map</w:t>
      </w:r>
      <w:r w:rsidR="00726F93" w:rsidRPr="00253C95">
        <w:rPr>
          <w:sz w:val="20"/>
          <w:szCs w:val="20"/>
          <w:lang w:val="en-GB"/>
        </w:rPr>
        <w:t xml:space="preserve"> </w:t>
      </w:r>
      <w:r w:rsidR="00DB3F81">
        <w:rPr>
          <w:sz w:val="20"/>
          <w:szCs w:val="20"/>
          <w:lang w:val="en-GB"/>
        </w:rPr>
        <w:t>will</w:t>
      </w:r>
      <w:r w:rsidR="00D30AE0" w:rsidRPr="00253C95">
        <w:rPr>
          <w:sz w:val="20"/>
          <w:szCs w:val="20"/>
          <w:lang w:val="en-GB"/>
        </w:rPr>
        <w:t xml:space="preserve"> be</w:t>
      </w:r>
      <w:r w:rsidR="00726F93" w:rsidRPr="00253C95">
        <w:rPr>
          <w:sz w:val="20"/>
          <w:szCs w:val="20"/>
          <w:lang w:val="en-GB"/>
        </w:rPr>
        <w:t xml:space="preserve"> undertaken in collaboration between the</w:t>
      </w:r>
      <w:r w:rsidR="00DB3F81">
        <w:rPr>
          <w:sz w:val="20"/>
          <w:szCs w:val="20"/>
          <w:lang w:val="en-GB"/>
        </w:rPr>
        <w:t xml:space="preserve"> above-mentioned </w:t>
      </w:r>
      <w:r w:rsidR="002C3614">
        <w:rPr>
          <w:sz w:val="20"/>
          <w:szCs w:val="20"/>
          <w:lang w:val="en-GB"/>
        </w:rPr>
        <w:t xml:space="preserve">entities </w:t>
      </w:r>
      <w:r w:rsidR="00DB3F81">
        <w:rPr>
          <w:sz w:val="20"/>
          <w:szCs w:val="20"/>
          <w:lang w:val="en-GB"/>
        </w:rPr>
        <w:t>throughout</w:t>
      </w:r>
      <w:r w:rsidR="00726F93" w:rsidRPr="00253C95">
        <w:rPr>
          <w:sz w:val="20"/>
          <w:szCs w:val="20"/>
          <w:lang w:val="en-GB"/>
        </w:rPr>
        <w:t xml:space="preserve"> 2022, </w:t>
      </w:r>
      <w:r w:rsidR="002C3614">
        <w:rPr>
          <w:sz w:val="20"/>
          <w:szCs w:val="20"/>
          <w:lang w:val="en-GB"/>
        </w:rPr>
        <w:t>layin</w:t>
      </w:r>
      <w:r w:rsidR="00465E0E">
        <w:rPr>
          <w:sz w:val="20"/>
          <w:szCs w:val="20"/>
          <w:lang w:val="en-GB"/>
        </w:rPr>
        <w:t>g</w:t>
      </w:r>
      <w:r w:rsidR="002C3614">
        <w:rPr>
          <w:sz w:val="20"/>
          <w:szCs w:val="20"/>
          <w:lang w:val="en-GB"/>
        </w:rPr>
        <w:t xml:space="preserve"> </w:t>
      </w:r>
      <w:r w:rsidR="00726F93" w:rsidRPr="00253C95">
        <w:rPr>
          <w:sz w:val="20"/>
          <w:szCs w:val="20"/>
          <w:lang w:val="en-GB"/>
        </w:rPr>
        <w:t>a foundation for oversight and continuous strengthening of the decentrali</w:t>
      </w:r>
      <w:r w:rsidR="00DB3F81">
        <w:rPr>
          <w:sz w:val="20"/>
          <w:szCs w:val="20"/>
          <w:lang w:val="en-GB"/>
        </w:rPr>
        <w:t>z</w:t>
      </w:r>
      <w:r w:rsidR="00726F93" w:rsidRPr="00253C95">
        <w:rPr>
          <w:sz w:val="20"/>
          <w:szCs w:val="20"/>
          <w:lang w:val="en-GB"/>
        </w:rPr>
        <w:t xml:space="preserve">ed evaluation function. This </w:t>
      </w:r>
      <w:r w:rsidR="00D30AE0" w:rsidRPr="00253C95">
        <w:rPr>
          <w:sz w:val="20"/>
          <w:szCs w:val="20"/>
          <w:lang w:val="en-GB"/>
        </w:rPr>
        <w:t>paper</w:t>
      </w:r>
      <w:r w:rsidR="00726F93" w:rsidRPr="00253C95">
        <w:rPr>
          <w:sz w:val="20"/>
          <w:szCs w:val="20"/>
          <w:lang w:val="en-GB"/>
        </w:rPr>
        <w:t xml:space="preserve"> outlines these action points along with additional support which has emerged from the discussions and strategies developed by </w:t>
      </w:r>
      <w:r w:rsidR="00D30AE0" w:rsidRPr="00253C95">
        <w:rPr>
          <w:sz w:val="20"/>
          <w:szCs w:val="20"/>
          <w:lang w:val="en-GB"/>
        </w:rPr>
        <w:t>the programme and policy b</w:t>
      </w:r>
      <w:r w:rsidR="00726F93" w:rsidRPr="00253C95">
        <w:rPr>
          <w:sz w:val="20"/>
          <w:szCs w:val="20"/>
          <w:lang w:val="en-GB"/>
        </w:rPr>
        <w:t>ureau</w:t>
      </w:r>
      <w:r w:rsidR="00DB3F81">
        <w:rPr>
          <w:sz w:val="20"/>
          <w:szCs w:val="20"/>
          <w:lang w:val="en-GB"/>
        </w:rPr>
        <w:t>x</w:t>
      </w:r>
      <w:r w:rsidR="00726F93" w:rsidRPr="00253C95">
        <w:rPr>
          <w:sz w:val="20"/>
          <w:szCs w:val="20"/>
          <w:lang w:val="en-GB"/>
        </w:rPr>
        <w:t>.</w:t>
      </w:r>
    </w:p>
    <w:p w14:paraId="4C81A3C9" w14:textId="7234286C" w:rsidR="009670C6" w:rsidRPr="00253C95" w:rsidRDefault="00726F93" w:rsidP="00253C95">
      <w:pPr>
        <w:pStyle w:val="NormalWeb"/>
        <w:numPr>
          <w:ilvl w:val="0"/>
          <w:numId w:val="41"/>
        </w:numPr>
        <w:tabs>
          <w:tab w:val="left" w:pos="270"/>
        </w:tabs>
        <w:spacing w:before="0" w:beforeAutospacing="0" w:after="200" w:afterAutospacing="0"/>
        <w:ind w:left="-180" w:right="-169" w:firstLine="0"/>
        <w:jc w:val="both"/>
        <w:rPr>
          <w:sz w:val="20"/>
          <w:szCs w:val="20"/>
          <w:lang w:val="en-GB"/>
        </w:rPr>
      </w:pPr>
      <w:r w:rsidRPr="00253C95">
        <w:rPr>
          <w:sz w:val="20"/>
          <w:szCs w:val="20"/>
          <w:lang w:val="en-GB"/>
        </w:rPr>
        <w:t>When considering ways to strengthen the decentrali</w:t>
      </w:r>
      <w:r w:rsidR="00DB3F81">
        <w:rPr>
          <w:sz w:val="20"/>
          <w:szCs w:val="20"/>
          <w:lang w:val="en-GB"/>
        </w:rPr>
        <w:t>z</w:t>
      </w:r>
      <w:r w:rsidRPr="00253C95">
        <w:rPr>
          <w:sz w:val="20"/>
          <w:szCs w:val="20"/>
          <w:lang w:val="en-GB"/>
        </w:rPr>
        <w:t>ed evaluation function at UNDP, it is useful to delineate two sets of inte</w:t>
      </w:r>
      <w:r w:rsidR="00E6410D" w:rsidRPr="00253C95">
        <w:rPr>
          <w:sz w:val="20"/>
          <w:szCs w:val="20"/>
          <w:lang w:val="en-GB"/>
        </w:rPr>
        <w:t>rrelated pillars:</w:t>
      </w:r>
      <w:r w:rsidRPr="00253C95">
        <w:rPr>
          <w:sz w:val="20"/>
          <w:szCs w:val="20"/>
          <w:lang w:val="en-GB"/>
        </w:rPr>
        <w:t xml:space="preserve"> </w:t>
      </w:r>
      <w:r w:rsidR="00DB3F81">
        <w:rPr>
          <w:sz w:val="20"/>
          <w:szCs w:val="20"/>
          <w:lang w:val="en-GB"/>
        </w:rPr>
        <w:t>(a</w:t>
      </w:r>
      <w:r w:rsidRPr="00253C95">
        <w:rPr>
          <w:sz w:val="20"/>
          <w:szCs w:val="20"/>
          <w:lang w:val="en-GB"/>
        </w:rPr>
        <w:t xml:space="preserve">) implementation, </w:t>
      </w:r>
      <w:r w:rsidR="00313A96" w:rsidRPr="00253C95">
        <w:rPr>
          <w:sz w:val="20"/>
          <w:szCs w:val="20"/>
          <w:lang w:val="en-GB"/>
        </w:rPr>
        <w:t>independence</w:t>
      </w:r>
      <w:r w:rsidRPr="00253C95">
        <w:rPr>
          <w:sz w:val="20"/>
          <w:szCs w:val="20"/>
          <w:lang w:val="en-GB"/>
        </w:rPr>
        <w:t xml:space="preserve"> and quality; and </w:t>
      </w:r>
      <w:r w:rsidR="00DB3F81">
        <w:rPr>
          <w:sz w:val="20"/>
          <w:szCs w:val="20"/>
          <w:lang w:val="en-GB"/>
        </w:rPr>
        <w:t>(b</w:t>
      </w:r>
      <w:r w:rsidRPr="00253C95">
        <w:rPr>
          <w:sz w:val="20"/>
          <w:szCs w:val="20"/>
          <w:lang w:val="en-GB"/>
        </w:rPr>
        <w:t>) accountability and use.</w:t>
      </w:r>
      <w:r w:rsidR="00630F31" w:rsidRPr="00253C95">
        <w:rPr>
          <w:sz w:val="20"/>
          <w:szCs w:val="20"/>
          <w:lang w:val="en-GB"/>
        </w:rPr>
        <w:t xml:space="preserve"> The action items listed below include </w:t>
      </w:r>
      <w:r w:rsidR="003C4A46">
        <w:rPr>
          <w:sz w:val="20"/>
          <w:szCs w:val="20"/>
          <w:lang w:val="en-GB"/>
        </w:rPr>
        <w:t xml:space="preserve">the </w:t>
      </w:r>
      <w:r w:rsidR="00630F31" w:rsidRPr="00253C95">
        <w:rPr>
          <w:sz w:val="20"/>
          <w:szCs w:val="20"/>
          <w:lang w:val="en-GB"/>
        </w:rPr>
        <w:t>responsible bureau</w:t>
      </w:r>
      <w:r w:rsidR="003C4A46">
        <w:rPr>
          <w:sz w:val="20"/>
          <w:szCs w:val="20"/>
          <w:lang w:val="en-GB"/>
        </w:rPr>
        <w:t>x</w:t>
      </w:r>
      <w:r w:rsidR="00630F31" w:rsidRPr="00253C95">
        <w:rPr>
          <w:sz w:val="20"/>
          <w:szCs w:val="20"/>
          <w:lang w:val="en-GB"/>
        </w:rPr>
        <w:t xml:space="preserve"> and </w:t>
      </w:r>
      <w:r w:rsidR="003C4A46">
        <w:rPr>
          <w:sz w:val="20"/>
          <w:szCs w:val="20"/>
          <w:lang w:val="en-GB"/>
        </w:rPr>
        <w:t xml:space="preserve">the </w:t>
      </w:r>
      <w:r w:rsidR="00630F31" w:rsidRPr="00253C95">
        <w:rPr>
          <w:sz w:val="20"/>
          <w:szCs w:val="20"/>
          <w:lang w:val="en-GB"/>
        </w:rPr>
        <w:t>timeline</w:t>
      </w:r>
      <w:r w:rsidR="00185137">
        <w:rPr>
          <w:sz w:val="20"/>
          <w:szCs w:val="20"/>
          <w:lang w:val="en-GB"/>
        </w:rPr>
        <w:t>s</w:t>
      </w:r>
      <w:r w:rsidR="00630F31" w:rsidRPr="00253C95">
        <w:rPr>
          <w:sz w:val="20"/>
          <w:szCs w:val="20"/>
          <w:lang w:val="en-GB"/>
        </w:rPr>
        <w:t xml:space="preserve"> for completion.  </w:t>
      </w:r>
      <w:r w:rsidRPr="00253C95">
        <w:rPr>
          <w:sz w:val="20"/>
          <w:szCs w:val="20"/>
          <w:lang w:val="en-GB"/>
        </w:rPr>
        <w:t xml:space="preserve"> </w:t>
      </w:r>
    </w:p>
    <w:p w14:paraId="2420A4FB" w14:textId="176FC970" w:rsidR="00706D95" w:rsidRDefault="00706D95" w:rsidP="00210A2A">
      <w:pPr>
        <w:spacing w:before="0" w:after="0" w:line="240" w:lineRule="auto"/>
        <w:jc w:val="both"/>
        <w:rPr>
          <w:rFonts w:ascii="Times New Roman" w:hAnsi="Times New Roman"/>
          <w:sz w:val="20"/>
          <w:szCs w:val="20"/>
        </w:rPr>
      </w:pPr>
    </w:p>
    <w:p w14:paraId="711719EB" w14:textId="3FEACBC7" w:rsidR="006A6466" w:rsidRDefault="00E6410D" w:rsidP="00436A54">
      <w:pPr>
        <w:pStyle w:val="Heading1"/>
        <w:numPr>
          <w:ilvl w:val="0"/>
          <w:numId w:val="0"/>
        </w:numPr>
        <w:spacing w:before="0" w:after="0"/>
        <w:ind w:hanging="180"/>
        <w:jc w:val="both"/>
        <w:rPr>
          <w:rFonts w:ascii="Times New Roman" w:hAnsi="Times New Roman"/>
          <w:color w:val="000000" w:themeColor="text1"/>
          <w:sz w:val="20"/>
          <w:szCs w:val="20"/>
        </w:rPr>
      </w:pPr>
      <w:bookmarkStart w:id="15" w:name="_Toc97115605"/>
      <w:r>
        <w:rPr>
          <w:rFonts w:ascii="Times New Roman" w:hAnsi="Times New Roman"/>
          <w:color w:val="000000" w:themeColor="text1"/>
          <w:sz w:val="20"/>
          <w:szCs w:val="20"/>
        </w:rPr>
        <w:t>Pillar</w:t>
      </w:r>
      <w:r w:rsidR="00FE3614" w:rsidRPr="005D3A5A">
        <w:rPr>
          <w:rFonts w:ascii="Times New Roman" w:hAnsi="Times New Roman"/>
          <w:color w:val="000000" w:themeColor="text1"/>
          <w:sz w:val="20"/>
          <w:szCs w:val="20"/>
        </w:rPr>
        <w:t xml:space="preserve"> 1</w:t>
      </w:r>
      <w:r w:rsidR="003C4A46">
        <w:rPr>
          <w:rFonts w:ascii="Times New Roman" w:hAnsi="Times New Roman"/>
          <w:color w:val="000000" w:themeColor="text1"/>
          <w:sz w:val="20"/>
          <w:szCs w:val="20"/>
        </w:rPr>
        <w:t>.</w:t>
      </w:r>
      <w:r w:rsidR="00FE3614" w:rsidRPr="005D3A5A">
        <w:rPr>
          <w:rFonts w:ascii="Times New Roman" w:hAnsi="Times New Roman"/>
          <w:color w:val="000000" w:themeColor="text1"/>
          <w:sz w:val="20"/>
          <w:szCs w:val="20"/>
        </w:rPr>
        <w:t xml:space="preserve"> </w:t>
      </w:r>
      <w:r w:rsidR="00141325" w:rsidRPr="005D3A5A">
        <w:rPr>
          <w:rFonts w:ascii="Times New Roman" w:hAnsi="Times New Roman"/>
          <w:color w:val="000000" w:themeColor="text1"/>
          <w:sz w:val="20"/>
          <w:szCs w:val="20"/>
        </w:rPr>
        <w:t xml:space="preserve">Implementation, </w:t>
      </w:r>
      <w:r w:rsidR="003C4A46" w:rsidRPr="005D3A5A">
        <w:rPr>
          <w:rFonts w:ascii="Times New Roman" w:hAnsi="Times New Roman"/>
          <w:color w:val="000000" w:themeColor="text1"/>
          <w:sz w:val="20"/>
          <w:szCs w:val="20"/>
        </w:rPr>
        <w:t>independence and quality</w:t>
      </w:r>
      <w:bookmarkEnd w:id="15"/>
      <w:r w:rsidR="003C4A46" w:rsidRPr="005D3A5A">
        <w:rPr>
          <w:rFonts w:ascii="Times New Roman" w:hAnsi="Times New Roman"/>
          <w:color w:val="000000" w:themeColor="text1"/>
          <w:sz w:val="20"/>
          <w:szCs w:val="20"/>
        </w:rPr>
        <w:t xml:space="preserve"> </w:t>
      </w:r>
    </w:p>
    <w:p w14:paraId="20A3736F" w14:textId="172D293C" w:rsidR="006A6466" w:rsidRPr="00313A96" w:rsidRDefault="006A6466" w:rsidP="00210A2A">
      <w:pPr>
        <w:pStyle w:val="Heading1"/>
        <w:numPr>
          <w:ilvl w:val="0"/>
          <w:numId w:val="0"/>
        </w:numPr>
        <w:spacing w:before="0" w:after="0" w:line="240" w:lineRule="auto"/>
        <w:ind w:left="360" w:hanging="360"/>
        <w:jc w:val="both"/>
        <w:rPr>
          <w:b w:val="0"/>
          <w:bCs w:val="0"/>
          <w:sz w:val="22"/>
          <w:szCs w:val="22"/>
        </w:rPr>
      </w:pPr>
    </w:p>
    <w:p w14:paraId="1635DE06" w14:textId="50397DA4" w:rsidR="0006647F" w:rsidRPr="003C4A46" w:rsidRDefault="003C4A46" w:rsidP="003C4A46">
      <w:pPr>
        <w:pStyle w:val="NormalWeb"/>
        <w:numPr>
          <w:ilvl w:val="0"/>
          <w:numId w:val="41"/>
        </w:numPr>
        <w:tabs>
          <w:tab w:val="left" w:pos="270"/>
        </w:tabs>
        <w:spacing w:before="0" w:beforeAutospacing="0" w:after="200" w:afterAutospacing="0"/>
        <w:ind w:left="-180" w:right="-169" w:firstLine="0"/>
        <w:jc w:val="both"/>
        <w:rPr>
          <w:sz w:val="20"/>
          <w:szCs w:val="20"/>
          <w:lang w:val="en-GB"/>
        </w:rPr>
      </w:pPr>
      <w:r w:rsidRPr="002C3614">
        <w:rPr>
          <w:b/>
          <w:bCs/>
          <w:sz w:val="20"/>
          <w:szCs w:val="20"/>
          <w:lang w:val="en-GB"/>
        </w:rPr>
        <w:t>Strategy for strengthening d</w:t>
      </w:r>
      <w:r w:rsidR="0006647F" w:rsidRPr="002C3614">
        <w:rPr>
          <w:b/>
          <w:bCs/>
          <w:sz w:val="20"/>
          <w:szCs w:val="20"/>
          <w:lang w:val="en-GB"/>
        </w:rPr>
        <w:t xml:space="preserve">ecentralized </w:t>
      </w:r>
      <w:r w:rsidRPr="002C3614">
        <w:rPr>
          <w:b/>
          <w:bCs/>
          <w:sz w:val="20"/>
          <w:szCs w:val="20"/>
          <w:lang w:val="en-GB"/>
        </w:rPr>
        <w:t>e</w:t>
      </w:r>
      <w:r w:rsidR="0006647F" w:rsidRPr="002C3614">
        <w:rPr>
          <w:b/>
          <w:bCs/>
          <w:sz w:val="20"/>
          <w:szCs w:val="20"/>
          <w:lang w:val="en-GB"/>
        </w:rPr>
        <w:t>valuation</w:t>
      </w:r>
      <w:r w:rsidRPr="002C3614">
        <w:rPr>
          <w:b/>
          <w:bCs/>
          <w:sz w:val="20"/>
          <w:szCs w:val="20"/>
          <w:lang w:val="en-GB"/>
        </w:rPr>
        <w:t>s</w:t>
      </w:r>
      <w:r w:rsidR="0006647F" w:rsidRPr="002C3614">
        <w:rPr>
          <w:b/>
          <w:bCs/>
          <w:sz w:val="20"/>
          <w:szCs w:val="20"/>
          <w:lang w:val="en-GB"/>
        </w:rPr>
        <w:t xml:space="preserve"> (</w:t>
      </w:r>
      <w:r w:rsidRPr="002C3614">
        <w:rPr>
          <w:b/>
          <w:bCs/>
          <w:sz w:val="20"/>
          <w:szCs w:val="20"/>
          <w:lang w:val="en-GB"/>
        </w:rPr>
        <w:t>regional b</w:t>
      </w:r>
      <w:r w:rsidR="00487344" w:rsidRPr="002C3614">
        <w:rPr>
          <w:b/>
          <w:bCs/>
          <w:sz w:val="20"/>
          <w:szCs w:val="20"/>
          <w:lang w:val="en-GB"/>
        </w:rPr>
        <w:t>ureaux</w:t>
      </w:r>
      <w:r w:rsidR="0031099C" w:rsidRPr="002C3614">
        <w:rPr>
          <w:b/>
          <w:bCs/>
          <w:sz w:val="20"/>
          <w:szCs w:val="20"/>
          <w:lang w:val="en-GB"/>
        </w:rPr>
        <w:t xml:space="preserve"> and</w:t>
      </w:r>
      <w:r w:rsidR="00722A03" w:rsidRPr="002C3614">
        <w:rPr>
          <w:b/>
          <w:bCs/>
          <w:sz w:val="20"/>
          <w:szCs w:val="20"/>
          <w:lang w:val="en-GB"/>
        </w:rPr>
        <w:t xml:space="preserve"> </w:t>
      </w:r>
      <w:r w:rsidR="0006647F" w:rsidRPr="002C3614">
        <w:rPr>
          <w:b/>
          <w:bCs/>
          <w:sz w:val="20"/>
          <w:szCs w:val="20"/>
          <w:lang w:val="en-GB"/>
        </w:rPr>
        <w:t>BPPS</w:t>
      </w:r>
      <w:r w:rsidR="00722A03" w:rsidRPr="002C3614">
        <w:rPr>
          <w:b/>
          <w:bCs/>
          <w:sz w:val="20"/>
          <w:szCs w:val="20"/>
          <w:lang w:val="en-GB"/>
        </w:rPr>
        <w:t>/Crisis Bureau</w:t>
      </w:r>
      <w:r w:rsidR="0006647F" w:rsidRPr="002C3614">
        <w:rPr>
          <w:b/>
          <w:bCs/>
          <w:sz w:val="20"/>
          <w:szCs w:val="20"/>
          <w:lang w:val="en-GB"/>
        </w:rPr>
        <w:t>)</w:t>
      </w:r>
      <w:r w:rsidR="0031099C" w:rsidRPr="002C3614">
        <w:rPr>
          <w:b/>
          <w:bCs/>
          <w:sz w:val="20"/>
          <w:szCs w:val="20"/>
          <w:lang w:val="en-GB"/>
        </w:rPr>
        <w:t xml:space="preserve"> 2022</w:t>
      </w:r>
      <w:r w:rsidR="000D4CE7" w:rsidRPr="002C3614">
        <w:rPr>
          <w:b/>
          <w:bCs/>
          <w:sz w:val="20"/>
          <w:szCs w:val="20"/>
          <w:lang w:val="en-GB"/>
        </w:rPr>
        <w:t>-2025</w:t>
      </w:r>
      <w:r w:rsidR="002C3614">
        <w:rPr>
          <w:sz w:val="20"/>
          <w:szCs w:val="20"/>
          <w:lang w:val="en-GB"/>
        </w:rPr>
        <w:t>.</w:t>
      </w:r>
      <w:r w:rsidR="0006647F" w:rsidRPr="003C4A46">
        <w:rPr>
          <w:sz w:val="20"/>
          <w:szCs w:val="20"/>
          <w:lang w:val="en-GB"/>
        </w:rPr>
        <w:t xml:space="preserve"> In support of </w:t>
      </w:r>
      <w:r w:rsidR="00465E0E">
        <w:rPr>
          <w:sz w:val="20"/>
          <w:szCs w:val="20"/>
          <w:lang w:val="en-GB"/>
        </w:rPr>
        <w:t xml:space="preserve">the </w:t>
      </w:r>
      <w:r w:rsidR="0006647F" w:rsidRPr="003C4A46">
        <w:rPr>
          <w:sz w:val="20"/>
          <w:szCs w:val="20"/>
          <w:lang w:val="en-GB"/>
        </w:rPr>
        <w:t xml:space="preserve">UNDP commitment to strengthening decentralized evaluations, all </w:t>
      </w:r>
      <w:r w:rsidR="0006712D" w:rsidRPr="003C4A46">
        <w:rPr>
          <w:sz w:val="20"/>
          <w:szCs w:val="20"/>
          <w:lang w:val="en-GB"/>
        </w:rPr>
        <w:t>programme and policy bureau</w:t>
      </w:r>
      <w:r w:rsidR="00465E0E">
        <w:rPr>
          <w:sz w:val="20"/>
          <w:szCs w:val="20"/>
          <w:lang w:val="en-GB"/>
        </w:rPr>
        <w:t>x</w:t>
      </w:r>
      <w:r w:rsidR="0006712D" w:rsidRPr="003C4A46">
        <w:rPr>
          <w:sz w:val="20"/>
          <w:szCs w:val="20"/>
          <w:lang w:val="en-GB"/>
        </w:rPr>
        <w:t xml:space="preserve"> (</w:t>
      </w:r>
      <w:r w:rsidR="00465E0E" w:rsidRPr="003C4A46">
        <w:rPr>
          <w:sz w:val="20"/>
          <w:szCs w:val="20"/>
          <w:lang w:val="en-GB"/>
        </w:rPr>
        <w:t>regional b</w:t>
      </w:r>
      <w:r w:rsidR="0006647F" w:rsidRPr="003C4A46">
        <w:rPr>
          <w:sz w:val="20"/>
          <w:szCs w:val="20"/>
          <w:lang w:val="en-GB"/>
        </w:rPr>
        <w:t>ureaux</w:t>
      </w:r>
      <w:r w:rsidR="0031099C" w:rsidRPr="003C4A46">
        <w:rPr>
          <w:sz w:val="20"/>
          <w:szCs w:val="20"/>
          <w:lang w:val="en-GB"/>
        </w:rPr>
        <w:t xml:space="preserve"> and</w:t>
      </w:r>
      <w:r w:rsidR="0006712D" w:rsidRPr="003C4A46">
        <w:rPr>
          <w:sz w:val="20"/>
          <w:szCs w:val="20"/>
          <w:lang w:val="en-GB"/>
        </w:rPr>
        <w:t xml:space="preserve"> </w:t>
      </w:r>
      <w:r w:rsidR="0006647F" w:rsidRPr="003C4A46">
        <w:rPr>
          <w:sz w:val="20"/>
          <w:szCs w:val="20"/>
          <w:lang w:val="en-GB"/>
        </w:rPr>
        <w:t>BPPS</w:t>
      </w:r>
      <w:r w:rsidR="0006712D" w:rsidRPr="003C4A46">
        <w:rPr>
          <w:sz w:val="20"/>
          <w:szCs w:val="20"/>
          <w:lang w:val="en-GB"/>
        </w:rPr>
        <w:t>/</w:t>
      </w:r>
      <w:r w:rsidR="0006647F" w:rsidRPr="003C4A46">
        <w:rPr>
          <w:sz w:val="20"/>
          <w:szCs w:val="20"/>
          <w:lang w:val="en-GB"/>
        </w:rPr>
        <w:t>Crisis Bureau</w:t>
      </w:r>
      <w:r w:rsidR="0006712D" w:rsidRPr="003C4A46">
        <w:rPr>
          <w:sz w:val="20"/>
          <w:szCs w:val="20"/>
          <w:lang w:val="en-GB"/>
        </w:rPr>
        <w:t>)</w:t>
      </w:r>
      <w:r w:rsidR="0006647F" w:rsidRPr="003C4A46">
        <w:rPr>
          <w:sz w:val="20"/>
          <w:szCs w:val="20"/>
          <w:lang w:val="en-GB"/>
        </w:rPr>
        <w:t xml:space="preserve"> </w:t>
      </w:r>
      <w:r w:rsidR="00F613B6" w:rsidRPr="003C4A46">
        <w:rPr>
          <w:sz w:val="20"/>
          <w:szCs w:val="20"/>
          <w:lang w:val="en-GB"/>
        </w:rPr>
        <w:t>have developed</w:t>
      </w:r>
      <w:r w:rsidR="0006647F" w:rsidRPr="003C4A46">
        <w:rPr>
          <w:sz w:val="20"/>
          <w:szCs w:val="20"/>
          <w:lang w:val="en-GB"/>
        </w:rPr>
        <w:t xml:space="preserve"> </w:t>
      </w:r>
      <w:r w:rsidR="00722A03" w:rsidRPr="003C4A46">
        <w:rPr>
          <w:sz w:val="20"/>
          <w:szCs w:val="20"/>
          <w:lang w:val="en-GB"/>
        </w:rPr>
        <w:t>bureau-</w:t>
      </w:r>
      <w:r w:rsidR="0031099C" w:rsidRPr="003C4A46">
        <w:rPr>
          <w:sz w:val="20"/>
          <w:szCs w:val="20"/>
          <w:lang w:val="en-GB"/>
        </w:rPr>
        <w:t>specific</w:t>
      </w:r>
      <w:r w:rsidR="00722A03" w:rsidRPr="003C4A46">
        <w:rPr>
          <w:sz w:val="20"/>
          <w:szCs w:val="20"/>
          <w:lang w:val="en-GB"/>
        </w:rPr>
        <w:t xml:space="preserve"> </w:t>
      </w:r>
      <w:r w:rsidR="0006647F" w:rsidRPr="003C4A46">
        <w:rPr>
          <w:sz w:val="20"/>
          <w:szCs w:val="20"/>
          <w:lang w:val="en-GB"/>
        </w:rPr>
        <w:t>strategies for implementation</w:t>
      </w:r>
      <w:r w:rsidR="00F613B6" w:rsidRPr="003C4A46">
        <w:rPr>
          <w:sz w:val="20"/>
          <w:szCs w:val="20"/>
          <w:lang w:val="en-GB"/>
        </w:rPr>
        <w:t xml:space="preserve"> starting in</w:t>
      </w:r>
      <w:r w:rsidR="0006647F" w:rsidRPr="003C4A46">
        <w:rPr>
          <w:sz w:val="20"/>
          <w:szCs w:val="20"/>
          <w:lang w:val="en-GB"/>
        </w:rPr>
        <w:t xml:space="preserve"> January 2022. The strategies contain commitments to strengthen management accountability and strategic actions</w:t>
      </w:r>
      <w:r w:rsidR="00F613B6" w:rsidRPr="003C4A46">
        <w:rPr>
          <w:sz w:val="20"/>
          <w:szCs w:val="20"/>
          <w:lang w:val="en-GB"/>
        </w:rPr>
        <w:t xml:space="preserve"> to improve the</w:t>
      </w:r>
      <w:r w:rsidR="0006647F" w:rsidRPr="003C4A46">
        <w:rPr>
          <w:sz w:val="20"/>
          <w:szCs w:val="20"/>
          <w:lang w:val="en-GB"/>
        </w:rPr>
        <w:t xml:space="preserve"> coverage, quality and use of decentralized evaluations in decision</w:t>
      </w:r>
      <w:r w:rsidR="00465E0E">
        <w:rPr>
          <w:sz w:val="20"/>
          <w:szCs w:val="20"/>
          <w:lang w:val="en-GB"/>
        </w:rPr>
        <w:t>-</w:t>
      </w:r>
      <w:r w:rsidR="0006647F" w:rsidRPr="003C4A46">
        <w:rPr>
          <w:sz w:val="20"/>
          <w:szCs w:val="20"/>
          <w:lang w:val="en-GB"/>
        </w:rPr>
        <w:t xml:space="preserve">making. </w:t>
      </w:r>
      <w:r w:rsidR="00872F59" w:rsidRPr="003C4A46">
        <w:rPr>
          <w:sz w:val="20"/>
          <w:szCs w:val="20"/>
          <w:lang w:val="en-GB"/>
        </w:rPr>
        <w:t>The strategies are being operationalized through the annual workplans of each bureau</w:t>
      </w:r>
      <w:r w:rsidR="00465E0E">
        <w:rPr>
          <w:sz w:val="20"/>
          <w:szCs w:val="20"/>
          <w:lang w:val="en-GB"/>
        </w:rPr>
        <w:t>.</w:t>
      </w:r>
      <w:r w:rsidR="00872F59" w:rsidRPr="003C4A46">
        <w:rPr>
          <w:sz w:val="20"/>
          <w:szCs w:val="20"/>
          <w:lang w:val="en-GB"/>
        </w:rPr>
        <w:t xml:space="preserve"> </w:t>
      </w:r>
      <w:r w:rsidR="0006647F" w:rsidRPr="003C4A46">
        <w:rPr>
          <w:sz w:val="20"/>
          <w:szCs w:val="20"/>
          <w:lang w:val="en-GB"/>
        </w:rPr>
        <w:t xml:space="preserve">Key performance metrics </w:t>
      </w:r>
      <w:r w:rsidR="00F613B6" w:rsidRPr="003C4A46">
        <w:rPr>
          <w:sz w:val="20"/>
          <w:szCs w:val="20"/>
          <w:lang w:val="en-GB"/>
        </w:rPr>
        <w:t xml:space="preserve">have been </w:t>
      </w:r>
      <w:r w:rsidR="0006647F" w:rsidRPr="003C4A46">
        <w:rPr>
          <w:sz w:val="20"/>
          <w:szCs w:val="20"/>
          <w:lang w:val="en-GB"/>
        </w:rPr>
        <w:t>developed for senior management to track and support the implementation of these strategies</w:t>
      </w:r>
      <w:r w:rsidR="00465E0E">
        <w:rPr>
          <w:sz w:val="20"/>
          <w:szCs w:val="20"/>
          <w:lang w:val="en-GB"/>
        </w:rPr>
        <w:t>.</w:t>
      </w:r>
      <w:r w:rsidR="00F613B6" w:rsidRPr="003C4A46">
        <w:rPr>
          <w:sz w:val="20"/>
          <w:szCs w:val="20"/>
          <w:lang w:val="en-GB"/>
        </w:rPr>
        <w:t xml:space="preserve"> </w:t>
      </w:r>
      <w:r w:rsidR="00465E0E">
        <w:rPr>
          <w:sz w:val="20"/>
          <w:szCs w:val="20"/>
          <w:lang w:val="en-GB"/>
        </w:rPr>
        <w:t>A</w:t>
      </w:r>
      <w:r w:rsidR="00F613B6" w:rsidRPr="003C4A46">
        <w:rPr>
          <w:sz w:val="20"/>
          <w:szCs w:val="20"/>
          <w:lang w:val="en-GB"/>
        </w:rPr>
        <w:t>ll bureaux are required to report quarterly on their</w:t>
      </w:r>
      <w:r w:rsidR="0006647F" w:rsidRPr="003C4A46">
        <w:rPr>
          <w:sz w:val="20"/>
          <w:szCs w:val="20"/>
          <w:lang w:val="en-GB"/>
        </w:rPr>
        <w:t xml:space="preserve"> performanc</w:t>
      </w:r>
      <w:r w:rsidR="00F613B6" w:rsidRPr="003C4A46">
        <w:rPr>
          <w:sz w:val="20"/>
          <w:szCs w:val="20"/>
          <w:lang w:val="en-GB"/>
        </w:rPr>
        <w:t xml:space="preserve">e through the established </w:t>
      </w:r>
      <w:bookmarkStart w:id="16" w:name="_Hlk101357800"/>
      <w:r w:rsidR="00D74A8F" w:rsidRPr="003C4A46">
        <w:rPr>
          <w:sz w:val="20"/>
          <w:szCs w:val="20"/>
          <w:lang w:val="en-GB"/>
        </w:rPr>
        <w:t xml:space="preserve">Organizational Performance Group </w:t>
      </w:r>
      <w:bookmarkEnd w:id="16"/>
      <w:r w:rsidR="00F613B6" w:rsidRPr="003C4A46">
        <w:rPr>
          <w:sz w:val="20"/>
          <w:szCs w:val="20"/>
          <w:lang w:val="en-GB"/>
        </w:rPr>
        <w:t>review and decision process.</w:t>
      </w:r>
    </w:p>
    <w:p w14:paraId="314A8B15" w14:textId="3D81D82A" w:rsidR="00C12DDE" w:rsidRPr="003C4A46" w:rsidRDefault="00C12DDE" w:rsidP="003C4A46">
      <w:pPr>
        <w:pStyle w:val="NormalWeb"/>
        <w:numPr>
          <w:ilvl w:val="0"/>
          <w:numId w:val="41"/>
        </w:numPr>
        <w:tabs>
          <w:tab w:val="left" w:pos="270"/>
        </w:tabs>
        <w:spacing w:before="0" w:beforeAutospacing="0" w:after="200" w:afterAutospacing="0"/>
        <w:ind w:left="-180" w:right="-169" w:firstLine="0"/>
        <w:jc w:val="both"/>
        <w:rPr>
          <w:sz w:val="20"/>
          <w:szCs w:val="20"/>
          <w:lang w:val="en-GB"/>
        </w:rPr>
      </w:pPr>
      <w:r w:rsidRPr="00465E0E">
        <w:rPr>
          <w:b/>
          <w:bCs/>
          <w:sz w:val="20"/>
          <w:szCs w:val="20"/>
          <w:lang w:val="en-GB"/>
        </w:rPr>
        <w:t>Strengthening UNDP programming tools related to evaluation (BPPS)</w:t>
      </w:r>
      <w:r w:rsidR="002675FE" w:rsidRPr="00465E0E">
        <w:rPr>
          <w:b/>
          <w:bCs/>
          <w:sz w:val="20"/>
          <w:szCs w:val="20"/>
          <w:lang w:val="en-GB"/>
        </w:rPr>
        <w:t xml:space="preserve"> 202</w:t>
      </w:r>
      <w:r w:rsidR="00C7509E" w:rsidRPr="00465E0E">
        <w:rPr>
          <w:b/>
          <w:bCs/>
          <w:sz w:val="20"/>
          <w:szCs w:val="20"/>
          <w:lang w:val="en-GB"/>
        </w:rPr>
        <w:t>1</w:t>
      </w:r>
      <w:r w:rsidR="002675FE" w:rsidRPr="00465E0E">
        <w:rPr>
          <w:b/>
          <w:bCs/>
          <w:sz w:val="20"/>
          <w:szCs w:val="20"/>
          <w:lang w:val="en-GB"/>
        </w:rPr>
        <w:t>-2025</w:t>
      </w:r>
      <w:r w:rsidR="00465E0E">
        <w:rPr>
          <w:b/>
          <w:bCs/>
          <w:sz w:val="20"/>
          <w:szCs w:val="20"/>
          <w:lang w:val="en-GB"/>
        </w:rPr>
        <w:t>.</w:t>
      </w:r>
      <w:r w:rsidRPr="003C4A46">
        <w:rPr>
          <w:sz w:val="20"/>
          <w:szCs w:val="20"/>
          <w:lang w:val="en-GB"/>
        </w:rPr>
        <w:t xml:space="preserve"> </w:t>
      </w:r>
      <w:r w:rsidR="00465E0E">
        <w:rPr>
          <w:sz w:val="20"/>
          <w:szCs w:val="20"/>
          <w:lang w:val="en-GB"/>
        </w:rPr>
        <w:t>F</w:t>
      </w:r>
      <w:r w:rsidR="0031099C" w:rsidRPr="003C4A46">
        <w:rPr>
          <w:sz w:val="20"/>
          <w:szCs w:val="20"/>
          <w:lang w:val="en-GB"/>
        </w:rPr>
        <w:t>or this strategic planning cycle</w:t>
      </w:r>
      <w:r w:rsidR="00465E0E">
        <w:rPr>
          <w:sz w:val="20"/>
          <w:szCs w:val="20"/>
          <w:lang w:val="en-GB"/>
        </w:rPr>
        <w:t xml:space="preserve">, </w:t>
      </w:r>
      <w:r w:rsidR="00465E0E" w:rsidRPr="003C4A46">
        <w:rPr>
          <w:sz w:val="20"/>
          <w:szCs w:val="20"/>
          <w:lang w:val="en-GB"/>
        </w:rPr>
        <w:t>UNDP has introduced</w:t>
      </w:r>
      <w:r w:rsidR="0031099C" w:rsidRPr="003C4A46">
        <w:rPr>
          <w:sz w:val="20"/>
          <w:szCs w:val="20"/>
          <w:lang w:val="en-GB"/>
        </w:rPr>
        <w:t xml:space="preserve"> a set of quality standards for programmes and projects, with rating procedures </w:t>
      </w:r>
      <w:r w:rsidR="004369D4">
        <w:rPr>
          <w:sz w:val="20"/>
          <w:szCs w:val="20"/>
          <w:lang w:val="en-GB"/>
        </w:rPr>
        <w:t>for the</w:t>
      </w:r>
      <w:r w:rsidR="004369D4" w:rsidRPr="003C4A46">
        <w:rPr>
          <w:sz w:val="20"/>
          <w:szCs w:val="20"/>
          <w:lang w:val="en-GB"/>
        </w:rPr>
        <w:t xml:space="preserve"> </w:t>
      </w:r>
      <w:r w:rsidR="0031099C" w:rsidRPr="003C4A46">
        <w:rPr>
          <w:sz w:val="20"/>
          <w:szCs w:val="20"/>
          <w:lang w:val="en-GB"/>
        </w:rPr>
        <w:t xml:space="preserve">design, implementation and closure stages. </w:t>
      </w:r>
      <w:r w:rsidR="00F613B6" w:rsidRPr="003C4A46">
        <w:rPr>
          <w:sz w:val="20"/>
          <w:szCs w:val="20"/>
          <w:lang w:val="en-GB"/>
        </w:rPr>
        <w:t>UNDP</w:t>
      </w:r>
      <w:r w:rsidRPr="003C4A46">
        <w:rPr>
          <w:sz w:val="20"/>
          <w:szCs w:val="20"/>
          <w:lang w:val="en-GB"/>
        </w:rPr>
        <w:t xml:space="preserve"> has updated and strengthened </w:t>
      </w:r>
      <w:r w:rsidR="00F613B6" w:rsidRPr="003C4A46">
        <w:rPr>
          <w:sz w:val="20"/>
          <w:szCs w:val="20"/>
          <w:lang w:val="en-GB"/>
        </w:rPr>
        <w:t xml:space="preserve">its </w:t>
      </w:r>
      <w:r w:rsidRPr="003C4A46">
        <w:rPr>
          <w:sz w:val="20"/>
          <w:szCs w:val="20"/>
          <w:lang w:val="en-GB"/>
        </w:rPr>
        <w:t>programming tools</w:t>
      </w:r>
      <w:r w:rsidR="00F613B6" w:rsidRPr="003C4A46">
        <w:rPr>
          <w:sz w:val="20"/>
          <w:szCs w:val="20"/>
          <w:lang w:val="en-GB"/>
        </w:rPr>
        <w:t xml:space="preserve"> so that the</w:t>
      </w:r>
      <w:r w:rsidR="00887A59" w:rsidRPr="003C4A46">
        <w:rPr>
          <w:sz w:val="20"/>
          <w:szCs w:val="20"/>
          <w:lang w:val="en-GB"/>
        </w:rPr>
        <w:t xml:space="preserve"> </w:t>
      </w:r>
      <w:r w:rsidRPr="003C4A46">
        <w:rPr>
          <w:sz w:val="20"/>
          <w:szCs w:val="20"/>
          <w:lang w:val="en-GB"/>
        </w:rPr>
        <w:t>credible evidence generated from evaluations</w:t>
      </w:r>
      <w:r w:rsidR="00F613B6" w:rsidRPr="003C4A46">
        <w:rPr>
          <w:sz w:val="20"/>
          <w:szCs w:val="20"/>
          <w:lang w:val="en-GB"/>
        </w:rPr>
        <w:t xml:space="preserve"> can be compared against</w:t>
      </w:r>
      <w:r w:rsidRPr="003C4A46">
        <w:rPr>
          <w:sz w:val="20"/>
          <w:szCs w:val="20"/>
          <w:lang w:val="en-GB"/>
        </w:rPr>
        <w:t xml:space="preserve"> key assumptions</w:t>
      </w:r>
      <w:r w:rsidR="00543234" w:rsidRPr="003C4A46">
        <w:rPr>
          <w:sz w:val="20"/>
          <w:szCs w:val="20"/>
          <w:lang w:val="en-GB"/>
        </w:rPr>
        <w:t xml:space="preserve"> and expected outcomes and outputs as established in the programme ‘</w:t>
      </w:r>
      <w:r w:rsidRPr="003C4A46">
        <w:rPr>
          <w:sz w:val="20"/>
          <w:szCs w:val="20"/>
          <w:lang w:val="en-GB"/>
        </w:rPr>
        <w:t>theory of change</w:t>
      </w:r>
      <w:r w:rsidR="00543234" w:rsidRPr="003C4A46">
        <w:rPr>
          <w:sz w:val="20"/>
          <w:szCs w:val="20"/>
          <w:lang w:val="en-GB"/>
        </w:rPr>
        <w:t>’</w:t>
      </w:r>
      <w:r w:rsidRPr="003C4A46">
        <w:rPr>
          <w:sz w:val="20"/>
          <w:szCs w:val="20"/>
          <w:lang w:val="en-GB"/>
        </w:rPr>
        <w:t xml:space="preserve">. </w:t>
      </w:r>
      <w:r w:rsidR="001B7718">
        <w:rPr>
          <w:sz w:val="20"/>
          <w:szCs w:val="20"/>
          <w:lang w:val="en-GB"/>
        </w:rPr>
        <w:t>T</w:t>
      </w:r>
      <w:r w:rsidRPr="003C4A46">
        <w:rPr>
          <w:sz w:val="20"/>
          <w:szCs w:val="20"/>
          <w:lang w:val="en-GB"/>
        </w:rPr>
        <w:t xml:space="preserve">hese standards </w:t>
      </w:r>
      <w:r w:rsidR="004369D4">
        <w:rPr>
          <w:sz w:val="20"/>
          <w:szCs w:val="20"/>
          <w:lang w:val="en-GB"/>
        </w:rPr>
        <w:t xml:space="preserve">are used to </w:t>
      </w:r>
      <w:r w:rsidRPr="003C4A46">
        <w:rPr>
          <w:sz w:val="20"/>
          <w:szCs w:val="20"/>
          <w:lang w:val="en-GB"/>
        </w:rPr>
        <w:t>rate the explicit use of evaluation, with appropriate referencing, in programme and project design and availability of fully costed evaluation plans. For ongoing projects, the standards look at the use of evaluation in decision-making and the quality of decentralized evaluations.</w:t>
      </w:r>
      <w:r w:rsidR="00FB0865" w:rsidRPr="003C4A46">
        <w:rPr>
          <w:sz w:val="20"/>
          <w:szCs w:val="20"/>
          <w:lang w:val="en-GB"/>
        </w:rPr>
        <w:t xml:space="preserve"> </w:t>
      </w:r>
      <w:r w:rsidR="000C0B1E" w:rsidRPr="003C4A46">
        <w:rPr>
          <w:sz w:val="20"/>
          <w:szCs w:val="20"/>
          <w:lang w:val="en-GB"/>
        </w:rPr>
        <w:t xml:space="preserve">In 2022-2025, UNDP will enhance the use of those programming tools to ensure </w:t>
      </w:r>
      <w:r w:rsidR="009C0A36" w:rsidRPr="003C4A46">
        <w:rPr>
          <w:sz w:val="20"/>
          <w:szCs w:val="20"/>
          <w:lang w:val="en-GB"/>
        </w:rPr>
        <w:t xml:space="preserve">that lessons from past evaluations are used for programme and project design, and </w:t>
      </w:r>
      <w:r w:rsidR="00E310AF">
        <w:rPr>
          <w:sz w:val="20"/>
          <w:szCs w:val="20"/>
          <w:lang w:val="en-GB"/>
        </w:rPr>
        <w:t xml:space="preserve">that </w:t>
      </w:r>
      <w:r w:rsidR="009C0A36" w:rsidRPr="003C4A46">
        <w:rPr>
          <w:sz w:val="20"/>
          <w:szCs w:val="20"/>
          <w:lang w:val="en-GB"/>
        </w:rPr>
        <w:t xml:space="preserve">programmes and projects produce evaluable evidence.  </w:t>
      </w:r>
    </w:p>
    <w:p w14:paraId="1484CEC4" w14:textId="6618B6FC" w:rsidR="00DA5699" w:rsidRPr="003C4A46" w:rsidRDefault="00DA5699" w:rsidP="003C4A46">
      <w:pPr>
        <w:pStyle w:val="NormalWeb"/>
        <w:numPr>
          <w:ilvl w:val="0"/>
          <w:numId w:val="41"/>
        </w:numPr>
        <w:tabs>
          <w:tab w:val="left" w:pos="270"/>
        </w:tabs>
        <w:spacing w:before="0" w:beforeAutospacing="0" w:after="200" w:afterAutospacing="0"/>
        <w:ind w:left="-180" w:right="-169" w:firstLine="0"/>
        <w:jc w:val="both"/>
        <w:rPr>
          <w:sz w:val="20"/>
          <w:szCs w:val="20"/>
          <w:lang w:val="en-GB"/>
        </w:rPr>
      </w:pPr>
      <w:r w:rsidRPr="004369D4">
        <w:rPr>
          <w:b/>
          <w:bCs/>
          <w:sz w:val="20"/>
          <w:szCs w:val="20"/>
          <w:lang w:val="en-GB"/>
        </w:rPr>
        <w:t xml:space="preserve">Enhanced quality assurance </w:t>
      </w:r>
      <w:r w:rsidR="006343D8" w:rsidRPr="004369D4">
        <w:rPr>
          <w:b/>
          <w:bCs/>
          <w:sz w:val="20"/>
          <w:szCs w:val="20"/>
          <w:lang w:val="en-GB"/>
        </w:rPr>
        <w:t xml:space="preserve">and completion </w:t>
      </w:r>
      <w:r w:rsidRPr="004369D4">
        <w:rPr>
          <w:b/>
          <w:bCs/>
          <w:sz w:val="20"/>
          <w:szCs w:val="20"/>
          <w:lang w:val="en-GB"/>
        </w:rPr>
        <w:t>of evaluation plans (BPPS</w:t>
      </w:r>
      <w:r w:rsidR="006343D8" w:rsidRPr="004369D4">
        <w:rPr>
          <w:b/>
          <w:bCs/>
          <w:sz w:val="20"/>
          <w:szCs w:val="20"/>
          <w:lang w:val="en-GB"/>
        </w:rPr>
        <w:t>)</w:t>
      </w:r>
      <w:r w:rsidR="000D4CE7" w:rsidRPr="004369D4">
        <w:rPr>
          <w:b/>
          <w:bCs/>
          <w:sz w:val="20"/>
          <w:szCs w:val="20"/>
          <w:lang w:val="en-GB"/>
        </w:rPr>
        <w:t xml:space="preserve"> 202</w:t>
      </w:r>
      <w:r w:rsidR="00C7509E" w:rsidRPr="004369D4">
        <w:rPr>
          <w:b/>
          <w:bCs/>
          <w:sz w:val="20"/>
          <w:szCs w:val="20"/>
          <w:lang w:val="en-GB"/>
        </w:rPr>
        <w:t>1</w:t>
      </w:r>
      <w:r w:rsidR="000D4CE7" w:rsidRPr="004369D4">
        <w:rPr>
          <w:b/>
          <w:bCs/>
          <w:sz w:val="20"/>
          <w:szCs w:val="20"/>
          <w:lang w:val="en-GB"/>
        </w:rPr>
        <w:t>-2025</w:t>
      </w:r>
      <w:r w:rsidR="004369D4">
        <w:rPr>
          <w:sz w:val="20"/>
          <w:szCs w:val="20"/>
          <w:lang w:val="en-GB"/>
        </w:rPr>
        <w:t>.</w:t>
      </w:r>
      <w:r w:rsidRPr="003C4A46">
        <w:rPr>
          <w:sz w:val="20"/>
          <w:szCs w:val="20"/>
          <w:lang w:val="en-GB"/>
        </w:rPr>
        <w:t xml:space="preserve"> To address the issue of timely completion and balanced coverage of planned evaluations, UNDP </w:t>
      </w:r>
      <w:r w:rsidR="002675FE" w:rsidRPr="003C4A46">
        <w:rPr>
          <w:sz w:val="20"/>
          <w:szCs w:val="20"/>
          <w:lang w:val="en-GB"/>
        </w:rPr>
        <w:t>has</w:t>
      </w:r>
      <w:r w:rsidR="00CC68A2" w:rsidRPr="003C4A46">
        <w:rPr>
          <w:sz w:val="20"/>
          <w:szCs w:val="20"/>
          <w:lang w:val="en-GB"/>
        </w:rPr>
        <w:t xml:space="preserve"> strengthen</w:t>
      </w:r>
      <w:r w:rsidR="002675FE" w:rsidRPr="003C4A46">
        <w:rPr>
          <w:sz w:val="20"/>
          <w:szCs w:val="20"/>
          <w:lang w:val="en-GB"/>
        </w:rPr>
        <w:t>ed</w:t>
      </w:r>
      <w:r w:rsidRPr="003C4A46">
        <w:rPr>
          <w:sz w:val="20"/>
          <w:szCs w:val="20"/>
          <w:lang w:val="en-GB"/>
        </w:rPr>
        <w:t xml:space="preserve"> the mechanisms to review the quality, robustness and coverage of evaluation plans as part of the </w:t>
      </w:r>
      <w:r w:rsidR="006343D8" w:rsidRPr="003C4A46">
        <w:rPr>
          <w:sz w:val="20"/>
          <w:szCs w:val="20"/>
          <w:lang w:val="en-GB"/>
        </w:rPr>
        <w:t xml:space="preserve">quality assurance </w:t>
      </w:r>
      <w:r w:rsidRPr="003C4A46">
        <w:rPr>
          <w:sz w:val="20"/>
          <w:szCs w:val="20"/>
          <w:lang w:val="en-GB"/>
        </w:rPr>
        <w:t>process for new country programme documents (CPDs)</w:t>
      </w:r>
      <w:r w:rsidR="0009350B">
        <w:rPr>
          <w:sz w:val="20"/>
          <w:szCs w:val="20"/>
          <w:lang w:val="en-GB"/>
        </w:rPr>
        <w:t>,</w:t>
      </w:r>
      <w:r w:rsidRPr="003C4A46">
        <w:rPr>
          <w:sz w:val="20"/>
          <w:szCs w:val="20"/>
          <w:lang w:val="en-GB"/>
        </w:rPr>
        <w:t xml:space="preserve"> through the programme appraisal committee </w:t>
      </w:r>
      <w:r w:rsidR="006343D8" w:rsidRPr="003C4A46">
        <w:rPr>
          <w:sz w:val="20"/>
          <w:szCs w:val="20"/>
          <w:lang w:val="en-GB"/>
        </w:rPr>
        <w:t>reviews</w:t>
      </w:r>
      <w:r w:rsidRPr="003C4A46">
        <w:rPr>
          <w:sz w:val="20"/>
          <w:szCs w:val="20"/>
          <w:lang w:val="en-GB"/>
        </w:rPr>
        <w:t xml:space="preserve">. The </w:t>
      </w:r>
      <w:r w:rsidR="006343D8" w:rsidRPr="003C4A46">
        <w:rPr>
          <w:sz w:val="20"/>
          <w:szCs w:val="20"/>
          <w:lang w:val="en-GB"/>
        </w:rPr>
        <w:t xml:space="preserve">quality assurance of </w:t>
      </w:r>
      <w:r w:rsidRPr="003C4A46">
        <w:rPr>
          <w:sz w:val="20"/>
          <w:szCs w:val="20"/>
          <w:lang w:val="en-GB"/>
        </w:rPr>
        <w:t>evaluation plan</w:t>
      </w:r>
      <w:r w:rsidR="006343D8" w:rsidRPr="003C4A46">
        <w:rPr>
          <w:sz w:val="20"/>
          <w:szCs w:val="20"/>
          <w:lang w:val="en-GB"/>
        </w:rPr>
        <w:t>s</w:t>
      </w:r>
      <w:r w:rsidRPr="003C4A46">
        <w:rPr>
          <w:sz w:val="20"/>
          <w:szCs w:val="20"/>
          <w:lang w:val="en-GB"/>
        </w:rPr>
        <w:t xml:space="preserve"> focuses on </w:t>
      </w:r>
      <w:r w:rsidR="007803E7" w:rsidRPr="003C4A46">
        <w:rPr>
          <w:sz w:val="20"/>
          <w:szCs w:val="20"/>
          <w:lang w:val="en-GB"/>
        </w:rPr>
        <w:t>three</w:t>
      </w:r>
      <w:r w:rsidRPr="003C4A46">
        <w:rPr>
          <w:sz w:val="20"/>
          <w:szCs w:val="20"/>
          <w:lang w:val="en-GB"/>
        </w:rPr>
        <w:t xml:space="preserve"> major areas</w:t>
      </w:r>
      <w:r w:rsidR="00E310AF">
        <w:rPr>
          <w:sz w:val="20"/>
          <w:szCs w:val="20"/>
          <w:lang w:val="en-GB"/>
        </w:rPr>
        <w:t xml:space="preserve">: (a) </w:t>
      </w:r>
      <w:r w:rsidRPr="003C4A46">
        <w:rPr>
          <w:sz w:val="20"/>
          <w:szCs w:val="20"/>
          <w:lang w:val="en-GB"/>
        </w:rPr>
        <w:t xml:space="preserve">inclusion of </w:t>
      </w:r>
      <w:r w:rsidR="00CC68A2" w:rsidRPr="003C4A46">
        <w:rPr>
          <w:sz w:val="20"/>
          <w:szCs w:val="20"/>
          <w:lang w:val="en-GB"/>
        </w:rPr>
        <w:t xml:space="preserve">more </w:t>
      </w:r>
      <w:r w:rsidRPr="003C4A46">
        <w:rPr>
          <w:sz w:val="20"/>
          <w:szCs w:val="20"/>
          <w:lang w:val="en-GB"/>
        </w:rPr>
        <w:t>strategic evaluations</w:t>
      </w:r>
      <w:r w:rsidR="00CC68A2" w:rsidRPr="003C4A46">
        <w:rPr>
          <w:sz w:val="20"/>
          <w:szCs w:val="20"/>
          <w:lang w:val="en-GB"/>
        </w:rPr>
        <w:t xml:space="preserve"> and </w:t>
      </w:r>
      <w:r w:rsidR="00E310AF">
        <w:rPr>
          <w:sz w:val="20"/>
          <w:szCs w:val="20"/>
          <w:lang w:val="en-GB"/>
        </w:rPr>
        <w:t>fewer</w:t>
      </w:r>
      <w:r w:rsidR="00E310AF" w:rsidRPr="003C4A46">
        <w:rPr>
          <w:sz w:val="20"/>
          <w:szCs w:val="20"/>
          <w:lang w:val="en-GB"/>
        </w:rPr>
        <w:t xml:space="preserve"> </w:t>
      </w:r>
      <w:r w:rsidRPr="003C4A46">
        <w:rPr>
          <w:sz w:val="20"/>
          <w:szCs w:val="20"/>
          <w:lang w:val="en-GB"/>
        </w:rPr>
        <w:t>stand</w:t>
      </w:r>
      <w:r w:rsidR="00E310AF">
        <w:rPr>
          <w:sz w:val="20"/>
          <w:szCs w:val="20"/>
          <w:lang w:val="en-GB"/>
        </w:rPr>
        <w:t>-</w:t>
      </w:r>
      <w:r w:rsidRPr="003C4A46">
        <w:rPr>
          <w:sz w:val="20"/>
          <w:szCs w:val="20"/>
          <w:lang w:val="en-GB"/>
        </w:rPr>
        <w:t xml:space="preserve">alone project evaluations; </w:t>
      </w:r>
      <w:r w:rsidR="00E310AF">
        <w:rPr>
          <w:sz w:val="20"/>
          <w:szCs w:val="20"/>
          <w:lang w:val="en-GB"/>
        </w:rPr>
        <w:t xml:space="preserve">(b) </w:t>
      </w:r>
      <w:r w:rsidR="00CC68A2" w:rsidRPr="003C4A46">
        <w:rPr>
          <w:sz w:val="20"/>
          <w:szCs w:val="20"/>
          <w:lang w:val="en-GB"/>
        </w:rPr>
        <w:t xml:space="preserve">greater </w:t>
      </w:r>
      <w:r w:rsidRPr="003C4A46">
        <w:rPr>
          <w:sz w:val="20"/>
          <w:szCs w:val="20"/>
          <w:lang w:val="en-GB"/>
        </w:rPr>
        <w:t>balance</w:t>
      </w:r>
      <w:r w:rsidR="00CC68A2" w:rsidRPr="003C4A46">
        <w:rPr>
          <w:sz w:val="20"/>
          <w:szCs w:val="20"/>
          <w:lang w:val="en-GB"/>
        </w:rPr>
        <w:t xml:space="preserve"> of </w:t>
      </w:r>
      <w:r w:rsidRPr="003C4A46">
        <w:rPr>
          <w:sz w:val="20"/>
          <w:szCs w:val="20"/>
          <w:lang w:val="en-GB"/>
        </w:rPr>
        <w:t xml:space="preserve">evaluation coverage in all programme areas; </w:t>
      </w:r>
      <w:r w:rsidR="00E310AF">
        <w:rPr>
          <w:sz w:val="20"/>
          <w:szCs w:val="20"/>
          <w:lang w:val="en-GB"/>
        </w:rPr>
        <w:t xml:space="preserve">and (c) </w:t>
      </w:r>
      <w:r w:rsidR="00486EE0" w:rsidRPr="003C4A46">
        <w:rPr>
          <w:sz w:val="20"/>
          <w:szCs w:val="20"/>
          <w:lang w:val="en-GB"/>
        </w:rPr>
        <w:t>ensuring</w:t>
      </w:r>
      <w:r w:rsidR="00CC68A2" w:rsidRPr="003C4A46">
        <w:rPr>
          <w:sz w:val="20"/>
          <w:szCs w:val="20"/>
          <w:lang w:val="en-GB"/>
        </w:rPr>
        <w:t xml:space="preserve"> that all</w:t>
      </w:r>
      <w:r w:rsidRPr="003C4A46">
        <w:rPr>
          <w:sz w:val="20"/>
          <w:szCs w:val="20"/>
          <w:lang w:val="en-GB"/>
        </w:rPr>
        <w:t xml:space="preserve"> mandatory evaluations are properly timed</w:t>
      </w:r>
      <w:r w:rsidR="00CC68A2" w:rsidRPr="003C4A46">
        <w:rPr>
          <w:sz w:val="20"/>
          <w:szCs w:val="20"/>
          <w:lang w:val="en-GB"/>
        </w:rPr>
        <w:t>,</w:t>
      </w:r>
      <w:r w:rsidRPr="003C4A46">
        <w:rPr>
          <w:sz w:val="20"/>
          <w:szCs w:val="20"/>
          <w:lang w:val="en-GB"/>
        </w:rPr>
        <w:t xml:space="preserve"> sequenced and resourced. As per </w:t>
      </w:r>
      <w:r w:rsidR="006343D8" w:rsidRPr="003C4A46">
        <w:rPr>
          <w:sz w:val="20"/>
          <w:szCs w:val="20"/>
          <w:lang w:val="en-GB"/>
        </w:rPr>
        <w:t xml:space="preserve">the </w:t>
      </w:r>
      <w:r w:rsidRPr="003C4A46">
        <w:rPr>
          <w:sz w:val="20"/>
          <w:szCs w:val="20"/>
          <w:lang w:val="en-GB"/>
        </w:rPr>
        <w:t xml:space="preserve">guideline, </w:t>
      </w:r>
      <w:r w:rsidR="00E310AF">
        <w:rPr>
          <w:sz w:val="20"/>
          <w:szCs w:val="20"/>
          <w:lang w:val="en-GB"/>
        </w:rPr>
        <w:t>r</w:t>
      </w:r>
      <w:r w:rsidRPr="003C4A46">
        <w:rPr>
          <w:sz w:val="20"/>
          <w:szCs w:val="20"/>
          <w:lang w:val="en-GB"/>
        </w:rPr>
        <w:t xml:space="preserve">egional </w:t>
      </w:r>
      <w:r w:rsidR="00E310AF">
        <w:rPr>
          <w:sz w:val="20"/>
          <w:szCs w:val="20"/>
          <w:lang w:val="en-GB"/>
        </w:rPr>
        <w:t>b</w:t>
      </w:r>
      <w:r w:rsidRPr="003C4A46">
        <w:rPr>
          <w:sz w:val="20"/>
          <w:szCs w:val="20"/>
          <w:lang w:val="en-GB"/>
        </w:rPr>
        <w:t xml:space="preserve">ureaux are </w:t>
      </w:r>
      <w:r w:rsidR="006343D8" w:rsidRPr="003C4A46">
        <w:rPr>
          <w:sz w:val="20"/>
          <w:szCs w:val="20"/>
          <w:lang w:val="en-GB"/>
        </w:rPr>
        <w:t xml:space="preserve">requested </w:t>
      </w:r>
      <w:r w:rsidRPr="003C4A46">
        <w:rPr>
          <w:sz w:val="20"/>
          <w:szCs w:val="20"/>
          <w:lang w:val="en-GB"/>
        </w:rPr>
        <w:t xml:space="preserve">to </w:t>
      </w:r>
      <w:r w:rsidR="00CC68A2" w:rsidRPr="003C4A46">
        <w:rPr>
          <w:sz w:val="20"/>
          <w:szCs w:val="20"/>
          <w:lang w:val="en-GB"/>
        </w:rPr>
        <w:t xml:space="preserve">have </w:t>
      </w:r>
      <w:r w:rsidRPr="003C4A46">
        <w:rPr>
          <w:sz w:val="20"/>
          <w:szCs w:val="20"/>
          <w:lang w:val="en-GB"/>
        </w:rPr>
        <w:t>evaluation plan</w:t>
      </w:r>
      <w:r w:rsidR="00CC68A2" w:rsidRPr="003C4A46">
        <w:rPr>
          <w:sz w:val="20"/>
          <w:szCs w:val="20"/>
          <w:lang w:val="en-GB"/>
        </w:rPr>
        <w:t>s</w:t>
      </w:r>
      <w:r w:rsidRPr="003C4A46">
        <w:rPr>
          <w:sz w:val="20"/>
          <w:szCs w:val="20"/>
          <w:lang w:val="en-GB"/>
        </w:rPr>
        <w:t xml:space="preserve"> review</w:t>
      </w:r>
      <w:r w:rsidR="00CC68A2" w:rsidRPr="003C4A46">
        <w:rPr>
          <w:sz w:val="20"/>
          <w:szCs w:val="20"/>
          <w:lang w:val="en-GB"/>
        </w:rPr>
        <w:t>ed</w:t>
      </w:r>
      <w:r w:rsidRPr="003C4A46">
        <w:rPr>
          <w:sz w:val="20"/>
          <w:szCs w:val="20"/>
          <w:lang w:val="en-GB"/>
        </w:rPr>
        <w:t xml:space="preserve"> at the beginning of the year and mid</w:t>
      </w:r>
      <w:r w:rsidR="008C0E77">
        <w:rPr>
          <w:sz w:val="20"/>
          <w:szCs w:val="20"/>
          <w:lang w:val="en-GB"/>
        </w:rPr>
        <w:t>year</w:t>
      </w:r>
      <w:r w:rsidRPr="003C4A46">
        <w:rPr>
          <w:sz w:val="20"/>
          <w:szCs w:val="20"/>
          <w:lang w:val="en-GB"/>
        </w:rPr>
        <w:t xml:space="preserve"> for timely adjustments.</w:t>
      </w:r>
      <w:r w:rsidR="004E4096" w:rsidRPr="003C4A46">
        <w:rPr>
          <w:sz w:val="20"/>
          <w:szCs w:val="20"/>
          <w:lang w:val="en-GB"/>
        </w:rPr>
        <w:t xml:space="preserve">  The quality of evaluation plans is included as part of the Programme Quality Index in the Integrated Results and Resources Framework (IRRF) for 2022-2025 and will be closely monitored in the next four years. </w:t>
      </w:r>
    </w:p>
    <w:p w14:paraId="4542E567" w14:textId="2456C850" w:rsidR="00CC68A2" w:rsidRPr="003C4A46" w:rsidRDefault="0062183C" w:rsidP="003C4A46">
      <w:pPr>
        <w:pStyle w:val="NormalWeb"/>
        <w:numPr>
          <w:ilvl w:val="0"/>
          <w:numId w:val="41"/>
        </w:numPr>
        <w:tabs>
          <w:tab w:val="left" w:pos="270"/>
        </w:tabs>
        <w:spacing w:before="0" w:beforeAutospacing="0" w:after="200" w:afterAutospacing="0"/>
        <w:ind w:left="-180" w:right="-169" w:firstLine="0"/>
        <w:jc w:val="both"/>
        <w:rPr>
          <w:sz w:val="20"/>
          <w:szCs w:val="20"/>
          <w:lang w:val="en-GB"/>
        </w:rPr>
      </w:pPr>
      <w:r w:rsidRPr="00320CC2">
        <w:rPr>
          <w:b/>
          <w:bCs/>
          <w:sz w:val="20"/>
          <w:szCs w:val="20"/>
          <w:lang w:val="en-GB"/>
        </w:rPr>
        <w:t xml:space="preserve">Evaluation </w:t>
      </w:r>
      <w:r w:rsidR="00320CC2" w:rsidRPr="00320CC2">
        <w:rPr>
          <w:b/>
          <w:bCs/>
          <w:sz w:val="20"/>
          <w:szCs w:val="20"/>
          <w:lang w:val="en-GB"/>
        </w:rPr>
        <w:t>e</w:t>
      </w:r>
      <w:r w:rsidRPr="00320CC2">
        <w:rPr>
          <w:b/>
          <w:bCs/>
          <w:sz w:val="20"/>
          <w:szCs w:val="20"/>
          <w:lang w:val="en-GB"/>
        </w:rPr>
        <w:t xml:space="preserve">xpress </w:t>
      </w:r>
      <w:r w:rsidR="00320CC2" w:rsidRPr="00320CC2">
        <w:rPr>
          <w:b/>
          <w:bCs/>
          <w:sz w:val="20"/>
          <w:szCs w:val="20"/>
          <w:lang w:val="en-GB"/>
        </w:rPr>
        <w:t>r</w:t>
      </w:r>
      <w:r w:rsidRPr="00320CC2">
        <w:rPr>
          <w:b/>
          <w:bCs/>
          <w:sz w:val="20"/>
          <w:szCs w:val="20"/>
          <w:lang w:val="en-GB"/>
        </w:rPr>
        <w:t>oster (BPPS)</w:t>
      </w:r>
      <w:r w:rsidR="00C7509E" w:rsidRPr="00320CC2">
        <w:rPr>
          <w:b/>
          <w:bCs/>
          <w:sz w:val="20"/>
          <w:szCs w:val="20"/>
          <w:lang w:val="en-GB"/>
        </w:rPr>
        <w:t xml:space="preserve"> 2021-</w:t>
      </w:r>
      <w:r w:rsidR="000D4CE7" w:rsidRPr="00320CC2">
        <w:rPr>
          <w:b/>
          <w:bCs/>
          <w:sz w:val="20"/>
          <w:szCs w:val="20"/>
          <w:lang w:val="en-GB"/>
        </w:rPr>
        <w:t xml:space="preserve"> 202</w:t>
      </w:r>
      <w:r w:rsidR="00C7509E" w:rsidRPr="00320CC2">
        <w:rPr>
          <w:b/>
          <w:bCs/>
          <w:sz w:val="20"/>
          <w:szCs w:val="20"/>
          <w:lang w:val="en-GB"/>
        </w:rPr>
        <w:t>3</w:t>
      </w:r>
      <w:r w:rsidR="00320CC2">
        <w:rPr>
          <w:b/>
          <w:bCs/>
          <w:sz w:val="20"/>
          <w:szCs w:val="20"/>
          <w:lang w:val="en-GB"/>
        </w:rPr>
        <w:t>.</w:t>
      </w:r>
      <w:r w:rsidRPr="003C4A46">
        <w:rPr>
          <w:sz w:val="20"/>
          <w:szCs w:val="20"/>
          <w:lang w:val="en-GB"/>
        </w:rPr>
        <w:t xml:space="preserve"> To address the issue of long procurement processes and the increased demand for quality evaluators, </w:t>
      </w:r>
      <w:r w:rsidR="00CC68A2" w:rsidRPr="003C4A46">
        <w:rPr>
          <w:sz w:val="20"/>
          <w:szCs w:val="20"/>
          <w:lang w:val="en-GB"/>
        </w:rPr>
        <w:t xml:space="preserve">an </w:t>
      </w:r>
      <w:r w:rsidR="00320CC2" w:rsidRPr="003C4A46">
        <w:rPr>
          <w:sz w:val="20"/>
          <w:szCs w:val="20"/>
          <w:lang w:val="en-GB"/>
        </w:rPr>
        <w:t xml:space="preserve">evaluation express roster </w:t>
      </w:r>
      <w:r w:rsidR="00CC68A2" w:rsidRPr="003C4A46">
        <w:rPr>
          <w:sz w:val="20"/>
          <w:szCs w:val="20"/>
          <w:lang w:val="en-GB"/>
        </w:rPr>
        <w:t>was</w:t>
      </w:r>
      <w:r w:rsidRPr="003C4A46">
        <w:rPr>
          <w:sz w:val="20"/>
          <w:szCs w:val="20"/>
          <w:lang w:val="en-GB"/>
        </w:rPr>
        <w:t xml:space="preserve"> established in 2021 under the GPN/Experts Roster for Rapid Response. This roster </w:t>
      </w:r>
      <w:r w:rsidR="00CC68A2" w:rsidRPr="003C4A46">
        <w:rPr>
          <w:sz w:val="20"/>
          <w:szCs w:val="20"/>
          <w:lang w:val="en-GB"/>
        </w:rPr>
        <w:t xml:space="preserve">is </w:t>
      </w:r>
      <w:r w:rsidR="00972A67" w:rsidRPr="003C4A46">
        <w:rPr>
          <w:sz w:val="20"/>
          <w:szCs w:val="20"/>
          <w:lang w:val="en-GB"/>
        </w:rPr>
        <w:t xml:space="preserve">currently </w:t>
      </w:r>
      <w:r w:rsidRPr="003C4A46">
        <w:rPr>
          <w:sz w:val="20"/>
          <w:szCs w:val="20"/>
          <w:lang w:val="en-GB"/>
        </w:rPr>
        <w:t xml:space="preserve">comprised of </w:t>
      </w:r>
      <w:r w:rsidR="00486EE0" w:rsidRPr="003C4A46">
        <w:rPr>
          <w:sz w:val="20"/>
          <w:szCs w:val="20"/>
          <w:lang w:val="en-GB"/>
        </w:rPr>
        <w:t xml:space="preserve">75 </w:t>
      </w:r>
      <w:r w:rsidRPr="003C4A46">
        <w:rPr>
          <w:sz w:val="20"/>
          <w:szCs w:val="20"/>
          <w:lang w:val="en-GB"/>
        </w:rPr>
        <w:t xml:space="preserve">vetted, </w:t>
      </w:r>
      <w:r w:rsidR="00313A96" w:rsidRPr="003C4A46">
        <w:rPr>
          <w:sz w:val="20"/>
          <w:szCs w:val="20"/>
          <w:lang w:val="en-GB"/>
        </w:rPr>
        <w:t>capable</w:t>
      </w:r>
      <w:r w:rsidRPr="003C4A46">
        <w:rPr>
          <w:sz w:val="20"/>
          <w:szCs w:val="20"/>
          <w:lang w:val="en-GB"/>
        </w:rPr>
        <w:t xml:space="preserve"> and qualified individuals who can be called upon as international consultants to carry out independent evaluations</w:t>
      </w:r>
      <w:r w:rsidR="00CC68A2" w:rsidRPr="003C4A46">
        <w:rPr>
          <w:sz w:val="20"/>
          <w:szCs w:val="20"/>
          <w:lang w:val="en-GB"/>
        </w:rPr>
        <w:t xml:space="preserve">. </w:t>
      </w:r>
      <w:r w:rsidR="00436A54">
        <w:rPr>
          <w:sz w:val="20"/>
          <w:szCs w:val="20"/>
          <w:lang w:val="en-GB"/>
        </w:rPr>
        <w:t>There will be</w:t>
      </w:r>
      <w:r w:rsidR="00CC68A2" w:rsidRPr="003C4A46">
        <w:rPr>
          <w:sz w:val="20"/>
          <w:szCs w:val="20"/>
          <w:lang w:val="en-GB"/>
        </w:rPr>
        <w:t xml:space="preserve"> a new call for applicant</w:t>
      </w:r>
      <w:r w:rsidR="00486EE0" w:rsidRPr="003C4A46">
        <w:rPr>
          <w:sz w:val="20"/>
          <w:szCs w:val="20"/>
          <w:lang w:val="en-GB"/>
        </w:rPr>
        <w:t>s</w:t>
      </w:r>
      <w:r w:rsidR="00CC68A2" w:rsidRPr="003C4A46">
        <w:rPr>
          <w:sz w:val="20"/>
          <w:szCs w:val="20"/>
          <w:lang w:val="en-GB"/>
        </w:rPr>
        <w:t xml:space="preserve"> to the roster </w:t>
      </w:r>
      <w:r w:rsidR="00436A54">
        <w:rPr>
          <w:sz w:val="20"/>
          <w:szCs w:val="20"/>
          <w:lang w:val="en-GB"/>
        </w:rPr>
        <w:t>in 2022</w:t>
      </w:r>
      <w:r w:rsidR="00CC68A2" w:rsidRPr="003C4A46">
        <w:rPr>
          <w:sz w:val="20"/>
          <w:szCs w:val="20"/>
          <w:lang w:val="en-GB"/>
        </w:rPr>
        <w:t xml:space="preserve">. The aim is to strengthen the </w:t>
      </w:r>
      <w:r w:rsidR="00320CC2">
        <w:rPr>
          <w:sz w:val="20"/>
          <w:szCs w:val="20"/>
          <w:lang w:val="en-GB"/>
        </w:rPr>
        <w:t xml:space="preserve">pool of </w:t>
      </w:r>
      <w:r w:rsidR="00CC68A2" w:rsidRPr="003C4A46">
        <w:rPr>
          <w:sz w:val="20"/>
          <w:szCs w:val="20"/>
          <w:lang w:val="en-GB"/>
        </w:rPr>
        <w:t>evaluator</w:t>
      </w:r>
      <w:r w:rsidR="00320CC2">
        <w:rPr>
          <w:sz w:val="20"/>
          <w:szCs w:val="20"/>
          <w:lang w:val="en-GB"/>
        </w:rPr>
        <w:t>s</w:t>
      </w:r>
      <w:r w:rsidR="00CC68A2" w:rsidRPr="003C4A46">
        <w:rPr>
          <w:sz w:val="20"/>
          <w:szCs w:val="20"/>
          <w:lang w:val="en-GB"/>
        </w:rPr>
        <w:t xml:space="preserve"> for coverage across the six signature solutions and three enablers; improve geographic and language coverage, including </w:t>
      </w:r>
      <w:r w:rsidR="00CC68A2" w:rsidRPr="003C4A46">
        <w:rPr>
          <w:sz w:val="20"/>
          <w:szCs w:val="20"/>
          <w:lang w:val="en-GB"/>
        </w:rPr>
        <w:lastRenderedPageBreak/>
        <w:t>French, Portuguese and Arabic; improve the on</w:t>
      </w:r>
      <w:r w:rsidR="008C0E77">
        <w:rPr>
          <w:sz w:val="20"/>
          <w:szCs w:val="20"/>
          <w:lang w:val="en-GB"/>
        </w:rPr>
        <w:t>boarding</w:t>
      </w:r>
      <w:r w:rsidR="00CC68A2" w:rsidRPr="003C4A46">
        <w:rPr>
          <w:sz w:val="20"/>
          <w:szCs w:val="20"/>
          <w:lang w:val="en-GB"/>
        </w:rPr>
        <w:t xml:space="preserve"> of consultants once they are recruited</w:t>
      </w:r>
      <w:r w:rsidR="0009350B">
        <w:rPr>
          <w:sz w:val="20"/>
          <w:szCs w:val="20"/>
          <w:lang w:val="en-GB"/>
        </w:rPr>
        <w:t>;</w:t>
      </w:r>
      <w:r w:rsidR="00313A96" w:rsidRPr="003C4A46">
        <w:rPr>
          <w:sz w:val="20"/>
          <w:szCs w:val="20"/>
          <w:lang w:val="en-GB"/>
        </w:rPr>
        <w:t xml:space="preserve"> and</w:t>
      </w:r>
      <w:r w:rsidR="00CC68A2" w:rsidRPr="003C4A46">
        <w:rPr>
          <w:sz w:val="20"/>
          <w:szCs w:val="20"/>
          <w:lang w:val="en-GB"/>
        </w:rPr>
        <w:t xml:space="preserve"> </w:t>
      </w:r>
      <w:r w:rsidR="00486EE0" w:rsidRPr="003C4A46">
        <w:rPr>
          <w:sz w:val="20"/>
          <w:szCs w:val="20"/>
          <w:lang w:val="en-GB"/>
        </w:rPr>
        <w:t xml:space="preserve">better </w:t>
      </w:r>
      <w:r w:rsidR="00CC68A2" w:rsidRPr="003C4A46">
        <w:rPr>
          <w:sz w:val="20"/>
          <w:szCs w:val="20"/>
          <w:lang w:val="en-GB"/>
        </w:rPr>
        <w:t>track good quality evaluators</w:t>
      </w:r>
      <w:r w:rsidR="00486EE0" w:rsidRPr="003C4A46">
        <w:rPr>
          <w:sz w:val="20"/>
          <w:szCs w:val="20"/>
          <w:lang w:val="en-GB"/>
        </w:rPr>
        <w:t>.</w:t>
      </w:r>
    </w:p>
    <w:p w14:paraId="2E82D948" w14:textId="70D902B9" w:rsidR="00536EE6" w:rsidRPr="003C4A46" w:rsidRDefault="00536EE6" w:rsidP="00D759D4">
      <w:pPr>
        <w:pStyle w:val="NormalWeb"/>
        <w:numPr>
          <w:ilvl w:val="0"/>
          <w:numId w:val="41"/>
        </w:numPr>
        <w:tabs>
          <w:tab w:val="left" w:pos="270"/>
        </w:tabs>
        <w:spacing w:before="0" w:beforeAutospacing="0" w:after="0" w:afterAutospacing="0"/>
        <w:ind w:left="-180" w:right="-169" w:firstLine="0"/>
        <w:jc w:val="both"/>
        <w:rPr>
          <w:sz w:val="20"/>
          <w:szCs w:val="20"/>
          <w:lang w:val="en-GB"/>
        </w:rPr>
      </w:pPr>
      <w:r w:rsidRPr="00FE27CE">
        <w:rPr>
          <w:b/>
          <w:bCs/>
          <w:sz w:val="20"/>
          <w:szCs w:val="20"/>
          <w:lang w:val="en-GB"/>
        </w:rPr>
        <w:t xml:space="preserve">Evaluation </w:t>
      </w:r>
      <w:r w:rsidR="00320CC2" w:rsidRPr="00FE27CE">
        <w:rPr>
          <w:b/>
          <w:bCs/>
          <w:sz w:val="20"/>
          <w:szCs w:val="20"/>
          <w:lang w:val="en-GB"/>
        </w:rPr>
        <w:t>t</w:t>
      </w:r>
      <w:r w:rsidRPr="00FE27CE">
        <w:rPr>
          <w:b/>
          <w:bCs/>
          <w:sz w:val="20"/>
          <w:szCs w:val="20"/>
          <w:lang w:val="en-GB"/>
        </w:rPr>
        <w:t>raining (</w:t>
      </w:r>
      <w:r w:rsidR="00320CC2" w:rsidRPr="00FE27CE">
        <w:rPr>
          <w:b/>
          <w:bCs/>
          <w:sz w:val="20"/>
          <w:szCs w:val="20"/>
          <w:lang w:val="en-GB"/>
        </w:rPr>
        <w:t xml:space="preserve">regional bureaux </w:t>
      </w:r>
      <w:r w:rsidRPr="00FE27CE">
        <w:rPr>
          <w:b/>
          <w:bCs/>
          <w:sz w:val="20"/>
          <w:szCs w:val="20"/>
          <w:lang w:val="en-GB"/>
        </w:rPr>
        <w:t>and IEO)</w:t>
      </w:r>
      <w:r w:rsidR="000D4CE7" w:rsidRPr="00FE27CE">
        <w:rPr>
          <w:b/>
          <w:bCs/>
          <w:sz w:val="20"/>
          <w:szCs w:val="20"/>
          <w:lang w:val="en-GB"/>
        </w:rPr>
        <w:t xml:space="preserve"> 2022-2025</w:t>
      </w:r>
      <w:r w:rsidR="00FE27CE">
        <w:rPr>
          <w:b/>
          <w:bCs/>
          <w:sz w:val="20"/>
          <w:szCs w:val="20"/>
          <w:lang w:val="en-GB"/>
        </w:rPr>
        <w:t>.</w:t>
      </w:r>
      <w:r w:rsidRPr="003C4A46">
        <w:rPr>
          <w:sz w:val="20"/>
          <w:szCs w:val="20"/>
          <w:lang w:val="en-GB"/>
        </w:rPr>
        <w:t xml:space="preserve"> The pandemic has held back in-person training but has accelerated online training and support from IEO and </w:t>
      </w:r>
      <w:r w:rsidR="00320CC2">
        <w:rPr>
          <w:sz w:val="20"/>
          <w:szCs w:val="20"/>
          <w:lang w:val="en-GB"/>
        </w:rPr>
        <w:t>r</w:t>
      </w:r>
      <w:r w:rsidRPr="003C4A46">
        <w:rPr>
          <w:sz w:val="20"/>
          <w:szCs w:val="20"/>
          <w:lang w:val="en-GB"/>
        </w:rPr>
        <w:t xml:space="preserve">egional </w:t>
      </w:r>
      <w:r w:rsidR="00320CC2">
        <w:rPr>
          <w:sz w:val="20"/>
          <w:szCs w:val="20"/>
          <w:lang w:val="en-GB"/>
        </w:rPr>
        <w:t>b</w:t>
      </w:r>
      <w:r w:rsidRPr="003C4A46">
        <w:rPr>
          <w:sz w:val="20"/>
          <w:szCs w:val="20"/>
          <w:lang w:val="en-GB"/>
        </w:rPr>
        <w:t>ureau</w:t>
      </w:r>
      <w:r w:rsidR="00320CC2">
        <w:rPr>
          <w:sz w:val="20"/>
          <w:szCs w:val="20"/>
          <w:lang w:val="en-GB"/>
        </w:rPr>
        <w:t>x</w:t>
      </w:r>
      <w:r w:rsidRPr="003C4A46">
        <w:rPr>
          <w:sz w:val="20"/>
          <w:szCs w:val="20"/>
          <w:lang w:val="en-GB"/>
        </w:rPr>
        <w:t xml:space="preserve">. The </w:t>
      </w:r>
      <w:r w:rsidR="00320CC2" w:rsidRPr="003C4A46">
        <w:rPr>
          <w:sz w:val="20"/>
          <w:szCs w:val="20"/>
          <w:lang w:val="en-GB"/>
        </w:rPr>
        <w:t>regional bureau</w:t>
      </w:r>
      <w:r w:rsidR="00FE27CE">
        <w:rPr>
          <w:sz w:val="20"/>
          <w:szCs w:val="20"/>
          <w:lang w:val="en-GB"/>
        </w:rPr>
        <w:t>x</w:t>
      </w:r>
      <w:r w:rsidR="00320CC2" w:rsidRPr="003C4A46">
        <w:rPr>
          <w:sz w:val="20"/>
          <w:szCs w:val="20"/>
          <w:lang w:val="en-GB"/>
        </w:rPr>
        <w:t xml:space="preserve"> </w:t>
      </w:r>
      <w:r w:rsidR="00320CC2">
        <w:rPr>
          <w:sz w:val="20"/>
          <w:szCs w:val="20"/>
          <w:lang w:val="en-GB"/>
        </w:rPr>
        <w:t xml:space="preserve">strategies </w:t>
      </w:r>
      <w:r w:rsidR="00A93B8B">
        <w:rPr>
          <w:sz w:val="20"/>
          <w:szCs w:val="20"/>
          <w:lang w:val="en-GB"/>
        </w:rPr>
        <w:t xml:space="preserve">for strengthening </w:t>
      </w:r>
      <w:r w:rsidR="00320CC2" w:rsidRPr="003C4A46">
        <w:rPr>
          <w:sz w:val="20"/>
          <w:szCs w:val="20"/>
          <w:lang w:val="en-GB"/>
        </w:rPr>
        <w:t>decentrali</w:t>
      </w:r>
      <w:r w:rsidR="00320CC2">
        <w:rPr>
          <w:sz w:val="20"/>
          <w:szCs w:val="20"/>
          <w:lang w:val="en-GB"/>
        </w:rPr>
        <w:t>z</w:t>
      </w:r>
      <w:r w:rsidR="00320CC2" w:rsidRPr="003C4A46">
        <w:rPr>
          <w:sz w:val="20"/>
          <w:szCs w:val="20"/>
          <w:lang w:val="en-GB"/>
        </w:rPr>
        <w:t>ed evaluation</w:t>
      </w:r>
      <w:r w:rsidR="00A93B8B">
        <w:rPr>
          <w:sz w:val="20"/>
          <w:szCs w:val="20"/>
          <w:lang w:val="en-GB"/>
        </w:rPr>
        <w:t>s</w:t>
      </w:r>
      <w:r w:rsidR="00320CC2" w:rsidRPr="003C4A46">
        <w:rPr>
          <w:sz w:val="20"/>
          <w:szCs w:val="20"/>
          <w:lang w:val="en-GB"/>
        </w:rPr>
        <w:t xml:space="preserve"> </w:t>
      </w:r>
      <w:r w:rsidR="00A93B8B">
        <w:rPr>
          <w:sz w:val="20"/>
          <w:szCs w:val="20"/>
          <w:lang w:val="en-GB"/>
        </w:rPr>
        <w:t xml:space="preserve">take into account </w:t>
      </w:r>
      <w:r w:rsidRPr="003C4A46">
        <w:rPr>
          <w:sz w:val="20"/>
          <w:szCs w:val="20"/>
          <w:lang w:val="en-GB"/>
        </w:rPr>
        <w:t xml:space="preserve">the need for further training </w:t>
      </w:r>
      <w:r w:rsidR="00A93B8B">
        <w:rPr>
          <w:sz w:val="20"/>
          <w:szCs w:val="20"/>
          <w:lang w:val="en-GB"/>
        </w:rPr>
        <w:t xml:space="preserve">for </w:t>
      </w:r>
      <w:r w:rsidRPr="003C4A46">
        <w:rPr>
          <w:sz w:val="20"/>
          <w:szCs w:val="20"/>
          <w:lang w:val="en-GB"/>
        </w:rPr>
        <w:t xml:space="preserve">both new </w:t>
      </w:r>
      <w:r w:rsidR="000D4CE7" w:rsidRPr="003C4A46">
        <w:rPr>
          <w:sz w:val="20"/>
          <w:szCs w:val="20"/>
          <w:lang w:val="en-GB"/>
        </w:rPr>
        <w:t>and</w:t>
      </w:r>
      <w:r w:rsidR="008345A0" w:rsidRPr="003C4A46">
        <w:rPr>
          <w:sz w:val="20"/>
          <w:szCs w:val="20"/>
          <w:lang w:val="en-GB"/>
        </w:rPr>
        <w:t xml:space="preserve"> existing staff</w:t>
      </w:r>
      <w:r w:rsidR="0009350B">
        <w:rPr>
          <w:sz w:val="20"/>
          <w:szCs w:val="20"/>
          <w:lang w:val="en-GB"/>
        </w:rPr>
        <w:t xml:space="preserve"> that is</w:t>
      </w:r>
      <w:r w:rsidR="000D4CE7" w:rsidRPr="003C4A46">
        <w:rPr>
          <w:sz w:val="20"/>
          <w:szCs w:val="20"/>
          <w:lang w:val="en-GB"/>
        </w:rPr>
        <w:t xml:space="preserve"> </w:t>
      </w:r>
      <w:r w:rsidR="008345A0" w:rsidRPr="003C4A46">
        <w:rPr>
          <w:sz w:val="20"/>
          <w:szCs w:val="20"/>
          <w:lang w:val="en-GB"/>
        </w:rPr>
        <w:t xml:space="preserve">tailored to </w:t>
      </w:r>
      <w:r w:rsidR="000D4CE7" w:rsidRPr="003C4A46">
        <w:rPr>
          <w:sz w:val="20"/>
          <w:szCs w:val="20"/>
          <w:lang w:val="en-GB"/>
        </w:rPr>
        <w:t xml:space="preserve">meet </w:t>
      </w:r>
      <w:r w:rsidRPr="003C4A46">
        <w:rPr>
          <w:sz w:val="20"/>
          <w:szCs w:val="20"/>
          <w:lang w:val="en-GB"/>
        </w:rPr>
        <w:t xml:space="preserve">specific needs </w:t>
      </w:r>
      <w:r w:rsidR="00FB0865" w:rsidRPr="003C4A46">
        <w:rPr>
          <w:sz w:val="20"/>
          <w:szCs w:val="20"/>
          <w:lang w:val="en-GB"/>
        </w:rPr>
        <w:t xml:space="preserve">of </w:t>
      </w:r>
      <w:r w:rsidR="0009350B">
        <w:rPr>
          <w:sz w:val="20"/>
          <w:szCs w:val="20"/>
          <w:lang w:val="en-GB"/>
        </w:rPr>
        <w:t>each</w:t>
      </w:r>
      <w:r w:rsidR="0009350B" w:rsidRPr="003C4A46">
        <w:rPr>
          <w:sz w:val="20"/>
          <w:szCs w:val="20"/>
          <w:lang w:val="en-GB"/>
        </w:rPr>
        <w:t xml:space="preserve"> </w:t>
      </w:r>
      <w:r w:rsidR="00FE27CE">
        <w:rPr>
          <w:sz w:val="20"/>
          <w:szCs w:val="20"/>
          <w:lang w:val="en-GB"/>
        </w:rPr>
        <w:t>b</w:t>
      </w:r>
      <w:r w:rsidRPr="003C4A46">
        <w:rPr>
          <w:sz w:val="20"/>
          <w:szCs w:val="20"/>
          <w:lang w:val="en-GB"/>
        </w:rPr>
        <w:t xml:space="preserve">ureau. </w:t>
      </w:r>
      <w:r w:rsidR="00FE27CE">
        <w:rPr>
          <w:sz w:val="20"/>
          <w:szCs w:val="20"/>
          <w:lang w:val="en-GB"/>
        </w:rPr>
        <w:t>The regional bureaux and IEO will conduct a</w:t>
      </w:r>
      <w:r w:rsidRPr="003C4A46">
        <w:rPr>
          <w:sz w:val="20"/>
          <w:szCs w:val="20"/>
          <w:lang w:val="en-GB"/>
        </w:rPr>
        <w:t xml:space="preserve"> </w:t>
      </w:r>
      <w:r w:rsidR="008345A0" w:rsidRPr="003C4A46">
        <w:rPr>
          <w:sz w:val="20"/>
          <w:szCs w:val="20"/>
          <w:lang w:val="en-GB"/>
        </w:rPr>
        <w:t xml:space="preserve">needs assessment </w:t>
      </w:r>
      <w:r w:rsidRPr="003C4A46">
        <w:rPr>
          <w:sz w:val="20"/>
          <w:szCs w:val="20"/>
          <w:lang w:val="en-GB"/>
        </w:rPr>
        <w:t xml:space="preserve">survey of </w:t>
      </w:r>
      <w:r w:rsidR="000D4CE7" w:rsidRPr="003C4A46">
        <w:rPr>
          <w:sz w:val="20"/>
          <w:szCs w:val="20"/>
          <w:lang w:val="en-GB"/>
        </w:rPr>
        <w:t>monitoring and evaluation (</w:t>
      </w:r>
      <w:r w:rsidRPr="003C4A46">
        <w:rPr>
          <w:sz w:val="20"/>
          <w:szCs w:val="20"/>
          <w:lang w:val="en-GB"/>
        </w:rPr>
        <w:t>M&amp;E</w:t>
      </w:r>
      <w:r w:rsidR="000D4CE7" w:rsidRPr="003C4A46">
        <w:rPr>
          <w:sz w:val="20"/>
          <w:szCs w:val="20"/>
          <w:lang w:val="en-GB"/>
        </w:rPr>
        <w:t>)</w:t>
      </w:r>
      <w:r w:rsidRPr="003C4A46">
        <w:rPr>
          <w:sz w:val="20"/>
          <w:szCs w:val="20"/>
          <w:lang w:val="en-GB"/>
        </w:rPr>
        <w:t xml:space="preserve"> focal points </w:t>
      </w:r>
      <w:r w:rsidR="008345A0" w:rsidRPr="003C4A46">
        <w:rPr>
          <w:sz w:val="20"/>
          <w:szCs w:val="20"/>
          <w:lang w:val="en-GB"/>
        </w:rPr>
        <w:t xml:space="preserve">in 2022 to </w:t>
      </w:r>
      <w:r w:rsidRPr="003C4A46">
        <w:rPr>
          <w:sz w:val="20"/>
          <w:szCs w:val="20"/>
          <w:lang w:val="en-GB"/>
        </w:rPr>
        <w:t xml:space="preserve">identify areas for </w:t>
      </w:r>
      <w:r w:rsidR="008345A0" w:rsidRPr="003C4A46">
        <w:rPr>
          <w:sz w:val="20"/>
          <w:szCs w:val="20"/>
          <w:lang w:val="en-GB"/>
        </w:rPr>
        <w:t xml:space="preserve">targeted </w:t>
      </w:r>
      <w:r w:rsidRPr="003C4A46">
        <w:rPr>
          <w:sz w:val="20"/>
          <w:szCs w:val="20"/>
          <w:lang w:val="en-GB"/>
        </w:rPr>
        <w:t>training and support.</w:t>
      </w:r>
      <w:r w:rsidR="008345A0" w:rsidRPr="003C4A46">
        <w:rPr>
          <w:sz w:val="20"/>
          <w:szCs w:val="20"/>
          <w:lang w:val="en-GB"/>
        </w:rPr>
        <w:t xml:space="preserve"> The trainings listed below are currently ongoing and</w:t>
      </w:r>
      <w:r w:rsidR="00FE27CE">
        <w:rPr>
          <w:sz w:val="20"/>
          <w:szCs w:val="20"/>
          <w:lang w:val="en-GB"/>
        </w:rPr>
        <w:t xml:space="preserve"> will </w:t>
      </w:r>
      <w:r w:rsidR="008345A0" w:rsidRPr="003C4A46">
        <w:rPr>
          <w:sz w:val="20"/>
          <w:szCs w:val="20"/>
          <w:lang w:val="en-GB"/>
        </w:rPr>
        <w:t>be conducted in 2022-2025</w:t>
      </w:r>
      <w:r w:rsidR="00FE27CE">
        <w:rPr>
          <w:sz w:val="20"/>
          <w:szCs w:val="20"/>
          <w:lang w:val="en-GB"/>
        </w:rPr>
        <w:t>:</w:t>
      </w:r>
    </w:p>
    <w:p w14:paraId="5DD3786F" w14:textId="77777777" w:rsidR="00580C95" w:rsidRPr="00D95432" w:rsidRDefault="00580C95" w:rsidP="00210A2A">
      <w:pPr>
        <w:spacing w:before="0" w:after="0" w:line="240" w:lineRule="auto"/>
        <w:jc w:val="both"/>
        <w:rPr>
          <w:rFonts w:ascii="Times New Roman" w:hAnsi="Times New Roman"/>
          <w:sz w:val="20"/>
          <w:szCs w:val="20"/>
        </w:rPr>
      </w:pPr>
    </w:p>
    <w:p w14:paraId="6CD66D9B" w14:textId="21873138" w:rsidR="00536EE6" w:rsidRPr="005D3A5A" w:rsidRDefault="00D07CFC" w:rsidP="00944090">
      <w:pPr>
        <w:pStyle w:val="ListParagraph"/>
        <w:numPr>
          <w:ilvl w:val="0"/>
          <w:numId w:val="21"/>
        </w:numPr>
        <w:spacing w:before="0" w:line="240" w:lineRule="auto"/>
        <w:ind w:left="360"/>
        <w:contextualSpacing w:val="0"/>
        <w:jc w:val="both"/>
        <w:rPr>
          <w:rFonts w:ascii="Times New Roman" w:hAnsi="Times New Roman"/>
          <w:sz w:val="20"/>
          <w:szCs w:val="20"/>
        </w:rPr>
      </w:pPr>
      <w:r>
        <w:rPr>
          <w:rFonts w:ascii="Times New Roman" w:hAnsi="Times New Roman"/>
          <w:b/>
          <w:bCs/>
          <w:sz w:val="20"/>
          <w:szCs w:val="20"/>
        </w:rPr>
        <w:t>Certified e</w:t>
      </w:r>
      <w:r w:rsidR="00536EE6" w:rsidRPr="00FE27CE">
        <w:rPr>
          <w:rFonts w:ascii="Times New Roman" w:hAnsi="Times New Roman"/>
          <w:b/>
          <w:bCs/>
          <w:sz w:val="20"/>
          <w:szCs w:val="20"/>
        </w:rPr>
        <w:t xml:space="preserve">valuation </w:t>
      </w:r>
      <w:r>
        <w:rPr>
          <w:rFonts w:ascii="Times New Roman" w:hAnsi="Times New Roman"/>
          <w:b/>
          <w:bCs/>
          <w:sz w:val="20"/>
          <w:szCs w:val="20"/>
        </w:rPr>
        <w:t>training f</w:t>
      </w:r>
      <w:r w:rsidR="00FE27CE">
        <w:rPr>
          <w:rFonts w:ascii="Times New Roman" w:hAnsi="Times New Roman"/>
          <w:b/>
          <w:bCs/>
          <w:sz w:val="20"/>
          <w:szCs w:val="20"/>
        </w:rPr>
        <w:t xml:space="preserve">or </w:t>
      </w:r>
      <w:r w:rsidR="00536EE6" w:rsidRPr="00FE27CE">
        <w:rPr>
          <w:rFonts w:ascii="Times New Roman" w:hAnsi="Times New Roman"/>
          <w:b/>
          <w:bCs/>
          <w:sz w:val="20"/>
          <w:szCs w:val="20"/>
        </w:rPr>
        <w:t>M&amp;E focal points</w:t>
      </w:r>
      <w:r w:rsidR="00FE27CE">
        <w:rPr>
          <w:rFonts w:ascii="Times New Roman" w:hAnsi="Times New Roman"/>
          <w:b/>
          <w:bCs/>
          <w:sz w:val="20"/>
          <w:szCs w:val="20"/>
        </w:rPr>
        <w:t>.</w:t>
      </w:r>
      <w:r w:rsidR="00536EE6" w:rsidRPr="00FE27CE">
        <w:rPr>
          <w:rFonts w:ascii="Times New Roman" w:hAnsi="Times New Roman"/>
          <w:b/>
          <w:bCs/>
          <w:sz w:val="20"/>
          <w:szCs w:val="20"/>
        </w:rPr>
        <w:t xml:space="preserve"> </w:t>
      </w:r>
      <w:r w:rsidR="00536EE6" w:rsidRPr="005D3A5A">
        <w:rPr>
          <w:rFonts w:ascii="Times New Roman" w:hAnsi="Times New Roman"/>
          <w:sz w:val="20"/>
          <w:szCs w:val="20"/>
        </w:rPr>
        <w:t xml:space="preserve">Regional </w:t>
      </w:r>
      <w:r w:rsidR="00FE27CE">
        <w:rPr>
          <w:rFonts w:ascii="Times New Roman" w:hAnsi="Times New Roman"/>
          <w:sz w:val="20"/>
          <w:szCs w:val="20"/>
        </w:rPr>
        <w:t>b</w:t>
      </w:r>
      <w:r w:rsidR="00536EE6" w:rsidRPr="005D3A5A">
        <w:rPr>
          <w:rFonts w:ascii="Times New Roman" w:hAnsi="Times New Roman"/>
          <w:sz w:val="20"/>
          <w:szCs w:val="20"/>
        </w:rPr>
        <w:t>ureau</w:t>
      </w:r>
      <w:r w:rsidR="00FE27CE">
        <w:rPr>
          <w:rFonts w:ascii="Times New Roman" w:hAnsi="Times New Roman"/>
          <w:sz w:val="20"/>
          <w:szCs w:val="20"/>
        </w:rPr>
        <w:t>x</w:t>
      </w:r>
      <w:r w:rsidR="00536EE6" w:rsidRPr="005D3A5A">
        <w:rPr>
          <w:rFonts w:ascii="Times New Roman" w:hAnsi="Times New Roman"/>
          <w:sz w:val="20"/>
          <w:szCs w:val="20"/>
        </w:rPr>
        <w:t xml:space="preserve"> will ensure </w:t>
      </w:r>
      <w:r>
        <w:rPr>
          <w:rFonts w:ascii="Times New Roman" w:hAnsi="Times New Roman"/>
          <w:sz w:val="20"/>
          <w:szCs w:val="20"/>
        </w:rPr>
        <w:t xml:space="preserve">that </w:t>
      </w:r>
      <w:r w:rsidR="00536EE6" w:rsidRPr="005D3A5A">
        <w:rPr>
          <w:rFonts w:ascii="Times New Roman" w:hAnsi="Times New Roman"/>
          <w:sz w:val="20"/>
          <w:szCs w:val="20"/>
        </w:rPr>
        <w:t xml:space="preserve">all country office M&amp;E focal points have taken and passed the </w:t>
      </w:r>
      <w:r w:rsidR="00486EE0" w:rsidRPr="005D3A5A">
        <w:rPr>
          <w:rFonts w:ascii="Times New Roman" w:hAnsi="Times New Roman"/>
          <w:sz w:val="20"/>
          <w:szCs w:val="20"/>
        </w:rPr>
        <w:t xml:space="preserve">UNDP-IEO </w:t>
      </w:r>
      <w:r w:rsidR="00536EE6" w:rsidRPr="005D3A5A">
        <w:rPr>
          <w:rFonts w:ascii="Times New Roman" w:hAnsi="Times New Roman"/>
          <w:sz w:val="20"/>
          <w:szCs w:val="20"/>
        </w:rPr>
        <w:t>online certified training course</w:t>
      </w:r>
      <w:r w:rsidR="008345A0">
        <w:rPr>
          <w:rFonts w:ascii="Times New Roman" w:hAnsi="Times New Roman"/>
          <w:sz w:val="20"/>
          <w:szCs w:val="20"/>
        </w:rPr>
        <w:t xml:space="preserve">, which was </w:t>
      </w:r>
      <w:r w:rsidR="00536EE6" w:rsidRPr="005D3A5A">
        <w:rPr>
          <w:rFonts w:ascii="Times New Roman" w:hAnsi="Times New Roman"/>
          <w:sz w:val="20"/>
          <w:szCs w:val="20"/>
        </w:rPr>
        <w:t>launched in 2020</w:t>
      </w:r>
      <w:r w:rsidR="0009350B">
        <w:rPr>
          <w:rFonts w:ascii="Times New Roman" w:hAnsi="Times New Roman"/>
          <w:sz w:val="20"/>
          <w:szCs w:val="20"/>
        </w:rPr>
        <w:t>;</w:t>
      </w:r>
    </w:p>
    <w:p w14:paraId="7937B3F7" w14:textId="289D9B56" w:rsidR="00536EE6" w:rsidRPr="005D3A5A" w:rsidRDefault="00536EE6" w:rsidP="00944090">
      <w:pPr>
        <w:pStyle w:val="ListParagraph"/>
        <w:numPr>
          <w:ilvl w:val="0"/>
          <w:numId w:val="21"/>
        </w:numPr>
        <w:spacing w:before="0" w:line="240" w:lineRule="auto"/>
        <w:ind w:left="360"/>
        <w:contextualSpacing w:val="0"/>
        <w:jc w:val="both"/>
        <w:rPr>
          <w:rFonts w:ascii="Times New Roman" w:hAnsi="Times New Roman"/>
          <w:sz w:val="20"/>
          <w:szCs w:val="20"/>
        </w:rPr>
      </w:pPr>
      <w:r w:rsidRPr="00D07CFC">
        <w:rPr>
          <w:rFonts w:ascii="Times New Roman" w:hAnsi="Times New Roman"/>
          <w:b/>
          <w:bCs/>
          <w:sz w:val="20"/>
          <w:szCs w:val="20"/>
        </w:rPr>
        <w:t xml:space="preserve">Regional </w:t>
      </w:r>
      <w:r w:rsidR="00D07CFC">
        <w:rPr>
          <w:rFonts w:ascii="Times New Roman" w:hAnsi="Times New Roman"/>
          <w:b/>
          <w:bCs/>
          <w:sz w:val="20"/>
          <w:szCs w:val="20"/>
        </w:rPr>
        <w:t>b</w:t>
      </w:r>
      <w:r w:rsidRPr="00D07CFC">
        <w:rPr>
          <w:rFonts w:ascii="Times New Roman" w:hAnsi="Times New Roman"/>
          <w:b/>
          <w:bCs/>
          <w:sz w:val="20"/>
          <w:szCs w:val="20"/>
        </w:rPr>
        <w:t>ureau</w:t>
      </w:r>
      <w:r w:rsidR="00D07CFC">
        <w:rPr>
          <w:rFonts w:ascii="Times New Roman" w:hAnsi="Times New Roman"/>
          <w:b/>
          <w:bCs/>
          <w:sz w:val="20"/>
          <w:szCs w:val="20"/>
        </w:rPr>
        <w:t>x</w:t>
      </w:r>
      <w:r w:rsidRPr="00D07CFC">
        <w:rPr>
          <w:rFonts w:ascii="Times New Roman" w:hAnsi="Times New Roman"/>
          <w:b/>
          <w:bCs/>
          <w:sz w:val="20"/>
          <w:szCs w:val="20"/>
        </w:rPr>
        <w:t xml:space="preserve"> training</w:t>
      </w:r>
      <w:r w:rsidR="00D07CFC">
        <w:rPr>
          <w:rFonts w:ascii="Times New Roman" w:hAnsi="Times New Roman"/>
          <w:b/>
          <w:bCs/>
          <w:sz w:val="20"/>
          <w:szCs w:val="20"/>
        </w:rPr>
        <w:t>.</w:t>
      </w:r>
      <w:r w:rsidRPr="005D3A5A">
        <w:rPr>
          <w:rFonts w:ascii="Times New Roman" w:hAnsi="Times New Roman"/>
          <w:sz w:val="20"/>
          <w:szCs w:val="20"/>
        </w:rPr>
        <w:t xml:space="preserve"> </w:t>
      </w:r>
      <w:r w:rsidR="008345A0">
        <w:rPr>
          <w:rFonts w:ascii="Times New Roman" w:hAnsi="Times New Roman"/>
          <w:sz w:val="20"/>
          <w:szCs w:val="20"/>
        </w:rPr>
        <w:t>IEO</w:t>
      </w:r>
      <w:r w:rsidRPr="005D3A5A">
        <w:rPr>
          <w:rFonts w:ascii="Times New Roman" w:hAnsi="Times New Roman"/>
          <w:sz w:val="20"/>
          <w:szCs w:val="20"/>
        </w:rPr>
        <w:t xml:space="preserve">, through its </w:t>
      </w:r>
      <w:r w:rsidR="00486EE0" w:rsidRPr="005D3A5A">
        <w:rPr>
          <w:rFonts w:ascii="Times New Roman" w:hAnsi="Times New Roman"/>
          <w:sz w:val="20"/>
          <w:szCs w:val="20"/>
        </w:rPr>
        <w:t>regional focal points</w:t>
      </w:r>
      <w:r w:rsidRPr="005D3A5A">
        <w:rPr>
          <w:rFonts w:ascii="Times New Roman" w:hAnsi="Times New Roman"/>
          <w:sz w:val="20"/>
          <w:szCs w:val="20"/>
        </w:rPr>
        <w:t xml:space="preserve">, </w:t>
      </w:r>
      <w:r w:rsidR="00D07CFC" w:rsidRPr="005D3A5A">
        <w:rPr>
          <w:rFonts w:ascii="Times New Roman" w:hAnsi="Times New Roman"/>
          <w:sz w:val="20"/>
          <w:szCs w:val="20"/>
        </w:rPr>
        <w:t xml:space="preserve">will support </w:t>
      </w:r>
      <w:r w:rsidR="00D07CFC">
        <w:rPr>
          <w:rFonts w:ascii="Times New Roman" w:hAnsi="Times New Roman"/>
          <w:sz w:val="20"/>
          <w:szCs w:val="20"/>
        </w:rPr>
        <w:t>the r</w:t>
      </w:r>
      <w:r w:rsidR="00D07CFC" w:rsidRPr="005D3A5A">
        <w:rPr>
          <w:rFonts w:ascii="Times New Roman" w:hAnsi="Times New Roman"/>
          <w:sz w:val="20"/>
          <w:szCs w:val="20"/>
        </w:rPr>
        <w:t>egional</w:t>
      </w:r>
      <w:r w:rsidR="00D07CFC">
        <w:rPr>
          <w:rFonts w:ascii="Times New Roman" w:hAnsi="Times New Roman"/>
          <w:sz w:val="20"/>
          <w:szCs w:val="20"/>
        </w:rPr>
        <w:t xml:space="preserve"> b</w:t>
      </w:r>
      <w:r w:rsidR="00D07CFC" w:rsidRPr="005D3A5A">
        <w:rPr>
          <w:rFonts w:ascii="Times New Roman" w:hAnsi="Times New Roman"/>
          <w:sz w:val="20"/>
          <w:szCs w:val="20"/>
        </w:rPr>
        <w:t>ureau</w:t>
      </w:r>
      <w:r w:rsidR="00D07CFC">
        <w:rPr>
          <w:rFonts w:ascii="Times New Roman" w:hAnsi="Times New Roman"/>
          <w:sz w:val="20"/>
          <w:szCs w:val="20"/>
        </w:rPr>
        <w:t>x</w:t>
      </w:r>
      <w:r w:rsidR="00D07CFC" w:rsidRPr="005D3A5A">
        <w:rPr>
          <w:rFonts w:ascii="Times New Roman" w:hAnsi="Times New Roman"/>
          <w:sz w:val="20"/>
          <w:szCs w:val="20"/>
        </w:rPr>
        <w:t xml:space="preserve"> </w:t>
      </w:r>
      <w:r w:rsidRPr="005D3A5A">
        <w:rPr>
          <w:rFonts w:ascii="Times New Roman" w:hAnsi="Times New Roman"/>
          <w:sz w:val="20"/>
          <w:szCs w:val="20"/>
        </w:rPr>
        <w:t>in deliver</w:t>
      </w:r>
      <w:r w:rsidR="00D07CFC">
        <w:rPr>
          <w:rFonts w:ascii="Times New Roman" w:hAnsi="Times New Roman"/>
          <w:sz w:val="20"/>
          <w:szCs w:val="20"/>
        </w:rPr>
        <w:t>ing</w:t>
      </w:r>
      <w:r w:rsidRPr="005D3A5A">
        <w:rPr>
          <w:rFonts w:ascii="Times New Roman" w:hAnsi="Times New Roman"/>
          <w:sz w:val="20"/>
          <w:szCs w:val="20"/>
        </w:rPr>
        <w:t xml:space="preserve"> targeted support to country offices</w:t>
      </w:r>
      <w:r w:rsidR="0009350B">
        <w:rPr>
          <w:rFonts w:ascii="Times New Roman" w:hAnsi="Times New Roman"/>
          <w:sz w:val="20"/>
          <w:szCs w:val="20"/>
        </w:rPr>
        <w:t>;</w:t>
      </w:r>
    </w:p>
    <w:p w14:paraId="68FFF0DB" w14:textId="5A77EF29" w:rsidR="00536EE6" w:rsidRPr="005D3A5A" w:rsidRDefault="00536EE6" w:rsidP="00944090">
      <w:pPr>
        <w:pStyle w:val="ListParagraph"/>
        <w:numPr>
          <w:ilvl w:val="0"/>
          <w:numId w:val="21"/>
        </w:numPr>
        <w:spacing w:before="0" w:line="240" w:lineRule="auto"/>
        <w:ind w:left="360"/>
        <w:contextualSpacing w:val="0"/>
        <w:jc w:val="both"/>
        <w:rPr>
          <w:rFonts w:ascii="Times New Roman" w:hAnsi="Times New Roman"/>
          <w:sz w:val="20"/>
          <w:szCs w:val="20"/>
        </w:rPr>
      </w:pPr>
      <w:r w:rsidRPr="00D07CFC">
        <w:rPr>
          <w:rFonts w:ascii="Times New Roman" w:hAnsi="Times New Roman"/>
          <w:b/>
          <w:bCs/>
          <w:sz w:val="20"/>
          <w:szCs w:val="20"/>
        </w:rPr>
        <w:t>Short, targeted training</w:t>
      </w:r>
      <w:r w:rsidR="00D07CFC">
        <w:rPr>
          <w:rFonts w:ascii="Times New Roman" w:hAnsi="Times New Roman"/>
          <w:b/>
          <w:bCs/>
          <w:sz w:val="20"/>
          <w:szCs w:val="20"/>
        </w:rPr>
        <w:t>.</w:t>
      </w:r>
      <w:r w:rsidRPr="005D3A5A">
        <w:rPr>
          <w:rFonts w:ascii="Times New Roman" w:hAnsi="Times New Roman"/>
          <w:sz w:val="20"/>
          <w:szCs w:val="20"/>
        </w:rPr>
        <w:t xml:space="preserve"> </w:t>
      </w:r>
      <w:r w:rsidR="00D07CFC">
        <w:rPr>
          <w:rFonts w:ascii="Times New Roman" w:hAnsi="Times New Roman"/>
          <w:sz w:val="20"/>
          <w:szCs w:val="20"/>
        </w:rPr>
        <w:t>IEO will develop o</w:t>
      </w:r>
      <w:r w:rsidRPr="005D3A5A">
        <w:rPr>
          <w:rFonts w:ascii="Times New Roman" w:hAnsi="Times New Roman"/>
          <w:sz w:val="20"/>
          <w:szCs w:val="20"/>
        </w:rPr>
        <w:t xml:space="preserve">nline training and guidance around specific elements of the evaluation process (evaluability assessment, </w:t>
      </w:r>
      <w:r w:rsidR="007A5492">
        <w:rPr>
          <w:rFonts w:ascii="Times New Roman" w:hAnsi="Times New Roman"/>
          <w:sz w:val="20"/>
          <w:szCs w:val="20"/>
        </w:rPr>
        <w:t>theory of change</w:t>
      </w:r>
      <w:r w:rsidR="007578F0">
        <w:rPr>
          <w:rFonts w:ascii="Times New Roman" w:hAnsi="Times New Roman"/>
          <w:sz w:val="20"/>
          <w:szCs w:val="20"/>
        </w:rPr>
        <w:t xml:space="preserve"> </w:t>
      </w:r>
      <w:r w:rsidRPr="005D3A5A">
        <w:rPr>
          <w:rFonts w:ascii="Times New Roman" w:hAnsi="Times New Roman"/>
          <w:sz w:val="20"/>
          <w:szCs w:val="20"/>
        </w:rPr>
        <w:t xml:space="preserve">development, evaluation team management, data provision, </w:t>
      </w:r>
      <w:r w:rsidR="007A5492">
        <w:rPr>
          <w:rFonts w:ascii="Times New Roman" w:hAnsi="Times New Roman"/>
          <w:sz w:val="20"/>
          <w:szCs w:val="20"/>
        </w:rPr>
        <w:t>e</w:t>
      </w:r>
      <w:r w:rsidRPr="005D3A5A">
        <w:rPr>
          <w:rFonts w:ascii="Times New Roman" w:hAnsi="Times New Roman"/>
          <w:sz w:val="20"/>
          <w:szCs w:val="20"/>
        </w:rPr>
        <w:t>valuation report review, management response and key action development and evaluation use)</w:t>
      </w:r>
      <w:r w:rsidR="0009350B">
        <w:rPr>
          <w:rFonts w:ascii="Times New Roman" w:hAnsi="Times New Roman"/>
          <w:sz w:val="20"/>
          <w:szCs w:val="20"/>
        </w:rPr>
        <w:t>;</w:t>
      </w:r>
    </w:p>
    <w:p w14:paraId="7463AA22" w14:textId="61822C85" w:rsidR="00536EE6" w:rsidRPr="005D3A5A" w:rsidRDefault="00536EE6" w:rsidP="00D759D4">
      <w:pPr>
        <w:pStyle w:val="ListParagraph"/>
        <w:numPr>
          <w:ilvl w:val="0"/>
          <w:numId w:val="21"/>
        </w:numPr>
        <w:spacing w:before="0" w:after="0" w:line="240" w:lineRule="auto"/>
        <w:ind w:left="360"/>
        <w:contextualSpacing w:val="0"/>
        <w:jc w:val="both"/>
        <w:rPr>
          <w:rFonts w:ascii="Times New Roman" w:hAnsi="Times New Roman"/>
          <w:sz w:val="20"/>
          <w:szCs w:val="20"/>
        </w:rPr>
      </w:pPr>
      <w:r w:rsidRPr="009D750A">
        <w:rPr>
          <w:rFonts w:ascii="Times New Roman" w:hAnsi="Times New Roman"/>
          <w:b/>
          <w:bCs/>
          <w:sz w:val="20"/>
          <w:szCs w:val="20"/>
        </w:rPr>
        <w:t>IPDET and other training opportunities</w:t>
      </w:r>
      <w:r w:rsidR="009D750A">
        <w:rPr>
          <w:rFonts w:ascii="Times New Roman" w:hAnsi="Times New Roman"/>
          <w:b/>
          <w:bCs/>
          <w:sz w:val="20"/>
          <w:szCs w:val="20"/>
        </w:rPr>
        <w:t>.</w:t>
      </w:r>
      <w:r w:rsidRPr="005D3A5A">
        <w:rPr>
          <w:rFonts w:ascii="Times New Roman" w:hAnsi="Times New Roman"/>
          <w:sz w:val="20"/>
          <w:szCs w:val="20"/>
        </w:rPr>
        <w:t xml:space="preserve"> IEO will continue to support UNDP colleagues to take part in training opportunities such as </w:t>
      </w:r>
      <w:r w:rsidR="00FB0865">
        <w:rPr>
          <w:rFonts w:ascii="Times New Roman" w:hAnsi="Times New Roman"/>
          <w:sz w:val="20"/>
          <w:szCs w:val="20"/>
        </w:rPr>
        <w:t xml:space="preserve">the </w:t>
      </w:r>
      <w:r w:rsidR="007A5492" w:rsidRPr="005D3A5A">
        <w:rPr>
          <w:rFonts w:ascii="Times New Roman" w:hAnsi="Times New Roman"/>
          <w:sz w:val="20"/>
          <w:szCs w:val="20"/>
        </w:rPr>
        <w:t>I</w:t>
      </w:r>
      <w:r w:rsidR="007A5492">
        <w:rPr>
          <w:rFonts w:ascii="Times New Roman" w:hAnsi="Times New Roman"/>
          <w:sz w:val="20"/>
          <w:szCs w:val="20"/>
        </w:rPr>
        <w:t xml:space="preserve">nternational </w:t>
      </w:r>
      <w:r w:rsidRPr="005D3A5A">
        <w:rPr>
          <w:rFonts w:ascii="Times New Roman" w:hAnsi="Times New Roman"/>
          <w:sz w:val="20"/>
          <w:szCs w:val="20"/>
        </w:rPr>
        <w:t>P</w:t>
      </w:r>
      <w:r w:rsidR="007A5492">
        <w:rPr>
          <w:rFonts w:ascii="Times New Roman" w:hAnsi="Times New Roman"/>
          <w:sz w:val="20"/>
          <w:szCs w:val="20"/>
        </w:rPr>
        <w:t xml:space="preserve">rogram for </w:t>
      </w:r>
      <w:r w:rsidRPr="005D3A5A">
        <w:rPr>
          <w:rFonts w:ascii="Times New Roman" w:hAnsi="Times New Roman"/>
          <w:sz w:val="20"/>
          <w:szCs w:val="20"/>
        </w:rPr>
        <w:t>D</w:t>
      </w:r>
      <w:r w:rsidR="007A5492">
        <w:rPr>
          <w:rFonts w:ascii="Times New Roman" w:hAnsi="Times New Roman"/>
          <w:sz w:val="20"/>
          <w:szCs w:val="20"/>
        </w:rPr>
        <w:t xml:space="preserve">evelopment </w:t>
      </w:r>
      <w:r w:rsidRPr="005D3A5A">
        <w:rPr>
          <w:rFonts w:ascii="Times New Roman" w:hAnsi="Times New Roman"/>
          <w:sz w:val="20"/>
          <w:szCs w:val="20"/>
        </w:rPr>
        <w:t>E</w:t>
      </w:r>
      <w:r w:rsidR="007A5492">
        <w:rPr>
          <w:rFonts w:ascii="Times New Roman" w:hAnsi="Times New Roman"/>
          <w:sz w:val="20"/>
          <w:szCs w:val="20"/>
        </w:rPr>
        <w:t xml:space="preserve">valuation </w:t>
      </w:r>
      <w:r w:rsidRPr="005D3A5A">
        <w:rPr>
          <w:rFonts w:ascii="Times New Roman" w:hAnsi="Times New Roman"/>
          <w:sz w:val="20"/>
          <w:szCs w:val="20"/>
        </w:rPr>
        <w:t>T</w:t>
      </w:r>
      <w:r w:rsidR="007A5492">
        <w:rPr>
          <w:rFonts w:ascii="Times New Roman" w:hAnsi="Times New Roman"/>
          <w:sz w:val="20"/>
          <w:szCs w:val="20"/>
        </w:rPr>
        <w:t>raining (IPDET)</w:t>
      </w:r>
      <w:r w:rsidRPr="005D3A5A">
        <w:rPr>
          <w:rFonts w:ascii="Times New Roman" w:hAnsi="Times New Roman"/>
          <w:sz w:val="20"/>
          <w:szCs w:val="20"/>
        </w:rPr>
        <w:t>, the European Evaluation Society and the National Evaluation Capacities Conference.</w:t>
      </w:r>
    </w:p>
    <w:p w14:paraId="291B2E76" w14:textId="0A86B579" w:rsidR="00CA7731" w:rsidRPr="005D3A5A" w:rsidRDefault="00CA7731" w:rsidP="00210A2A">
      <w:pPr>
        <w:spacing w:before="0" w:after="0" w:line="240" w:lineRule="auto"/>
        <w:jc w:val="both"/>
        <w:rPr>
          <w:rFonts w:ascii="Times New Roman" w:hAnsi="Times New Roman"/>
          <w:b/>
          <w:bCs/>
          <w:i/>
          <w:iCs/>
          <w:sz w:val="20"/>
          <w:szCs w:val="20"/>
        </w:rPr>
      </w:pPr>
    </w:p>
    <w:p w14:paraId="637F3DEA" w14:textId="59F2D863" w:rsidR="0041516C" w:rsidRPr="009D750A" w:rsidRDefault="0041516C" w:rsidP="009D750A">
      <w:pPr>
        <w:pStyle w:val="ListParagraph"/>
        <w:numPr>
          <w:ilvl w:val="0"/>
          <w:numId w:val="41"/>
        </w:numPr>
        <w:tabs>
          <w:tab w:val="left" w:pos="360"/>
        </w:tabs>
        <w:spacing w:before="0" w:after="0" w:line="240" w:lineRule="auto"/>
        <w:ind w:left="-180" w:firstLine="0"/>
        <w:contextualSpacing w:val="0"/>
        <w:jc w:val="both"/>
        <w:rPr>
          <w:rFonts w:ascii="Times New Roman" w:hAnsi="Times New Roman"/>
          <w:sz w:val="20"/>
          <w:szCs w:val="20"/>
          <w:lang w:bidi="ar-SA"/>
        </w:rPr>
      </w:pPr>
      <w:r w:rsidRPr="009D750A">
        <w:rPr>
          <w:rFonts w:ascii="Times New Roman" w:hAnsi="Times New Roman"/>
          <w:b/>
          <w:bCs/>
          <w:sz w:val="20"/>
          <w:szCs w:val="20"/>
          <w:lang w:bidi="ar-SA"/>
        </w:rPr>
        <w:t xml:space="preserve">Quarterly </w:t>
      </w:r>
      <w:r w:rsidR="009D750A" w:rsidRPr="009D750A">
        <w:rPr>
          <w:rFonts w:ascii="Times New Roman" w:hAnsi="Times New Roman"/>
          <w:b/>
          <w:bCs/>
          <w:sz w:val="20"/>
          <w:szCs w:val="20"/>
          <w:lang w:bidi="ar-SA"/>
        </w:rPr>
        <w:t xml:space="preserve">quality assessment </w:t>
      </w:r>
      <w:r w:rsidRPr="009D750A">
        <w:rPr>
          <w:rFonts w:ascii="Times New Roman" w:hAnsi="Times New Roman"/>
          <w:b/>
          <w:bCs/>
          <w:sz w:val="20"/>
          <w:szCs w:val="20"/>
          <w:lang w:bidi="ar-SA"/>
        </w:rPr>
        <w:t>process (IEO)</w:t>
      </w:r>
      <w:r w:rsidR="007A5CB4" w:rsidRPr="009D750A">
        <w:rPr>
          <w:rFonts w:ascii="Times New Roman" w:hAnsi="Times New Roman"/>
          <w:b/>
          <w:bCs/>
          <w:sz w:val="20"/>
          <w:szCs w:val="20"/>
          <w:lang w:bidi="ar-SA"/>
        </w:rPr>
        <w:t xml:space="preserve"> 2022-2025</w:t>
      </w:r>
      <w:r w:rsidR="009D750A">
        <w:rPr>
          <w:rFonts w:ascii="Times New Roman" w:hAnsi="Times New Roman"/>
          <w:b/>
          <w:bCs/>
          <w:sz w:val="20"/>
          <w:szCs w:val="20"/>
          <w:lang w:bidi="ar-SA"/>
        </w:rPr>
        <w:t>.</w:t>
      </w:r>
      <w:r w:rsidRPr="009D750A">
        <w:rPr>
          <w:rFonts w:ascii="Times New Roman" w:hAnsi="Times New Roman"/>
          <w:sz w:val="20"/>
          <w:szCs w:val="20"/>
          <w:lang w:bidi="ar-SA"/>
        </w:rPr>
        <w:t xml:space="preserve"> </w:t>
      </w:r>
      <w:r w:rsidR="000B74CF" w:rsidRPr="009D750A">
        <w:rPr>
          <w:rFonts w:ascii="Times New Roman" w:hAnsi="Times New Roman"/>
          <w:sz w:val="20"/>
          <w:szCs w:val="20"/>
          <w:lang w:bidi="ar-SA"/>
        </w:rPr>
        <w:t>Starting from 2022, t</w:t>
      </w:r>
      <w:r w:rsidRPr="009D750A">
        <w:rPr>
          <w:rFonts w:ascii="Times New Roman" w:hAnsi="Times New Roman"/>
          <w:sz w:val="20"/>
          <w:szCs w:val="20"/>
          <w:lang w:bidi="ar-SA"/>
        </w:rPr>
        <w:t xml:space="preserve">he IEO </w:t>
      </w:r>
      <w:r w:rsidR="000B74CF" w:rsidRPr="009D750A">
        <w:rPr>
          <w:rFonts w:ascii="Times New Roman" w:hAnsi="Times New Roman"/>
          <w:sz w:val="20"/>
          <w:szCs w:val="20"/>
          <w:lang w:bidi="ar-SA"/>
        </w:rPr>
        <w:t xml:space="preserve">will undertake </w:t>
      </w:r>
      <w:r w:rsidRPr="009D750A">
        <w:rPr>
          <w:rFonts w:ascii="Times New Roman" w:hAnsi="Times New Roman"/>
          <w:sz w:val="20"/>
          <w:szCs w:val="20"/>
          <w:lang w:bidi="ar-SA"/>
        </w:rPr>
        <w:t xml:space="preserve">quality </w:t>
      </w:r>
      <w:r w:rsidR="000B74CF" w:rsidRPr="009D750A">
        <w:rPr>
          <w:rFonts w:ascii="Times New Roman" w:hAnsi="Times New Roman"/>
          <w:sz w:val="20"/>
          <w:szCs w:val="20"/>
          <w:lang w:bidi="ar-SA"/>
        </w:rPr>
        <w:t>a</w:t>
      </w:r>
      <w:r w:rsidRPr="009D750A">
        <w:rPr>
          <w:rFonts w:ascii="Times New Roman" w:hAnsi="Times New Roman"/>
          <w:sz w:val="20"/>
          <w:szCs w:val="20"/>
          <w:lang w:bidi="ar-SA"/>
        </w:rPr>
        <w:t>ssessment</w:t>
      </w:r>
      <w:r w:rsidR="00FB0865" w:rsidRPr="009D750A">
        <w:rPr>
          <w:rFonts w:ascii="Times New Roman" w:hAnsi="Times New Roman"/>
          <w:sz w:val="20"/>
          <w:szCs w:val="20"/>
          <w:lang w:bidi="ar-SA"/>
        </w:rPr>
        <w:t>s</w:t>
      </w:r>
      <w:r w:rsidRPr="009D750A">
        <w:rPr>
          <w:rFonts w:ascii="Times New Roman" w:hAnsi="Times New Roman"/>
          <w:sz w:val="20"/>
          <w:szCs w:val="20"/>
          <w:lang w:bidi="ar-SA"/>
        </w:rPr>
        <w:t xml:space="preserve"> </w:t>
      </w:r>
      <w:r w:rsidR="000B74CF" w:rsidRPr="009D750A">
        <w:rPr>
          <w:rFonts w:ascii="Times New Roman" w:hAnsi="Times New Roman"/>
          <w:sz w:val="20"/>
          <w:szCs w:val="20"/>
          <w:lang w:bidi="ar-SA"/>
        </w:rPr>
        <w:t>of decentralized evaluations</w:t>
      </w:r>
      <w:r w:rsidRPr="009D750A">
        <w:rPr>
          <w:rFonts w:ascii="Times New Roman" w:hAnsi="Times New Roman"/>
          <w:sz w:val="20"/>
          <w:szCs w:val="20"/>
          <w:lang w:bidi="ar-SA"/>
        </w:rPr>
        <w:t xml:space="preserve"> on </w:t>
      </w:r>
      <w:r w:rsidR="00823ACF" w:rsidRPr="009D750A">
        <w:rPr>
          <w:rFonts w:ascii="Times New Roman" w:hAnsi="Times New Roman"/>
          <w:sz w:val="20"/>
          <w:szCs w:val="20"/>
          <w:lang w:bidi="ar-SA"/>
        </w:rPr>
        <w:t xml:space="preserve">a </w:t>
      </w:r>
      <w:r w:rsidRPr="009D750A">
        <w:rPr>
          <w:rFonts w:ascii="Times New Roman" w:hAnsi="Times New Roman"/>
          <w:sz w:val="20"/>
          <w:szCs w:val="20"/>
          <w:lang w:bidi="ar-SA"/>
        </w:rPr>
        <w:t>quarterly basis to ensure timely input to country offices.</w:t>
      </w:r>
    </w:p>
    <w:p w14:paraId="52867347" w14:textId="77777777" w:rsidR="00CA7731" w:rsidRPr="009D750A" w:rsidRDefault="00CA7731" w:rsidP="009D750A">
      <w:pPr>
        <w:pStyle w:val="ListParagraph"/>
        <w:tabs>
          <w:tab w:val="left" w:pos="360"/>
        </w:tabs>
        <w:spacing w:before="0" w:after="0" w:line="240" w:lineRule="auto"/>
        <w:ind w:left="-180"/>
        <w:contextualSpacing w:val="0"/>
        <w:jc w:val="both"/>
        <w:rPr>
          <w:rFonts w:ascii="Times New Roman" w:hAnsi="Times New Roman"/>
          <w:sz w:val="20"/>
          <w:szCs w:val="20"/>
          <w:lang w:bidi="ar-SA"/>
        </w:rPr>
      </w:pPr>
    </w:p>
    <w:p w14:paraId="582E8D4F" w14:textId="504A5F67" w:rsidR="0041516C" w:rsidRPr="009D750A" w:rsidRDefault="0041516C" w:rsidP="009D750A">
      <w:pPr>
        <w:pStyle w:val="ListParagraph"/>
        <w:numPr>
          <w:ilvl w:val="0"/>
          <w:numId w:val="41"/>
        </w:numPr>
        <w:tabs>
          <w:tab w:val="left" w:pos="360"/>
        </w:tabs>
        <w:spacing w:before="0" w:after="0" w:line="240" w:lineRule="auto"/>
        <w:ind w:left="-180" w:firstLine="0"/>
        <w:contextualSpacing w:val="0"/>
        <w:jc w:val="both"/>
        <w:rPr>
          <w:rFonts w:ascii="Times New Roman" w:hAnsi="Times New Roman"/>
          <w:sz w:val="20"/>
          <w:szCs w:val="20"/>
          <w:lang w:bidi="ar-SA"/>
        </w:rPr>
      </w:pPr>
      <w:r w:rsidRPr="009D750A">
        <w:rPr>
          <w:rFonts w:ascii="Times New Roman" w:hAnsi="Times New Roman"/>
          <w:b/>
          <w:bCs/>
          <w:sz w:val="20"/>
          <w:szCs w:val="20"/>
          <w:lang w:bidi="ar-SA"/>
        </w:rPr>
        <w:t xml:space="preserve">Evaluator and </w:t>
      </w:r>
      <w:r w:rsidR="0053328F" w:rsidRPr="009D750A">
        <w:rPr>
          <w:rFonts w:ascii="Times New Roman" w:hAnsi="Times New Roman"/>
          <w:b/>
          <w:bCs/>
          <w:sz w:val="20"/>
          <w:szCs w:val="20"/>
          <w:lang w:bidi="ar-SA"/>
        </w:rPr>
        <w:t>commissioner d</w:t>
      </w:r>
      <w:r w:rsidRPr="009D750A">
        <w:rPr>
          <w:rFonts w:ascii="Times New Roman" w:hAnsi="Times New Roman"/>
          <w:b/>
          <w:bCs/>
          <w:sz w:val="20"/>
          <w:szCs w:val="20"/>
          <w:lang w:bidi="ar-SA"/>
        </w:rPr>
        <w:t xml:space="preserve">ispute resolution process (IEO </w:t>
      </w:r>
      <w:r w:rsidR="0053328F" w:rsidRPr="009D750A">
        <w:rPr>
          <w:rFonts w:ascii="Times New Roman" w:hAnsi="Times New Roman"/>
          <w:b/>
          <w:bCs/>
          <w:sz w:val="20"/>
          <w:szCs w:val="20"/>
          <w:lang w:bidi="ar-SA"/>
        </w:rPr>
        <w:t>and p</w:t>
      </w:r>
      <w:r w:rsidRPr="009D750A">
        <w:rPr>
          <w:rFonts w:ascii="Times New Roman" w:hAnsi="Times New Roman"/>
          <w:b/>
          <w:bCs/>
          <w:sz w:val="20"/>
          <w:szCs w:val="20"/>
          <w:lang w:bidi="ar-SA"/>
        </w:rPr>
        <w:t>rogramme units</w:t>
      </w:r>
      <w:r w:rsidR="00036FC7" w:rsidRPr="009D750A">
        <w:rPr>
          <w:rFonts w:ascii="Times New Roman" w:hAnsi="Times New Roman"/>
          <w:b/>
          <w:bCs/>
          <w:sz w:val="20"/>
          <w:szCs w:val="20"/>
          <w:lang w:bidi="ar-SA"/>
        </w:rPr>
        <w:t>)</w:t>
      </w:r>
      <w:r w:rsidR="000B74CF" w:rsidRPr="009D750A">
        <w:rPr>
          <w:rFonts w:ascii="Times New Roman" w:hAnsi="Times New Roman"/>
          <w:b/>
          <w:bCs/>
          <w:sz w:val="20"/>
          <w:szCs w:val="20"/>
          <w:lang w:bidi="ar-SA"/>
        </w:rPr>
        <w:t xml:space="preserve"> 2022</w:t>
      </w:r>
      <w:r w:rsidR="0053328F">
        <w:rPr>
          <w:rFonts w:ascii="Times New Roman" w:hAnsi="Times New Roman"/>
          <w:b/>
          <w:bCs/>
          <w:sz w:val="20"/>
          <w:szCs w:val="20"/>
          <w:lang w:bidi="ar-SA"/>
        </w:rPr>
        <w:t>.</w:t>
      </w:r>
      <w:r w:rsidRPr="009D750A">
        <w:rPr>
          <w:rFonts w:ascii="Times New Roman" w:hAnsi="Times New Roman"/>
          <w:sz w:val="20"/>
          <w:szCs w:val="20"/>
          <w:lang w:bidi="ar-SA"/>
        </w:rPr>
        <w:t xml:space="preserve"> </w:t>
      </w:r>
      <w:r w:rsidR="000B74CF" w:rsidRPr="009D750A">
        <w:rPr>
          <w:rFonts w:ascii="Times New Roman" w:hAnsi="Times New Roman"/>
          <w:sz w:val="20"/>
          <w:szCs w:val="20"/>
          <w:lang w:bidi="ar-SA"/>
        </w:rPr>
        <w:t>R</w:t>
      </w:r>
      <w:r w:rsidRPr="009D750A">
        <w:rPr>
          <w:rFonts w:ascii="Times New Roman" w:hAnsi="Times New Roman"/>
          <w:sz w:val="20"/>
          <w:szCs w:val="20"/>
          <w:lang w:bidi="ar-SA"/>
        </w:rPr>
        <w:t>olled out as part of the evaluation guidelines,</w:t>
      </w:r>
      <w:r w:rsidR="000B74CF" w:rsidRPr="009D750A">
        <w:rPr>
          <w:rFonts w:ascii="Times New Roman" w:hAnsi="Times New Roman"/>
          <w:sz w:val="20"/>
          <w:szCs w:val="20"/>
          <w:lang w:bidi="ar-SA"/>
        </w:rPr>
        <w:t xml:space="preserve"> the dispute resolution process</w:t>
      </w:r>
      <w:r w:rsidRPr="009D750A">
        <w:rPr>
          <w:rFonts w:ascii="Times New Roman" w:hAnsi="Times New Roman"/>
          <w:sz w:val="20"/>
          <w:szCs w:val="20"/>
          <w:lang w:bidi="ar-SA"/>
        </w:rPr>
        <w:t xml:space="preserve"> </w:t>
      </w:r>
      <w:r w:rsidR="00313A96" w:rsidRPr="009D750A">
        <w:rPr>
          <w:rFonts w:ascii="Times New Roman" w:hAnsi="Times New Roman"/>
          <w:sz w:val="20"/>
          <w:szCs w:val="20"/>
          <w:lang w:bidi="ar-SA"/>
        </w:rPr>
        <w:t>provide</w:t>
      </w:r>
      <w:r w:rsidR="0053328F">
        <w:rPr>
          <w:rFonts w:ascii="Times New Roman" w:hAnsi="Times New Roman"/>
          <w:sz w:val="20"/>
          <w:szCs w:val="20"/>
          <w:lang w:bidi="ar-SA"/>
        </w:rPr>
        <w:t>s</w:t>
      </w:r>
      <w:r w:rsidRPr="009D750A">
        <w:rPr>
          <w:rFonts w:ascii="Times New Roman" w:hAnsi="Times New Roman"/>
          <w:sz w:val="20"/>
          <w:szCs w:val="20"/>
          <w:lang w:bidi="ar-SA"/>
        </w:rPr>
        <w:t xml:space="preserve"> clear channels for evaluators to report wrongdoing in programmes and projects, through the established O</w:t>
      </w:r>
      <w:r w:rsidR="000B74CF" w:rsidRPr="009D750A">
        <w:rPr>
          <w:rFonts w:ascii="Times New Roman" w:hAnsi="Times New Roman"/>
          <w:sz w:val="20"/>
          <w:szCs w:val="20"/>
          <w:lang w:bidi="ar-SA"/>
        </w:rPr>
        <w:t xml:space="preserve">ffice of </w:t>
      </w:r>
      <w:r w:rsidRPr="009D750A">
        <w:rPr>
          <w:rFonts w:ascii="Times New Roman" w:hAnsi="Times New Roman"/>
          <w:sz w:val="20"/>
          <w:szCs w:val="20"/>
          <w:lang w:bidi="ar-SA"/>
        </w:rPr>
        <w:t>A</w:t>
      </w:r>
      <w:r w:rsidR="000B74CF" w:rsidRPr="009D750A">
        <w:rPr>
          <w:rFonts w:ascii="Times New Roman" w:hAnsi="Times New Roman"/>
          <w:sz w:val="20"/>
          <w:szCs w:val="20"/>
          <w:lang w:bidi="ar-SA"/>
        </w:rPr>
        <w:t xml:space="preserve">udit and </w:t>
      </w:r>
      <w:r w:rsidRPr="009D750A">
        <w:rPr>
          <w:rFonts w:ascii="Times New Roman" w:hAnsi="Times New Roman"/>
          <w:sz w:val="20"/>
          <w:szCs w:val="20"/>
          <w:lang w:bidi="ar-SA"/>
        </w:rPr>
        <w:t>I</w:t>
      </w:r>
      <w:r w:rsidR="000B74CF" w:rsidRPr="009D750A">
        <w:rPr>
          <w:rFonts w:ascii="Times New Roman" w:hAnsi="Times New Roman"/>
          <w:sz w:val="20"/>
          <w:szCs w:val="20"/>
          <w:lang w:bidi="ar-SA"/>
        </w:rPr>
        <w:t xml:space="preserve">nvestigation </w:t>
      </w:r>
      <w:r w:rsidRPr="009D750A">
        <w:rPr>
          <w:rFonts w:ascii="Times New Roman" w:hAnsi="Times New Roman"/>
          <w:sz w:val="20"/>
          <w:szCs w:val="20"/>
          <w:lang w:bidi="ar-SA"/>
        </w:rPr>
        <w:t xml:space="preserve">hotlines. External evaluators hired to conduct decentralized evaluations can raise disputes with the </w:t>
      </w:r>
      <w:r w:rsidR="0053328F" w:rsidRPr="009D750A">
        <w:rPr>
          <w:rFonts w:ascii="Times New Roman" w:hAnsi="Times New Roman"/>
          <w:sz w:val="20"/>
          <w:szCs w:val="20"/>
          <w:lang w:bidi="ar-SA"/>
        </w:rPr>
        <w:t>regional b</w:t>
      </w:r>
      <w:r w:rsidRPr="009D750A">
        <w:rPr>
          <w:rFonts w:ascii="Times New Roman" w:hAnsi="Times New Roman"/>
          <w:sz w:val="20"/>
          <w:szCs w:val="20"/>
          <w:lang w:bidi="ar-SA"/>
        </w:rPr>
        <w:t xml:space="preserve">ureau director and IEO should they feel </w:t>
      </w:r>
      <w:r w:rsidR="0053328F">
        <w:rPr>
          <w:rFonts w:ascii="Times New Roman" w:hAnsi="Times New Roman"/>
          <w:sz w:val="20"/>
          <w:szCs w:val="20"/>
          <w:lang w:bidi="ar-SA"/>
        </w:rPr>
        <w:t xml:space="preserve">that </w:t>
      </w:r>
      <w:r w:rsidRPr="009D750A">
        <w:rPr>
          <w:rFonts w:ascii="Times New Roman" w:hAnsi="Times New Roman"/>
          <w:sz w:val="20"/>
          <w:szCs w:val="20"/>
          <w:lang w:bidi="ar-SA"/>
        </w:rPr>
        <w:t>undue pressure is being placed on them to adjust evaluation results.</w:t>
      </w:r>
    </w:p>
    <w:p w14:paraId="1960AA50" w14:textId="77777777" w:rsidR="00CA7731" w:rsidRPr="009D750A" w:rsidRDefault="00CA7731" w:rsidP="009D750A">
      <w:pPr>
        <w:tabs>
          <w:tab w:val="left" w:pos="360"/>
        </w:tabs>
        <w:spacing w:before="0" w:after="0" w:line="240" w:lineRule="auto"/>
        <w:ind w:left="-180"/>
        <w:jc w:val="both"/>
        <w:rPr>
          <w:rFonts w:ascii="Times New Roman" w:hAnsi="Times New Roman"/>
          <w:sz w:val="20"/>
          <w:szCs w:val="20"/>
          <w:lang w:bidi="ar-SA"/>
        </w:rPr>
      </w:pPr>
    </w:p>
    <w:p w14:paraId="7F32D79B" w14:textId="71B22C23" w:rsidR="0041516C" w:rsidRPr="009D750A" w:rsidRDefault="0041516C" w:rsidP="009D750A">
      <w:pPr>
        <w:pStyle w:val="ListParagraph"/>
        <w:numPr>
          <w:ilvl w:val="0"/>
          <w:numId w:val="41"/>
        </w:numPr>
        <w:tabs>
          <w:tab w:val="left" w:pos="360"/>
        </w:tabs>
        <w:spacing w:before="0" w:after="0" w:line="240" w:lineRule="auto"/>
        <w:ind w:left="-180" w:firstLine="0"/>
        <w:contextualSpacing w:val="0"/>
        <w:jc w:val="both"/>
        <w:rPr>
          <w:rFonts w:ascii="Times New Roman" w:hAnsi="Times New Roman"/>
          <w:sz w:val="20"/>
          <w:szCs w:val="20"/>
          <w:lang w:bidi="ar-SA"/>
        </w:rPr>
      </w:pPr>
      <w:r w:rsidRPr="0053328F">
        <w:rPr>
          <w:rFonts w:ascii="Times New Roman" w:hAnsi="Times New Roman"/>
          <w:b/>
          <w:bCs/>
          <w:sz w:val="20"/>
          <w:szCs w:val="20"/>
          <w:lang w:bidi="ar-SA"/>
        </w:rPr>
        <w:t xml:space="preserve">IEO </w:t>
      </w:r>
      <w:r w:rsidR="0053328F" w:rsidRPr="0053328F">
        <w:rPr>
          <w:rFonts w:ascii="Times New Roman" w:hAnsi="Times New Roman"/>
          <w:b/>
          <w:bCs/>
          <w:sz w:val="20"/>
          <w:szCs w:val="20"/>
          <w:lang w:bidi="ar-SA"/>
        </w:rPr>
        <w:t>regional focal p</w:t>
      </w:r>
      <w:r w:rsidRPr="0053328F">
        <w:rPr>
          <w:rFonts w:ascii="Times New Roman" w:hAnsi="Times New Roman"/>
          <w:b/>
          <w:bCs/>
          <w:sz w:val="20"/>
          <w:szCs w:val="20"/>
          <w:lang w:bidi="ar-SA"/>
        </w:rPr>
        <w:t xml:space="preserve">oints (IEO and </w:t>
      </w:r>
      <w:r w:rsidR="0053328F" w:rsidRPr="0053328F">
        <w:rPr>
          <w:rFonts w:ascii="Times New Roman" w:hAnsi="Times New Roman"/>
          <w:b/>
          <w:bCs/>
          <w:sz w:val="20"/>
          <w:szCs w:val="20"/>
          <w:lang w:bidi="ar-SA"/>
        </w:rPr>
        <w:t>regional b</w:t>
      </w:r>
      <w:r w:rsidRPr="0053328F">
        <w:rPr>
          <w:rFonts w:ascii="Times New Roman" w:hAnsi="Times New Roman"/>
          <w:b/>
          <w:bCs/>
          <w:sz w:val="20"/>
          <w:szCs w:val="20"/>
          <w:lang w:bidi="ar-SA"/>
        </w:rPr>
        <w:t>ureau</w:t>
      </w:r>
      <w:r w:rsidR="0053328F">
        <w:rPr>
          <w:rFonts w:ascii="Times New Roman" w:hAnsi="Times New Roman"/>
          <w:b/>
          <w:bCs/>
          <w:sz w:val="20"/>
          <w:szCs w:val="20"/>
          <w:lang w:bidi="ar-SA"/>
        </w:rPr>
        <w:t>x</w:t>
      </w:r>
      <w:r w:rsidR="00036FC7" w:rsidRPr="0053328F">
        <w:rPr>
          <w:rFonts w:ascii="Times New Roman" w:hAnsi="Times New Roman"/>
          <w:b/>
          <w:bCs/>
          <w:sz w:val="20"/>
          <w:szCs w:val="20"/>
          <w:lang w:bidi="ar-SA"/>
        </w:rPr>
        <w:t>)</w:t>
      </w:r>
      <w:r w:rsidRPr="0053328F">
        <w:rPr>
          <w:rFonts w:ascii="Times New Roman" w:hAnsi="Times New Roman"/>
          <w:b/>
          <w:bCs/>
          <w:sz w:val="20"/>
          <w:szCs w:val="20"/>
          <w:lang w:bidi="ar-SA"/>
        </w:rPr>
        <w:t xml:space="preserve"> 202</w:t>
      </w:r>
      <w:r w:rsidR="003F1325" w:rsidRPr="0053328F">
        <w:rPr>
          <w:rFonts w:ascii="Times New Roman" w:hAnsi="Times New Roman"/>
          <w:b/>
          <w:bCs/>
          <w:sz w:val="20"/>
          <w:szCs w:val="20"/>
          <w:lang w:bidi="ar-SA"/>
        </w:rPr>
        <w:t>1-2025</w:t>
      </w:r>
      <w:r w:rsidRPr="0053328F">
        <w:rPr>
          <w:rFonts w:ascii="Times New Roman" w:hAnsi="Times New Roman"/>
          <w:b/>
          <w:bCs/>
          <w:sz w:val="20"/>
          <w:szCs w:val="20"/>
          <w:lang w:bidi="ar-SA"/>
        </w:rPr>
        <w:t>:</w:t>
      </w:r>
      <w:r w:rsidRPr="009D750A">
        <w:rPr>
          <w:rFonts w:ascii="Times New Roman" w:hAnsi="Times New Roman"/>
          <w:sz w:val="20"/>
          <w:szCs w:val="20"/>
          <w:lang w:bidi="ar-SA"/>
        </w:rPr>
        <w:t xml:space="preserve"> In 2021, IEO established regional focal points </w:t>
      </w:r>
      <w:r w:rsidR="0053328F">
        <w:rPr>
          <w:rFonts w:ascii="Times New Roman" w:hAnsi="Times New Roman"/>
          <w:sz w:val="20"/>
          <w:szCs w:val="20"/>
          <w:lang w:bidi="ar-SA"/>
        </w:rPr>
        <w:t>who</w:t>
      </w:r>
      <w:r w:rsidR="0053328F" w:rsidRPr="009D750A">
        <w:rPr>
          <w:rFonts w:ascii="Times New Roman" w:hAnsi="Times New Roman"/>
          <w:sz w:val="20"/>
          <w:szCs w:val="20"/>
          <w:lang w:bidi="ar-SA"/>
        </w:rPr>
        <w:t xml:space="preserve"> </w:t>
      </w:r>
      <w:r w:rsidR="00215D14" w:rsidRPr="009D750A">
        <w:rPr>
          <w:rFonts w:ascii="Times New Roman" w:hAnsi="Times New Roman"/>
          <w:sz w:val="20"/>
          <w:szCs w:val="20"/>
          <w:lang w:bidi="ar-SA"/>
        </w:rPr>
        <w:t xml:space="preserve">work closely with counterparts in </w:t>
      </w:r>
      <w:r w:rsidR="0053328F" w:rsidRPr="009D750A">
        <w:rPr>
          <w:rFonts w:ascii="Times New Roman" w:hAnsi="Times New Roman"/>
          <w:sz w:val="20"/>
          <w:szCs w:val="20"/>
          <w:lang w:bidi="ar-SA"/>
        </w:rPr>
        <w:t>regional b</w:t>
      </w:r>
      <w:r w:rsidR="00215D14" w:rsidRPr="009D750A">
        <w:rPr>
          <w:rFonts w:ascii="Times New Roman" w:hAnsi="Times New Roman"/>
          <w:sz w:val="20"/>
          <w:szCs w:val="20"/>
          <w:lang w:bidi="ar-SA"/>
        </w:rPr>
        <w:t>ureau</w:t>
      </w:r>
      <w:r w:rsidR="0053328F">
        <w:rPr>
          <w:rFonts w:ascii="Times New Roman" w:hAnsi="Times New Roman"/>
          <w:sz w:val="20"/>
          <w:szCs w:val="20"/>
          <w:lang w:bidi="ar-SA"/>
        </w:rPr>
        <w:t>x</w:t>
      </w:r>
      <w:r w:rsidR="00702DB1" w:rsidRPr="009D750A">
        <w:rPr>
          <w:rFonts w:ascii="Times New Roman" w:hAnsi="Times New Roman"/>
          <w:sz w:val="20"/>
          <w:szCs w:val="20"/>
          <w:lang w:bidi="ar-SA"/>
        </w:rPr>
        <w:t xml:space="preserve">. The </w:t>
      </w:r>
      <w:r w:rsidR="0053328F">
        <w:rPr>
          <w:rFonts w:ascii="Times New Roman" w:hAnsi="Times New Roman"/>
          <w:sz w:val="20"/>
          <w:szCs w:val="20"/>
          <w:lang w:bidi="ar-SA"/>
        </w:rPr>
        <w:t>f</w:t>
      </w:r>
      <w:r w:rsidR="00702DB1" w:rsidRPr="009D750A">
        <w:rPr>
          <w:rFonts w:ascii="Times New Roman" w:hAnsi="Times New Roman"/>
          <w:sz w:val="20"/>
          <w:szCs w:val="20"/>
          <w:lang w:bidi="ar-SA"/>
        </w:rPr>
        <w:t>ocal points</w:t>
      </w:r>
      <w:r w:rsidRPr="009D750A">
        <w:rPr>
          <w:rFonts w:ascii="Times New Roman" w:hAnsi="Times New Roman"/>
          <w:sz w:val="20"/>
          <w:szCs w:val="20"/>
          <w:lang w:bidi="ar-SA"/>
        </w:rPr>
        <w:t xml:space="preserve"> have participated in the </w:t>
      </w:r>
      <w:r w:rsidR="0053328F" w:rsidRPr="003C4A46">
        <w:rPr>
          <w:rFonts w:ascii="Times New Roman" w:hAnsi="Times New Roman"/>
          <w:sz w:val="20"/>
          <w:szCs w:val="20"/>
        </w:rPr>
        <w:t>programme appraisal committee</w:t>
      </w:r>
      <w:r w:rsidRPr="009D750A">
        <w:rPr>
          <w:rFonts w:ascii="Times New Roman" w:hAnsi="Times New Roman"/>
          <w:sz w:val="20"/>
          <w:szCs w:val="20"/>
          <w:lang w:bidi="ar-SA"/>
        </w:rPr>
        <w:t xml:space="preserve"> process in some regions, review</w:t>
      </w:r>
      <w:r w:rsidR="00094DC2" w:rsidRPr="009D750A">
        <w:rPr>
          <w:rFonts w:ascii="Times New Roman" w:hAnsi="Times New Roman"/>
          <w:sz w:val="20"/>
          <w:szCs w:val="20"/>
          <w:lang w:bidi="ar-SA"/>
        </w:rPr>
        <w:t xml:space="preserve">ing and commenting on the evaluability, </w:t>
      </w:r>
      <w:r w:rsidRPr="009D750A">
        <w:rPr>
          <w:rFonts w:ascii="Times New Roman" w:hAnsi="Times New Roman"/>
          <w:sz w:val="20"/>
          <w:szCs w:val="20"/>
          <w:lang w:bidi="ar-SA"/>
        </w:rPr>
        <w:t xml:space="preserve">feasibility and adequacy of CPD evaluation plans. </w:t>
      </w:r>
      <w:r w:rsidR="00DD4818">
        <w:rPr>
          <w:rFonts w:ascii="Times New Roman" w:hAnsi="Times New Roman"/>
          <w:sz w:val="20"/>
          <w:szCs w:val="20"/>
          <w:lang w:bidi="ar-SA"/>
        </w:rPr>
        <w:t xml:space="preserve">The participation </w:t>
      </w:r>
      <w:r w:rsidRPr="009D750A">
        <w:rPr>
          <w:rFonts w:ascii="Times New Roman" w:hAnsi="Times New Roman"/>
          <w:sz w:val="20"/>
          <w:szCs w:val="20"/>
          <w:lang w:bidi="ar-SA"/>
        </w:rPr>
        <w:t xml:space="preserve">of IEO regional focal points in the </w:t>
      </w:r>
      <w:r w:rsidR="00DD4818">
        <w:rPr>
          <w:rFonts w:ascii="Times New Roman" w:hAnsi="Times New Roman"/>
          <w:sz w:val="20"/>
          <w:szCs w:val="20"/>
          <w:lang w:bidi="ar-SA"/>
        </w:rPr>
        <w:t xml:space="preserve">appraisal committee </w:t>
      </w:r>
      <w:r w:rsidRPr="009D750A">
        <w:rPr>
          <w:rFonts w:ascii="Times New Roman" w:hAnsi="Times New Roman"/>
          <w:sz w:val="20"/>
          <w:szCs w:val="20"/>
          <w:lang w:bidi="ar-SA"/>
        </w:rPr>
        <w:t xml:space="preserve">process </w:t>
      </w:r>
      <w:r w:rsidR="003F1325" w:rsidRPr="009D750A">
        <w:rPr>
          <w:rFonts w:ascii="Times New Roman" w:hAnsi="Times New Roman"/>
          <w:sz w:val="20"/>
          <w:szCs w:val="20"/>
          <w:lang w:bidi="ar-SA"/>
        </w:rPr>
        <w:t xml:space="preserve">will </w:t>
      </w:r>
      <w:r w:rsidRPr="009D750A">
        <w:rPr>
          <w:rFonts w:ascii="Times New Roman" w:hAnsi="Times New Roman"/>
          <w:sz w:val="20"/>
          <w:szCs w:val="20"/>
          <w:lang w:bidi="ar-SA"/>
        </w:rPr>
        <w:t>strengthen</w:t>
      </w:r>
      <w:r w:rsidR="00DD4818">
        <w:rPr>
          <w:rFonts w:ascii="Times New Roman" w:hAnsi="Times New Roman"/>
          <w:sz w:val="20"/>
          <w:szCs w:val="20"/>
          <w:lang w:bidi="ar-SA"/>
        </w:rPr>
        <w:t xml:space="preserve"> the assessment of </w:t>
      </w:r>
      <w:r w:rsidRPr="009D750A">
        <w:rPr>
          <w:rFonts w:ascii="Times New Roman" w:hAnsi="Times New Roman"/>
          <w:sz w:val="20"/>
          <w:szCs w:val="20"/>
          <w:lang w:bidi="ar-SA"/>
        </w:rPr>
        <w:t xml:space="preserve">the evaluability of CPDs </w:t>
      </w:r>
      <w:r w:rsidR="00DD4818">
        <w:rPr>
          <w:rFonts w:ascii="Times New Roman" w:hAnsi="Times New Roman"/>
          <w:sz w:val="20"/>
          <w:szCs w:val="20"/>
          <w:lang w:bidi="ar-SA"/>
        </w:rPr>
        <w:t>and t</w:t>
      </w:r>
      <w:r w:rsidRPr="009D750A">
        <w:rPr>
          <w:rFonts w:ascii="Times New Roman" w:hAnsi="Times New Roman"/>
          <w:sz w:val="20"/>
          <w:szCs w:val="20"/>
          <w:lang w:bidi="ar-SA"/>
        </w:rPr>
        <w:t xml:space="preserve">he adequacy </w:t>
      </w:r>
      <w:r w:rsidR="00DD4818">
        <w:rPr>
          <w:rFonts w:ascii="Times New Roman" w:hAnsi="Times New Roman"/>
          <w:sz w:val="20"/>
          <w:szCs w:val="20"/>
          <w:lang w:bidi="ar-SA"/>
        </w:rPr>
        <w:t xml:space="preserve">and coverage </w:t>
      </w:r>
      <w:r w:rsidRPr="009D750A">
        <w:rPr>
          <w:rFonts w:ascii="Times New Roman" w:hAnsi="Times New Roman"/>
          <w:sz w:val="20"/>
          <w:szCs w:val="20"/>
          <w:lang w:bidi="ar-SA"/>
        </w:rPr>
        <w:t xml:space="preserve">of evaluation plans. IEO regional focal points </w:t>
      </w:r>
      <w:r w:rsidR="003F1325" w:rsidRPr="009D750A">
        <w:rPr>
          <w:rFonts w:ascii="Times New Roman" w:hAnsi="Times New Roman"/>
          <w:sz w:val="20"/>
          <w:szCs w:val="20"/>
          <w:lang w:bidi="ar-SA"/>
        </w:rPr>
        <w:t>will continue to</w:t>
      </w:r>
      <w:r w:rsidR="004A48E2" w:rsidRPr="009D750A">
        <w:rPr>
          <w:rFonts w:ascii="Times New Roman" w:hAnsi="Times New Roman"/>
          <w:sz w:val="20"/>
          <w:szCs w:val="20"/>
          <w:lang w:bidi="ar-SA"/>
        </w:rPr>
        <w:t xml:space="preserve"> work with </w:t>
      </w:r>
      <w:r w:rsidR="00DD4818" w:rsidRPr="009D750A">
        <w:rPr>
          <w:rFonts w:ascii="Times New Roman" w:hAnsi="Times New Roman"/>
          <w:sz w:val="20"/>
          <w:szCs w:val="20"/>
          <w:lang w:bidi="ar-SA"/>
        </w:rPr>
        <w:t>regional b</w:t>
      </w:r>
      <w:r w:rsidR="004A48E2" w:rsidRPr="009D750A">
        <w:rPr>
          <w:rFonts w:ascii="Times New Roman" w:hAnsi="Times New Roman"/>
          <w:sz w:val="20"/>
          <w:szCs w:val="20"/>
          <w:lang w:bidi="ar-SA"/>
        </w:rPr>
        <w:t>ureau</w:t>
      </w:r>
      <w:r w:rsidR="00DD4818">
        <w:rPr>
          <w:rFonts w:ascii="Times New Roman" w:hAnsi="Times New Roman"/>
          <w:sz w:val="20"/>
          <w:szCs w:val="20"/>
          <w:lang w:bidi="ar-SA"/>
        </w:rPr>
        <w:t>x</w:t>
      </w:r>
      <w:r w:rsidR="00215D14" w:rsidRPr="009D750A">
        <w:rPr>
          <w:rFonts w:ascii="Times New Roman" w:hAnsi="Times New Roman"/>
          <w:sz w:val="20"/>
          <w:szCs w:val="20"/>
          <w:lang w:bidi="ar-SA"/>
        </w:rPr>
        <w:t xml:space="preserve"> to</w:t>
      </w:r>
      <w:r w:rsidR="003F1325" w:rsidRPr="009D750A">
        <w:rPr>
          <w:rFonts w:ascii="Times New Roman" w:hAnsi="Times New Roman"/>
          <w:sz w:val="20"/>
          <w:szCs w:val="20"/>
          <w:lang w:bidi="ar-SA"/>
        </w:rPr>
        <w:t xml:space="preserve"> </w:t>
      </w:r>
      <w:r w:rsidRPr="009D750A">
        <w:rPr>
          <w:rFonts w:ascii="Times New Roman" w:hAnsi="Times New Roman"/>
          <w:sz w:val="20"/>
          <w:szCs w:val="20"/>
          <w:lang w:bidi="ar-SA"/>
        </w:rPr>
        <w:t>provid</w:t>
      </w:r>
      <w:r w:rsidR="003F1325" w:rsidRPr="009D750A">
        <w:rPr>
          <w:rFonts w:ascii="Times New Roman" w:hAnsi="Times New Roman"/>
          <w:sz w:val="20"/>
          <w:szCs w:val="20"/>
          <w:lang w:bidi="ar-SA"/>
        </w:rPr>
        <w:t>e</w:t>
      </w:r>
      <w:r w:rsidRPr="009D750A">
        <w:rPr>
          <w:rFonts w:ascii="Times New Roman" w:hAnsi="Times New Roman"/>
          <w:sz w:val="20"/>
          <w:szCs w:val="20"/>
          <w:lang w:bidi="ar-SA"/>
        </w:rPr>
        <w:t xml:space="preserve"> technical support to decentralized evaluations</w:t>
      </w:r>
      <w:r w:rsidR="00881CF4" w:rsidRPr="009D750A">
        <w:rPr>
          <w:rFonts w:ascii="Times New Roman" w:hAnsi="Times New Roman"/>
          <w:sz w:val="20"/>
          <w:szCs w:val="20"/>
          <w:lang w:bidi="ar-SA"/>
        </w:rPr>
        <w:t xml:space="preserve"> including training of M&amp;E focal points, </w:t>
      </w:r>
      <w:r w:rsidR="00F60F22" w:rsidRPr="009D750A">
        <w:rPr>
          <w:rFonts w:ascii="Times New Roman" w:hAnsi="Times New Roman"/>
          <w:sz w:val="20"/>
          <w:szCs w:val="20"/>
          <w:lang w:bidi="ar-SA"/>
        </w:rPr>
        <w:t>clarification of guidance and evaluation approaches and planning for evaluation</w:t>
      </w:r>
      <w:r w:rsidRPr="009D750A">
        <w:rPr>
          <w:rFonts w:ascii="Times New Roman" w:hAnsi="Times New Roman"/>
          <w:sz w:val="20"/>
          <w:szCs w:val="20"/>
          <w:lang w:bidi="ar-SA"/>
        </w:rPr>
        <w:t>.</w:t>
      </w:r>
    </w:p>
    <w:p w14:paraId="569DF9B4" w14:textId="77777777" w:rsidR="00CA7731" w:rsidRPr="009D750A" w:rsidRDefault="00CA7731" w:rsidP="009D750A">
      <w:pPr>
        <w:tabs>
          <w:tab w:val="left" w:pos="360"/>
        </w:tabs>
        <w:spacing w:before="0" w:after="0" w:line="240" w:lineRule="auto"/>
        <w:ind w:left="-180"/>
        <w:jc w:val="both"/>
        <w:rPr>
          <w:rFonts w:ascii="Times New Roman" w:hAnsi="Times New Roman"/>
          <w:sz w:val="20"/>
          <w:szCs w:val="20"/>
          <w:lang w:bidi="ar-SA"/>
        </w:rPr>
      </w:pPr>
    </w:p>
    <w:p w14:paraId="24538BCE" w14:textId="5143D2FF" w:rsidR="003C7CFE" w:rsidRPr="009D750A" w:rsidRDefault="003C7CFE" w:rsidP="009D750A">
      <w:pPr>
        <w:pStyle w:val="ListParagraph"/>
        <w:numPr>
          <w:ilvl w:val="0"/>
          <w:numId w:val="41"/>
        </w:numPr>
        <w:tabs>
          <w:tab w:val="left" w:pos="360"/>
        </w:tabs>
        <w:spacing w:before="0" w:after="0" w:line="240" w:lineRule="auto"/>
        <w:ind w:left="-180" w:firstLine="0"/>
        <w:contextualSpacing w:val="0"/>
        <w:jc w:val="both"/>
        <w:rPr>
          <w:rFonts w:ascii="Times New Roman" w:hAnsi="Times New Roman"/>
          <w:sz w:val="20"/>
          <w:szCs w:val="20"/>
          <w:lang w:bidi="ar-SA"/>
        </w:rPr>
      </w:pPr>
      <w:r w:rsidRPr="00DD4818">
        <w:rPr>
          <w:rFonts w:ascii="Times New Roman" w:hAnsi="Times New Roman"/>
          <w:b/>
          <w:bCs/>
          <w:sz w:val="20"/>
          <w:szCs w:val="20"/>
          <w:lang w:bidi="ar-SA"/>
        </w:rPr>
        <w:t xml:space="preserve">Additional </w:t>
      </w:r>
      <w:r w:rsidR="00DD4818">
        <w:rPr>
          <w:rFonts w:ascii="Times New Roman" w:hAnsi="Times New Roman"/>
          <w:b/>
          <w:bCs/>
          <w:sz w:val="20"/>
          <w:szCs w:val="20"/>
          <w:lang w:bidi="ar-SA"/>
        </w:rPr>
        <w:t>e</w:t>
      </w:r>
      <w:r w:rsidRPr="00DD4818">
        <w:rPr>
          <w:rFonts w:ascii="Times New Roman" w:hAnsi="Times New Roman"/>
          <w:b/>
          <w:bCs/>
          <w:sz w:val="20"/>
          <w:szCs w:val="20"/>
          <w:lang w:bidi="ar-SA"/>
        </w:rPr>
        <w:t xml:space="preserve">valuation </w:t>
      </w:r>
      <w:r w:rsidR="00DD4818">
        <w:rPr>
          <w:rFonts w:ascii="Times New Roman" w:hAnsi="Times New Roman"/>
          <w:b/>
          <w:bCs/>
          <w:sz w:val="20"/>
          <w:szCs w:val="20"/>
          <w:lang w:bidi="ar-SA"/>
        </w:rPr>
        <w:t>g</w:t>
      </w:r>
      <w:r w:rsidRPr="00DD4818">
        <w:rPr>
          <w:rFonts w:ascii="Times New Roman" w:hAnsi="Times New Roman"/>
          <w:b/>
          <w:bCs/>
          <w:sz w:val="20"/>
          <w:szCs w:val="20"/>
          <w:lang w:bidi="ar-SA"/>
        </w:rPr>
        <w:t>uidance (IEO)</w:t>
      </w:r>
      <w:r w:rsidR="002F6444" w:rsidRPr="00DD4818">
        <w:rPr>
          <w:rFonts w:ascii="Times New Roman" w:hAnsi="Times New Roman"/>
          <w:b/>
          <w:bCs/>
          <w:sz w:val="20"/>
          <w:szCs w:val="20"/>
          <w:lang w:bidi="ar-SA"/>
        </w:rPr>
        <w:t xml:space="preserve"> 2022-202</w:t>
      </w:r>
      <w:r w:rsidR="00702DB1" w:rsidRPr="00DD4818">
        <w:rPr>
          <w:rFonts w:ascii="Times New Roman" w:hAnsi="Times New Roman"/>
          <w:b/>
          <w:bCs/>
          <w:sz w:val="20"/>
          <w:szCs w:val="20"/>
          <w:lang w:bidi="ar-SA"/>
        </w:rPr>
        <w:t>3</w:t>
      </w:r>
      <w:r w:rsidR="00DD4818">
        <w:rPr>
          <w:rFonts w:ascii="Times New Roman" w:hAnsi="Times New Roman"/>
          <w:b/>
          <w:bCs/>
          <w:sz w:val="20"/>
          <w:szCs w:val="20"/>
          <w:lang w:bidi="ar-SA"/>
        </w:rPr>
        <w:t>.</w:t>
      </w:r>
      <w:r w:rsidRPr="009D750A">
        <w:rPr>
          <w:rFonts w:ascii="Times New Roman" w:hAnsi="Times New Roman"/>
          <w:sz w:val="20"/>
          <w:szCs w:val="20"/>
          <w:lang w:bidi="ar-SA"/>
        </w:rPr>
        <w:t xml:space="preserve"> </w:t>
      </w:r>
      <w:r w:rsidR="00AC743D" w:rsidRPr="009D750A">
        <w:rPr>
          <w:rFonts w:ascii="Times New Roman" w:hAnsi="Times New Roman"/>
          <w:sz w:val="20"/>
          <w:szCs w:val="20"/>
          <w:lang w:bidi="ar-SA"/>
        </w:rPr>
        <w:t>Building on the extensive guidance developed in 2019 and updated in 2021</w:t>
      </w:r>
      <w:r w:rsidR="00DD4818">
        <w:rPr>
          <w:rFonts w:ascii="Times New Roman" w:hAnsi="Times New Roman"/>
          <w:sz w:val="20"/>
          <w:szCs w:val="20"/>
          <w:lang w:bidi="ar-SA"/>
        </w:rPr>
        <w:t>, and the</w:t>
      </w:r>
      <w:r w:rsidR="00AC743D" w:rsidRPr="009D750A">
        <w:rPr>
          <w:rFonts w:ascii="Times New Roman" w:hAnsi="Times New Roman"/>
          <w:sz w:val="20"/>
          <w:szCs w:val="20"/>
          <w:lang w:bidi="ar-SA"/>
        </w:rPr>
        <w:t xml:space="preserve"> guidance developed to support evaluation during </w:t>
      </w:r>
      <w:r w:rsidR="00A242B3">
        <w:rPr>
          <w:rFonts w:ascii="Times New Roman" w:hAnsi="Times New Roman"/>
          <w:sz w:val="20"/>
          <w:szCs w:val="20"/>
          <w:lang w:bidi="ar-SA"/>
        </w:rPr>
        <w:t xml:space="preserve">the pandemic, IEO has identified </w:t>
      </w:r>
      <w:r w:rsidR="00313A96" w:rsidRPr="009D750A">
        <w:rPr>
          <w:rFonts w:ascii="Times New Roman" w:hAnsi="Times New Roman"/>
          <w:sz w:val="20"/>
          <w:szCs w:val="20"/>
          <w:lang w:bidi="ar-SA"/>
        </w:rPr>
        <w:t>several</w:t>
      </w:r>
      <w:r w:rsidRPr="009D750A">
        <w:rPr>
          <w:rFonts w:ascii="Times New Roman" w:hAnsi="Times New Roman"/>
          <w:sz w:val="20"/>
          <w:szCs w:val="20"/>
          <w:lang w:bidi="ar-SA"/>
        </w:rPr>
        <w:t xml:space="preserve"> areas where additional evaluation guidance may be needed:</w:t>
      </w:r>
    </w:p>
    <w:p w14:paraId="78FE454F" w14:textId="77777777" w:rsidR="00CA7731" w:rsidRPr="009D750A" w:rsidRDefault="00CA7731" w:rsidP="009D750A">
      <w:pPr>
        <w:tabs>
          <w:tab w:val="left" w:pos="360"/>
        </w:tabs>
        <w:spacing w:before="0" w:after="0" w:line="240" w:lineRule="auto"/>
        <w:ind w:left="-180"/>
        <w:jc w:val="both"/>
        <w:rPr>
          <w:rFonts w:ascii="Times New Roman" w:hAnsi="Times New Roman"/>
          <w:sz w:val="20"/>
          <w:szCs w:val="20"/>
          <w:lang w:bidi="ar-SA"/>
        </w:rPr>
      </w:pPr>
    </w:p>
    <w:p w14:paraId="342710F0" w14:textId="461ECC1D" w:rsidR="003C7CFE" w:rsidRPr="00D95432" w:rsidRDefault="003C7CFE" w:rsidP="00A242B3">
      <w:pPr>
        <w:pStyle w:val="ListParagraph"/>
        <w:numPr>
          <w:ilvl w:val="0"/>
          <w:numId w:val="46"/>
        </w:numPr>
        <w:spacing w:before="0" w:after="0" w:line="240" w:lineRule="auto"/>
        <w:ind w:left="360"/>
        <w:contextualSpacing w:val="0"/>
        <w:jc w:val="both"/>
        <w:rPr>
          <w:rFonts w:ascii="Times New Roman" w:hAnsi="Times New Roman"/>
          <w:sz w:val="20"/>
          <w:szCs w:val="20"/>
        </w:rPr>
      </w:pPr>
      <w:r w:rsidRPr="00A242B3">
        <w:rPr>
          <w:rFonts w:ascii="Times New Roman" w:hAnsi="Times New Roman"/>
          <w:b/>
          <w:bCs/>
          <w:sz w:val="20"/>
          <w:szCs w:val="20"/>
          <w:lang w:val="en-AU"/>
        </w:rPr>
        <w:t>Portfolio approach and complex evaluation guidance (IEO)</w:t>
      </w:r>
      <w:r w:rsidR="00A242B3">
        <w:rPr>
          <w:rFonts w:ascii="Times New Roman" w:hAnsi="Times New Roman"/>
          <w:b/>
          <w:bCs/>
          <w:sz w:val="20"/>
          <w:szCs w:val="20"/>
          <w:lang w:val="en-AU"/>
        </w:rPr>
        <w:t>.</w:t>
      </w:r>
      <w:r w:rsidRPr="005D3A5A">
        <w:rPr>
          <w:rFonts w:ascii="Times New Roman" w:hAnsi="Times New Roman"/>
          <w:b/>
          <w:bCs/>
          <w:sz w:val="20"/>
          <w:szCs w:val="20"/>
          <w:lang w:val="en-AU"/>
        </w:rPr>
        <w:t xml:space="preserve"> </w:t>
      </w:r>
      <w:r w:rsidRPr="005D3A5A">
        <w:rPr>
          <w:rFonts w:ascii="Times New Roman" w:hAnsi="Times New Roman"/>
          <w:sz w:val="20"/>
          <w:szCs w:val="20"/>
          <w:lang w:val="en-AU"/>
        </w:rPr>
        <w:t xml:space="preserve">As </w:t>
      </w:r>
      <w:r w:rsidR="00A242B3">
        <w:rPr>
          <w:rFonts w:ascii="Times New Roman" w:hAnsi="Times New Roman"/>
          <w:sz w:val="20"/>
          <w:szCs w:val="20"/>
          <w:lang w:val="en-AU"/>
        </w:rPr>
        <w:t xml:space="preserve">UNDP moves </w:t>
      </w:r>
      <w:r w:rsidR="00FF223A">
        <w:rPr>
          <w:rFonts w:ascii="Times New Roman" w:hAnsi="Times New Roman"/>
          <w:sz w:val="20"/>
          <w:szCs w:val="20"/>
          <w:lang w:val="en-AU"/>
        </w:rPr>
        <w:t>increasingly</w:t>
      </w:r>
      <w:r w:rsidRPr="005D3A5A">
        <w:rPr>
          <w:rFonts w:ascii="Times New Roman" w:hAnsi="Times New Roman"/>
          <w:sz w:val="20"/>
          <w:szCs w:val="20"/>
          <w:lang w:val="en-AU"/>
        </w:rPr>
        <w:t xml:space="preserve"> towards a portfolio approach</w:t>
      </w:r>
      <w:r w:rsidR="00FF223A">
        <w:rPr>
          <w:rFonts w:ascii="Times New Roman" w:hAnsi="Times New Roman"/>
          <w:sz w:val="20"/>
          <w:szCs w:val="20"/>
          <w:lang w:val="en-AU"/>
        </w:rPr>
        <w:t>,</w:t>
      </w:r>
      <w:r w:rsidRPr="005D3A5A">
        <w:rPr>
          <w:rFonts w:ascii="Times New Roman" w:hAnsi="Times New Roman"/>
          <w:sz w:val="20"/>
          <w:szCs w:val="20"/>
          <w:lang w:val="en-AU"/>
        </w:rPr>
        <w:t xml:space="preserve"> new guidance on evaluating portfolios will be </w:t>
      </w:r>
      <w:r w:rsidR="00FB0865">
        <w:rPr>
          <w:rFonts w:ascii="Times New Roman" w:hAnsi="Times New Roman"/>
          <w:sz w:val="20"/>
          <w:szCs w:val="20"/>
          <w:lang w:val="en-AU"/>
        </w:rPr>
        <w:t>developed</w:t>
      </w:r>
      <w:r w:rsidR="00944090">
        <w:rPr>
          <w:rFonts w:ascii="Times New Roman" w:hAnsi="Times New Roman"/>
          <w:sz w:val="20"/>
          <w:szCs w:val="20"/>
          <w:lang w:val="en-AU"/>
        </w:rPr>
        <w:t>;</w:t>
      </w:r>
    </w:p>
    <w:p w14:paraId="36FA557A" w14:textId="77777777" w:rsidR="00CA7731" w:rsidRPr="00D95432" w:rsidRDefault="00CA7731" w:rsidP="00A242B3">
      <w:pPr>
        <w:spacing w:before="0" w:after="0" w:line="240" w:lineRule="auto"/>
        <w:ind w:left="360" w:hanging="360"/>
        <w:jc w:val="both"/>
        <w:rPr>
          <w:rFonts w:ascii="Times New Roman" w:hAnsi="Times New Roman"/>
          <w:sz w:val="20"/>
          <w:szCs w:val="20"/>
        </w:rPr>
      </w:pPr>
    </w:p>
    <w:p w14:paraId="59C19C61" w14:textId="7F3AB510" w:rsidR="003C7CFE" w:rsidRPr="00D95432" w:rsidRDefault="00944090" w:rsidP="00A242B3">
      <w:pPr>
        <w:pStyle w:val="ListParagraph"/>
        <w:numPr>
          <w:ilvl w:val="0"/>
          <w:numId w:val="46"/>
        </w:numPr>
        <w:spacing w:before="0" w:after="0" w:line="240" w:lineRule="auto"/>
        <w:ind w:left="360"/>
        <w:contextualSpacing w:val="0"/>
        <w:jc w:val="both"/>
        <w:rPr>
          <w:rFonts w:ascii="Times New Roman" w:hAnsi="Times New Roman"/>
          <w:sz w:val="20"/>
          <w:szCs w:val="20"/>
          <w:u w:val="single"/>
        </w:rPr>
      </w:pPr>
      <w:r>
        <w:rPr>
          <w:rFonts w:ascii="Times New Roman" w:hAnsi="Times New Roman"/>
          <w:b/>
          <w:bCs/>
          <w:sz w:val="20"/>
          <w:szCs w:val="20"/>
        </w:rPr>
        <w:t>I</w:t>
      </w:r>
      <w:r w:rsidR="00FF223A" w:rsidRPr="00FF223A">
        <w:rPr>
          <w:rFonts w:ascii="Times New Roman" w:hAnsi="Times New Roman"/>
          <w:b/>
          <w:bCs/>
          <w:sz w:val="20"/>
          <w:szCs w:val="20"/>
        </w:rPr>
        <w:t>nclusion of the social and environmental stan</w:t>
      </w:r>
      <w:r w:rsidR="003C7CFE" w:rsidRPr="00FF223A">
        <w:rPr>
          <w:rFonts w:ascii="Times New Roman" w:hAnsi="Times New Roman"/>
          <w:b/>
          <w:bCs/>
          <w:sz w:val="20"/>
          <w:szCs w:val="20"/>
        </w:rPr>
        <w:t>dards in evaluations (IEO)</w:t>
      </w:r>
      <w:r>
        <w:rPr>
          <w:rFonts w:ascii="Times New Roman" w:hAnsi="Times New Roman"/>
          <w:b/>
          <w:bCs/>
          <w:sz w:val="20"/>
          <w:szCs w:val="20"/>
        </w:rPr>
        <w:t>.</w:t>
      </w:r>
      <w:r w:rsidR="003C7CFE" w:rsidRPr="005D3A5A">
        <w:rPr>
          <w:rFonts w:ascii="Times New Roman" w:hAnsi="Times New Roman"/>
          <w:sz w:val="20"/>
          <w:szCs w:val="20"/>
        </w:rPr>
        <w:t xml:space="preserve"> All UNDP projects and programmes should now consider their social and environmental impacts. </w:t>
      </w:r>
      <w:r w:rsidR="00FF223A">
        <w:rPr>
          <w:rFonts w:ascii="Times New Roman" w:hAnsi="Times New Roman"/>
          <w:sz w:val="20"/>
          <w:szCs w:val="20"/>
        </w:rPr>
        <w:t>IEO is developing g</w:t>
      </w:r>
      <w:r w:rsidR="003C7CFE" w:rsidRPr="005D3A5A">
        <w:rPr>
          <w:rFonts w:ascii="Times New Roman" w:hAnsi="Times New Roman"/>
          <w:sz w:val="20"/>
          <w:szCs w:val="20"/>
        </w:rPr>
        <w:t>uidance for evaluators to assess the level to which these have been considered in project and programme implementation</w:t>
      </w:r>
      <w:r>
        <w:rPr>
          <w:rFonts w:ascii="Times New Roman" w:hAnsi="Times New Roman"/>
          <w:sz w:val="20"/>
          <w:szCs w:val="20"/>
        </w:rPr>
        <w:t>;</w:t>
      </w:r>
      <w:r w:rsidR="003C7CFE" w:rsidRPr="005D3A5A">
        <w:rPr>
          <w:rFonts w:ascii="Times New Roman" w:hAnsi="Times New Roman"/>
          <w:sz w:val="20"/>
          <w:szCs w:val="20"/>
        </w:rPr>
        <w:t xml:space="preserve"> </w:t>
      </w:r>
    </w:p>
    <w:p w14:paraId="1264DF5E" w14:textId="77777777" w:rsidR="00CA7731" w:rsidRPr="00D95432" w:rsidRDefault="00CA7731" w:rsidP="00A242B3">
      <w:pPr>
        <w:spacing w:before="0" w:after="0" w:line="240" w:lineRule="auto"/>
        <w:ind w:left="360" w:hanging="360"/>
        <w:jc w:val="both"/>
        <w:rPr>
          <w:rFonts w:ascii="Times New Roman" w:hAnsi="Times New Roman"/>
          <w:sz w:val="20"/>
          <w:szCs w:val="20"/>
          <w:u w:val="single"/>
        </w:rPr>
      </w:pPr>
    </w:p>
    <w:p w14:paraId="7399233B" w14:textId="0A411496" w:rsidR="003C7CFE" w:rsidRDefault="003C7CFE" w:rsidP="00A242B3">
      <w:pPr>
        <w:pStyle w:val="ListParagraph"/>
        <w:numPr>
          <w:ilvl w:val="0"/>
          <w:numId w:val="46"/>
        </w:numPr>
        <w:spacing w:before="0" w:after="0" w:line="240" w:lineRule="auto"/>
        <w:ind w:left="360"/>
        <w:contextualSpacing w:val="0"/>
        <w:jc w:val="both"/>
        <w:rPr>
          <w:rFonts w:ascii="Times New Roman" w:hAnsi="Times New Roman"/>
          <w:sz w:val="20"/>
          <w:szCs w:val="20"/>
        </w:rPr>
      </w:pPr>
      <w:r w:rsidRPr="00FF223A">
        <w:rPr>
          <w:rFonts w:ascii="Times New Roman" w:hAnsi="Times New Roman"/>
          <w:b/>
          <w:bCs/>
          <w:sz w:val="20"/>
          <w:szCs w:val="20"/>
        </w:rPr>
        <w:t xml:space="preserve">Evaluating </w:t>
      </w:r>
      <w:r w:rsidR="00FF223A">
        <w:rPr>
          <w:rFonts w:ascii="Times New Roman" w:hAnsi="Times New Roman"/>
          <w:b/>
          <w:bCs/>
          <w:sz w:val="20"/>
          <w:szCs w:val="20"/>
        </w:rPr>
        <w:t>i</w:t>
      </w:r>
      <w:r w:rsidRPr="00FF223A">
        <w:rPr>
          <w:rFonts w:ascii="Times New Roman" w:hAnsi="Times New Roman"/>
          <w:b/>
          <w:bCs/>
          <w:sz w:val="20"/>
          <w:szCs w:val="20"/>
        </w:rPr>
        <w:t>nnovation (IEO)</w:t>
      </w:r>
      <w:r w:rsidR="00FF223A">
        <w:rPr>
          <w:rFonts w:ascii="Times New Roman" w:hAnsi="Times New Roman"/>
          <w:b/>
          <w:bCs/>
          <w:sz w:val="20"/>
          <w:szCs w:val="20"/>
        </w:rPr>
        <w:t>.</w:t>
      </w:r>
      <w:r w:rsidRPr="005D3A5A">
        <w:rPr>
          <w:rFonts w:ascii="Times New Roman" w:hAnsi="Times New Roman"/>
          <w:i/>
          <w:iCs/>
          <w:sz w:val="20"/>
          <w:szCs w:val="20"/>
        </w:rPr>
        <w:t xml:space="preserve"> </w:t>
      </w:r>
      <w:r w:rsidR="00FF223A">
        <w:rPr>
          <w:rFonts w:ascii="Times New Roman" w:hAnsi="Times New Roman"/>
          <w:sz w:val="20"/>
          <w:szCs w:val="20"/>
        </w:rPr>
        <w:t xml:space="preserve">Given that </w:t>
      </w:r>
      <w:r w:rsidRPr="005D3A5A">
        <w:rPr>
          <w:rFonts w:ascii="Times New Roman" w:hAnsi="Times New Roman"/>
          <w:sz w:val="20"/>
          <w:szCs w:val="20"/>
        </w:rPr>
        <w:t xml:space="preserve">UNDP has placed a considerable focus on </w:t>
      </w:r>
      <w:r w:rsidR="00D1538D">
        <w:rPr>
          <w:rFonts w:ascii="Times New Roman" w:hAnsi="Times New Roman"/>
          <w:sz w:val="20"/>
          <w:szCs w:val="20"/>
        </w:rPr>
        <w:t>i</w:t>
      </w:r>
      <w:r w:rsidRPr="005D3A5A">
        <w:rPr>
          <w:rFonts w:ascii="Times New Roman" w:hAnsi="Times New Roman"/>
          <w:sz w:val="20"/>
          <w:szCs w:val="20"/>
        </w:rPr>
        <w:t xml:space="preserve">nnovation during the past strategic plan </w:t>
      </w:r>
      <w:r w:rsidR="00313A96" w:rsidRPr="005D3A5A">
        <w:rPr>
          <w:rFonts w:ascii="Times New Roman" w:hAnsi="Times New Roman"/>
          <w:sz w:val="20"/>
          <w:szCs w:val="20"/>
        </w:rPr>
        <w:t>period</w:t>
      </w:r>
      <w:r w:rsidR="00FF223A">
        <w:rPr>
          <w:rFonts w:ascii="Times New Roman" w:hAnsi="Times New Roman"/>
          <w:sz w:val="20"/>
          <w:szCs w:val="20"/>
        </w:rPr>
        <w:t>, IEO will develop g</w:t>
      </w:r>
      <w:r w:rsidRPr="005D3A5A">
        <w:rPr>
          <w:rFonts w:ascii="Times New Roman" w:hAnsi="Times New Roman"/>
          <w:sz w:val="20"/>
          <w:szCs w:val="20"/>
        </w:rPr>
        <w:t xml:space="preserve">uidance on how to evaluate these activities </w:t>
      </w:r>
      <w:r w:rsidR="00FF223A">
        <w:rPr>
          <w:rFonts w:ascii="Times New Roman" w:hAnsi="Times New Roman"/>
          <w:sz w:val="20"/>
          <w:szCs w:val="20"/>
        </w:rPr>
        <w:t>and</w:t>
      </w:r>
      <w:r w:rsidR="00FF223A" w:rsidRPr="005D3A5A">
        <w:rPr>
          <w:rFonts w:ascii="Times New Roman" w:hAnsi="Times New Roman"/>
          <w:sz w:val="20"/>
          <w:szCs w:val="20"/>
        </w:rPr>
        <w:t xml:space="preserve"> </w:t>
      </w:r>
      <w:r w:rsidRPr="005D3A5A">
        <w:rPr>
          <w:rFonts w:ascii="Times New Roman" w:hAnsi="Times New Roman"/>
          <w:sz w:val="20"/>
          <w:szCs w:val="20"/>
        </w:rPr>
        <w:t xml:space="preserve">their </w:t>
      </w:r>
      <w:r w:rsidR="00313A96" w:rsidRPr="005D3A5A">
        <w:rPr>
          <w:rFonts w:ascii="Times New Roman" w:hAnsi="Times New Roman"/>
          <w:sz w:val="20"/>
          <w:szCs w:val="20"/>
        </w:rPr>
        <w:t>approaches</w:t>
      </w:r>
      <w:r w:rsidR="00944090">
        <w:rPr>
          <w:rFonts w:ascii="Times New Roman" w:hAnsi="Times New Roman"/>
          <w:sz w:val="20"/>
          <w:szCs w:val="20"/>
        </w:rPr>
        <w:t>;</w:t>
      </w:r>
    </w:p>
    <w:p w14:paraId="2D84E269" w14:textId="77777777" w:rsidR="00CA7731" w:rsidRPr="00D95432" w:rsidRDefault="00CA7731" w:rsidP="00A242B3">
      <w:pPr>
        <w:spacing w:before="0" w:after="0" w:line="240" w:lineRule="auto"/>
        <w:ind w:left="360" w:hanging="360"/>
        <w:jc w:val="both"/>
        <w:rPr>
          <w:rFonts w:ascii="Times New Roman" w:hAnsi="Times New Roman"/>
          <w:sz w:val="20"/>
          <w:szCs w:val="20"/>
        </w:rPr>
      </w:pPr>
    </w:p>
    <w:p w14:paraId="59FD5A71" w14:textId="503AD759" w:rsidR="0041516C" w:rsidRPr="005D3A5A" w:rsidRDefault="003C7CFE" w:rsidP="00A242B3">
      <w:pPr>
        <w:pStyle w:val="ListParagraph"/>
        <w:numPr>
          <w:ilvl w:val="0"/>
          <w:numId w:val="46"/>
        </w:numPr>
        <w:spacing w:before="0" w:after="0" w:line="240" w:lineRule="auto"/>
        <w:ind w:left="360"/>
        <w:contextualSpacing w:val="0"/>
        <w:jc w:val="both"/>
        <w:rPr>
          <w:rFonts w:ascii="Times New Roman" w:hAnsi="Times New Roman"/>
          <w:sz w:val="20"/>
          <w:szCs w:val="20"/>
        </w:rPr>
      </w:pPr>
      <w:r w:rsidRPr="00893E51">
        <w:rPr>
          <w:rFonts w:ascii="Times New Roman" w:hAnsi="Times New Roman"/>
          <w:b/>
          <w:bCs/>
          <w:sz w:val="20"/>
          <w:szCs w:val="20"/>
        </w:rPr>
        <w:t xml:space="preserve">Impact </w:t>
      </w:r>
      <w:r w:rsidR="00893E51">
        <w:rPr>
          <w:rFonts w:ascii="Times New Roman" w:hAnsi="Times New Roman"/>
          <w:b/>
          <w:bCs/>
          <w:sz w:val="20"/>
          <w:szCs w:val="20"/>
        </w:rPr>
        <w:t>e</w:t>
      </w:r>
      <w:r w:rsidRPr="00893E51">
        <w:rPr>
          <w:rFonts w:ascii="Times New Roman" w:hAnsi="Times New Roman"/>
          <w:b/>
          <w:bCs/>
          <w:sz w:val="20"/>
          <w:szCs w:val="20"/>
        </w:rPr>
        <w:t>valuations (IEO)</w:t>
      </w:r>
      <w:r w:rsidR="00893E51">
        <w:rPr>
          <w:rFonts w:ascii="Times New Roman" w:hAnsi="Times New Roman"/>
          <w:b/>
          <w:bCs/>
          <w:sz w:val="20"/>
          <w:szCs w:val="20"/>
        </w:rPr>
        <w:t>.</w:t>
      </w:r>
      <w:r w:rsidRPr="005D3A5A">
        <w:rPr>
          <w:rFonts w:ascii="Times New Roman" w:hAnsi="Times New Roman"/>
          <w:sz w:val="20"/>
          <w:szCs w:val="20"/>
        </w:rPr>
        <w:t xml:space="preserve"> </w:t>
      </w:r>
      <w:r w:rsidR="00893E51">
        <w:rPr>
          <w:rFonts w:ascii="Times New Roman" w:hAnsi="Times New Roman"/>
          <w:sz w:val="20"/>
          <w:szCs w:val="20"/>
        </w:rPr>
        <w:t>T</w:t>
      </w:r>
      <w:r w:rsidRPr="005D3A5A">
        <w:rPr>
          <w:rFonts w:ascii="Times New Roman" w:hAnsi="Times New Roman"/>
          <w:sz w:val="20"/>
          <w:szCs w:val="20"/>
        </w:rPr>
        <w:t xml:space="preserve">he evaluation of </w:t>
      </w:r>
      <w:r w:rsidR="00F94876">
        <w:rPr>
          <w:rFonts w:ascii="Times New Roman" w:hAnsi="Times New Roman"/>
          <w:sz w:val="20"/>
          <w:szCs w:val="20"/>
        </w:rPr>
        <w:t xml:space="preserve">the </w:t>
      </w:r>
      <w:r w:rsidRPr="005D3A5A">
        <w:rPr>
          <w:rFonts w:ascii="Times New Roman" w:hAnsi="Times New Roman"/>
          <w:sz w:val="20"/>
          <w:szCs w:val="20"/>
        </w:rPr>
        <w:t xml:space="preserve">impact of projects requires a detailed approach and </w:t>
      </w:r>
      <w:r w:rsidR="00944090">
        <w:rPr>
          <w:rFonts w:ascii="Times New Roman" w:hAnsi="Times New Roman"/>
          <w:sz w:val="20"/>
          <w:szCs w:val="20"/>
        </w:rPr>
        <w:t xml:space="preserve">setting of </w:t>
      </w:r>
      <w:r w:rsidRPr="005D3A5A">
        <w:rPr>
          <w:rFonts w:ascii="Times New Roman" w:hAnsi="Times New Roman"/>
          <w:sz w:val="20"/>
          <w:szCs w:val="20"/>
        </w:rPr>
        <w:t>benchmark</w:t>
      </w:r>
      <w:r w:rsidR="00944090">
        <w:rPr>
          <w:rFonts w:ascii="Times New Roman" w:hAnsi="Times New Roman"/>
          <w:sz w:val="20"/>
          <w:szCs w:val="20"/>
        </w:rPr>
        <w:t>s</w:t>
      </w:r>
      <w:r w:rsidRPr="005D3A5A">
        <w:rPr>
          <w:rFonts w:ascii="Times New Roman" w:hAnsi="Times New Roman"/>
          <w:sz w:val="20"/>
          <w:szCs w:val="20"/>
        </w:rPr>
        <w:t xml:space="preserve">  from the outset. </w:t>
      </w:r>
      <w:r w:rsidR="00036FC7">
        <w:rPr>
          <w:rFonts w:ascii="Times New Roman" w:hAnsi="Times New Roman"/>
          <w:sz w:val="20"/>
          <w:szCs w:val="20"/>
        </w:rPr>
        <w:t xml:space="preserve">Currently, </w:t>
      </w:r>
      <w:r w:rsidRPr="005D3A5A">
        <w:rPr>
          <w:rFonts w:ascii="Times New Roman" w:hAnsi="Times New Roman"/>
          <w:sz w:val="20"/>
          <w:szCs w:val="20"/>
        </w:rPr>
        <w:t>UNDP carries out very few impact evaluations</w:t>
      </w:r>
      <w:r w:rsidR="00036FC7">
        <w:rPr>
          <w:rFonts w:ascii="Times New Roman" w:hAnsi="Times New Roman"/>
          <w:sz w:val="20"/>
          <w:szCs w:val="20"/>
        </w:rPr>
        <w:t>.</w:t>
      </w:r>
      <w:r w:rsidRPr="005D3A5A">
        <w:rPr>
          <w:rFonts w:ascii="Times New Roman" w:hAnsi="Times New Roman"/>
          <w:sz w:val="20"/>
          <w:szCs w:val="20"/>
        </w:rPr>
        <w:t xml:space="preserve"> </w:t>
      </w:r>
      <w:r w:rsidR="00036FC7">
        <w:rPr>
          <w:rFonts w:ascii="Times New Roman" w:hAnsi="Times New Roman"/>
          <w:sz w:val="20"/>
          <w:szCs w:val="20"/>
        </w:rPr>
        <w:lastRenderedPageBreak/>
        <w:t>I</w:t>
      </w:r>
      <w:r w:rsidRPr="005D3A5A">
        <w:rPr>
          <w:rFonts w:ascii="Times New Roman" w:hAnsi="Times New Roman"/>
          <w:sz w:val="20"/>
          <w:szCs w:val="20"/>
        </w:rPr>
        <w:t xml:space="preserve">mproved guidance will </w:t>
      </w:r>
      <w:r w:rsidR="00FB0865">
        <w:rPr>
          <w:rFonts w:ascii="Times New Roman" w:hAnsi="Times New Roman"/>
          <w:sz w:val="20"/>
          <w:szCs w:val="20"/>
        </w:rPr>
        <w:t xml:space="preserve">be established to </w:t>
      </w:r>
      <w:r w:rsidRPr="005D3A5A">
        <w:rPr>
          <w:rFonts w:ascii="Times New Roman" w:hAnsi="Times New Roman"/>
          <w:sz w:val="20"/>
          <w:szCs w:val="20"/>
        </w:rPr>
        <w:t>help strengthen this approach and identify project/programme impact</w:t>
      </w:r>
      <w:r w:rsidR="00893E51">
        <w:rPr>
          <w:rFonts w:ascii="Times New Roman" w:hAnsi="Times New Roman"/>
          <w:sz w:val="20"/>
          <w:szCs w:val="20"/>
        </w:rPr>
        <w:t>s</w:t>
      </w:r>
      <w:r w:rsidRPr="005D3A5A">
        <w:rPr>
          <w:rFonts w:ascii="Times New Roman" w:hAnsi="Times New Roman"/>
          <w:sz w:val="20"/>
          <w:szCs w:val="20"/>
        </w:rPr>
        <w:t>.</w:t>
      </w:r>
    </w:p>
    <w:p w14:paraId="1D7515E3" w14:textId="77777777" w:rsidR="00243202" w:rsidRPr="005D3A5A" w:rsidRDefault="00243202" w:rsidP="00210A2A">
      <w:pPr>
        <w:pStyle w:val="ListParagraph"/>
        <w:spacing w:before="0" w:after="0" w:line="240" w:lineRule="auto"/>
        <w:ind w:left="1080"/>
        <w:contextualSpacing w:val="0"/>
        <w:jc w:val="both"/>
        <w:rPr>
          <w:rFonts w:ascii="Times New Roman" w:hAnsi="Times New Roman"/>
          <w:sz w:val="20"/>
          <w:szCs w:val="20"/>
        </w:rPr>
      </w:pPr>
    </w:p>
    <w:p w14:paraId="6D713633" w14:textId="316B26FA" w:rsidR="0041516C" w:rsidRDefault="00944090" w:rsidP="00893E51">
      <w:pPr>
        <w:pStyle w:val="ListParagraph"/>
        <w:numPr>
          <w:ilvl w:val="0"/>
          <w:numId w:val="41"/>
        </w:numPr>
        <w:tabs>
          <w:tab w:val="left" w:pos="360"/>
        </w:tabs>
        <w:spacing w:before="0" w:after="0" w:line="240" w:lineRule="auto"/>
        <w:ind w:left="0" w:firstLine="0"/>
        <w:jc w:val="both"/>
        <w:rPr>
          <w:rFonts w:ascii="Times New Roman" w:hAnsi="Times New Roman"/>
          <w:sz w:val="20"/>
          <w:szCs w:val="20"/>
        </w:rPr>
      </w:pPr>
      <w:r>
        <w:rPr>
          <w:rFonts w:ascii="Times New Roman" w:hAnsi="Times New Roman"/>
          <w:b/>
          <w:bCs/>
          <w:sz w:val="20"/>
          <w:szCs w:val="20"/>
        </w:rPr>
        <w:t>Implementation of k</w:t>
      </w:r>
      <w:r w:rsidR="0041516C" w:rsidRPr="005D3A5A">
        <w:rPr>
          <w:rFonts w:ascii="Times New Roman" w:hAnsi="Times New Roman"/>
          <w:b/>
          <w:bCs/>
          <w:sz w:val="20"/>
          <w:szCs w:val="20"/>
        </w:rPr>
        <w:t xml:space="preserve">ey programme/project evaluations </w:t>
      </w:r>
      <w:r w:rsidR="008B0835">
        <w:rPr>
          <w:rFonts w:ascii="Times New Roman" w:hAnsi="Times New Roman"/>
          <w:b/>
          <w:bCs/>
          <w:sz w:val="20"/>
          <w:szCs w:val="20"/>
        </w:rPr>
        <w:t>(IEO) 202</w:t>
      </w:r>
      <w:r w:rsidR="007C07A8">
        <w:rPr>
          <w:rFonts w:ascii="Times New Roman" w:hAnsi="Times New Roman"/>
          <w:b/>
          <w:bCs/>
          <w:sz w:val="20"/>
          <w:szCs w:val="20"/>
        </w:rPr>
        <w:t>2</w:t>
      </w:r>
      <w:r w:rsidR="00893E51">
        <w:rPr>
          <w:rFonts w:ascii="Times New Roman" w:hAnsi="Times New Roman"/>
          <w:b/>
          <w:bCs/>
          <w:sz w:val="20"/>
          <w:szCs w:val="20"/>
        </w:rPr>
        <w:t>.</w:t>
      </w:r>
      <w:r w:rsidR="0041516C" w:rsidRPr="005D3A5A">
        <w:rPr>
          <w:rFonts w:ascii="Times New Roman" w:hAnsi="Times New Roman"/>
          <w:sz w:val="20"/>
          <w:szCs w:val="20"/>
        </w:rPr>
        <w:t xml:space="preserve"> IEO will review </w:t>
      </w:r>
      <w:r w:rsidR="00893E51">
        <w:rPr>
          <w:rFonts w:ascii="Times New Roman" w:hAnsi="Times New Roman"/>
          <w:sz w:val="20"/>
          <w:szCs w:val="20"/>
        </w:rPr>
        <w:t xml:space="preserve">the </w:t>
      </w:r>
      <w:r w:rsidR="0041516C" w:rsidRPr="005D3A5A">
        <w:rPr>
          <w:rFonts w:ascii="Times New Roman" w:hAnsi="Times New Roman"/>
          <w:sz w:val="20"/>
          <w:szCs w:val="20"/>
        </w:rPr>
        <w:t xml:space="preserve">UNDP portfolio to </w:t>
      </w:r>
      <w:r w:rsidR="00400C54" w:rsidRPr="005D3A5A">
        <w:rPr>
          <w:rFonts w:ascii="Times New Roman" w:hAnsi="Times New Roman"/>
          <w:sz w:val="20"/>
          <w:szCs w:val="20"/>
        </w:rPr>
        <w:t xml:space="preserve">consider the balance of evaluations on </w:t>
      </w:r>
      <w:r w:rsidR="0041516C" w:rsidRPr="005D3A5A">
        <w:rPr>
          <w:rFonts w:ascii="Times New Roman" w:hAnsi="Times New Roman"/>
          <w:sz w:val="20"/>
          <w:szCs w:val="20"/>
        </w:rPr>
        <w:t>large and strategic projects</w:t>
      </w:r>
      <w:r w:rsidR="00400C54" w:rsidRPr="005D3A5A">
        <w:rPr>
          <w:rFonts w:ascii="Times New Roman" w:hAnsi="Times New Roman"/>
          <w:sz w:val="20"/>
          <w:szCs w:val="20"/>
        </w:rPr>
        <w:t xml:space="preserve">, noting that the evaluation requirements for some </w:t>
      </w:r>
      <w:r w:rsidR="00C9227D" w:rsidRPr="005D3A5A">
        <w:rPr>
          <w:rFonts w:ascii="Times New Roman" w:hAnsi="Times New Roman"/>
          <w:sz w:val="20"/>
          <w:szCs w:val="20"/>
        </w:rPr>
        <w:t>large-scale</w:t>
      </w:r>
      <w:r w:rsidR="00400C54" w:rsidRPr="005D3A5A">
        <w:rPr>
          <w:rFonts w:ascii="Times New Roman" w:hAnsi="Times New Roman"/>
          <w:sz w:val="20"/>
          <w:szCs w:val="20"/>
        </w:rPr>
        <w:t xml:space="preserve"> programmes, </w:t>
      </w:r>
      <w:r w:rsidR="00AF3558" w:rsidRPr="005D3A5A">
        <w:rPr>
          <w:rFonts w:ascii="Times New Roman" w:hAnsi="Times New Roman"/>
          <w:sz w:val="20"/>
          <w:szCs w:val="20"/>
        </w:rPr>
        <w:t>in particular the</w:t>
      </w:r>
      <w:r w:rsidR="00400C54" w:rsidRPr="005D3A5A">
        <w:rPr>
          <w:rFonts w:ascii="Times New Roman" w:hAnsi="Times New Roman"/>
          <w:sz w:val="20"/>
          <w:szCs w:val="20"/>
        </w:rPr>
        <w:t xml:space="preserve"> Global Environment Facility</w:t>
      </w:r>
      <w:r>
        <w:rPr>
          <w:rFonts w:ascii="Times New Roman" w:hAnsi="Times New Roman"/>
          <w:sz w:val="20"/>
          <w:szCs w:val="20"/>
        </w:rPr>
        <w:t xml:space="preserve"> (GEF)</w:t>
      </w:r>
      <w:r w:rsidR="00400C54" w:rsidRPr="005D3A5A">
        <w:rPr>
          <w:rFonts w:ascii="Times New Roman" w:hAnsi="Times New Roman"/>
          <w:sz w:val="20"/>
          <w:szCs w:val="20"/>
        </w:rPr>
        <w:t>, are mandatory</w:t>
      </w:r>
      <w:r w:rsidR="00AF3558" w:rsidRPr="005D3A5A">
        <w:rPr>
          <w:rFonts w:ascii="Times New Roman" w:hAnsi="Times New Roman"/>
          <w:sz w:val="20"/>
          <w:szCs w:val="20"/>
        </w:rPr>
        <w:t xml:space="preserve"> and extensively evaluated, while </w:t>
      </w:r>
      <w:r w:rsidR="00400C54" w:rsidRPr="005D3A5A">
        <w:rPr>
          <w:rFonts w:ascii="Times New Roman" w:hAnsi="Times New Roman"/>
          <w:sz w:val="20"/>
          <w:szCs w:val="20"/>
        </w:rPr>
        <w:t xml:space="preserve">other programmes of </w:t>
      </w:r>
      <w:r w:rsidR="00AF3558" w:rsidRPr="005D3A5A">
        <w:rPr>
          <w:rFonts w:ascii="Times New Roman" w:hAnsi="Times New Roman"/>
          <w:sz w:val="20"/>
          <w:szCs w:val="20"/>
        </w:rPr>
        <w:t xml:space="preserve">similar </w:t>
      </w:r>
      <w:r w:rsidR="00400C54" w:rsidRPr="005D3A5A">
        <w:rPr>
          <w:rFonts w:ascii="Times New Roman" w:hAnsi="Times New Roman"/>
          <w:sz w:val="20"/>
          <w:szCs w:val="20"/>
        </w:rPr>
        <w:t xml:space="preserve">stature and significance </w:t>
      </w:r>
      <w:r w:rsidR="00AF3558" w:rsidRPr="005D3A5A">
        <w:rPr>
          <w:rFonts w:ascii="Times New Roman" w:hAnsi="Times New Roman"/>
          <w:sz w:val="20"/>
          <w:szCs w:val="20"/>
        </w:rPr>
        <w:t>lack</w:t>
      </w:r>
      <w:r w:rsidR="00400C54" w:rsidRPr="005D3A5A">
        <w:rPr>
          <w:rFonts w:ascii="Times New Roman" w:hAnsi="Times New Roman"/>
          <w:sz w:val="20"/>
          <w:szCs w:val="20"/>
        </w:rPr>
        <w:t xml:space="preserve"> </w:t>
      </w:r>
      <w:r w:rsidR="00AF3558" w:rsidRPr="005D3A5A">
        <w:rPr>
          <w:rFonts w:ascii="Times New Roman" w:hAnsi="Times New Roman"/>
          <w:sz w:val="20"/>
          <w:szCs w:val="20"/>
        </w:rPr>
        <w:t>firm evaluation requirements and have not been well</w:t>
      </w:r>
      <w:r w:rsidR="00893E51">
        <w:rPr>
          <w:rFonts w:ascii="Times New Roman" w:hAnsi="Times New Roman"/>
          <w:sz w:val="20"/>
          <w:szCs w:val="20"/>
        </w:rPr>
        <w:t xml:space="preserve"> </w:t>
      </w:r>
      <w:r w:rsidR="00AF3558" w:rsidRPr="005D3A5A">
        <w:rPr>
          <w:rFonts w:ascii="Times New Roman" w:hAnsi="Times New Roman"/>
          <w:sz w:val="20"/>
          <w:szCs w:val="20"/>
        </w:rPr>
        <w:t xml:space="preserve">evaluated. The IEO will </w:t>
      </w:r>
      <w:r w:rsidR="0041516C" w:rsidRPr="005D3A5A">
        <w:rPr>
          <w:rFonts w:ascii="Times New Roman" w:hAnsi="Times New Roman"/>
          <w:sz w:val="20"/>
          <w:szCs w:val="20"/>
        </w:rPr>
        <w:t>review the portfolio to ensure th</w:t>
      </w:r>
      <w:r w:rsidR="00AF3558" w:rsidRPr="005D3A5A">
        <w:rPr>
          <w:rFonts w:ascii="Times New Roman" w:hAnsi="Times New Roman"/>
          <w:sz w:val="20"/>
          <w:szCs w:val="20"/>
        </w:rPr>
        <w:t>at</w:t>
      </w:r>
      <w:r w:rsidR="0041516C" w:rsidRPr="005D3A5A">
        <w:rPr>
          <w:rFonts w:ascii="Times New Roman" w:hAnsi="Times New Roman"/>
          <w:sz w:val="20"/>
          <w:szCs w:val="20"/>
        </w:rPr>
        <w:t xml:space="preserve"> mandatory benchmarks for evaluations are being </w:t>
      </w:r>
      <w:r w:rsidR="00AF3558" w:rsidRPr="005D3A5A">
        <w:rPr>
          <w:rFonts w:ascii="Times New Roman" w:hAnsi="Times New Roman"/>
          <w:sz w:val="20"/>
          <w:szCs w:val="20"/>
        </w:rPr>
        <w:t xml:space="preserve">met and will recommend additional mandatory benchmarks as needed. </w:t>
      </w:r>
    </w:p>
    <w:p w14:paraId="41BD54EC" w14:textId="77777777" w:rsidR="00313A96" w:rsidRPr="0013780C" w:rsidRDefault="00313A96" w:rsidP="00D759D4">
      <w:pPr>
        <w:spacing w:before="0" w:after="0" w:line="240" w:lineRule="auto"/>
        <w:jc w:val="both"/>
        <w:rPr>
          <w:rFonts w:ascii="Times New Roman" w:hAnsi="Times New Roman"/>
        </w:rPr>
      </w:pPr>
    </w:p>
    <w:p w14:paraId="1CA72F71" w14:textId="3A644BEC" w:rsidR="0072677B" w:rsidRPr="00893E51" w:rsidRDefault="00D1538D" w:rsidP="00210A2A">
      <w:pPr>
        <w:pStyle w:val="Heading1"/>
        <w:numPr>
          <w:ilvl w:val="0"/>
          <w:numId w:val="0"/>
        </w:numPr>
        <w:spacing w:before="0" w:after="0"/>
        <w:ind w:left="360" w:hanging="360"/>
        <w:jc w:val="both"/>
        <w:rPr>
          <w:rFonts w:ascii="Times New Roman" w:hAnsi="Times New Roman"/>
          <w:color w:val="000000" w:themeColor="text1"/>
          <w:sz w:val="20"/>
          <w:szCs w:val="20"/>
        </w:rPr>
      </w:pPr>
      <w:bookmarkStart w:id="17" w:name="_Toc97115606"/>
      <w:r w:rsidRPr="00893E51">
        <w:rPr>
          <w:rFonts w:ascii="Times New Roman" w:hAnsi="Times New Roman"/>
          <w:color w:val="000000" w:themeColor="text1"/>
          <w:sz w:val="20"/>
          <w:szCs w:val="20"/>
        </w:rPr>
        <w:t>Pillar</w:t>
      </w:r>
      <w:r w:rsidR="00FE3614" w:rsidRPr="00893E51">
        <w:rPr>
          <w:rFonts w:ascii="Times New Roman" w:hAnsi="Times New Roman"/>
          <w:color w:val="000000" w:themeColor="text1"/>
          <w:sz w:val="20"/>
          <w:szCs w:val="20"/>
        </w:rPr>
        <w:t xml:space="preserve"> </w:t>
      </w:r>
      <w:r w:rsidR="00DD1372" w:rsidRPr="00893E51">
        <w:rPr>
          <w:rFonts w:ascii="Times New Roman" w:hAnsi="Times New Roman"/>
          <w:color w:val="000000" w:themeColor="text1"/>
          <w:sz w:val="20"/>
          <w:szCs w:val="20"/>
        </w:rPr>
        <w:t>2</w:t>
      </w:r>
      <w:r w:rsidR="00893E51" w:rsidRPr="00893E51">
        <w:rPr>
          <w:rFonts w:ascii="Times New Roman" w:hAnsi="Times New Roman"/>
          <w:color w:val="000000" w:themeColor="text1"/>
          <w:sz w:val="20"/>
          <w:szCs w:val="20"/>
        </w:rPr>
        <w:t xml:space="preserve">. </w:t>
      </w:r>
      <w:r w:rsidR="00FE3614" w:rsidRPr="00893E51">
        <w:rPr>
          <w:rFonts w:ascii="Times New Roman" w:hAnsi="Times New Roman"/>
          <w:color w:val="000000" w:themeColor="text1"/>
          <w:sz w:val="20"/>
          <w:szCs w:val="20"/>
        </w:rPr>
        <w:t xml:space="preserve">Accountability and </w:t>
      </w:r>
      <w:r w:rsidR="00893E51" w:rsidRPr="00893E51">
        <w:rPr>
          <w:rFonts w:ascii="Times New Roman" w:hAnsi="Times New Roman"/>
          <w:color w:val="000000" w:themeColor="text1"/>
          <w:sz w:val="20"/>
          <w:szCs w:val="20"/>
        </w:rPr>
        <w:t>u</w:t>
      </w:r>
      <w:r w:rsidR="00FE3614" w:rsidRPr="00893E51">
        <w:rPr>
          <w:rFonts w:ascii="Times New Roman" w:hAnsi="Times New Roman"/>
          <w:color w:val="000000" w:themeColor="text1"/>
          <w:sz w:val="20"/>
          <w:szCs w:val="20"/>
        </w:rPr>
        <w:t>se</w:t>
      </w:r>
      <w:bookmarkEnd w:id="17"/>
    </w:p>
    <w:p w14:paraId="6779E0DD" w14:textId="5CD65B08" w:rsidR="00CA7731" w:rsidRPr="00313A96" w:rsidRDefault="00CA7731" w:rsidP="00210A2A">
      <w:pPr>
        <w:spacing w:before="0" w:after="0" w:line="240" w:lineRule="auto"/>
        <w:jc w:val="both"/>
        <w:rPr>
          <w:rFonts w:ascii="Times New Roman" w:hAnsi="Times New Roman"/>
          <w:b/>
          <w:bCs/>
        </w:rPr>
      </w:pPr>
    </w:p>
    <w:p w14:paraId="6629CDF2" w14:textId="428864BC" w:rsidR="002B4D48" w:rsidRPr="00893E51" w:rsidRDefault="002B4D48" w:rsidP="00893E51">
      <w:pPr>
        <w:pStyle w:val="ListParagraph"/>
        <w:numPr>
          <w:ilvl w:val="0"/>
          <w:numId w:val="41"/>
        </w:numPr>
        <w:tabs>
          <w:tab w:val="left" w:pos="360"/>
        </w:tabs>
        <w:spacing w:before="0" w:after="0" w:line="240" w:lineRule="auto"/>
        <w:ind w:left="0" w:firstLine="0"/>
        <w:contextualSpacing w:val="0"/>
        <w:jc w:val="both"/>
        <w:rPr>
          <w:rFonts w:ascii="Times New Roman" w:hAnsi="Times New Roman"/>
          <w:sz w:val="20"/>
          <w:szCs w:val="20"/>
        </w:rPr>
      </w:pPr>
      <w:r w:rsidRPr="00893E51">
        <w:rPr>
          <w:rFonts w:ascii="Times New Roman" w:hAnsi="Times New Roman"/>
          <w:b/>
          <w:bCs/>
          <w:sz w:val="20"/>
          <w:szCs w:val="20"/>
        </w:rPr>
        <w:t xml:space="preserve">Evaluation </w:t>
      </w:r>
      <w:r w:rsidR="00893E51" w:rsidRPr="00893E51">
        <w:rPr>
          <w:rFonts w:ascii="Times New Roman" w:hAnsi="Times New Roman"/>
          <w:b/>
          <w:bCs/>
          <w:sz w:val="20"/>
          <w:szCs w:val="20"/>
        </w:rPr>
        <w:t xml:space="preserve">scorecard and key performance indicators </w:t>
      </w:r>
      <w:r w:rsidRPr="00893E51">
        <w:rPr>
          <w:rFonts w:ascii="Times New Roman" w:hAnsi="Times New Roman"/>
          <w:b/>
          <w:bCs/>
          <w:sz w:val="20"/>
          <w:szCs w:val="20"/>
        </w:rPr>
        <w:t>(</w:t>
      </w:r>
      <w:r w:rsidR="009D2383" w:rsidRPr="00893E51">
        <w:rPr>
          <w:rFonts w:ascii="Times New Roman" w:hAnsi="Times New Roman"/>
          <w:b/>
          <w:bCs/>
          <w:sz w:val="20"/>
          <w:szCs w:val="20"/>
        </w:rPr>
        <w:t>BPPS)</w:t>
      </w:r>
      <w:r w:rsidRPr="00893E51">
        <w:rPr>
          <w:rFonts w:ascii="Times New Roman" w:hAnsi="Times New Roman"/>
          <w:b/>
          <w:bCs/>
          <w:sz w:val="20"/>
          <w:szCs w:val="20"/>
        </w:rPr>
        <w:t xml:space="preserve"> 2021</w:t>
      </w:r>
      <w:r w:rsidR="00C7509E" w:rsidRPr="00893E51">
        <w:rPr>
          <w:rFonts w:ascii="Times New Roman" w:hAnsi="Times New Roman"/>
          <w:b/>
          <w:bCs/>
          <w:sz w:val="20"/>
          <w:szCs w:val="20"/>
        </w:rPr>
        <w:t>-2025</w:t>
      </w:r>
      <w:r w:rsidR="00893E51">
        <w:rPr>
          <w:rFonts w:ascii="Times New Roman" w:hAnsi="Times New Roman"/>
          <w:b/>
          <w:bCs/>
          <w:sz w:val="20"/>
          <w:szCs w:val="20"/>
        </w:rPr>
        <w:t>.</w:t>
      </w:r>
      <w:r w:rsidRPr="00893E51">
        <w:rPr>
          <w:rFonts w:ascii="Times New Roman" w:hAnsi="Times New Roman"/>
          <w:sz w:val="20"/>
          <w:szCs w:val="20"/>
        </w:rPr>
        <w:t xml:space="preserve"> </w:t>
      </w:r>
      <w:r w:rsidR="00957DDF">
        <w:rPr>
          <w:rFonts w:ascii="Times New Roman" w:hAnsi="Times New Roman"/>
          <w:sz w:val="20"/>
          <w:szCs w:val="20"/>
        </w:rPr>
        <w:t xml:space="preserve">Developed by UNDP in 2021 </w:t>
      </w:r>
      <w:r w:rsidRPr="00893E51">
        <w:rPr>
          <w:rFonts w:ascii="Times New Roman" w:hAnsi="Times New Roman"/>
          <w:sz w:val="20"/>
          <w:szCs w:val="20"/>
        </w:rPr>
        <w:t xml:space="preserve">with input from IEO, </w:t>
      </w:r>
      <w:r w:rsidR="00957DDF">
        <w:rPr>
          <w:rFonts w:ascii="Times New Roman" w:hAnsi="Times New Roman"/>
          <w:sz w:val="20"/>
          <w:szCs w:val="20"/>
        </w:rPr>
        <w:t xml:space="preserve">the </w:t>
      </w:r>
      <w:r w:rsidRPr="00893E51">
        <w:rPr>
          <w:rFonts w:ascii="Times New Roman" w:hAnsi="Times New Roman"/>
          <w:sz w:val="20"/>
          <w:szCs w:val="20"/>
        </w:rPr>
        <w:t xml:space="preserve">Evaluation Scorecard provides UNDP managers and staff with real-time data of critical evaluation performance to enable on-time tracking and oversight with </w:t>
      </w:r>
      <w:r w:rsidR="00957DDF" w:rsidRPr="00893E51">
        <w:rPr>
          <w:rFonts w:ascii="Times New Roman" w:hAnsi="Times New Roman"/>
          <w:sz w:val="20"/>
          <w:szCs w:val="20"/>
        </w:rPr>
        <w:t xml:space="preserve">key performance indicators </w:t>
      </w:r>
      <w:r w:rsidRPr="00893E51">
        <w:rPr>
          <w:rFonts w:ascii="Times New Roman" w:hAnsi="Times New Roman"/>
          <w:sz w:val="20"/>
          <w:szCs w:val="20"/>
        </w:rPr>
        <w:t>(KPIs).</w:t>
      </w:r>
      <w:r w:rsidR="00957DDF">
        <w:rPr>
          <w:rFonts w:ascii="Times New Roman" w:hAnsi="Times New Roman"/>
          <w:sz w:val="20"/>
          <w:szCs w:val="20"/>
        </w:rPr>
        <w:t xml:space="preserve"> </w:t>
      </w:r>
      <w:r w:rsidRPr="00893E51">
        <w:rPr>
          <w:rFonts w:ascii="Times New Roman" w:hAnsi="Times New Roman"/>
          <w:sz w:val="20"/>
          <w:szCs w:val="20"/>
        </w:rPr>
        <w:t xml:space="preserve">These KPIs </w:t>
      </w:r>
      <w:r w:rsidR="00957DDF">
        <w:rPr>
          <w:rFonts w:ascii="Times New Roman" w:hAnsi="Times New Roman"/>
          <w:sz w:val="20"/>
          <w:szCs w:val="20"/>
        </w:rPr>
        <w:t>address</w:t>
      </w:r>
      <w:r w:rsidRPr="00893E51">
        <w:rPr>
          <w:rFonts w:ascii="Times New Roman" w:hAnsi="Times New Roman"/>
          <w:sz w:val="20"/>
          <w:szCs w:val="20"/>
        </w:rPr>
        <w:t xml:space="preserve"> </w:t>
      </w:r>
      <w:r w:rsidR="00957DDF">
        <w:rPr>
          <w:rFonts w:ascii="Times New Roman" w:hAnsi="Times New Roman"/>
          <w:sz w:val="20"/>
          <w:szCs w:val="20"/>
        </w:rPr>
        <w:t xml:space="preserve">the </w:t>
      </w:r>
      <w:r w:rsidRPr="00893E51">
        <w:rPr>
          <w:rFonts w:ascii="Times New Roman" w:hAnsi="Times New Roman"/>
          <w:sz w:val="20"/>
          <w:szCs w:val="20"/>
        </w:rPr>
        <w:t>coverage, quality, accountability, use and evaluation capacity</w:t>
      </w:r>
      <w:r w:rsidR="00957DDF">
        <w:rPr>
          <w:rFonts w:ascii="Times New Roman" w:hAnsi="Times New Roman"/>
          <w:sz w:val="20"/>
          <w:szCs w:val="20"/>
        </w:rPr>
        <w:t xml:space="preserve"> of </w:t>
      </w:r>
      <w:r w:rsidR="00957DDF" w:rsidRPr="00893E51">
        <w:rPr>
          <w:rFonts w:ascii="Times New Roman" w:hAnsi="Times New Roman"/>
          <w:sz w:val="20"/>
          <w:szCs w:val="20"/>
        </w:rPr>
        <w:t>decentralized evaluation</w:t>
      </w:r>
      <w:r w:rsidR="00957DDF">
        <w:rPr>
          <w:rFonts w:ascii="Times New Roman" w:hAnsi="Times New Roman"/>
          <w:sz w:val="20"/>
          <w:szCs w:val="20"/>
        </w:rPr>
        <w:t>s</w:t>
      </w:r>
      <w:r w:rsidRPr="00893E51">
        <w:rPr>
          <w:rFonts w:ascii="Times New Roman" w:hAnsi="Times New Roman"/>
          <w:sz w:val="20"/>
          <w:szCs w:val="20"/>
        </w:rPr>
        <w:t xml:space="preserve">. </w:t>
      </w:r>
      <w:r w:rsidR="00957DDF">
        <w:rPr>
          <w:rFonts w:ascii="Times New Roman" w:hAnsi="Times New Roman"/>
          <w:sz w:val="20"/>
          <w:szCs w:val="20"/>
        </w:rPr>
        <w:t xml:space="preserve">They </w:t>
      </w:r>
      <w:r w:rsidRPr="00893E51">
        <w:rPr>
          <w:rFonts w:ascii="Times New Roman" w:hAnsi="Times New Roman"/>
          <w:sz w:val="20"/>
          <w:szCs w:val="20"/>
        </w:rPr>
        <w:t>ha</w:t>
      </w:r>
      <w:r w:rsidR="00957DDF">
        <w:rPr>
          <w:rFonts w:ascii="Times New Roman" w:hAnsi="Times New Roman"/>
          <w:sz w:val="20"/>
          <w:szCs w:val="20"/>
        </w:rPr>
        <w:t>ve</w:t>
      </w:r>
      <w:r w:rsidRPr="00893E51">
        <w:rPr>
          <w:rFonts w:ascii="Times New Roman" w:hAnsi="Times New Roman"/>
          <w:sz w:val="20"/>
          <w:szCs w:val="20"/>
        </w:rPr>
        <w:t xml:space="preserve"> provided an overview of high-risk or critical areas that require thorough analysis and management actions, </w:t>
      </w:r>
      <w:r w:rsidR="00957DDF">
        <w:rPr>
          <w:rFonts w:ascii="Times New Roman" w:hAnsi="Times New Roman"/>
          <w:sz w:val="20"/>
          <w:szCs w:val="20"/>
        </w:rPr>
        <w:t xml:space="preserve">and </w:t>
      </w:r>
      <w:r w:rsidRPr="00893E51">
        <w:rPr>
          <w:rFonts w:ascii="Times New Roman" w:hAnsi="Times New Roman"/>
          <w:sz w:val="20"/>
          <w:szCs w:val="20"/>
        </w:rPr>
        <w:t>increas</w:t>
      </w:r>
      <w:r w:rsidR="00957DDF">
        <w:rPr>
          <w:rFonts w:ascii="Times New Roman" w:hAnsi="Times New Roman"/>
          <w:sz w:val="20"/>
          <w:szCs w:val="20"/>
        </w:rPr>
        <w:t>ed</w:t>
      </w:r>
      <w:r w:rsidRPr="00893E51">
        <w:rPr>
          <w:rFonts w:ascii="Times New Roman" w:hAnsi="Times New Roman"/>
          <w:sz w:val="20"/>
          <w:szCs w:val="20"/>
        </w:rPr>
        <w:t xml:space="preserve"> efficiency by reducing manual analysis.</w:t>
      </w:r>
    </w:p>
    <w:p w14:paraId="6EADC9C7" w14:textId="77777777" w:rsidR="002B4D48" w:rsidRPr="00893E51" w:rsidRDefault="002B4D48" w:rsidP="00893E51">
      <w:pPr>
        <w:pStyle w:val="ListParagraph"/>
        <w:tabs>
          <w:tab w:val="left" w:pos="360"/>
        </w:tabs>
        <w:spacing w:before="0" w:after="0" w:line="240" w:lineRule="auto"/>
        <w:ind w:left="0"/>
        <w:contextualSpacing w:val="0"/>
        <w:jc w:val="both"/>
        <w:rPr>
          <w:rFonts w:ascii="Times New Roman" w:hAnsi="Times New Roman"/>
          <w:sz w:val="20"/>
          <w:szCs w:val="20"/>
        </w:rPr>
      </w:pPr>
    </w:p>
    <w:p w14:paraId="43A9D175" w14:textId="76C3010F" w:rsidR="00872F59" w:rsidRPr="00893E51" w:rsidRDefault="00872F59" w:rsidP="00893E51">
      <w:pPr>
        <w:pStyle w:val="ListParagraph"/>
        <w:numPr>
          <w:ilvl w:val="0"/>
          <w:numId w:val="41"/>
        </w:numPr>
        <w:tabs>
          <w:tab w:val="left" w:pos="360"/>
        </w:tabs>
        <w:spacing w:before="0" w:after="0" w:line="240" w:lineRule="auto"/>
        <w:ind w:left="0" w:firstLine="0"/>
        <w:contextualSpacing w:val="0"/>
        <w:jc w:val="both"/>
        <w:rPr>
          <w:rFonts w:ascii="Times New Roman" w:hAnsi="Times New Roman"/>
          <w:sz w:val="20"/>
          <w:szCs w:val="20"/>
        </w:rPr>
      </w:pPr>
      <w:r w:rsidRPr="00957DDF">
        <w:rPr>
          <w:rFonts w:ascii="Times New Roman" w:hAnsi="Times New Roman"/>
          <w:b/>
          <w:bCs/>
          <w:sz w:val="20"/>
          <w:szCs w:val="20"/>
        </w:rPr>
        <w:t>Quarterly monitoring and senior management review of decentralized evaluation performance (UNDP, 2022-2025)</w:t>
      </w:r>
      <w:r w:rsidR="00957DDF">
        <w:rPr>
          <w:rFonts w:ascii="Times New Roman" w:hAnsi="Times New Roman"/>
          <w:b/>
          <w:bCs/>
          <w:sz w:val="20"/>
          <w:szCs w:val="20"/>
        </w:rPr>
        <w:t>.</w:t>
      </w:r>
      <w:r w:rsidRPr="00893E51">
        <w:rPr>
          <w:rFonts w:ascii="Times New Roman" w:hAnsi="Times New Roman"/>
          <w:sz w:val="20"/>
          <w:szCs w:val="20"/>
        </w:rPr>
        <w:t xml:space="preserve"> </w:t>
      </w:r>
      <w:r w:rsidR="00957DDF">
        <w:rPr>
          <w:rFonts w:ascii="Times New Roman" w:hAnsi="Times New Roman"/>
          <w:sz w:val="20"/>
          <w:szCs w:val="20"/>
        </w:rPr>
        <w:t>Using</w:t>
      </w:r>
      <w:r w:rsidR="00957DDF" w:rsidRPr="00893E51">
        <w:rPr>
          <w:rFonts w:ascii="Times New Roman" w:hAnsi="Times New Roman"/>
          <w:sz w:val="20"/>
          <w:szCs w:val="20"/>
        </w:rPr>
        <w:t xml:space="preserve"> </w:t>
      </w:r>
      <w:r w:rsidRPr="00893E51">
        <w:rPr>
          <w:rFonts w:ascii="Times New Roman" w:hAnsi="Times New Roman"/>
          <w:sz w:val="20"/>
          <w:szCs w:val="20"/>
        </w:rPr>
        <w:t xml:space="preserve">the Evaluation Scorecard, </w:t>
      </w:r>
      <w:r w:rsidR="00D74A8F">
        <w:rPr>
          <w:rFonts w:ascii="Times New Roman" w:hAnsi="Times New Roman"/>
          <w:sz w:val="20"/>
          <w:szCs w:val="20"/>
        </w:rPr>
        <w:t xml:space="preserve">on a quarterly basis </w:t>
      </w:r>
      <w:r w:rsidR="00957DDF">
        <w:rPr>
          <w:rFonts w:ascii="Times New Roman" w:hAnsi="Times New Roman"/>
          <w:sz w:val="20"/>
          <w:szCs w:val="20"/>
        </w:rPr>
        <w:t xml:space="preserve">management is </w:t>
      </w:r>
      <w:r w:rsidR="00D74A8F">
        <w:rPr>
          <w:rFonts w:ascii="Times New Roman" w:hAnsi="Times New Roman"/>
          <w:sz w:val="20"/>
          <w:szCs w:val="20"/>
        </w:rPr>
        <w:t xml:space="preserve">able to </w:t>
      </w:r>
      <w:r w:rsidRPr="00893E51">
        <w:rPr>
          <w:rFonts w:ascii="Times New Roman" w:hAnsi="Times New Roman"/>
          <w:sz w:val="20"/>
          <w:szCs w:val="20"/>
        </w:rPr>
        <w:t xml:space="preserve">closely monitor, analyse and disseminate </w:t>
      </w:r>
      <w:r w:rsidR="00D74A8F">
        <w:rPr>
          <w:rFonts w:ascii="Times New Roman" w:hAnsi="Times New Roman"/>
          <w:sz w:val="20"/>
          <w:szCs w:val="20"/>
        </w:rPr>
        <w:t xml:space="preserve">data on performance </w:t>
      </w:r>
      <w:r w:rsidRPr="00893E51">
        <w:rPr>
          <w:rFonts w:ascii="Times New Roman" w:hAnsi="Times New Roman"/>
          <w:sz w:val="20"/>
          <w:szCs w:val="20"/>
        </w:rPr>
        <w:t>to enhance the coverage, timeliness and quality of decentralized evaluations. These analytics support the identification of critical areas that allow regional bureaux to take timely management actions. Special attention is given to: (</w:t>
      </w:r>
      <w:r w:rsidR="00D74A8F">
        <w:rPr>
          <w:rFonts w:ascii="Times New Roman" w:hAnsi="Times New Roman"/>
          <w:sz w:val="20"/>
          <w:szCs w:val="20"/>
        </w:rPr>
        <w:t>a</w:t>
      </w:r>
      <w:r w:rsidRPr="00893E51">
        <w:rPr>
          <w:rFonts w:ascii="Times New Roman" w:hAnsi="Times New Roman"/>
          <w:sz w:val="20"/>
          <w:szCs w:val="20"/>
        </w:rPr>
        <w:t>) planned v</w:t>
      </w:r>
      <w:r w:rsidR="008C0E77">
        <w:rPr>
          <w:rFonts w:ascii="Times New Roman" w:hAnsi="Times New Roman"/>
          <w:sz w:val="20"/>
          <w:szCs w:val="20"/>
        </w:rPr>
        <w:t>ersus</w:t>
      </w:r>
      <w:r w:rsidRPr="00893E51">
        <w:rPr>
          <w:rFonts w:ascii="Times New Roman" w:hAnsi="Times New Roman"/>
          <w:sz w:val="20"/>
          <w:szCs w:val="20"/>
        </w:rPr>
        <w:t xml:space="preserve"> completed evaluations; (</w:t>
      </w:r>
      <w:r w:rsidR="00D74A8F">
        <w:rPr>
          <w:rFonts w:ascii="Times New Roman" w:hAnsi="Times New Roman"/>
          <w:sz w:val="20"/>
          <w:szCs w:val="20"/>
        </w:rPr>
        <w:t>b</w:t>
      </w:r>
      <w:r w:rsidRPr="00893E51">
        <w:rPr>
          <w:rFonts w:ascii="Times New Roman" w:hAnsi="Times New Roman"/>
          <w:sz w:val="20"/>
          <w:szCs w:val="20"/>
        </w:rPr>
        <w:t>) quality assessment ratings; and (</w:t>
      </w:r>
      <w:r w:rsidR="00D74A8F">
        <w:rPr>
          <w:rFonts w:ascii="Times New Roman" w:hAnsi="Times New Roman"/>
          <w:sz w:val="20"/>
          <w:szCs w:val="20"/>
        </w:rPr>
        <w:t>c</w:t>
      </w:r>
      <w:r w:rsidRPr="00893E51">
        <w:rPr>
          <w:rFonts w:ascii="Times New Roman" w:hAnsi="Times New Roman"/>
          <w:sz w:val="20"/>
          <w:szCs w:val="20"/>
        </w:rPr>
        <w:t>) implementation rates</w:t>
      </w:r>
      <w:r w:rsidR="00490D1F">
        <w:rPr>
          <w:rFonts w:ascii="Times New Roman" w:hAnsi="Times New Roman"/>
          <w:sz w:val="20"/>
          <w:szCs w:val="20"/>
        </w:rPr>
        <w:t xml:space="preserve"> of </w:t>
      </w:r>
      <w:r w:rsidR="00490D1F" w:rsidRPr="00893E51">
        <w:rPr>
          <w:rFonts w:ascii="Times New Roman" w:hAnsi="Times New Roman"/>
          <w:sz w:val="20"/>
          <w:szCs w:val="20"/>
        </w:rPr>
        <w:t>management actions</w:t>
      </w:r>
      <w:r w:rsidR="00764079" w:rsidRPr="00893E51">
        <w:rPr>
          <w:rFonts w:ascii="Times New Roman" w:hAnsi="Times New Roman"/>
          <w:sz w:val="20"/>
          <w:szCs w:val="20"/>
        </w:rPr>
        <w:t xml:space="preserve">. </w:t>
      </w:r>
      <w:r w:rsidRPr="00893E51">
        <w:rPr>
          <w:rFonts w:ascii="Times New Roman" w:hAnsi="Times New Roman"/>
          <w:sz w:val="20"/>
          <w:szCs w:val="20"/>
        </w:rPr>
        <w:t xml:space="preserve">In November 2021, </w:t>
      </w:r>
      <w:r w:rsidR="00764079" w:rsidRPr="00893E51">
        <w:rPr>
          <w:rFonts w:ascii="Times New Roman" w:hAnsi="Times New Roman"/>
          <w:sz w:val="20"/>
          <w:szCs w:val="20"/>
        </w:rPr>
        <w:t xml:space="preserve">the </w:t>
      </w:r>
      <w:r w:rsidR="00D74A8F" w:rsidRPr="00D74A8F">
        <w:rPr>
          <w:rFonts w:ascii="Times New Roman" w:hAnsi="Times New Roman"/>
          <w:sz w:val="20"/>
          <w:szCs w:val="20"/>
        </w:rPr>
        <w:t xml:space="preserve">Organizational Performance Group </w:t>
      </w:r>
      <w:r w:rsidR="00764079" w:rsidRPr="00893E51">
        <w:rPr>
          <w:rFonts w:ascii="Times New Roman" w:hAnsi="Times New Roman"/>
          <w:sz w:val="20"/>
          <w:szCs w:val="20"/>
        </w:rPr>
        <w:t xml:space="preserve">decided that senior management (through the </w:t>
      </w:r>
      <w:r w:rsidR="00D74A8F">
        <w:rPr>
          <w:rFonts w:ascii="Times New Roman" w:hAnsi="Times New Roman"/>
          <w:sz w:val="20"/>
          <w:szCs w:val="20"/>
        </w:rPr>
        <w:t>Group</w:t>
      </w:r>
      <w:r w:rsidR="00764079" w:rsidRPr="00893E51">
        <w:rPr>
          <w:rFonts w:ascii="Times New Roman" w:hAnsi="Times New Roman"/>
          <w:sz w:val="20"/>
          <w:szCs w:val="20"/>
        </w:rPr>
        <w:t xml:space="preserve">) will review </w:t>
      </w:r>
      <w:r w:rsidR="00313A96" w:rsidRPr="00893E51">
        <w:rPr>
          <w:rFonts w:ascii="Times New Roman" w:hAnsi="Times New Roman"/>
          <w:sz w:val="20"/>
          <w:szCs w:val="20"/>
        </w:rPr>
        <w:t>the KPIs</w:t>
      </w:r>
      <w:r w:rsidR="00764079" w:rsidRPr="00893E51">
        <w:rPr>
          <w:rFonts w:ascii="Times New Roman" w:hAnsi="Times New Roman"/>
          <w:sz w:val="20"/>
          <w:szCs w:val="20"/>
        </w:rPr>
        <w:t xml:space="preserve"> on decentralized evaluation and the status of implementation of bur</w:t>
      </w:r>
      <w:r w:rsidR="00532F9C" w:rsidRPr="00893E51">
        <w:rPr>
          <w:rFonts w:ascii="Times New Roman" w:hAnsi="Times New Roman"/>
          <w:sz w:val="20"/>
          <w:szCs w:val="20"/>
        </w:rPr>
        <w:t>e</w:t>
      </w:r>
      <w:r w:rsidR="00764079" w:rsidRPr="00893E51">
        <w:rPr>
          <w:rFonts w:ascii="Times New Roman" w:hAnsi="Times New Roman"/>
          <w:sz w:val="20"/>
          <w:szCs w:val="20"/>
        </w:rPr>
        <w:t xml:space="preserve">au-specific decentralized evaluation plans on a quarterly basis.  </w:t>
      </w:r>
    </w:p>
    <w:p w14:paraId="2A33859B" w14:textId="77777777" w:rsidR="00641761" w:rsidRPr="00893E51" w:rsidRDefault="00641761" w:rsidP="00893E51">
      <w:pPr>
        <w:pStyle w:val="ListParagraph"/>
        <w:tabs>
          <w:tab w:val="left" w:pos="360"/>
        </w:tabs>
        <w:spacing w:before="0" w:after="0"/>
        <w:ind w:left="0"/>
        <w:jc w:val="both"/>
        <w:rPr>
          <w:rFonts w:ascii="Times New Roman" w:hAnsi="Times New Roman"/>
          <w:sz w:val="20"/>
          <w:szCs w:val="20"/>
        </w:rPr>
      </w:pPr>
    </w:p>
    <w:p w14:paraId="2BFBDD1F" w14:textId="1D752065" w:rsidR="00C12DDE" w:rsidRPr="00D95432" w:rsidRDefault="00C12DDE" w:rsidP="00893E51">
      <w:pPr>
        <w:pStyle w:val="ListParagraph"/>
        <w:numPr>
          <w:ilvl w:val="0"/>
          <w:numId w:val="41"/>
        </w:numPr>
        <w:tabs>
          <w:tab w:val="left" w:pos="360"/>
        </w:tabs>
        <w:spacing w:before="0" w:after="0"/>
        <w:ind w:left="0" w:firstLine="0"/>
        <w:jc w:val="both"/>
        <w:rPr>
          <w:rFonts w:ascii="Times New Roman" w:hAnsi="Times New Roman"/>
          <w:sz w:val="20"/>
          <w:szCs w:val="20"/>
        </w:rPr>
      </w:pPr>
      <w:r w:rsidRPr="00A57CCE">
        <w:rPr>
          <w:rFonts w:ascii="Times New Roman" w:hAnsi="Times New Roman"/>
          <w:b/>
          <w:bCs/>
          <w:sz w:val="20"/>
          <w:szCs w:val="20"/>
        </w:rPr>
        <w:t xml:space="preserve">New Tier 3 indicators on evaluation performance for </w:t>
      </w:r>
      <w:r w:rsidR="00A57CCE" w:rsidRPr="00A57CCE">
        <w:rPr>
          <w:rFonts w:ascii="Times New Roman" w:hAnsi="Times New Roman"/>
          <w:b/>
          <w:bCs/>
          <w:sz w:val="20"/>
          <w:szCs w:val="20"/>
        </w:rPr>
        <w:t>the</w:t>
      </w:r>
      <w:r w:rsidR="00490D1F">
        <w:rPr>
          <w:rFonts w:ascii="Times New Roman" w:hAnsi="Times New Roman"/>
          <w:b/>
          <w:bCs/>
          <w:sz w:val="20"/>
          <w:szCs w:val="20"/>
        </w:rPr>
        <w:t xml:space="preserve"> </w:t>
      </w:r>
      <w:r w:rsidR="00A57CCE" w:rsidRPr="00A57CCE">
        <w:rPr>
          <w:rFonts w:ascii="Times New Roman" w:hAnsi="Times New Roman"/>
          <w:b/>
          <w:bCs/>
          <w:sz w:val="20"/>
          <w:szCs w:val="20"/>
        </w:rPr>
        <w:t xml:space="preserve">IRRF of </w:t>
      </w:r>
      <w:r w:rsidRPr="00A57CCE">
        <w:rPr>
          <w:rFonts w:ascii="Times New Roman" w:hAnsi="Times New Roman"/>
          <w:b/>
          <w:bCs/>
          <w:sz w:val="20"/>
          <w:szCs w:val="20"/>
        </w:rPr>
        <w:t xml:space="preserve">the </w:t>
      </w:r>
      <w:r w:rsidR="00A57CCE" w:rsidRPr="00A57CCE">
        <w:rPr>
          <w:rFonts w:ascii="Times New Roman" w:hAnsi="Times New Roman"/>
          <w:b/>
          <w:bCs/>
          <w:sz w:val="20"/>
          <w:szCs w:val="20"/>
        </w:rPr>
        <w:t>S</w:t>
      </w:r>
      <w:r w:rsidR="00764079" w:rsidRPr="00A57CCE">
        <w:rPr>
          <w:rFonts w:ascii="Times New Roman" w:hAnsi="Times New Roman"/>
          <w:b/>
          <w:bCs/>
          <w:sz w:val="20"/>
          <w:szCs w:val="20"/>
        </w:rPr>
        <w:t xml:space="preserve">trategic </w:t>
      </w:r>
      <w:r w:rsidR="00A57CCE" w:rsidRPr="00A57CCE">
        <w:rPr>
          <w:rFonts w:ascii="Times New Roman" w:hAnsi="Times New Roman"/>
          <w:b/>
          <w:bCs/>
          <w:sz w:val="20"/>
          <w:szCs w:val="20"/>
        </w:rPr>
        <w:t>P</w:t>
      </w:r>
      <w:r w:rsidR="00764079" w:rsidRPr="00A57CCE">
        <w:rPr>
          <w:rFonts w:ascii="Times New Roman" w:hAnsi="Times New Roman"/>
          <w:b/>
          <w:bCs/>
          <w:sz w:val="20"/>
          <w:szCs w:val="20"/>
        </w:rPr>
        <w:t>lan</w:t>
      </w:r>
      <w:r w:rsidRPr="00A57CCE">
        <w:rPr>
          <w:rFonts w:ascii="Times New Roman" w:hAnsi="Times New Roman"/>
          <w:b/>
          <w:bCs/>
          <w:sz w:val="20"/>
          <w:szCs w:val="20"/>
        </w:rPr>
        <w:t xml:space="preserve"> (BPPS</w:t>
      </w:r>
      <w:r w:rsidR="00763483" w:rsidRPr="00A57CCE">
        <w:rPr>
          <w:rFonts w:ascii="Times New Roman" w:hAnsi="Times New Roman"/>
          <w:b/>
          <w:bCs/>
          <w:sz w:val="20"/>
          <w:szCs w:val="20"/>
        </w:rPr>
        <w:t>)</w:t>
      </w:r>
      <w:r w:rsidRPr="00A57CCE">
        <w:rPr>
          <w:rFonts w:ascii="Times New Roman" w:hAnsi="Times New Roman"/>
          <w:b/>
          <w:bCs/>
          <w:sz w:val="20"/>
          <w:szCs w:val="20"/>
        </w:rPr>
        <w:t xml:space="preserve"> 202</w:t>
      </w:r>
      <w:r w:rsidR="00764079" w:rsidRPr="00A57CCE">
        <w:rPr>
          <w:rFonts w:ascii="Times New Roman" w:hAnsi="Times New Roman"/>
          <w:b/>
          <w:bCs/>
          <w:sz w:val="20"/>
          <w:szCs w:val="20"/>
        </w:rPr>
        <w:t>2-2025</w:t>
      </w:r>
      <w:r w:rsidR="00A57CCE">
        <w:rPr>
          <w:rFonts w:ascii="Times New Roman" w:hAnsi="Times New Roman"/>
          <w:sz w:val="20"/>
          <w:szCs w:val="20"/>
        </w:rPr>
        <w:t>.</w:t>
      </w:r>
      <w:r w:rsidRPr="00893E51">
        <w:rPr>
          <w:rFonts w:ascii="Times New Roman" w:hAnsi="Times New Roman"/>
          <w:sz w:val="20"/>
          <w:szCs w:val="20"/>
        </w:rPr>
        <w:t xml:space="preserve"> Building on the lessons UNDP learned from the 2018-2021 </w:t>
      </w:r>
      <w:r w:rsidR="00490D1F" w:rsidRPr="00893E51">
        <w:rPr>
          <w:rFonts w:ascii="Times New Roman" w:hAnsi="Times New Roman"/>
          <w:sz w:val="20"/>
          <w:szCs w:val="20"/>
        </w:rPr>
        <w:t xml:space="preserve">strategic plan </w:t>
      </w:r>
      <w:r w:rsidRPr="00893E51">
        <w:rPr>
          <w:rFonts w:ascii="Times New Roman" w:hAnsi="Times New Roman"/>
          <w:sz w:val="20"/>
          <w:szCs w:val="20"/>
        </w:rPr>
        <w:t xml:space="preserve">period, stronger indicators to monitor </w:t>
      </w:r>
      <w:r w:rsidR="00A57CCE">
        <w:rPr>
          <w:rFonts w:ascii="Times New Roman" w:hAnsi="Times New Roman"/>
          <w:sz w:val="20"/>
          <w:szCs w:val="20"/>
        </w:rPr>
        <w:t xml:space="preserve">the </w:t>
      </w:r>
      <w:r w:rsidRPr="00893E51">
        <w:rPr>
          <w:rFonts w:ascii="Times New Roman" w:hAnsi="Times New Roman"/>
          <w:sz w:val="20"/>
          <w:szCs w:val="20"/>
        </w:rPr>
        <w:t>UNDP evaluation performance were introduced in the IRRF for 2022-2025.</w:t>
      </w:r>
      <w:r w:rsidR="00764079" w:rsidRPr="00893E51">
        <w:rPr>
          <w:rFonts w:ascii="Times New Roman" w:hAnsi="Times New Roman"/>
          <w:sz w:val="20"/>
          <w:szCs w:val="20"/>
        </w:rPr>
        <w:t xml:space="preserve"> </w:t>
      </w:r>
      <w:r w:rsidRPr="00893E51">
        <w:rPr>
          <w:rFonts w:ascii="Times New Roman" w:hAnsi="Times New Roman"/>
          <w:sz w:val="20"/>
          <w:szCs w:val="20"/>
        </w:rPr>
        <w:t xml:space="preserve">These indicators will </w:t>
      </w:r>
      <w:r w:rsidR="00B14018" w:rsidRPr="00893E51">
        <w:rPr>
          <w:rFonts w:ascii="Times New Roman" w:hAnsi="Times New Roman"/>
          <w:sz w:val="20"/>
          <w:szCs w:val="20"/>
        </w:rPr>
        <w:t>provide</w:t>
      </w:r>
      <w:r w:rsidRPr="00893E51">
        <w:rPr>
          <w:rFonts w:ascii="Times New Roman" w:hAnsi="Times New Roman"/>
          <w:sz w:val="20"/>
          <w:szCs w:val="20"/>
        </w:rPr>
        <w:t xml:space="preserve"> evidence-based performance </w:t>
      </w:r>
      <w:r w:rsidR="00B14018" w:rsidRPr="00893E51">
        <w:rPr>
          <w:rFonts w:ascii="Times New Roman" w:hAnsi="Times New Roman"/>
          <w:sz w:val="20"/>
          <w:szCs w:val="20"/>
        </w:rPr>
        <w:t>information covering</w:t>
      </w:r>
      <w:r w:rsidR="00B14018" w:rsidRPr="00D95432">
        <w:rPr>
          <w:rFonts w:ascii="Times New Roman" w:hAnsi="Times New Roman"/>
          <w:sz w:val="20"/>
          <w:szCs w:val="20"/>
        </w:rPr>
        <w:t>:</w:t>
      </w:r>
      <w:r w:rsidRPr="00D95432">
        <w:rPr>
          <w:rFonts w:ascii="Times New Roman" w:hAnsi="Times New Roman"/>
          <w:sz w:val="20"/>
          <w:szCs w:val="20"/>
        </w:rPr>
        <w:t xml:space="preserve">  </w:t>
      </w:r>
    </w:p>
    <w:p w14:paraId="05BA7F57" w14:textId="77777777" w:rsidR="00CA7731" w:rsidRPr="00D95432" w:rsidRDefault="00CA7731" w:rsidP="00210A2A">
      <w:pPr>
        <w:spacing w:before="0" w:after="0" w:line="240" w:lineRule="auto"/>
        <w:jc w:val="both"/>
        <w:rPr>
          <w:rFonts w:ascii="Times New Roman" w:hAnsi="Times New Roman"/>
          <w:sz w:val="20"/>
          <w:szCs w:val="20"/>
        </w:rPr>
      </w:pPr>
    </w:p>
    <w:p w14:paraId="785EB5F7" w14:textId="4CED07A9" w:rsidR="00C12DDE" w:rsidRPr="005D3A5A" w:rsidRDefault="00C12DDE" w:rsidP="00210A2A">
      <w:pPr>
        <w:pStyle w:val="ListParagraph"/>
        <w:spacing w:before="0" w:after="0" w:line="240" w:lineRule="auto"/>
        <w:ind w:left="1287" w:hanging="567"/>
        <w:contextualSpacing w:val="0"/>
        <w:jc w:val="both"/>
        <w:rPr>
          <w:rFonts w:ascii="Times New Roman" w:hAnsi="Times New Roman"/>
          <w:sz w:val="20"/>
          <w:szCs w:val="20"/>
        </w:rPr>
      </w:pPr>
      <w:r w:rsidRPr="005D3A5A">
        <w:rPr>
          <w:rFonts w:ascii="Times New Roman" w:hAnsi="Times New Roman"/>
          <w:sz w:val="20"/>
          <w:szCs w:val="20"/>
        </w:rPr>
        <w:t>1.1.1:</w:t>
      </w:r>
      <w:r w:rsidR="00536EE6" w:rsidRPr="005D3A5A">
        <w:rPr>
          <w:rFonts w:ascii="Times New Roman" w:hAnsi="Times New Roman"/>
          <w:sz w:val="20"/>
          <w:szCs w:val="20"/>
        </w:rPr>
        <w:tab/>
        <w:t xml:space="preserve"> </w:t>
      </w:r>
      <w:r w:rsidR="00536EE6" w:rsidRPr="005D3A5A">
        <w:rPr>
          <w:rFonts w:ascii="Times New Roman" w:hAnsi="Times New Roman"/>
          <w:sz w:val="20"/>
          <w:szCs w:val="20"/>
        </w:rPr>
        <w:tab/>
      </w:r>
      <w:r w:rsidRPr="005D3A5A">
        <w:rPr>
          <w:rFonts w:ascii="Times New Roman" w:hAnsi="Times New Roman"/>
          <w:sz w:val="20"/>
          <w:szCs w:val="20"/>
        </w:rPr>
        <w:t>Quality of fully costed evaluation plan (part of the Programme Quality Index)</w:t>
      </w:r>
    </w:p>
    <w:p w14:paraId="6477CC0D" w14:textId="777047C1" w:rsidR="00C12DDE" w:rsidRPr="005D3A5A" w:rsidRDefault="00C12DDE" w:rsidP="00210A2A">
      <w:pPr>
        <w:pStyle w:val="ListParagraph"/>
        <w:spacing w:before="0" w:after="0" w:line="240" w:lineRule="auto"/>
        <w:ind w:left="1287" w:hanging="567"/>
        <w:contextualSpacing w:val="0"/>
        <w:jc w:val="both"/>
        <w:rPr>
          <w:rFonts w:ascii="Times New Roman" w:hAnsi="Times New Roman"/>
          <w:sz w:val="20"/>
          <w:szCs w:val="20"/>
        </w:rPr>
      </w:pPr>
      <w:r w:rsidRPr="005D3A5A">
        <w:rPr>
          <w:rFonts w:ascii="Times New Roman" w:hAnsi="Times New Roman"/>
          <w:sz w:val="20"/>
          <w:szCs w:val="20"/>
        </w:rPr>
        <w:t>3.2.1:</w:t>
      </w:r>
      <w:r w:rsidR="00536EE6" w:rsidRPr="005D3A5A">
        <w:rPr>
          <w:rFonts w:ascii="Times New Roman" w:hAnsi="Times New Roman"/>
          <w:sz w:val="20"/>
          <w:szCs w:val="20"/>
        </w:rPr>
        <w:t xml:space="preserve"> </w:t>
      </w:r>
      <w:r w:rsidR="00536EE6" w:rsidRPr="005D3A5A">
        <w:rPr>
          <w:rFonts w:ascii="Times New Roman" w:hAnsi="Times New Roman"/>
          <w:sz w:val="20"/>
          <w:szCs w:val="20"/>
        </w:rPr>
        <w:tab/>
      </w:r>
      <w:r w:rsidR="00536EE6" w:rsidRPr="005D3A5A">
        <w:rPr>
          <w:rFonts w:ascii="Times New Roman" w:hAnsi="Times New Roman"/>
          <w:sz w:val="20"/>
          <w:szCs w:val="20"/>
        </w:rPr>
        <w:tab/>
      </w:r>
      <w:r w:rsidRPr="005D3A5A">
        <w:rPr>
          <w:rFonts w:ascii="Times New Roman" w:hAnsi="Times New Roman"/>
          <w:sz w:val="20"/>
          <w:szCs w:val="20"/>
        </w:rPr>
        <w:t>Percentage of decentralized evaluations quality</w:t>
      </w:r>
      <w:r w:rsidR="008C0E77">
        <w:rPr>
          <w:rFonts w:ascii="Times New Roman" w:hAnsi="Times New Roman"/>
          <w:sz w:val="20"/>
          <w:szCs w:val="20"/>
        </w:rPr>
        <w:t>-</w:t>
      </w:r>
      <w:r w:rsidRPr="005D3A5A">
        <w:rPr>
          <w:rFonts w:ascii="Times New Roman" w:hAnsi="Times New Roman"/>
          <w:sz w:val="20"/>
          <w:szCs w:val="20"/>
        </w:rPr>
        <w:t xml:space="preserve">assessed which are highly </w:t>
      </w:r>
      <w:r w:rsidR="00536EE6" w:rsidRPr="005D3A5A">
        <w:rPr>
          <w:rFonts w:ascii="Times New Roman" w:hAnsi="Times New Roman"/>
          <w:sz w:val="20"/>
          <w:szCs w:val="20"/>
        </w:rPr>
        <w:tab/>
      </w:r>
      <w:r w:rsidRPr="005D3A5A">
        <w:rPr>
          <w:rFonts w:ascii="Times New Roman" w:hAnsi="Times New Roman"/>
          <w:sz w:val="20"/>
          <w:szCs w:val="20"/>
        </w:rPr>
        <w:t>satisfactory or satisfactory</w:t>
      </w:r>
    </w:p>
    <w:p w14:paraId="62DBEA5C" w14:textId="56639265" w:rsidR="00C12DDE" w:rsidRPr="005D3A5A" w:rsidRDefault="00C12DDE" w:rsidP="00210A2A">
      <w:pPr>
        <w:pStyle w:val="ListParagraph"/>
        <w:spacing w:before="0" w:after="0" w:line="240" w:lineRule="auto"/>
        <w:ind w:left="1287" w:hanging="567"/>
        <w:contextualSpacing w:val="0"/>
        <w:jc w:val="both"/>
        <w:rPr>
          <w:rFonts w:ascii="Times New Roman" w:hAnsi="Times New Roman"/>
          <w:sz w:val="20"/>
          <w:szCs w:val="20"/>
        </w:rPr>
      </w:pPr>
      <w:r w:rsidRPr="005D3A5A">
        <w:rPr>
          <w:rFonts w:ascii="Times New Roman" w:hAnsi="Times New Roman"/>
          <w:sz w:val="20"/>
          <w:szCs w:val="20"/>
        </w:rPr>
        <w:t xml:space="preserve">3.2.2: </w:t>
      </w:r>
      <w:r w:rsidR="00536EE6" w:rsidRPr="005D3A5A">
        <w:rPr>
          <w:rFonts w:ascii="Times New Roman" w:hAnsi="Times New Roman"/>
          <w:sz w:val="20"/>
          <w:szCs w:val="20"/>
        </w:rPr>
        <w:tab/>
      </w:r>
      <w:r w:rsidR="00536EE6" w:rsidRPr="005D3A5A">
        <w:rPr>
          <w:rFonts w:ascii="Times New Roman" w:hAnsi="Times New Roman"/>
          <w:sz w:val="20"/>
          <w:szCs w:val="20"/>
        </w:rPr>
        <w:tab/>
      </w:r>
      <w:r w:rsidRPr="005D3A5A">
        <w:rPr>
          <w:rFonts w:ascii="Times New Roman" w:hAnsi="Times New Roman"/>
          <w:sz w:val="20"/>
          <w:szCs w:val="20"/>
        </w:rPr>
        <w:t>Implementation rate of actions in evaluation management responses</w:t>
      </w:r>
    </w:p>
    <w:p w14:paraId="6A8A444D" w14:textId="05A18BB2" w:rsidR="00C12DDE" w:rsidRDefault="00C12DDE" w:rsidP="00210A2A">
      <w:pPr>
        <w:pStyle w:val="ListParagraph"/>
        <w:spacing w:before="0" w:after="0"/>
        <w:contextualSpacing w:val="0"/>
        <w:jc w:val="both"/>
        <w:rPr>
          <w:rFonts w:ascii="Times New Roman" w:hAnsi="Times New Roman"/>
          <w:sz w:val="20"/>
          <w:szCs w:val="20"/>
        </w:rPr>
      </w:pPr>
      <w:r w:rsidRPr="005D3A5A">
        <w:rPr>
          <w:rFonts w:ascii="Times New Roman" w:hAnsi="Times New Roman"/>
          <w:sz w:val="20"/>
          <w:szCs w:val="20"/>
        </w:rPr>
        <w:t xml:space="preserve">7.1.1 </w:t>
      </w:r>
      <w:r w:rsidR="00536EE6" w:rsidRPr="005D3A5A">
        <w:rPr>
          <w:rFonts w:ascii="Times New Roman" w:hAnsi="Times New Roman"/>
          <w:sz w:val="20"/>
          <w:szCs w:val="20"/>
        </w:rPr>
        <w:tab/>
      </w:r>
      <w:r w:rsidRPr="005D3A5A">
        <w:rPr>
          <w:rFonts w:ascii="Times New Roman" w:hAnsi="Times New Roman"/>
          <w:sz w:val="20"/>
          <w:szCs w:val="20"/>
        </w:rPr>
        <w:t xml:space="preserve">Percentage of impact, thematic, programme, </w:t>
      </w:r>
      <w:r w:rsidR="00536EE6" w:rsidRPr="005D3A5A">
        <w:rPr>
          <w:rFonts w:ascii="Times New Roman" w:hAnsi="Times New Roman"/>
          <w:sz w:val="20"/>
          <w:szCs w:val="20"/>
        </w:rPr>
        <w:t>outcome,</w:t>
      </w:r>
      <w:r w:rsidRPr="005D3A5A">
        <w:rPr>
          <w:rFonts w:ascii="Times New Roman" w:hAnsi="Times New Roman"/>
          <w:sz w:val="20"/>
          <w:szCs w:val="20"/>
        </w:rPr>
        <w:t xml:space="preserve"> and portfolio evaluations </w:t>
      </w:r>
      <w:r w:rsidR="00536EE6" w:rsidRPr="005D3A5A">
        <w:rPr>
          <w:rFonts w:ascii="Times New Roman" w:hAnsi="Times New Roman"/>
          <w:sz w:val="20"/>
          <w:szCs w:val="20"/>
        </w:rPr>
        <w:tab/>
      </w:r>
      <w:r w:rsidRPr="005D3A5A">
        <w:rPr>
          <w:rFonts w:ascii="Times New Roman" w:hAnsi="Times New Roman"/>
          <w:sz w:val="20"/>
          <w:szCs w:val="20"/>
        </w:rPr>
        <w:t>out of total evaluation.</w:t>
      </w:r>
    </w:p>
    <w:p w14:paraId="2178EC7B" w14:textId="4C315827" w:rsidR="00CA7731" w:rsidRDefault="00CA7731" w:rsidP="00210A2A">
      <w:pPr>
        <w:spacing w:before="0" w:after="0"/>
        <w:jc w:val="both"/>
        <w:rPr>
          <w:rFonts w:ascii="Times New Roman" w:hAnsi="Times New Roman"/>
          <w:sz w:val="20"/>
          <w:szCs w:val="20"/>
        </w:rPr>
      </w:pPr>
    </w:p>
    <w:p w14:paraId="1C0FA3A4" w14:textId="4473BA39" w:rsidR="00764079" w:rsidRDefault="00641761" w:rsidP="00210A2A">
      <w:pPr>
        <w:spacing w:before="0" w:after="0"/>
        <w:jc w:val="both"/>
        <w:rPr>
          <w:rFonts w:ascii="Times New Roman" w:hAnsi="Times New Roman"/>
          <w:sz w:val="20"/>
          <w:szCs w:val="20"/>
        </w:rPr>
      </w:pPr>
      <w:r>
        <w:rPr>
          <w:rFonts w:ascii="Times New Roman" w:hAnsi="Times New Roman"/>
          <w:sz w:val="20"/>
          <w:szCs w:val="20"/>
        </w:rPr>
        <w:t xml:space="preserve">IRRF indicator performance against annual milestones will be reported in an annex of the </w:t>
      </w:r>
      <w:r w:rsidR="00A57CCE">
        <w:rPr>
          <w:rFonts w:ascii="Times New Roman" w:hAnsi="Times New Roman"/>
          <w:sz w:val="20"/>
          <w:szCs w:val="20"/>
        </w:rPr>
        <w:t>a</w:t>
      </w:r>
      <w:r>
        <w:rPr>
          <w:rFonts w:ascii="Times New Roman" w:hAnsi="Times New Roman"/>
          <w:sz w:val="20"/>
          <w:szCs w:val="20"/>
        </w:rPr>
        <w:t xml:space="preserve">nnual </w:t>
      </w:r>
      <w:r w:rsidR="00A57CCE">
        <w:rPr>
          <w:rFonts w:ascii="Times New Roman" w:hAnsi="Times New Roman"/>
          <w:sz w:val="20"/>
          <w:szCs w:val="20"/>
        </w:rPr>
        <w:t xml:space="preserve">report </w:t>
      </w:r>
      <w:r>
        <w:rPr>
          <w:rFonts w:ascii="Times New Roman" w:hAnsi="Times New Roman"/>
          <w:sz w:val="20"/>
          <w:szCs w:val="20"/>
        </w:rPr>
        <w:t>of the Administrator</w:t>
      </w:r>
      <w:r w:rsidR="00763483">
        <w:rPr>
          <w:rFonts w:ascii="Times New Roman" w:hAnsi="Times New Roman"/>
          <w:sz w:val="20"/>
          <w:szCs w:val="20"/>
        </w:rPr>
        <w:t xml:space="preserve">.  </w:t>
      </w:r>
    </w:p>
    <w:p w14:paraId="285D39DB" w14:textId="77777777" w:rsidR="00641761" w:rsidRPr="00D95432" w:rsidRDefault="00641761" w:rsidP="00210A2A">
      <w:pPr>
        <w:spacing w:before="0" w:after="0"/>
        <w:jc w:val="both"/>
        <w:rPr>
          <w:rFonts w:ascii="Times New Roman" w:hAnsi="Times New Roman"/>
          <w:sz w:val="20"/>
          <w:szCs w:val="20"/>
        </w:rPr>
      </w:pPr>
    </w:p>
    <w:p w14:paraId="657E8191" w14:textId="320C9E27" w:rsidR="00A874BA" w:rsidRDefault="00A874BA" w:rsidP="00A57CCE">
      <w:pPr>
        <w:pStyle w:val="ListParagraph"/>
        <w:numPr>
          <w:ilvl w:val="0"/>
          <w:numId w:val="41"/>
        </w:numPr>
        <w:tabs>
          <w:tab w:val="left" w:pos="360"/>
        </w:tabs>
        <w:spacing w:before="0" w:after="0" w:line="240" w:lineRule="auto"/>
        <w:ind w:left="0" w:firstLine="0"/>
        <w:contextualSpacing w:val="0"/>
        <w:jc w:val="both"/>
        <w:rPr>
          <w:rFonts w:ascii="Times New Roman" w:hAnsi="Times New Roman"/>
          <w:sz w:val="20"/>
          <w:szCs w:val="20"/>
        </w:rPr>
      </w:pPr>
      <w:r w:rsidRPr="005D3A5A">
        <w:rPr>
          <w:rFonts w:ascii="Times New Roman" w:hAnsi="Times New Roman"/>
          <w:b/>
          <w:bCs/>
          <w:sz w:val="20"/>
          <w:szCs w:val="20"/>
        </w:rPr>
        <w:t xml:space="preserve">Bureau </w:t>
      </w:r>
      <w:r w:rsidR="00A57CCE" w:rsidRPr="005D3A5A">
        <w:rPr>
          <w:rFonts w:ascii="Times New Roman" w:hAnsi="Times New Roman"/>
          <w:b/>
          <w:bCs/>
          <w:sz w:val="20"/>
          <w:szCs w:val="20"/>
        </w:rPr>
        <w:t>director</w:t>
      </w:r>
      <w:r w:rsidR="00490D1F">
        <w:rPr>
          <w:rFonts w:ascii="Times New Roman" w:hAnsi="Times New Roman"/>
          <w:b/>
          <w:bCs/>
          <w:sz w:val="20"/>
          <w:szCs w:val="20"/>
        </w:rPr>
        <w:t>s</w:t>
      </w:r>
      <w:r w:rsidR="00A57CCE" w:rsidRPr="005D3A5A">
        <w:rPr>
          <w:rFonts w:ascii="Times New Roman" w:hAnsi="Times New Roman"/>
          <w:b/>
          <w:bCs/>
          <w:sz w:val="20"/>
          <w:szCs w:val="20"/>
        </w:rPr>
        <w:t xml:space="preserve"> and resident representative</w:t>
      </w:r>
      <w:r w:rsidR="008C0E77">
        <w:rPr>
          <w:rFonts w:ascii="Times New Roman" w:hAnsi="Times New Roman"/>
          <w:b/>
          <w:bCs/>
          <w:sz w:val="20"/>
          <w:szCs w:val="20"/>
        </w:rPr>
        <w:t>s</w:t>
      </w:r>
      <w:r w:rsidR="00A57CCE" w:rsidRPr="005D3A5A">
        <w:rPr>
          <w:rFonts w:ascii="Times New Roman" w:hAnsi="Times New Roman"/>
          <w:b/>
          <w:bCs/>
          <w:sz w:val="20"/>
          <w:szCs w:val="20"/>
        </w:rPr>
        <w:t xml:space="preserve"> compact/annual performance </w:t>
      </w:r>
      <w:r w:rsidRPr="005D3A5A">
        <w:rPr>
          <w:rFonts w:ascii="Times New Roman" w:hAnsi="Times New Roman"/>
          <w:b/>
          <w:bCs/>
          <w:sz w:val="20"/>
          <w:szCs w:val="20"/>
        </w:rPr>
        <w:t>and inclusion of evaluation KPIs (E</w:t>
      </w:r>
      <w:r w:rsidR="003F190F">
        <w:rPr>
          <w:rFonts w:ascii="Times New Roman" w:hAnsi="Times New Roman"/>
          <w:b/>
          <w:bCs/>
          <w:sz w:val="20"/>
          <w:szCs w:val="20"/>
        </w:rPr>
        <w:t>x</w:t>
      </w:r>
      <w:r w:rsidR="005673B3">
        <w:rPr>
          <w:rFonts w:ascii="Times New Roman" w:hAnsi="Times New Roman"/>
          <w:b/>
          <w:bCs/>
          <w:sz w:val="20"/>
          <w:szCs w:val="20"/>
        </w:rPr>
        <w:t xml:space="preserve">ecutive </w:t>
      </w:r>
      <w:r w:rsidRPr="005D3A5A">
        <w:rPr>
          <w:rFonts w:ascii="Times New Roman" w:hAnsi="Times New Roman"/>
          <w:b/>
          <w:bCs/>
          <w:sz w:val="20"/>
          <w:szCs w:val="20"/>
        </w:rPr>
        <w:t>O</w:t>
      </w:r>
      <w:r w:rsidR="005673B3">
        <w:rPr>
          <w:rFonts w:ascii="Times New Roman" w:hAnsi="Times New Roman"/>
          <w:b/>
          <w:bCs/>
          <w:sz w:val="20"/>
          <w:szCs w:val="20"/>
        </w:rPr>
        <w:t>ffice</w:t>
      </w:r>
      <w:r w:rsidR="003F190F">
        <w:rPr>
          <w:rFonts w:ascii="Times New Roman" w:hAnsi="Times New Roman"/>
          <w:b/>
          <w:bCs/>
          <w:sz w:val="20"/>
          <w:szCs w:val="20"/>
        </w:rPr>
        <w:t xml:space="preserve">, </w:t>
      </w:r>
      <w:r w:rsidR="005673B3">
        <w:rPr>
          <w:rFonts w:ascii="Times New Roman" w:hAnsi="Times New Roman"/>
          <w:b/>
          <w:bCs/>
          <w:sz w:val="20"/>
          <w:szCs w:val="20"/>
        </w:rPr>
        <w:t>regional bureau</w:t>
      </w:r>
      <w:r w:rsidR="008C0E77">
        <w:rPr>
          <w:rFonts w:ascii="Times New Roman" w:hAnsi="Times New Roman"/>
          <w:b/>
          <w:bCs/>
          <w:sz w:val="20"/>
          <w:szCs w:val="20"/>
        </w:rPr>
        <w:t>x</w:t>
      </w:r>
      <w:r w:rsidR="003F190F">
        <w:rPr>
          <w:rFonts w:ascii="Times New Roman" w:hAnsi="Times New Roman"/>
          <w:b/>
          <w:bCs/>
          <w:sz w:val="20"/>
          <w:szCs w:val="20"/>
        </w:rPr>
        <w:t>, BPPS, Crisis Bureau</w:t>
      </w:r>
      <w:r w:rsidRPr="005D3A5A">
        <w:rPr>
          <w:rFonts w:ascii="Times New Roman" w:hAnsi="Times New Roman"/>
          <w:b/>
          <w:bCs/>
          <w:sz w:val="20"/>
          <w:szCs w:val="20"/>
        </w:rPr>
        <w:t>)</w:t>
      </w:r>
      <w:r w:rsidR="003F190F">
        <w:rPr>
          <w:rFonts w:ascii="Times New Roman" w:hAnsi="Times New Roman"/>
          <w:b/>
          <w:bCs/>
          <w:sz w:val="20"/>
          <w:szCs w:val="20"/>
        </w:rPr>
        <w:t xml:space="preserve"> 2022-2025</w:t>
      </w:r>
      <w:r w:rsidR="005673B3">
        <w:rPr>
          <w:rFonts w:ascii="Times New Roman" w:hAnsi="Times New Roman"/>
          <w:b/>
          <w:bCs/>
          <w:sz w:val="20"/>
          <w:szCs w:val="20"/>
        </w:rPr>
        <w:t>.</w:t>
      </w:r>
      <w:r w:rsidRPr="005D3A5A">
        <w:rPr>
          <w:rFonts w:ascii="Times New Roman" w:hAnsi="Times New Roman"/>
          <w:sz w:val="20"/>
          <w:szCs w:val="20"/>
        </w:rPr>
        <w:t xml:space="preserve"> </w:t>
      </w:r>
      <w:r w:rsidR="005673B3">
        <w:rPr>
          <w:rFonts w:ascii="Times New Roman" w:hAnsi="Times New Roman"/>
          <w:sz w:val="20"/>
          <w:szCs w:val="20"/>
        </w:rPr>
        <w:t>E</w:t>
      </w:r>
      <w:r w:rsidR="005673B3" w:rsidRPr="005D3A5A">
        <w:rPr>
          <w:rFonts w:ascii="Times New Roman" w:hAnsi="Times New Roman"/>
          <w:sz w:val="20"/>
          <w:szCs w:val="20"/>
        </w:rPr>
        <w:t>ach regional strategy for strengthening decentraliz</w:t>
      </w:r>
      <w:r w:rsidR="005673B3">
        <w:rPr>
          <w:rFonts w:ascii="Times New Roman" w:hAnsi="Times New Roman"/>
          <w:sz w:val="20"/>
          <w:szCs w:val="20"/>
        </w:rPr>
        <w:t>ed</w:t>
      </w:r>
      <w:r w:rsidR="005673B3" w:rsidRPr="005D3A5A">
        <w:rPr>
          <w:rFonts w:ascii="Times New Roman" w:hAnsi="Times New Roman"/>
          <w:sz w:val="20"/>
          <w:szCs w:val="20"/>
        </w:rPr>
        <w:t xml:space="preserve"> evaluation will be incorporated into the 2022 integrated workplans of the regional bureaux</w:t>
      </w:r>
      <w:r w:rsidRPr="005D3A5A">
        <w:rPr>
          <w:rFonts w:ascii="Times New Roman" w:hAnsi="Times New Roman"/>
          <w:sz w:val="20"/>
          <w:szCs w:val="20"/>
        </w:rPr>
        <w:t>, country offices, BPPS and the Crisis Bureau f</w:t>
      </w:r>
      <w:r w:rsidRPr="005D3A5A">
        <w:rPr>
          <w:rFonts w:ascii="Times New Roman" w:eastAsia="Times New Roman,Batang" w:hAnsi="Times New Roman"/>
          <w:bCs/>
          <w:sz w:val="20"/>
          <w:szCs w:val="20"/>
          <w:lang w:eastAsia="ko-KR"/>
        </w:rPr>
        <w:t xml:space="preserve">or systematic and effective tracking, monitoring and achievement of the strategy and </w:t>
      </w:r>
      <w:r w:rsidR="00490D1F">
        <w:rPr>
          <w:rFonts w:ascii="Times New Roman" w:eastAsia="Times New Roman,Batang" w:hAnsi="Times New Roman"/>
          <w:bCs/>
          <w:sz w:val="20"/>
          <w:szCs w:val="20"/>
          <w:lang w:eastAsia="ko-KR"/>
        </w:rPr>
        <w:t xml:space="preserve">related </w:t>
      </w:r>
      <w:r w:rsidRPr="005D3A5A">
        <w:rPr>
          <w:rFonts w:ascii="Times New Roman" w:eastAsia="Times New Roman,Batang" w:hAnsi="Times New Roman"/>
          <w:bCs/>
          <w:sz w:val="20"/>
          <w:szCs w:val="20"/>
          <w:lang w:eastAsia="ko-KR"/>
        </w:rPr>
        <w:t xml:space="preserve">KPIs.  In addition, these </w:t>
      </w:r>
      <w:r w:rsidRPr="005D3A5A">
        <w:rPr>
          <w:rFonts w:ascii="Times New Roman" w:hAnsi="Times New Roman"/>
          <w:sz w:val="20"/>
          <w:szCs w:val="20"/>
        </w:rPr>
        <w:t xml:space="preserve">KPIs will be included in the 2022 performance compact of </w:t>
      </w:r>
      <w:r w:rsidR="003F190F">
        <w:rPr>
          <w:rFonts w:ascii="Times New Roman" w:hAnsi="Times New Roman"/>
          <w:sz w:val="20"/>
          <w:szCs w:val="20"/>
        </w:rPr>
        <w:t xml:space="preserve">bureau directors </w:t>
      </w:r>
      <w:r w:rsidRPr="005D3A5A">
        <w:rPr>
          <w:rFonts w:ascii="Times New Roman" w:hAnsi="Times New Roman"/>
          <w:sz w:val="20"/>
          <w:szCs w:val="20"/>
        </w:rPr>
        <w:t>and country office senior management.</w:t>
      </w:r>
    </w:p>
    <w:p w14:paraId="20A9AB29" w14:textId="77777777" w:rsidR="004C1D2F" w:rsidRPr="00515152" w:rsidRDefault="004C1D2F" w:rsidP="00A57CCE">
      <w:pPr>
        <w:tabs>
          <w:tab w:val="left" w:pos="360"/>
        </w:tabs>
        <w:spacing w:before="0" w:after="0" w:line="240" w:lineRule="auto"/>
        <w:jc w:val="both"/>
        <w:rPr>
          <w:rFonts w:ascii="Times New Roman" w:hAnsi="Times New Roman"/>
          <w:sz w:val="20"/>
          <w:szCs w:val="20"/>
        </w:rPr>
      </w:pPr>
    </w:p>
    <w:p w14:paraId="3596C546" w14:textId="291C01D4" w:rsidR="0002311A" w:rsidRPr="0002311A" w:rsidRDefault="0002311A" w:rsidP="00A57CCE">
      <w:pPr>
        <w:pStyle w:val="ListParagraph"/>
        <w:numPr>
          <w:ilvl w:val="0"/>
          <w:numId w:val="41"/>
        </w:numPr>
        <w:tabs>
          <w:tab w:val="left" w:pos="360"/>
        </w:tabs>
        <w:spacing w:before="0" w:after="0" w:line="240" w:lineRule="auto"/>
        <w:ind w:left="0" w:firstLine="0"/>
        <w:contextualSpacing w:val="0"/>
        <w:jc w:val="both"/>
        <w:rPr>
          <w:rFonts w:ascii="Times New Roman" w:hAnsi="Times New Roman"/>
          <w:sz w:val="20"/>
          <w:szCs w:val="20"/>
        </w:rPr>
      </w:pPr>
      <w:r w:rsidRPr="0002311A">
        <w:rPr>
          <w:rFonts w:ascii="Times New Roman" w:hAnsi="Times New Roman"/>
          <w:b/>
          <w:bCs/>
          <w:sz w:val="20"/>
          <w:szCs w:val="20"/>
        </w:rPr>
        <w:t xml:space="preserve">Decentralized </w:t>
      </w:r>
      <w:r w:rsidR="005673B3" w:rsidRPr="0002311A">
        <w:rPr>
          <w:rFonts w:ascii="Times New Roman" w:hAnsi="Times New Roman"/>
          <w:b/>
          <w:bCs/>
          <w:sz w:val="20"/>
          <w:szCs w:val="20"/>
        </w:rPr>
        <w:t xml:space="preserve">evaluation performance ratings </w:t>
      </w:r>
      <w:r w:rsidRPr="0002311A">
        <w:rPr>
          <w:rFonts w:ascii="Times New Roman" w:hAnsi="Times New Roman"/>
          <w:b/>
          <w:bCs/>
          <w:sz w:val="20"/>
          <w:szCs w:val="20"/>
        </w:rPr>
        <w:t>(IEO and BPPS), 2022</w:t>
      </w:r>
      <w:r w:rsidR="005673B3">
        <w:rPr>
          <w:rFonts w:ascii="Times New Roman" w:hAnsi="Times New Roman"/>
          <w:b/>
          <w:bCs/>
          <w:sz w:val="20"/>
          <w:szCs w:val="20"/>
        </w:rPr>
        <w:t>.</w:t>
      </w:r>
      <w:r w:rsidRPr="0002311A">
        <w:rPr>
          <w:rFonts w:ascii="Times New Roman" w:hAnsi="Times New Roman"/>
          <w:b/>
          <w:bCs/>
          <w:sz w:val="20"/>
          <w:szCs w:val="20"/>
        </w:rPr>
        <w:t xml:space="preserve"> </w:t>
      </w:r>
      <w:r w:rsidRPr="0002311A">
        <w:rPr>
          <w:rFonts w:ascii="Times New Roman" w:hAnsi="Times New Roman"/>
          <w:sz w:val="20"/>
          <w:szCs w:val="20"/>
          <w:lang w:val="en-US"/>
        </w:rPr>
        <w:t xml:space="preserve">The decentralized evaluation function will be strengthened to include an independent rating assessing </w:t>
      </w:r>
      <w:r w:rsidR="00953B81">
        <w:rPr>
          <w:rFonts w:ascii="Times New Roman" w:hAnsi="Times New Roman"/>
          <w:sz w:val="20"/>
          <w:szCs w:val="20"/>
          <w:lang w:val="en-US"/>
        </w:rPr>
        <w:t xml:space="preserve">a </w:t>
      </w:r>
      <w:r w:rsidRPr="0002311A">
        <w:rPr>
          <w:rFonts w:ascii="Times New Roman" w:hAnsi="Times New Roman"/>
          <w:sz w:val="20"/>
          <w:szCs w:val="20"/>
          <w:lang w:val="en-US"/>
        </w:rPr>
        <w:t xml:space="preserve"> project’s </w:t>
      </w:r>
      <w:r w:rsidR="0024758D">
        <w:rPr>
          <w:rFonts w:ascii="Times New Roman" w:hAnsi="Times New Roman"/>
          <w:sz w:val="20"/>
          <w:szCs w:val="20"/>
          <w:lang w:val="en-US"/>
        </w:rPr>
        <w:t>consistency</w:t>
      </w:r>
      <w:r w:rsidR="000D5675">
        <w:rPr>
          <w:rFonts w:ascii="Times New Roman" w:hAnsi="Times New Roman"/>
          <w:sz w:val="20"/>
          <w:szCs w:val="20"/>
          <w:lang w:val="en-US"/>
        </w:rPr>
        <w:t xml:space="preserve"> with</w:t>
      </w:r>
      <w:r w:rsidRPr="0002311A">
        <w:rPr>
          <w:rFonts w:ascii="Times New Roman" w:hAnsi="Times New Roman"/>
          <w:sz w:val="20"/>
          <w:szCs w:val="20"/>
          <w:lang w:val="en-US"/>
        </w:rPr>
        <w:t xml:space="preserve"> </w:t>
      </w:r>
      <w:r w:rsidR="005673B3">
        <w:rPr>
          <w:rFonts w:ascii="Times New Roman" w:hAnsi="Times New Roman"/>
          <w:sz w:val="20"/>
          <w:szCs w:val="20"/>
          <w:lang w:val="en-US"/>
        </w:rPr>
        <w:t xml:space="preserve">the </w:t>
      </w:r>
      <w:r w:rsidRPr="0002311A">
        <w:rPr>
          <w:rFonts w:ascii="Times New Roman" w:hAnsi="Times New Roman"/>
          <w:sz w:val="20"/>
          <w:szCs w:val="20"/>
          <w:lang w:val="en-US"/>
        </w:rPr>
        <w:t xml:space="preserve">UNDP </w:t>
      </w:r>
      <w:r w:rsidR="005673B3" w:rsidRPr="0002311A">
        <w:rPr>
          <w:rFonts w:ascii="Times New Roman" w:hAnsi="Times New Roman"/>
          <w:sz w:val="20"/>
          <w:szCs w:val="20"/>
          <w:lang w:val="en-US"/>
        </w:rPr>
        <w:t>quality standards for programming</w:t>
      </w:r>
      <w:r w:rsidRPr="0002311A">
        <w:rPr>
          <w:rFonts w:ascii="Times New Roman" w:hAnsi="Times New Roman"/>
          <w:sz w:val="20"/>
          <w:szCs w:val="20"/>
          <w:lang w:val="en-US"/>
        </w:rPr>
        <w:t xml:space="preserve">. IEO will independently review </w:t>
      </w:r>
      <w:r w:rsidR="005673B3">
        <w:rPr>
          <w:rFonts w:ascii="Times New Roman" w:hAnsi="Times New Roman"/>
          <w:sz w:val="20"/>
          <w:szCs w:val="20"/>
          <w:lang w:val="en-US"/>
        </w:rPr>
        <w:t xml:space="preserve">the </w:t>
      </w:r>
      <w:r w:rsidR="000B7E64" w:rsidRPr="0002311A">
        <w:rPr>
          <w:rFonts w:ascii="Times New Roman" w:hAnsi="Times New Roman"/>
          <w:sz w:val="20"/>
          <w:szCs w:val="20"/>
          <w:lang w:val="en-US"/>
        </w:rPr>
        <w:t>UNDP</w:t>
      </w:r>
      <w:r w:rsidR="005673B3" w:rsidRPr="0002311A">
        <w:rPr>
          <w:rFonts w:ascii="Times New Roman" w:hAnsi="Times New Roman"/>
          <w:sz w:val="20"/>
          <w:szCs w:val="20"/>
          <w:lang w:val="en-US"/>
        </w:rPr>
        <w:t xml:space="preserve"> quality standards </w:t>
      </w:r>
      <w:r w:rsidRPr="0002311A">
        <w:rPr>
          <w:rFonts w:ascii="Times New Roman" w:hAnsi="Times New Roman"/>
          <w:sz w:val="20"/>
          <w:szCs w:val="20"/>
          <w:lang w:val="en-US"/>
        </w:rPr>
        <w:t>to ensure alignment with OECD-DAC quality criteria</w:t>
      </w:r>
      <w:r w:rsidRPr="0002311A">
        <w:rPr>
          <w:i/>
          <w:iCs/>
          <w:sz w:val="20"/>
          <w:szCs w:val="20"/>
          <w:lang w:val="en-US"/>
        </w:rPr>
        <w:t>.</w:t>
      </w:r>
    </w:p>
    <w:p w14:paraId="741AEAAA" w14:textId="77777777" w:rsidR="0002311A" w:rsidRPr="0002311A" w:rsidRDefault="0002311A" w:rsidP="00A57CCE">
      <w:pPr>
        <w:pStyle w:val="ListParagraph"/>
        <w:tabs>
          <w:tab w:val="left" w:pos="360"/>
        </w:tabs>
        <w:ind w:left="0"/>
        <w:rPr>
          <w:rFonts w:ascii="Times New Roman" w:hAnsi="Times New Roman"/>
          <w:b/>
          <w:bCs/>
          <w:sz w:val="20"/>
          <w:szCs w:val="20"/>
        </w:rPr>
      </w:pPr>
    </w:p>
    <w:p w14:paraId="2C18A4A2" w14:textId="6C3B004B" w:rsidR="00FB0865" w:rsidRDefault="00B21A47" w:rsidP="00A57CCE">
      <w:pPr>
        <w:pStyle w:val="ListParagraph"/>
        <w:numPr>
          <w:ilvl w:val="0"/>
          <w:numId w:val="41"/>
        </w:numPr>
        <w:tabs>
          <w:tab w:val="left" w:pos="360"/>
        </w:tabs>
        <w:spacing w:before="0" w:after="0" w:line="240" w:lineRule="auto"/>
        <w:ind w:left="0" w:firstLine="0"/>
        <w:contextualSpacing w:val="0"/>
        <w:jc w:val="both"/>
        <w:rPr>
          <w:rFonts w:ascii="Times New Roman" w:hAnsi="Times New Roman"/>
          <w:sz w:val="20"/>
          <w:szCs w:val="20"/>
        </w:rPr>
      </w:pPr>
      <w:r w:rsidRPr="00FB0865">
        <w:rPr>
          <w:rFonts w:ascii="Times New Roman" w:hAnsi="Times New Roman"/>
          <w:b/>
          <w:bCs/>
          <w:sz w:val="20"/>
          <w:szCs w:val="20"/>
        </w:rPr>
        <w:t>Further e</w:t>
      </w:r>
      <w:r w:rsidR="00FB296E" w:rsidRPr="00FB0865">
        <w:rPr>
          <w:rFonts w:ascii="Times New Roman" w:hAnsi="Times New Roman"/>
          <w:b/>
          <w:bCs/>
          <w:sz w:val="20"/>
          <w:szCs w:val="20"/>
        </w:rPr>
        <w:t xml:space="preserve">nhancement </w:t>
      </w:r>
      <w:r w:rsidR="005673B3">
        <w:rPr>
          <w:rFonts w:ascii="Times New Roman" w:hAnsi="Times New Roman"/>
          <w:b/>
          <w:bCs/>
          <w:sz w:val="20"/>
          <w:szCs w:val="20"/>
        </w:rPr>
        <w:t>of</w:t>
      </w:r>
      <w:r w:rsidR="005673B3" w:rsidRPr="00FB0865">
        <w:rPr>
          <w:rFonts w:ascii="Times New Roman" w:hAnsi="Times New Roman"/>
          <w:b/>
          <w:bCs/>
          <w:sz w:val="20"/>
          <w:szCs w:val="20"/>
        </w:rPr>
        <w:t xml:space="preserve"> </w:t>
      </w:r>
      <w:r w:rsidR="00FB296E" w:rsidRPr="00FB0865">
        <w:rPr>
          <w:rFonts w:ascii="Times New Roman" w:hAnsi="Times New Roman"/>
          <w:b/>
          <w:bCs/>
          <w:sz w:val="20"/>
          <w:szCs w:val="20"/>
        </w:rPr>
        <w:t>the Evaluation Resource Centre (IEO)</w:t>
      </w:r>
      <w:r w:rsidRPr="00FB0865">
        <w:rPr>
          <w:rFonts w:ascii="Times New Roman" w:hAnsi="Times New Roman"/>
          <w:b/>
          <w:bCs/>
          <w:sz w:val="20"/>
          <w:szCs w:val="20"/>
        </w:rPr>
        <w:t xml:space="preserve"> 2022-202</w:t>
      </w:r>
      <w:r w:rsidR="002467C9" w:rsidRPr="00FB0865">
        <w:rPr>
          <w:rFonts w:ascii="Times New Roman" w:hAnsi="Times New Roman"/>
          <w:b/>
          <w:bCs/>
          <w:sz w:val="20"/>
          <w:szCs w:val="20"/>
        </w:rPr>
        <w:t>3</w:t>
      </w:r>
      <w:r w:rsidR="005673B3">
        <w:rPr>
          <w:rFonts w:ascii="Times New Roman" w:hAnsi="Times New Roman"/>
          <w:b/>
          <w:bCs/>
          <w:sz w:val="20"/>
          <w:szCs w:val="20"/>
        </w:rPr>
        <w:t>.</w:t>
      </w:r>
      <w:r w:rsidR="00FB296E" w:rsidRPr="00FB0865">
        <w:rPr>
          <w:rFonts w:ascii="Times New Roman" w:hAnsi="Times New Roman"/>
          <w:sz w:val="20"/>
          <w:szCs w:val="20"/>
        </w:rPr>
        <w:t xml:space="preserve"> The </w:t>
      </w:r>
      <w:r w:rsidR="005673B3">
        <w:rPr>
          <w:rFonts w:ascii="Times New Roman" w:hAnsi="Times New Roman"/>
          <w:sz w:val="20"/>
          <w:szCs w:val="20"/>
        </w:rPr>
        <w:t xml:space="preserve">Centre </w:t>
      </w:r>
      <w:r w:rsidR="00FB296E" w:rsidRPr="00FB0865">
        <w:rPr>
          <w:rFonts w:ascii="Times New Roman" w:hAnsi="Times New Roman"/>
          <w:sz w:val="20"/>
          <w:szCs w:val="20"/>
        </w:rPr>
        <w:t>includes dashboards on global, regional and country</w:t>
      </w:r>
      <w:r w:rsidR="005673B3">
        <w:rPr>
          <w:rFonts w:ascii="Times New Roman" w:hAnsi="Times New Roman"/>
          <w:sz w:val="20"/>
          <w:szCs w:val="20"/>
        </w:rPr>
        <w:t>-</w:t>
      </w:r>
      <w:r w:rsidR="00FB296E" w:rsidRPr="00FB0865">
        <w:rPr>
          <w:rFonts w:ascii="Times New Roman" w:hAnsi="Times New Roman"/>
          <w:sz w:val="20"/>
          <w:szCs w:val="20"/>
        </w:rPr>
        <w:t>level</w:t>
      </w:r>
      <w:r w:rsidR="005673B3">
        <w:rPr>
          <w:rFonts w:ascii="Times New Roman" w:hAnsi="Times New Roman"/>
          <w:sz w:val="20"/>
          <w:szCs w:val="20"/>
        </w:rPr>
        <w:t xml:space="preserve"> implementation of evaluations</w:t>
      </w:r>
      <w:r w:rsidR="00FB296E" w:rsidRPr="00FB0865">
        <w:rPr>
          <w:rFonts w:ascii="Times New Roman" w:hAnsi="Times New Roman"/>
          <w:sz w:val="20"/>
          <w:szCs w:val="20"/>
        </w:rPr>
        <w:t xml:space="preserve">. </w:t>
      </w:r>
      <w:r w:rsidR="0085781D">
        <w:rPr>
          <w:rFonts w:ascii="Times New Roman" w:hAnsi="Times New Roman"/>
          <w:sz w:val="20"/>
          <w:szCs w:val="20"/>
        </w:rPr>
        <w:t>The</w:t>
      </w:r>
      <w:r w:rsidR="000B7E64">
        <w:rPr>
          <w:rFonts w:ascii="Times New Roman" w:hAnsi="Times New Roman"/>
          <w:sz w:val="20"/>
          <w:szCs w:val="20"/>
        </w:rPr>
        <w:t xml:space="preserve"> </w:t>
      </w:r>
      <w:r w:rsidR="00FB296E" w:rsidRPr="00FB0865">
        <w:rPr>
          <w:rFonts w:ascii="Times New Roman" w:hAnsi="Times New Roman"/>
          <w:sz w:val="20"/>
          <w:szCs w:val="20"/>
        </w:rPr>
        <w:t xml:space="preserve">KPIs </w:t>
      </w:r>
      <w:r w:rsidRPr="00FB0865">
        <w:rPr>
          <w:rFonts w:ascii="Times New Roman" w:hAnsi="Times New Roman"/>
          <w:sz w:val="20"/>
          <w:szCs w:val="20"/>
        </w:rPr>
        <w:t xml:space="preserve">in the Evaluation </w:t>
      </w:r>
      <w:r w:rsidRPr="00FB0865">
        <w:rPr>
          <w:rFonts w:ascii="Times New Roman" w:hAnsi="Times New Roman"/>
          <w:sz w:val="20"/>
          <w:szCs w:val="20"/>
        </w:rPr>
        <w:lastRenderedPageBreak/>
        <w:t xml:space="preserve">Scorecard </w:t>
      </w:r>
      <w:r w:rsidR="00FB296E" w:rsidRPr="00FB0865">
        <w:rPr>
          <w:rFonts w:ascii="Times New Roman" w:hAnsi="Times New Roman"/>
          <w:sz w:val="20"/>
          <w:szCs w:val="20"/>
        </w:rPr>
        <w:t xml:space="preserve">detailed </w:t>
      </w:r>
      <w:r w:rsidR="00953B81">
        <w:rPr>
          <w:rFonts w:ascii="Times New Roman" w:hAnsi="Times New Roman"/>
          <w:sz w:val="20"/>
          <w:szCs w:val="20"/>
        </w:rPr>
        <w:t xml:space="preserve">in paragraph 19 </w:t>
      </w:r>
      <w:r w:rsidR="00FB296E" w:rsidRPr="00FB0865">
        <w:rPr>
          <w:rFonts w:ascii="Times New Roman" w:hAnsi="Times New Roman"/>
          <w:sz w:val="20"/>
          <w:szCs w:val="20"/>
        </w:rPr>
        <w:t xml:space="preserve">above are drawn from the </w:t>
      </w:r>
      <w:r w:rsidR="0085781D">
        <w:rPr>
          <w:rFonts w:ascii="Times New Roman" w:hAnsi="Times New Roman"/>
          <w:sz w:val="20"/>
          <w:szCs w:val="20"/>
        </w:rPr>
        <w:t>Evaluation Resource Centre</w:t>
      </w:r>
      <w:r w:rsidR="00FB296E" w:rsidRPr="00FB0865">
        <w:rPr>
          <w:rFonts w:ascii="Times New Roman" w:hAnsi="Times New Roman"/>
          <w:sz w:val="20"/>
          <w:szCs w:val="20"/>
        </w:rPr>
        <w:t xml:space="preserve">. </w:t>
      </w:r>
      <w:r w:rsidR="00FB0865" w:rsidRPr="005D3A5A">
        <w:rPr>
          <w:rFonts w:ascii="Times New Roman" w:hAnsi="Times New Roman"/>
          <w:sz w:val="20"/>
          <w:szCs w:val="20"/>
        </w:rPr>
        <w:t xml:space="preserve">The </w:t>
      </w:r>
      <w:r w:rsidR="00FB0865">
        <w:rPr>
          <w:rFonts w:ascii="Times New Roman" w:hAnsi="Times New Roman"/>
          <w:sz w:val="20"/>
          <w:szCs w:val="20"/>
        </w:rPr>
        <w:t xml:space="preserve">process of distilling important lessons from UNDP evaluations in the </w:t>
      </w:r>
      <w:r w:rsidR="0085781D">
        <w:rPr>
          <w:rFonts w:ascii="Times New Roman" w:hAnsi="Times New Roman"/>
          <w:sz w:val="20"/>
          <w:szCs w:val="20"/>
        </w:rPr>
        <w:t>Centre</w:t>
      </w:r>
      <w:r w:rsidR="0085781D" w:rsidRPr="005D3A5A">
        <w:rPr>
          <w:rFonts w:ascii="Times New Roman" w:hAnsi="Times New Roman"/>
          <w:sz w:val="20"/>
          <w:szCs w:val="20"/>
        </w:rPr>
        <w:t xml:space="preserve"> </w:t>
      </w:r>
      <w:r w:rsidR="00FB0865" w:rsidRPr="005D3A5A">
        <w:rPr>
          <w:rFonts w:ascii="Times New Roman" w:hAnsi="Times New Roman"/>
          <w:sz w:val="20"/>
          <w:szCs w:val="20"/>
        </w:rPr>
        <w:t xml:space="preserve">has been enhanced </w:t>
      </w:r>
      <w:r w:rsidR="00FB0865">
        <w:rPr>
          <w:rFonts w:ascii="Times New Roman" w:hAnsi="Times New Roman"/>
          <w:sz w:val="20"/>
          <w:szCs w:val="20"/>
        </w:rPr>
        <w:t xml:space="preserve">using </w:t>
      </w:r>
      <w:r w:rsidR="00FB0865" w:rsidRPr="005D3A5A">
        <w:rPr>
          <w:rFonts w:ascii="Times New Roman" w:hAnsi="Times New Roman"/>
          <w:sz w:val="20"/>
          <w:szCs w:val="20"/>
        </w:rPr>
        <w:t>the AIDA (Artificial Intelligence for Development Analytics) platform</w:t>
      </w:r>
      <w:r w:rsidR="0085781D">
        <w:rPr>
          <w:rFonts w:ascii="Times New Roman" w:hAnsi="Times New Roman"/>
          <w:sz w:val="20"/>
          <w:szCs w:val="20"/>
        </w:rPr>
        <w:t>,</w:t>
      </w:r>
      <w:r w:rsidR="00FB0865" w:rsidRPr="005D3A5A">
        <w:rPr>
          <w:rFonts w:ascii="Times New Roman" w:hAnsi="Times New Roman"/>
          <w:sz w:val="20"/>
          <w:szCs w:val="20"/>
        </w:rPr>
        <w:t xml:space="preserve"> which </w:t>
      </w:r>
      <w:r w:rsidR="00FB0865">
        <w:rPr>
          <w:rFonts w:ascii="Times New Roman" w:hAnsi="Times New Roman"/>
          <w:sz w:val="20"/>
          <w:szCs w:val="20"/>
        </w:rPr>
        <w:t xml:space="preserve">enables </w:t>
      </w:r>
      <w:r w:rsidR="00FB0865" w:rsidRPr="005D3A5A">
        <w:rPr>
          <w:rFonts w:ascii="Times New Roman" w:hAnsi="Times New Roman"/>
          <w:sz w:val="20"/>
          <w:szCs w:val="20"/>
        </w:rPr>
        <w:t xml:space="preserve">users to scan all 5,000 evaluations and extract lessons for use in programme and project design and implementation. </w:t>
      </w:r>
      <w:r w:rsidR="00FB0865">
        <w:rPr>
          <w:rFonts w:ascii="Times New Roman" w:hAnsi="Times New Roman"/>
          <w:sz w:val="20"/>
          <w:szCs w:val="20"/>
        </w:rPr>
        <w:t xml:space="preserve">The </w:t>
      </w:r>
      <w:r w:rsidR="0085781D">
        <w:rPr>
          <w:rFonts w:ascii="Times New Roman" w:hAnsi="Times New Roman"/>
          <w:sz w:val="20"/>
          <w:szCs w:val="20"/>
        </w:rPr>
        <w:t xml:space="preserve">Centre </w:t>
      </w:r>
      <w:r w:rsidR="00FB0865">
        <w:rPr>
          <w:rFonts w:ascii="Times New Roman" w:hAnsi="Times New Roman"/>
          <w:sz w:val="20"/>
          <w:szCs w:val="20"/>
        </w:rPr>
        <w:t xml:space="preserve">is being </w:t>
      </w:r>
      <w:r w:rsidR="0085781D">
        <w:rPr>
          <w:rFonts w:ascii="Times New Roman" w:hAnsi="Times New Roman"/>
          <w:sz w:val="20"/>
          <w:szCs w:val="20"/>
        </w:rPr>
        <w:t xml:space="preserve">upgraded </w:t>
      </w:r>
      <w:r w:rsidR="00FB0865">
        <w:rPr>
          <w:rFonts w:ascii="Times New Roman" w:hAnsi="Times New Roman"/>
          <w:sz w:val="20"/>
          <w:szCs w:val="20"/>
        </w:rPr>
        <w:t xml:space="preserve">to strengthen the </w:t>
      </w:r>
      <w:r w:rsidR="0085781D">
        <w:rPr>
          <w:rFonts w:ascii="Times New Roman" w:hAnsi="Times New Roman"/>
          <w:sz w:val="20"/>
          <w:szCs w:val="20"/>
        </w:rPr>
        <w:t xml:space="preserve">portal’s </w:t>
      </w:r>
      <w:r w:rsidR="00FB0865">
        <w:rPr>
          <w:rFonts w:ascii="Times New Roman" w:hAnsi="Times New Roman"/>
          <w:sz w:val="20"/>
          <w:szCs w:val="20"/>
        </w:rPr>
        <w:t>security, usability and reporting and oversight tools.</w:t>
      </w:r>
    </w:p>
    <w:p w14:paraId="18E89407" w14:textId="77777777" w:rsidR="00CA7731" w:rsidRPr="00FB0865" w:rsidRDefault="00CA7731" w:rsidP="00A57CCE">
      <w:pPr>
        <w:pStyle w:val="ListParagraph"/>
        <w:tabs>
          <w:tab w:val="left" w:pos="360"/>
        </w:tabs>
        <w:spacing w:before="0" w:after="0" w:line="240" w:lineRule="auto"/>
        <w:ind w:left="0"/>
        <w:contextualSpacing w:val="0"/>
        <w:jc w:val="both"/>
        <w:rPr>
          <w:rFonts w:ascii="Times New Roman" w:hAnsi="Times New Roman"/>
          <w:sz w:val="20"/>
          <w:szCs w:val="20"/>
        </w:rPr>
      </w:pPr>
    </w:p>
    <w:p w14:paraId="590126D6" w14:textId="327EFCAE" w:rsidR="00567922" w:rsidRPr="00D95432" w:rsidRDefault="002C39A1" w:rsidP="00A57CCE">
      <w:pPr>
        <w:pStyle w:val="ListParagraph"/>
        <w:numPr>
          <w:ilvl w:val="0"/>
          <w:numId w:val="41"/>
        </w:numPr>
        <w:tabs>
          <w:tab w:val="left" w:pos="360"/>
        </w:tabs>
        <w:spacing w:before="0" w:after="0" w:line="240" w:lineRule="auto"/>
        <w:ind w:left="0" w:firstLine="0"/>
        <w:contextualSpacing w:val="0"/>
        <w:jc w:val="both"/>
        <w:rPr>
          <w:rFonts w:ascii="Times New Roman" w:hAnsi="Times New Roman"/>
          <w:sz w:val="20"/>
          <w:szCs w:val="20"/>
          <w:lang w:val="en-AU"/>
        </w:rPr>
      </w:pPr>
      <w:r w:rsidRPr="005D3A5A">
        <w:rPr>
          <w:rFonts w:ascii="Times New Roman" w:hAnsi="Times New Roman"/>
          <w:b/>
          <w:bCs/>
          <w:sz w:val="20"/>
          <w:szCs w:val="20"/>
        </w:rPr>
        <w:t xml:space="preserve">Evaluation </w:t>
      </w:r>
      <w:r w:rsidR="00483C48">
        <w:rPr>
          <w:rFonts w:ascii="Times New Roman" w:hAnsi="Times New Roman"/>
          <w:b/>
          <w:bCs/>
          <w:sz w:val="20"/>
          <w:szCs w:val="20"/>
        </w:rPr>
        <w:t>u</w:t>
      </w:r>
      <w:r w:rsidRPr="005D3A5A">
        <w:rPr>
          <w:rFonts w:ascii="Times New Roman" w:hAnsi="Times New Roman"/>
          <w:b/>
          <w:bCs/>
          <w:sz w:val="20"/>
          <w:szCs w:val="20"/>
        </w:rPr>
        <w:t>se (IEO and BPPS)</w:t>
      </w:r>
      <w:r w:rsidR="00CB565B">
        <w:rPr>
          <w:rFonts w:ascii="Times New Roman" w:hAnsi="Times New Roman"/>
          <w:b/>
          <w:bCs/>
          <w:sz w:val="20"/>
          <w:szCs w:val="20"/>
        </w:rPr>
        <w:t xml:space="preserve"> 2022-2025</w:t>
      </w:r>
      <w:r w:rsidR="00483C48">
        <w:rPr>
          <w:rFonts w:ascii="Times New Roman" w:hAnsi="Times New Roman"/>
          <w:b/>
          <w:bCs/>
          <w:sz w:val="20"/>
          <w:szCs w:val="20"/>
        </w:rPr>
        <w:t>.</w:t>
      </w:r>
      <w:r w:rsidRPr="005D3A5A">
        <w:rPr>
          <w:rFonts w:ascii="Times New Roman" w:hAnsi="Times New Roman"/>
          <w:b/>
          <w:bCs/>
          <w:sz w:val="20"/>
          <w:szCs w:val="20"/>
        </w:rPr>
        <w:t xml:space="preserve"> </w:t>
      </w:r>
      <w:r w:rsidRPr="005D3A5A">
        <w:rPr>
          <w:rFonts w:ascii="Times New Roman" w:hAnsi="Times New Roman"/>
          <w:sz w:val="20"/>
          <w:szCs w:val="20"/>
        </w:rPr>
        <w:t>All evaluations are required to produce a detailed management response and key action follow</w:t>
      </w:r>
      <w:r w:rsidR="00483C48">
        <w:rPr>
          <w:rFonts w:ascii="Times New Roman" w:hAnsi="Times New Roman"/>
          <w:sz w:val="20"/>
          <w:szCs w:val="20"/>
        </w:rPr>
        <w:t>-</w:t>
      </w:r>
      <w:r w:rsidRPr="005D3A5A">
        <w:rPr>
          <w:rFonts w:ascii="Times New Roman" w:hAnsi="Times New Roman"/>
          <w:sz w:val="20"/>
          <w:szCs w:val="20"/>
        </w:rPr>
        <w:t>up plan</w:t>
      </w:r>
      <w:r w:rsidR="00483C48">
        <w:rPr>
          <w:rFonts w:ascii="Times New Roman" w:hAnsi="Times New Roman"/>
          <w:sz w:val="20"/>
          <w:szCs w:val="20"/>
        </w:rPr>
        <w:t xml:space="preserve"> that includes data on</w:t>
      </w:r>
      <w:r w:rsidR="00533824">
        <w:rPr>
          <w:rFonts w:ascii="Times New Roman" w:hAnsi="Times New Roman"/>
          <w:sz w:val="20"/>
          <w:szCs w:val="20"/>
        </w:rPr>
        <w:t xml:space="preserve"> </w:t>
      </w:r>
      <w:r w:rsidRPr="005D3A5A">
        <w:rPr>
          <w:rFonts w:ascii="Times New Roman" w:hAnsi="Times New Roman"/>
          <w:sz w:val="20"/>
          <w:szCs w:val="20"/>
        </w:rPr>
        <w:t>implementation</w:t>
      </w:r>
      <w:r w:rsidR="00483C48">
        <w:rPr>
          <w:rFonts w:ascii="Times New Roman" w:hAnsi="Times New Roman"/>
          <w:sz w:val="20"/>
          <w:szCs w:val="20"/>
        </w:rPr>
        <w:t>,</w:t>
      </w:r>
      <w:r w:rsidRPr="005D3A5A">
        <w:rPr>
          <w:rFonts w:ascii="Times New Roman" w:hAnsi="Times New Roman"/>
          <w:sz w:val="20"/>
          <w:szCs w:val="20"/>
        </w:rPr>
        <w:t xml:space="preserve"> monitor</w:t>
      </w:r>
      <w:r w:rsidR="00483C48">
        <w:rPr>
          <w:rFonts w:ascii="Times New Roman" w:hAnsi="Times New Roman"/>
          <w:sz w:val="20"/>
          <w:szCs w:val="20"/>
        </w:rPr>
        <w:t>ing</w:t>
      </w:r>
      <w:r w:rsidRPr="005D3A5A">
        <w:rPr>
          <w:rFonts w:ascii="Times New Roman" w:hAnsi="Times New Roman"/>
          <w:sz w:val="20"/>
          <w:szCs w:val="20"/>
        </w:rPr>
        <w:t xml:space="preserve"> and report</w:t>
      </w:r>
      <w:r w:rsidR="00483C48">
        <w:rPr>
          <w:rFonts w:ascii="Times New Roman" w:hAnsi="Times New Roman"/>
          <w:sz w:val="20"/>
          <w:szCs w:val="20"/>
        </w:rPr>
        <w:t>ing</w:t>
      </w:r>
      <w:r w:rsidR="003B2CC7">
        <w:rPr>
          <w:rFonts w:ascii="Times New Roman" w:hAnsi="Times New Roman"/>
          <w:sz w:val="20"/>
          <w:szCs w:val="20"/>
        </w:rPr>
        <w:t>. (This is</w:t>
      </w:r>
      <w:r w:rsidRPr="005D3A5A">
        <w:rPr>
          <w:rFonts w:ascii="Times New Roman" w:hAnsi="Times New Roman"/>
          <w:sz w:val="20"/>
          <w:szCs w:val="20"/>
        </w:rPr>
        <w:t xml:space="preserve"> </w:t>
      </w:r>
      <w:r w:rsidR="00CB565B">
        <w:rPr>
          <w:rFonts w:ascii="Times New Roman" w:hAnsi="Times New Roman"/>
          <w:sz w:val="20"/>
          <w:szCs w:val="20"/>
        </w:rPr>
        <w:t xml:space="preserve">one of the </w:t>
      </w:r>
      <w:r w:rsidRPr="005D3A5A">
        <w:rPr>
          <w:rFonts w:ascii="Times New Roman" w:hAnsi="Times New Roman"/>
          <w:sz w:val="20"/>
          <w:szCs w:val="20"/>
        </w:rPr>
        <w:t>KPI</w:t>
      </w:r>
      <w:r w:rsidR="00CB565B">
        <w:rPr>
          <w:rFonts w:ascii="Times New Roman" w:hAnsi="Times New Roman"/>
          <w:sz w:val="20"/>
          <w:szCs w:val="20"/>
        </w:rPr>
        <w:t xml:space="preserve">s </w:t>
      </w:r>
      <w:r w:rsidRPr="005D3A5A">
        <w:rPr>
          <w:rFonts w:ascii="Times New Roman" w:hAnsi="Times New Roman"/>
          <w:sz w:val="20"/>
          <w:szCs w:val="20"/>
        </w:rPr>
        <w:t>detailed above.</w:t>
      </w:r>
      <w:r w:rsidR="003B2CC7">
        <w:rPr>
          <w:rFonts w:ascii="Times New Roman" w:hAnsi="Times New Roman"/>
          <w:sz w:val="20"/>
          <w:szCs w:val="20"/>
        </w:rPr>
        <w:t>)</w:t>
      </w:r>
      <w:r w:rsidRPr="005D3A5A">
        <w:rPr>
          <w:rFonts w:ascii="Times New Roman" w:hAnsi="Times New Roman"/>
          <w:sz w:val="20"/>
          <w:szCs w:val="20"/>
        </w:rPr>
        <w:t xml:space="preserve"> Moving forward</w:t>
      </w:r>
      <w:r w:rsidR="00CB565B">
        <w:rPr>
          <w:rFonts w:ascii="Times New Roman" w:hAnsi="Times New Roman"/>
          <w:sz w:val="20"/>
          <w:szCs w:val="20"/>
        </w:rPr>
        <w:t>,</w:t>
      </w:r>
      <w:r w:rsidRPr="005D3A5A">
        <w:rPr>
          <w:rFonts w:ascii="Times New Roman" w:hAnsi="Times New Roman"/>
          <w:sz w:val="20"/>
          <w:szCs w:val="20"/>
        </w:rPr>
        <w:t xml:space="preserve"> </w:t>
      </w:r>
      <w:r w:rsidR="00F949E9" w:rsidRPr="005D3A5A">
        <w:rPr>
          <w:rFonts w:ascii="Times New Roman" w:hAnsi="Times New Roman"/>
          <w:sz w:val="20"/>
          <w:szCs w:val="20"/>
        </w:rPr>
        <w:t>the IEO will conduct periodic examinations o</w:t>
      </w:r>
      <w:r w:rsidR="00953B81">
        <w:rPr>
          <w:rFonts w:ascii="Times New Roman" w:hAnsi="Times New Roman"/>
          <w:sz w:val="20"/>
          <w:szCs w:val="20"/>
        </w:rPr>
        <w:t>f</w:t>
      </w:r>
      <w:r w:rsidR="00F949E9" w:rsidRPr="005D3A5A">
        <w:rPr>
          <w:rFonts w:ascii="Times New Roman" w:hAnsi="Times New Roman"/>
          <w:sz w:val="20"/>
          <w:szCs w:val="20"/>
        </w:rPr>
        <w:t xml:space="preserve"> the</w:t>
      </w:r>
      <w:r w:rsidRPr="005D3A5A">
        <w:rPr>
          <w:rFonts w:ascii="Times New Roman" w:hAnsi="Times New Roman"/>
          <w:sz w:val="20"/>
          <w:szCs w:val="20"/>
        </w:rPr>
        <w:t xml:space="preserve"> impact </w:t>
      </w:r>
      <w:r w:rsidR="00F949E9" w:rsidRPr="005D3A5A">
        <w:rPr>
          <w:rFonts w:ascii="Times New Roman" w:hAnsi="Times New Roman"/>
          <w:sz w:val="20"/>
          <w:szCs w:val="20"/>
        </w:rPr>
        <w:t xml:space="preserve">and use </w:t>
      </w:r>
      <w:r w:rsidRPr="005D3A5A">
        <w:rPr>
          <w:rFonts w:ascii="Times New Roman" w:hAnsi="Times New Roman"/>
          <w:sz w:val="20"/>
          <w:szCs w:val="20"/>
        </w:rPr>
        <w:t xml:space="preserve">of evaluations and </w:t>
      </w:r>
      <w:r w:rsidR="00F949E9" w:rsidRPr="005D3A5A">
        <w:rPr>
          <w:rFonts w:ascii="Times New Roman" w:hAnsi="Times New Roman"/>
          <w:sz w:val="20"/>
          <w:szCs w:val="20"/>
        </w:rPr>
        <w:t xml:space="preserve">the extent to which they are </w:t>
      </w:r>
      <w:r w:rsidRPr="005D3A5A">
        <w:rPr>
          <w:rFonts w:ascii="Times New Roman" w:hAnsi="Times New Roman"/>
          <w:sz w:val="20"/>
          <w:szCs w:val="20"/>
        </w:rPr>
        <w:t>informing management decision</w:t>
      </w:r>
      <w:r w:rsidR="00483C48">
        <w:rPr>
          <w:rFonts w:ascii="Times New Roman" w:hAnsi="Times New Roman"/>
          <w:sz w:val="20"/>
          <w:szCs w:val="20"/>
        </w:rPr>
        <w:t>-</w:t>
      </w:r>
      <w:r w:rsidRPr="005D3A5A">
        <w:rPr>
          <w:rFonts w:ascii="Times New Roman" w:hAnsi="Times New Roman"/>
          <w:sz w:val="20"/>
          <w:szCs w:val="20"/>
        </w:rPr>
        <w:t xml:space="preserve">making </w:t>
      </w:r>
      <w:r w:rsidR="00483C48">
        <w:rPr>
          <w:rFonts w:ascii="Times New Roman" w:hAnsi="Times New Roman"/>
          <w:sz w:val="20"/>
          <w:szCs w:val="20"/>
        </w:rPr>
        <w:t>and</w:t>
      </w:r>
      <w:r w:rsidRPr="005D3A5A">
        <w:rPr>
          <w:rFonts w:ascii="Times New Roman" w:hAnsi="Times New Roman"/>
          <w:sz w:val="20"/>
          <w:szCs w:val="20"/>
        </w:rPr>
        <w:t xml:space="preserve"> new programme and project design</w:t>
      </w:r>
      <w:r w:rsidR="00F949E9" w:rsidRPr="005D3A5A">
        <w:rPr>
          <w:rFonts w:ascii="Times New Roman" w:hAnsi="Times New Roman"/>
          <w:sz w:val="20"/>
          <w:szCs w:val="20"/>
        </w:rPr>
        <w:t>. Further</w:t>
      </w:r>
      <w:r w:rsidRPr="005D3A5A">
        <w:rPr>
          <w:rFonts w:ascii="Times New Roman" w:hAnsi="Times New Roman"/>
          <w:sz w:val="20"/>
          <w:szCs w:val="20"/>
        </w:rPr>
        <w:t xml:space="preserve"> guidance and </w:t>
      </w:r>
      <w:r w:rsidR="00F949E9" w:rsidRPr="005D3A5A">
        <w:rPr>
          <w:rFonts w:ascii="Times New Roman" w:hAnsi="Times New Roman"/>
          <w:sz w:val="20"/>
          <w:szCs w:val="20"/>
        </w:rPr>
        <w:t xml:space="preserve">required actions will be </w:t>
      </w:r>
      <w:r w:rsidRPr="005D3A5A">
        <w:rPr>
          <w:rFonts w:ascii="Times New Roman" w:hAnsi="Times New Roman"/>
          <w:sz w:val="20"/>
          <w:szCs w:val="20"/>
        </w:rPr>
        <w:t>developed as needed</w:t>
      </w:r>
      <w:r w:rsidR="00F949E9" w:rsidRPr="005D3A5A">
        <w:rPr>
          <w:rFonts w:ascii="Times New Roman" w:hAnsi="Times New Roman"/>
          <w:sz w:val="20"/>
          <w:szCs w:val="20"/>
        </w:rPr>
        <w:t xml:space="preserve"> based on the outcome of these </w:t>
      </w:r>
      <w:r w:rsidR="00B14018" w:rsidRPr="005D3A5A">
        <w:rPr>
          <w:rFonts w:ascii="Times New Roman" w:hAnsi="Times New Roman"/>
          <w:sz w:val="20"/>
          <w:szCs w:val="20"/>
        </w:rPr>
        <w:t>examinations</w:t>
      </w:r>
      <w:r w:rsidRPr="005D3A5A">
        <w:rPr>
          <w:rFonts w:ascii="Times New Roman" w:hAnsi="Times New Roman"/>
          <w:sz w:val="20"/>
          <w:szCs w:val="20"/>
        </w:rPr>
        <w:t>.</w:t>
      </w:r>
      <w:r w:rsidR="00F949E9" w:rsidRPr="005D3A5A">
        <w:rPr>
          <w:rFonts w:ascii="Times New Roman" w:hAnsi="Times New Roman"/>
          <w:sz w:val="20"/>
          <w:szCs w:val="20"/>
        </w:rPr>
        <w:t xml:space="preserve"> </w:t>
      </w:r>
    </w:p>
    <w:p w14:paraId="3F7C8B7A" w14:textId="77777777" w:rsidR="00CA7731" w:rsidRPr="00D95432" w:rsidRDefault="00CA7731" w:rsidP="00A57CCE">
      <w:pPr>
        <w:tabs>
          <w:tab w:val="left" w:pos="360"/>
        </w:tabs>
        <w:spacing w:before="0" w:after="0" w:line="240" w:lineRule="auto"/>
        <w:jc w:val="both"/>
        <w:rPr>
          <w:rFonts w:ascii="Times New Roman" w:hAnsi="Times New Roman"/>
          <w:sz w:val="20"/>
          <w:szCs w:val="20"/>
          <w:lang w:val="en-AU"/>
        </w:rPr>
      </w:pPr>
    </w:p>
    <w:p w14:paraId="7F3A83A2" w14:textId="28B40DA1" w:rsidR="002C39A1" w:rsidRPr="00D95432" w:rsidRDefault="002C39A1" w:rsidP="00A57CCE">
      <w:pPr>
        <w:pStyle w:val="ListParagraph"/>
        <w:numPr>
          <w:ilvl w:val="0"/>
          <w:numId w:val="41"/>
        </w:numPr>
        <w:tabs>
          <w:tab w:val="left" w:pos="360"/>
        </w:tabs>
        <w:spacing w:before="0" w:after="0" w:line="240" w:lineRule="auto"/>
        <w:ind w:left="0" w:firstLine="0"/>
        <w:contextualSpacing w:val="0"/>
        <w:jc w:val="both"/>
        <w:rPr>
          <w:rFonts w:ascii="Times New Roman" w:hAnsi="Times New Roman"/>
          <w:sz w:val="20"/>
          <w:szCs w:val="20"/>
          <w:lang w:val="en-AU"/>
        </w:rPr>
      </w:pPr>
      <w:r w:rsidRPr="005D3A5A">
        <w:rPr>
          <w:rFonts w:ascii="Times New Roman" w:hAnsi="Times New Roman"/>
          <w:b/>
          <w:bCs/>
          <w:sz w:val="20"/>
          <w:szCs w:val="20"/>
        </w:rPr>
        <w:t xml:space="preserve">Evaluation </w:t>
      </w:r>
      <w:r w:rsidR="00483C48">
        <w:rPr>
          <w:rFonts w:ascii="Times New Roman" w:hAnsi="Times New Roman"/>
          <w:b/>
          <w:bCs/>
          <w:sz w:val="20"/>
          <w:szCs w:val="20"/>
        </w:rPr>
        <w:t>a</w:t>
      </w:r>
      <w:r w:rsidRPr="005D3A5A">
        <w:rPr>
          <w:rFonts w:ascii="Times New Roman" w:hAnsi="Times New Roman"/>
          <w:b/>
          <w:bCs/>
          <w:sz w:val="20"/>
          <w:szCs w:val="20"/>
        </w:rPr>
        <w:t>wards (IEO, ongoing since 2021)</w:t>
      </w:r>
      <w:r w:rsidR="00483C48">
        <w:rPr>
          <w:rFonts w:ascii="Times New Roman" w:hAnsi="Times New Roman"/>
          <w:b/>
          <w:bCs/>
          <w:sz w:val="20"/>
          <w:szCs w:val="20"/>
        </w:rPr>
        <w:t>.</w:t>
      </w:r>
      <w:r w:rsidRPr="005D3A5A">
        <w:rPr>
          <w:rFonts w:ascii="Times New Roman" w:hAnsi="Times New Roman"/>
          <w:b/>
          <w:bCs/>
          <w:sz w:val="20"/>
          <w:szCs w:val="20"/>
        </w:rPr>
        <w:t xml:space="preserve"> </w:t>
      </w:r>
      <w:r w:rsidRPr="005D3A5A">
        <w:rPr>
          <w:rFonts w:ascii="Times New Roman" w:eastAsia="Times New Roman,Batang" w:hAnsi="Times New Roman"/>
          <w:sz w:val="20"/>
          <w:szCs w:val="20"/>
          <w:lang w:eastAsia="ko-KR"/>
        </w:rPr>
        <w:t>To promote the recognition and use of high-quality decentralized evaluations, IEO launched the Evaluation Excellence Awards</w:t>
      </w:r>
      <w:r w:rsidR="00CB565B">
        <w:rPr>
          <w:rFonts w:ascii="Times New Roman" w:eastAsia="Times New Roman,Batang" w:hAnsi="Times New Roman"/>
          <w:sz w:val="20"/>
          <w:szCs w:val="20"/>
          <w:lang w:eastAsia="ko-KR"/>
        </w:rPr>
        <w:t xml:space="preserve"> in 2021</w:t>
      </w:r>
      <w:r w:rsidRPr="005D3A5A">
        <w:rPr>
          <w:rFonts w:ascii="Times New Roman" w:eastAsia="Times New Roman,Batang" w:hAnsi="Times New Roman"/>
          <w:sz w:val="20"/>
          <w:szCs w:val="20"/>
          <w:lang w:eastAsia="ko-KR"/>
        </w:rPr>
        <w:t>, which grant recognition to decentralized evaluations in three categories: outstanding evaluation; innovative evaluation; and gender-responsive evaluation.</w:t>
      </w:r>
    </w:p>
    <w:p w14:paraId="71C817FC" w14:textId="77777777" w:rsidR="00EA2AEF" w:rsidRPr="005D3A5A" w:rsidRDefault="00EA2AEF" w:rsidP="00A57CCE">
      <w:pPr>
        <w:pStyle w:val="ListParagraph"/>
        <w:tabs>
          <w:tab w:val="left" w:pos="360"/>
        </w:tabs>
        <w:spacing w:before="0" w:after="0" w:line="240" w:lineRule="auto"/>
        <w:ind w:left="0"/>
        <w:contextualSpacing w:val="0"/>
        <w:jc w:val="both"/>
        <w:rPr>
          <w:rFonts w:ascii="Times New Roman" w:hAnsi="Times New Roman"/>
          <w:sz w:val="20"/>
          <w:szCs w:val="20"/>
          <w:lang w:val="en-AU"/>
        </w:rPr>
      </w:pPr>
    </w:p>
    <w:p w14:paraId="1BB9D3B7" w14:textId="3C11C9E9" w:rsidR="00CA7731" w:rsidRPr="00C91A1E" w:rsidRDefault="00483C48" w:rsidP="0013780C">
      <w:pPr>
        <w:pStyle w:val="Heading1"/>
        <w:tabs>
          <w:tab w:val="left" w:pos="360"/>
          <w:tab w:val="left" w:pos="1080"/>
        </w:tabs>
        <w:spacing w:before="0" w:after="0" w:line="240" w:lineRule="auto"/>
        <w:ind w:left="0" w:firstLine="720"/>
        <w:jc w:val="both"/>
        <w:rPr>
          <w:rFonts w:ascii="Times New Roman" w:hAnsi="Times New Roman"/>
          <w:color w:val="auto"/>
          <w:sz w:val="20"/>
          <w:szCs w:val="20"/>
        </w:rPr>
      </w:pPr>
      <w:bookmarkStart w:id="18" w:name="_Toc97115607"/>
      <w:r>
        <w:rPr>
          <w:rFonts w:ascii="Times New Roman" w:hAnsi="Times New Roman"/>
          <w:color w:val="auto"/>
          <w:sz w:val="20"/>
          <w:szCs w:val="20"/>
        </w:rPr>
        <w:t xml:space="preserve"> </w:t>
      </w:r>
      <w:r w:rsidR="00141325" w:rsidRPr="00D95432">
        <w:rPr>
          <w:rFonts w:ascii="Times New Roman" w:hAnsi="Times New Roman"/>
          <w:color w:val="auto"/>
          <w:sz w:val="20"/>
          <w:szCs w:val="20"/>
        </w:rPr>
        <w:t xml:space="preserve">Conclusions </w:t>
      </w:r>
      <w:r w:rsidR="002B4D48">
        <w:rPr>
          <w:rFonts w:ascii="Times New Roman" w:hAnsi="Times New Roman"/>
          <w:color w:val="auto"/>
          <w:sz w:val="20"/>
          <w:szCs w:val="20"/>
        </w:rPr>
        <w:t>and</w:t>
      </w:r>
      <w:r w:rsidR="00141325" w:rsidRPr="00C91A1E">
        <w:rPr>
          <w:rFonts w:ascii="Times New Roman" w:hAnsi="Times New Roman"/>
          <w:color w:val="auto"/>
          <w:sz w:val="20"/>
          <w:szCs w:val="20"/>
        </w:rPr>
        <w:t xml:space="preserve"> </w:t>
      </w:r>
      <w:r w:rsidRPr="00C91A1E">
        <w:rPr>
          <w:rFonts w:ascii="Times New Roman" w:hAnsi="Times New Roman"/>
          <w:color w:val="auto"/>
          <w:sz w:val="20"/>
          <w:szCs w:val="20"/>
        </w:rPr>
        <w:t>next step</w:t>
      </w:r>
      <w:bookmarkEnd w:id="18"/>
      <w:r>
        <w:rPr>
          <w:rFonts w:ascii="Times New Roman" w:hAnsi="Times New Roman"/>
          <w:color w:val="auto"/>
          <w:sz w:val="20"/>
          <w:szCs w:val="20"/>
        </w:rPr>
        <w:t>s</w:t>
      </w:r>
    </w:p>
    <w:p w14:paraId="4046C94A" w14:textId="77777777" w:rsidR="00CA7731" w:rsidRPr="00D95432" w:rsidRDefault="00CA7731" w:rsidP="00A57CCE">
      <w:pPr>
        <w:tabs>
          <w:tab w:val="left" w:pos="360"/>
        </w:tabs>
        <w:spacing w:before="0" w:after="0" w:line="240" w:lineRule="auto"/>
        <w:jc w:val="both"/>
      </w:pPr>
    </w:p>
    <w:p w14:paraId="0F184AAA" w14:textId="6CDA65BC" w:rsidR="00C702AB" w:rsidRPr="00C91A1E" w:rsidRDefault="004906B2" w:rsidP="00A57CCE">
      <w:pPr>
        <w:pStyle w:val="ListParagraph"/>
        <w:numPr>
          <w:ilvl w:val="0"/>
          <w:numId w:val="41"/>
        </w:numPr>
        <w:tabs>
          <w:tab w:val="left" w:pos="360"/>
        </w:tabs>
        <w:spacing w:before="0" w:after="0" w:line="240" w:lineRule="auto"/>
        <w:ind w:left="0" w:firstLine="0"/>
        <w:contextualSpacing w:val="0"/>
        <w:jc w:val="both"/>
        <w:rPr>
          <w:rFonts w:ascii="Times New Roman" w:hAnsi="Times New Roman"/>
          <w:sz w:val="20"/>
          <w:szCs w:val="20"/>
          <w:lang w:val="en-AU"/>
        </w:rPr>
      </w:pPr>
      <w:r w:rsidRPr="00BC3F1F">
        <w:rPr>
          <w:rFonts w:ascii="Times New Roman" w:hAnsi="Times New Roman"/>
          <w:sz w:val="20"/>
          <w:szCs w:val="20"/>
        </w:rPr>
        <w:t xml:space="preserve">UNDP and IEO are </w:t>
      </w:r>
      <w:r w:rsidR="009C73CD" w:rsidRPr="00BC3F1F">
        <w:rPr>
          <w:rFonts w:ascii="Times New Roman" w:hAnsi="Times New Roman"/>
          <w:sz w:val="20"/>
          <w:szCs w:val="20"/>
        </w:rPr>
        <w:t>committed</w:t>
      </w:r>
      <w:r w:rsidRPr="00BC3F1F">
        <w:rPr>
          <w:rFonts w:ascii="Times New Roman" w:hAnsi="Times New Roman"/>
          <w:sz w:val="20"/>
          <w:szCs w:val="20"/>
        </w:rPr>
        <w:t xml:space="preserve"> to improving the </w:t>
      </w:r>
      <w:r w:rsidR="003863D4" w:rsidRPr="00BC3F1F">
        <w:rPr>
          <w:rFonts w:ascii="Times New Roman" w:hAnsi="Times New Roman"/>
          <w:sz w:val="20"/>
          <w:szCs w:val="20"/>
        </w:rPr>
        <w:t xml:space="preserve">credibility, </w:t>
      </w:r>
      <w:r w:rsidR="00013B62" w:rsidRPr="00BC3F1F">
        <w:rPr>
          <w:rFonts w:ascii="Times New Roman" w:hAnsi="Times New Roman"/>
          <w:sz w:val="20"/>
          <w:szCs w:val="20"/>
        </w:rPr>
        <w:t>quality</w:t>
      </w:r>
      <w:r w:rsidR="003863D4" w:rsidRPr="00BC3F1F">
        <w:rPr>
          <w:rFonts w:ascii="Times New Roman" w:hAnsi="Times New Roman"/>
          <w:sz w:val="20"/>
          <w:szCs w:val="20"/>
        </w:rPr>
        <w:t xml:space="preserve"> and </w:t>
      </w:r>
      <w:r w:rsidR="009C73CD" w:rsidRPr="00BC3F1F">
        <w:rPr>
          <w:rFonts w:ascii="Times New Roman" w:hAnsi="Times New Roman"/>
          <w:sz w:val="20"/>
          <w:szCs w:val="20"/>
        </w:rPr>
        <w:t>usability</w:t>
      </w:r>
      <w:r w:rsidR="003863D4" w:rsidRPr="00BC3F1F">
        <w:rPr>
          <w:rFonts w:ascii="Times New Roman" w:hAnsi="Times New Roman"/>
          <w:sz w:val="20"/>
          <w:szCs w:val="20"/>
        </w:rPr>
        <w:t xml:space="preserve"> of decentrali</w:t>
      </w:r>
      <w:r w:rsidR="00483C48">
        <w:rPr>
          <w:rFonts w:ascii="Times New Roman" w:hAnsi="Times New Roman"/>
          <w:sz w:val="20"/>
          <w:szCs w:val="20"/>
        </w:rPr>
        <w:t>z</w:t>
      </w:r>
      <w:r w:rsidR="003863D4" w:rsidRPr="00BC3F1F">
        <w:rPr>
          <w:rFonts w:ascii="Times New Roman" w:hAnsi="Times New Roman"/>
          <w:sz w:val="20"/>
          <w:szCs w:val="20"/>
        </w:rPr>
        <w:t>ed evaluations for lear</w:t>
      </w:r>
      <w:r w:rsidR="009C73CD" w:rsidRPr="00BC3F1F">
        <w:rPr>
          <w:rFonts w:ascii="Times New Roman" w:hAnsi="Times New Roman"/>
          <w:sz w:val="20"/>
          <w:szCs w:val="20"/>
        </w:rPr>
        <w:t>n</w:t>
      </w:r>
      <w:r w:rsidR="003863D4" w:rsidRPr="00BC3F1F">
        <w:rPr>
          <w:rFonts w:ascii="Times New Roman" w:hAnsi="Times New Roman"/>
          <w:sz w:val="20"/>
          <w:szCs w:val="20"/>
        </w:rPr>
        <w:t xml:space="preserve">ing and accountability to </w:t>
      </w:r>
      <w:r w:rsidR="00013B62" w:rsidRPr="00BC3F1F">
        <w:rPr>
          <w:rFonts w:ascii="Times New Roman" w:hAnsi="Times New Roman"/>
          <w:sz w:val="20"/>
          <w:szCs w:val="20"/>
        </w:rPr>
        <w:t>inform</w:t>
      </w:r>
      <w:r w:rsidR="003863D4" w:rsidRPr="00BC3F1F">
        <w:rPr>
          <w:rFonts w:ascii="Times New Roman" w:hAnsi="Times New Roman"/>
          <w:sz w:val="20"/>
          <w:szCs w:val="20"/>
        </w:rPr>
        <w:t xml:space="preserve"> management decision</w:t>
      </w:r>
      <w:r w:rsidR="00483C48">
        <w:rPr>
          <w:rFonts w:ascii="Times New Roman" w:hAnsi="Times New Roman"/>
          <w:sz w:val="20"/>
          <w:szCs w:val="20"/>
        </w:rPr>
        <w:t>-</w:t>
      </w:r>
      <w:r w:rsidR="003863D4" w:rsidRPr="00BC3F1F">
        <w:rPr>
          <w:rFonts w:ascii="Times New Roman" w:hAnsi="Times New Roman"/>
          <w:sz w:val="20"/>
          <w:szCs w:val="20"/>
        </w:rPr>
        <w:t xml:space="preserve">making. </w:t>
      </w:r>
      <w:r w:rsidR="00CD1F69">
        <w:rPr>
          <w:rFonts w:ascii="Times New Roman" w:hAnsi="Times New Roman"/>
          <w:sz w:val="20"/>
          <w:szCs w:val="20"/>
        </w:rPr>
        <w:t>Actions taken over the last several years have</w:t>
      </w:r>
      <w:r w:rsidR="00210A2A">
        <w:rPr>
          <w:rFonts w:ascii="Times New Roman" w:hAnsi="Times New Roman"/>
          <w:sz w:val="20"/>
          <w:szCs w:val="20"/>
        </w:rPr>
        <w:t xml:space="preserve"> </w:t>
      </w:r>
      <w:r w:rsidR="00CD1F69">
        <w:rPr>
          <w:rFonts w:ascii="Times New Roman" w:hAnsi="Times New Roman"/>
          <w:sz w:val="20"/>
          <w:szCs w:val="20"/>
        </w:rPr>
        <w:t>signalled this commitment, through</w:t>
      </w:r>
      <w:r w:rsidR="00CD1F69" w:rsidRPr="00232373">
        <w:rPr>
          <w:rFonts w:ascii="Times New Roman" w:hAnsi="Times New Roman"/>
          <w:sz w:val="20"/>
          <w:szCs w:val="20"/>
        </w:rPr>
        <w:t xml:space="preserve"> </w:t>
      </w:r>
      <w:r w:rsidR="00484616" w:rsidRPr="00BC3F1F">
        <w:rPr>
          <w:rFonts w:ascii="Times New Roman" w:hAnsi="Times New Roman"/>
          <w:sz w:val="20"/>
          <w:szCs w:val="20"/>
        </w:rPr>
        <w:t xml:space="preserve">the development of targeted </w:t>
      </w:r>
      <w:r w:rsidR="00A63B4F" w:rsidRPr="00BC3F1F">
        <w:rPr>
          <w:rFonts w:ascii="Times New Roman" w:hAnsi="Times New Roman"/>
          <w:sz w:val="20"/>
          <w:szCs w:val="20"/>
        </w:rPr>
        <w:t>d</w:t>
      </w:r>
      <w:r w:rsidR="00484616" w:rsidRPr="00BC3F1F">
        <w:rPr>
          <w:rFonts w:ascii="Times New Roman" w:hAnsi="Times New Roman"/>
          <w:sz w:val="20"/>
          <w:szCs w:val="20"/>
        </w:rPr>
        <w:t>ecentrali</w:t>
      </w:r>
      <w:r w:rsidR="00483C48">
        <w:rPr>
          <w:rFonts w:ascii="Times New Roman" w:hAnsi="Times New Roman"/>
          <w:sz w:val="20"/>
          <w:szCs w:val="20"/>
        </w:rPr>
        <w:t>z</w:t>
      </w:r>
      <w:r w:rsidR="00484616" w:rsidRPr="00BC3F1F">
        <w:rPr>
          <w:rFonts w:ascii="Times New Roman" w:hAnsi="Times New Roman"/>
          <w:sz w:val="20"/>
          <w:szCs w:val="20"/>
        </w:rPr>
        <w:t xml:space="preserve">ed </w:t>
      </w:r>
      <w:r w:rsidR="00B779BB">
        <w:rPr>
          <w:rFonts w:ascii="Times New Roman" w:hAnsi="Times New Roman"/>
          <w:sz w:val="20"/>
          <w:szCs w:val="20"/>
        </w:rPr>
        <w:t xml:space="preserve">strategies for strengthening </w:t>
      </w:r>
      <w:r w:rsidR="00484616" w:rsidRPr="00BC3F1F">
        <w:rPr>
          <w:rFonts w:ascii="Times New Roman" w:hAnsi="Times New Roman"/>
          <w:sz w:val="20"/>
          <w:szCs w:val="20"/>
        </w:rPr>
        <w:t>evaluation</w:t>
      </w:r>
      <w:r w:rsidR="00B779BB">
        <w:rPr>
          <w:rFonts w:ascii="Times New Roman" w:hAnsi="Times New Roman"/>
          <w:sz w:val="20"/>
          <w:szCs w:val="20"/>
        </w:rPr>
        <w:t>s</w:t>
      </w:r>
      <w:r w:rsidR="00484616" w:rsidRPr="00BC3F1F">
        <w:rPr>
          <w:rFonts w:ascii="Times New Roman" w:hAnsi="Times New Roman"/>
          <w:sz w:val="20"/>
          <w:szCs w:val="20"/>
        </w:rPr>
        <w:t xml:space="preserve"> </w:t>
      </w:r>
      <w:r w:rsidR="00B779BB">
        <w:rPr>
          <w:rFonts w:ascii="Times New Roman" w:hAnsi="Times New Roman"/>
          <w:sz w:val="20"/>
          <w:szCs w:val="20"/>
        </w:rPr>
        <w:t xml:space="preserve">by relevant </w:t>
      </w:r>
      <w:r w:rsidR="00484616" w:rsidRPr="00BC3F1F">
        <w:rPr>
          <w:rFonts w:ascii="Times New Roman" w:hAnsi="Times New Roman"/>
          <w:sz w:val="20"/>
          <w:szCs w:val="20"/>
        </w:rPr>
        <w:t>bureau</w:t>
      </w:r>
      <w:r w:rsidR="00B779BB">
        <w:rPr>
          <w:rFonts w:ascii="Times New Roman" w:hAnsi="Times New Roman"/>
          <w:sz w:val="20"/>
          <w:szCs w:val="20"/>
        </w:rPr>
        <w:t>x</w:t>
      </w:r>
      <w:r w:rsidR="00A63B4F" w:rsidRPr="00BC3F1F">
        <w:rPr>
          <w:rFonts w:ascii="Times New Roman" w:hAnsi="Times New Roman"/>
          <w:sz w:val="20"/>
          <w:szCs w:val="20"/>
        </w:rPr>
        <w:t>,</w:t>
      </w:r>
      <w:r w:rsidR="00484616" w:rsidRPr="00BC3F1F">
        <w:rPr>
          <w:rFonts w:ascii="Times New Roman" w:hAnsi="Times New Roman"/>
          <w:sz w:val="20"/>
          <w:szCs w:val="20"/>
        </w:rPr>
        <w:t xml:space="preserve"> and </w:t>
      </w:r>
      <w:r w:rsidR="00B779BB">
        <w:rPr>
          <w:rFonts w:ascii="Times New Roman" w:hAnsi="Times New Roman"/>
          <w:sz w:val="20"/>
          <w:szCs w:val="20"/>
        </w:rPr>
        <w:t xml:space="preserve">through </w:t>
      </w:r>
      <w:r w:rsidR="00484616" w:rsidRPr="00BC3F1F">
        <w:rPr>
          <w:rFonts w:ascii="Times New Roman" w:hAnsi="Times New Roman"/>
          <w:sz w:val="20"/>
          <w:szCs w:val="20"/>
        </w:rPr>
        <w:t xml:space="preserve">a partnership between UNDP and IEO to </w:t>
      </w:r>
      <w:r w:rsidR="009C73CD" w:rsidRPr="00BC3F1F">
        <w:rPr>
          <w:rFonts w:ascii="Times New Roman" w:hAnsi="Times New Roman"/>
          <w:sz w:val="20"/>
          <w:szCs w:val="20"/>
        </w:rPr>
        <w:t xml:space="preserve">target support to </w:t>
      </w:r>
      <w:r w:rsidR="00146C70" w:rsidRPr="00BC3F1F">
        <w:rPr>
          <w:rFonts w:ascii="Times New Roman" w:hAnsi="Times New Roman"/>
          <w:sz w:val="20"/>
          <w:szCs w:val="20"/>
        </w:rPr>
        <w:t xml:space="preserve">improve the scope and quality of </w:t>
      </w:r>
      <w:r w:rsidR="003469DA" w:rsidRPr="00BC3F1F">
        <w:rPr>
          <w:rFonts w:ascii="Times New Roman" w:hAnsi="Times New Roman"/>
          <w:sz w:val="20"/>
          <w:szCs w:val="20"/>
        </w:rPr>
        <w:t>decentrali</w:t>
      </w:r>
      <w:r w:rsidR="00B779BB">
        <w:rPr>
          <w:rFonts w:ascii="Times New Roman" w:hAnsi="Times New Roman"/>
          <w:sz w:val="20"/>
          <w:szCs w:val="20"/>
        </w:rPr>
        <w:t>z</w:t>
      </w:r>
      <w:r w:rsidR="003469DA" w:rsidRPr="00BC3F1F">
        <w:rPr>
          <w:rFonts w:ascii="Times New Roman" w:hAnsi="Times New Roman"/>
          <w:sz w:val="20"/>
          <w:szCs w:val="20"/>
        </w:rPr>
        <w:t>ed</w:t>
      </w:r>
      <w:r w:rsidR="00146C70" w:rsidRPr="00BC3F1F">
        <w:rPr>
          <w:rFonts w:ascii="Times New Roman" w:hAnsi="Times New Roman"/>
          <w:sz w:val="20"/>
          <w:szCs w:val="20"/>
        </w:rPr>
        <w:t xml:space="preserve"> evaluations. </w:t>
      </w:r>
    </w:p>
    <w:p w14:paraId="2292C1B3" w14:textId="77777777" w:rsidR="00BC3F1F" w:rsidRPr="00BC3F1F" w:rsidRDefault="00BC3F1F" w:rsidP="00A57CCE">
      <w:pPr>
        <w:pStyle w:val="ListParagraph"/>
        <w:tabs>
          <w:tab w:val="left" w:pos="360"/>
        </w:tabs>
        <w:spacing w:before="0" w:after="0" w:line="240" w:lineRule="auto"/>
        <w:ind w:left="0"/>
        <w:contextualSpacing w:val="0"/>
        <w:jc w:val="both"/>
        <w:rPr>
          <w:rFonts w:ascii="Times New Roman" w:hAnsi="Times New Roman"/>
          <w:sz w:val="20"/>
          <w:szCs w:val="20"/>
          <w:lang w:val="en-AU"/>
        </w:rPr>
      </w:pPr>
    </w:p>
    <w:p w14:paraId="7A2BDDF9" w14:textId="0533B11D" w:rsidR="00BC3F1F" w:rsidRPr="00C91A1E" w:rsidRDefault="00CD1F69" w:rsidP="00A57CCE">
      <w:pPr>
        <w:pStyle w:val="ListParagraph"/>
        <w:numPr>
          <w:ilvl w:val="0"/>
          <w:numId w:val="41"/>
        </w:numPr>
        <w:tabs>
          <w:tab w:val="left" w:pos="360"/>
        </w:tabs>
        <w:spacing w:before="0" w:after="0" w:line="240" w:lineRule="auto"/>
        <w:ind w:left="0" w:firstLine="0"/>
        <w:contextualSpacing w:val="0"/>
        <w:jc w:val="both"/>
      </w:pPr>
      <w:r w:rsidRPr="00232373">
        <w:rPr>
          <w:rFonts w:ascii="Times New Roman" w:hAnsi="Times New Roman"/>
          <w:sz w:val="20"/>
          <w:szCs w:val="20"/>
        </w:rPr>
        <w:t>As outlined in th</w:t>
      </w:r>
      <w:r w:rsidR="00953B81">
        <w:rPr>
          <w:rFonts w:ascii="Times New Roman" w:hAnsi="Times New Roman"/>
          <w:sz w:val="20"/>
          <w:szCs w:val="20"/>
        </w:rPr>
        <w:t>e present report</w:t>
      </w:r>
      <w:r w:rsidRPr="00232373">
        <w:rPr>
          <w:rFonts w:ascii="Times New Roman" w:hAnsi="Times New Roman"/>
          <w:sz w:val="20"/>
          <w:szCs w:val="20"/>
        </w:rPr>
        <w:t xml:space="preserve">, UNDP and IEO </w:t>
      </w:r>
      <w:r>
        <w:rPr>
          <w:rFonts w:ascii="Times New Roman" w:hAnsi="Times New Roman"/>
          <w:sz w:val="20"/>
          <w:szCs w:val="20"/>
        </w:rPr>
        <w:t xml:space="preserve">are </w:t>
      </w:r>
      <w:r w:rsidRPr="00232373">
        <w:rPr>
          <w:rFonts w:ascii="Times New Roman" w:hAnsi="Times New Roman"/>
          <w:sz w:val="20"/>
          <w:szCs w:val="20"/>
        </w:rPr>
        <w:t xml:space="preserve">committed to </w:t>
      </w:r>
      <w:r>
        <w:rPr>
          <w:rFonts w:ascii="Times New Roman" w:hAnsi="Times New Roman"/>
          <w:sz w:val="20"/>
          <w:szCs w:val="20"/>
        </w:rPr>
        <w:t xml:space="preserve">meeting </w:t>
      </w:r>
      <w:r w:rsidR="00B779BB">
        <w:rPr>
          <w:rFonts w:ascii="Times New Roman" w:hAnsi="Times New Roman"/>
          <w:sz w:val="20"/>
          <w:szCs w:val="20"/>
        </w:rPr>
        <w:t xml:space="preserve">the </w:t>
      </w:r>
      <w:r>
        <w:rPr>
          <w:rFonts w:ascii="Times New Roman" w:hAnsi="Times New Roman"/>
          <w:sz w:val="20"/>
          <w:szCs w:val="20"/>
        </w:rPr>
        <w:t>Executive Board</w:t>
      </w:r>
      <w:r w:rsidR="00B779BB">
        <w:rPr>
          <w:rFonts w:ascii="Times New Roman" w:hAnsi="Times New Roman"/>
          <w:sz w:val="20"/>
          <w:szCs w:val="20"/>
        </w:rPr>
        <w:t>’s</w:t>
      </w:r>
      <w:r>
        <w:rPr>
          <w:rFonts w:ascii="Times New Roman" w:hAnsi="Times New Roman"/>
          <w:sz w:val="20"/>
          <w:szCs w:val="20"/>
        </w:rPr>
        <w:t xml:space="preserve"> expectations for a robust and credible evaluation function that achieves the goals of the </w:t>
      </w:r>
      <w:r w:rsidR="00B779BB">
        <w:rPr>
          <w:rFonts w:ascii="Times New Roman" w:hAnsi="Times New Roman"/>
          <w:sz w:val="20"/>
          <w:szCs w:val="20"/>
        </w:rPr>
        <w:t>revised e</w:t>
      </w:r>
      <w:r>
        <w:rPr>
          <w:rFonts w:ascii="Times New Roman" w:hAnsi="Times New Roman"/>
          <w:sz w:val="20"/>
          <w:szCs w:val="20"/>
        </w:rPr>
        <w:t xml:space="preserve">valuation </w:t>
      </w:r>
      <w:r w:rsidR="00B779BB">
        <w:rPr>
          <w:rFonts w:ascii="Times New Roman" w:hAnsi="Times New Roman"/>
          <w:sz w:val="20"/>
          <w:szCs w:val="20"/>
        </w:rPr>
        <w:t>p</w:t>
      </w:r>
      <w:r>
        <w:rPr>
          <w:rFonts w:ascii="Times New Roman" w:hAnsi="Times New Roman"/>
          <w:sz w:val="20"/>
          <w:szCs w:val="20"/>
        </w:rPr>
        <w:t>olicy. M</w:t>
      </w:r>
      <w:r w:rsidRPr="00232373">
        <w:rPr>
          <w:rFonts w:ascii="Times New Roman" w:hAnsi="Times New Roman"/>
          <w:sz w:val="20"/>
          <w:szCs w:val="20"/>
        </w:rPr>
        <w:t xml:space="preserve">oving forward, </w:t>
      </w:r>
      <w:r w:rsidR="00B779BB">
        <w:rPr>
          <w:rFonts w:ascii="Times New Roman" w:hAnsi="Times New Roman"/>
          <w:sz w:val="20"/>
          <w:szCs w:val="20"/>
        </w:rPr>
        <w:t>UNDP</w:t>
      </w:r>
      <w:r w:rsidRPr="00232373">
        <w:rPr>
          <w:rFonts w:ascii="Times New Roman" w:hAnsi="Times New Roman"/>
          <w:sz w:val="20"/>
          <w:szCs w:val="20"/>
        </w:rPr>
        <w:t xml:space="preserve"> will </w:t>
      </w:r>
      <w:r>
        <w:rPr>
          <w:rFonts w:ascii="Times New Roman" w:hAnsi="Times New Roman"/>
          <w:sz w:val="20"/>
          <w:szCs w:val="20"/>
        </w:rPr>
        <w:t xml:space="preserve">continue to </w:t>
      </w:r>
      <w:r w:rsidRPr="00232373">
        <w:rPr>
          <w:rFonts w:ascii="Times New Roman" w:hAnsi="Times New Roman"/>
          <w:sz w:val="20"/>
          <w:szCs w:val="20"/>
        </w:rPr>
        <w:t xml:space="preserve">broaden and strengthen </w:t>
      </w:r>
      <w:r>
        <w:rPr>
          <w:rFonts w:ascii="Times New Roman" w:hAnsi="Times New Roman"/>
          <w:sz w:val="20"/>
          <w:szCs w:val="20"/>
        </w:rPr>
        <w:t xml:space="preserve">evaluation </w:t>
      </w:r>
      <w:r w:rsidRPr="00232373">
        <w:rPr>
          <w:rFonts w:ascii="Times New Roman" w:hAnsi="Times New Roman"/>
          <w:sz w:val="20"/>
          <w:szCs w:val="20"/>
        </w:rPr>
        <w:t xml:space="preserve">oversight and </w:t>
      </w:r>
      <w:r>
        <w:rPr>
          <w:rFonts w:ascii="Times New Roman" w:hAnsi="Times New Roman"/>
          <w:sz w:val="20"/>
          <w:szCs w:val="20"/>
        </w:rPr>
        <w:t>support</w:t>
      </w:r>
      <w:r w:rsidRPr="00232373">
        <w:rPr>
          <w:rFonts w:ascii="Times New Roman" w:hAnsi="Times New Roman"/>
          <w:sz w:val="20"/>
          <w:szCs w:val="20"/>
        </w:rPr>
        <w:t xml:space="preserve"> structures</w:t>
      </w:r>
      <w:r>
        <w:rPr>
          <w:rFonts w:ascii="Times New Roman" w:hAnsi="Times New Roman"/>
          <w:sz w:val="20"/>
          <w:szCs w:val="20"/>
        </w:rPr>
        <w:t>, ensure that</w:t>
      </w:r>
      <w:r w:rsidRPr="00232373">
        <w:rPr>
          <w:rFonts w:ascii="Times New Roman" w:hAnsi="Times New Roman"/>
          <w:sz w:val="20"/>
          <w:szCs w:val="20"/>
        </w:rPr>
        <w:t xml:space="preserve"> large and strategic programmes are </w:t>
      </w:r>
      <w:r>
        <w:rPr>
          <w:rFonts w:ascii="Times New Roman" w:hAnsi="Times New Roman"/>
          <w:sz w:val="20"/>
          <w:szCs w:val="20"/>
        </w:rPr>
        <w:t xml:space="preserve">adequately covered, </w:t>
      </w:r>
      <w:r w:rsidRPr="00232373">
        <w:rPr>
          <w:rFonts w:ascii="Times New Roman" w:hAnsi="Times New Roman"/>
          <w:sz w:val="20"/>
          <w:szCs w:val="20"/>
        </w:rPr>
        <w:t>and</w:t>
      </w:r>
      <w:r>
        <w:rPr>
          <w:rFonts w:ascii="Times New Roman" w:hAnsi="Times New Roman"/>
          <w:sz w:val="20"/>
          <w:szCs w:val="20"/>
        </w:rPr>
        <w:t xml:space="preserve"> provide sufficient funding for </w:t>
      </w:r>
      <w:r w:rsidRPr="00232373">
        <w:rPr>
          <w:rFonts w:ascii="Times New Roman" w:hAnsi="Times New Roman"/>
          <w:sz w:val="20"/>
          <w:szCs w:val="20"/>
        </w:rPr>
        <w:t>regional</w:t>
      </w:r>
      <w:r>
        <w:rPr>
          <w:rFonts w:ascii="Times New Roman" w:hAnsi="Times New Roman"/>
          <w:sz w:val="20"/>
          <w:szCs w:val="20"/>
        </w:rPr>
        <w:t xml:space="preserve"> evaluation</w:t>
      </w:r>
      <w:r w:rsidRPr="00232373">
        <w:rPr>
          <w:rFonts w:ascii="Times New Roman" w:hAnsi="Times New Roman"/>
          <w:sz w:val="20"/>
          <w:szCs w:val="20"/>
        </w:rPr>
        <w:t xml:space="preserve"> strategies </w:t>
      </w:r>
      <w:r>
        <w:rPr>
          <w:rFonts w:ascii="Times New Roman" w:hAnsi="Times New Roman"/>
          <w:sz w:val="20"/>
          <w:szCs w:val="20"/>
        </w:rPr>
        <w:t>to be achieved.</w:t>
      </w:r>
    </w:p>
    <w:p w14:paraId="07EBA0DE" w14:textId="77777777" w:rsidR="00BC3F1F" w:rsidRDefault="00BC3F1F" w:rsidP="00210A2A">
      <w:pPr>
        <w:spacing w:before="0" w:after="160" w:line="259" w:lineRule="auto"/>
        <w:jc w:val="both"/>
        <w:rPr>
          <w:rFonts w:ascii="Times New Roman" w:hAnsi="Times New Roman"/>
          <w:b/>
          <w:bCs/>
          <w:color w:val="365F91"/>
          <w:sz w:val="20"/>
          <w:szCs w:val="20"/>
        </w:rPr>
      </w:pPr>
      <w:r>
        <w:rPr>
          <w:rFonts w:ascii="Times New Roman" w:hAnsi="Times New Roman"/>
          <w:sz w:val="20"/>
          <w:szCs w:val="20"/>
        </w:rPr>
        <w:br w:type="page"/>
      </w:r>
    </w:p>
    <w:p w14:paraId="593E0658" w14:textId="652BF581" w:rsidR="00CB5054" w:rsidRDefault="00683D25" w:rsidP="00210A2A">
      <w:pPr>
        <w:pStyle w:val="Heading1"/>
        <w:numPr>
          <w:ilvl w:val="0"/>
          <w:numId w:val="0"/>
        </w:numPr>
        <w:spacing w:before="0" w:after="0" w:line="240" w:lineRule="auto"/>
        <w:ind w:left="360" w:hanging="360"/>
        <w:jc w:val="both"/>
        <w:rPr>
          <w:rFonts w:ascii="Times New Roman" w:hAnsi="Times New Roman"/>
          <w:color w:val="auto"/>
          <w:sz w:val="20"/>
          <w:szCs w:val="20"/>
        </w:rPr>
      </w:pPr>
      <w:bookmarkStart w:id="19" w:name="_Toc97115608"/>
      <w:r w:rsidRPr="005D3A5A">
        <w:rPr>
          <w:rFonts w:ascii="Times New Roman" w:hAnsi="Times New Roman"/>
          <w:color w:val="auto"/>
          <w:sz w:val="20"/>
          <w:szCs w:val="20"/>
        </w:rPr>
        <w:lastRenderedPageBreak/>
        <w:t>Annex</w:t>
      </w:r>
      <w:r w:rsidR="008A08BF">
        <w:rPr>
          <w:rFonts w:ascii="Times New Roman" w:hAnsi="Times New Roman"/>
          <w:color w:val="auto"/>
          <w:sz w:val="20"/>
          <w:szCs w:val="20"/>
        </w:rPr>
        <w:t xml:space="preserve"> I</w:t>
      </w:r>
      <w:r w:rsidR="00B779BB">
        <w:rPr>
          <w:rFonts w:ascii="Times New Roman" w:hAnsi="Times New Roman"/>
          <w:color w:val="auto"/>
          <w:sz w:val="20"/>
          <w:szCs w:val="20"/>
        </w:rPr>
        <w:t>.</w:t>
      </w:r>
      <w:r w:rsidRPr="005D3A5A">
        <w:rPr>
          <w:rFonts w:ascii="Times New Roman" w:hAnsi="Times New Roman"/>
          <w:color w:val="auto"/>
          <w:sz w:val="20"/>
          <w:szCs w:val="20"/>
        </w:rPr>
        <w:t xml:space="preserve"> </w:t>
      </w:r>
      <w:r w:rsidR="00C7509E">
        <w:rPr>
          <w:rFonts w:ascii="Times New Roman" w:hAnsi="Times New Roman"/>
          <w:color w:val="auto"/>
          <w:sz w:val="20"/>
          <w:szCs w:val="20"/>
        </w:rPr>
        <w:t xml:space="preserve">Additional </w:t>
      </w:r>
      <w:r w:rsidR="00B779BB" w:rsidRPr="005D3A5A">
        <w:rPr>
          <w:rFonts w:ascii="Times New Roman" w:hAnsi="Times New Roman"/>
          <w:color w:val="auto"/>
          <w:sz w:val="20"/>
          <w:szCs w:val="20"/>
        </w:rPr>
        <w:t xml:space="preserve">support to </w:t>
      </w:r>
      <w:r w:rsidR="00264497">
        <w:rPr>
          <w:rFonts w:ascii="Times New Roman" w:hAnsi="Times New Roman"/>
          <w:color w:val="auto"/>
          <w:sz w:val="20"/>
          <w:szCs w:val="20"/>
        </w:rPr>
        <w:t>decent</w:t>
      </w:r>
      <w:r w:rsidR="009067AF">
        <w:rPr>
          <w:rFonts w:ascii="Times New Roman" w:hAnsi="Times New Roman"/>
          <w:color w:val="auto"/>
          <w:sz w:val="20"/>
          <w:szCs w:val="20"/>
        </w:rPr>
        <w:t>r</w:t>
      </w:r>
      <w:r w:rsidR="00264497">
        <w:rPr>
          <w:rFonts w:ascii="Times New Roman" w:hAnsi="Times New Roman"/>
          <w:color w:val="auto"/>
          <w:sz w:val="20"/>
          <w:szCs w:val="20"/>
        </w:rPr>
        <w:t>alized</w:t>
      </w:r>
      <w:r w:rsidR="00B779BB" w:rsidRPr="005D3A5A">
        <w:rPr>
          <w:rFonts w:ascii="Times New Roman" w:hAnsi="Times New Roman"/>
          <w:color w:val="auto"/>
          <w:sz w:val="20"/>
          <w:szCs w:val="20"/>
        </w:rPr>
        <w:t xml:space="preserve"> evaluations </w:t>
      </w:r>
      <w:r w:rsidR="00B61BAD" w:rsidRPr="005D3A5A">
        <w:rPr>
          <w:rFonts w:ascii="Times New Roman" w:hAnsi="Times New Roman"/>
          <w:color w:val="auto"/>
          <w:sz w:val="20"/>
          <w:szCs w:val="20"/>
        </w:rPr>
        <w:t xml:space="preserve">from </w:t>
      </w:r>
      <w:r w:rsidR="00265C87" w:rsidRPr="005D3A5A">
        <w:rPr>
          <w:rFonts w:ascii="Times New Roman" w:hAnsi="Times New Roman"/>
          <w:color w:val="auto"/>
          <w:sz w:val="20"/>
          <w:szCs w:val="20"/>
        </w:rPr>
        <w:t>2018 to 2021</w:t>
      </w:r>
      <w:bookmarkEnd w:id="19"/>
    </w:p>
    <w:p w14:paraId="2BC626CB" w14:textId="77777777" w:rsidR="00FB6BBC" w:rsidRPr="00D95432" w:rsidRDefault="00FB6BBC" w:rsidP="00210A2A">
      <w:pPr>
        <w:spacing w:before="0" w:after="0"/>
        <w:jc w:val="both"/>
      </w:pPr>
    </w:p>
    <w:p w14:paraId="24915071" w14:textId="7A585535" w:rsidR="00CB5054" w:rsidRPr="00B779BB" w:rsidRDefault="00B779BB" w:rsidP="00B779BB">
      <w:pPr>
        <w:spacing w:before="0" w:after="0" w:line="240" w:lineRule="auto"/>
        <w:jc w:val="both"/>
        <w:rPr>
          <w:rFonts w:ascii="Times New Roman" w:hAnsi="Times New Roman"/>
          <w:sz w:val="20"/>
          <w:szCs w:val="20"/>
        </w:rPr>
      </w:pPr>
      <w:r>
        <w:rPr>
          <w:rFonts w:ascii="Times New Roman" w:hAnsi="Times New Roman"/>
          <w:sz w:val="20"/>
          <w:szCs w:val="20"/>
        </w:rPr>
        <w:t xml:space="preserve">1. </w:t>
      </w:r>
      <w:r w:rsidR="00FE65CA" w:rsidRPr="00B779BB">
        <w:rPr>
          <w:rFonts w:ascii="Times New Roman" w:hAnsi="Times New Roman"/>
          <w:sz w:val="20"/>
          <w:szCs w:val="20"/>
        </w:rPr>
        <w:t xml:space="preserve">Between 2018 and 2021, UNDP and IEO have responded to concerns </w:t>
      </w:r>
      <w:r>
        <w:rPr>
          <w:rFonts w:ascii="Times New Roman" w:hAnsi="Times New Roman"/>
          <w:sz w:val="20"/>
          <w:szCs w:val="20"/>
        </w:rPr>
        <w:t>of</w:t>
      </w:r>
      <w:r w:rsidRPr="00B779BB">
        <w:rPr>
          <w:rFonts w:ascii="Times New Roman" w:hAnsi="Times New Roman"/>
          <w:sz w:val="20"/>
          <w:szCs w:val="20"/>
        </w:rPr>
        <w:t xml:space="preserve"> </w:t>
      </w:r>
      <w:r w:rsidR="00FE65CA" w:rsidRPr="00B779BB">
        <w:rPr>
          <w:rFonts w:ascii="Times New Roman" w:hAnsi="Times New Roman"/>
          <w:sz w:val="20"/>
          <w:szCs w:val="20"/>
        </w:rPr>
        <w:t>the Executive Board on the coverage and quality of decentrali</w:t>
      </w:r>
      <w:r w:rsidR="00264497">
        <w:rPr>
          <w:rFonts w:ascii="Times New Roman" w:hAnsi="Times New Roman"/>
          <w:sz w:val="20"/>
          <w:szCs w:val="20"/>
        </w:rPr>
        <w:t>z</w:t>
      </w:r>
      <w:r w:rsidR="00FE65CA" w:rsidRPr="00B779BB">
        <w:rPr>
          <w:rFonts w:ascii="Times New Roman" w:hAnsi="Times New Roman"/>
          <w:sz w:val="20"/>
          <w:szCs w:val="20"/>
        </w:rPr>
        <w:t xml:space="preserve">ed evaluations by undertaking </w:t>
      </w:r>
      <w:r w:rsidR="00CD1F69" w:rsidRPr="00B779BB">
        <w:rPr>
          <w:rFonts w:ascii="Times New Roman" w:hAnsi="Times New Roman"/>
          <w:sz w:val="20"/>
          <w:szCs w:val="20"/>
        </w:rPr>
        <w:t xml:space="preserve">a series of </w:t>
      </w:r>
      <w:r w:rsidR="00FE65CA" w:rsidRPr="00B779BB">
        <w:rPr>
          <w:rFonts w:ascii="Times New Roman" w:hAnsi="Times New Roman"/>
          <w:sz w:val="20"/>
          <w:szCs w:val="20"/>
        </w:rPr>
        <w:t xml:space="preserve">steps to support country offices in </w:t>
      </w:r>
      <w:r w:rsidR="00264497">
        <w:rPr>
          <w:rFonts w:ascii="Times New Roman" w:hAnsi="Times New Roman"/>
          <w:sz w:val="20"/>
          <w:szCs w:val="20"/>
        </w:rPr>
        <w:t xml:space="preserve">undertaking </w:t>
      </w:r>
      <w:r w:rsidR="00FE65CA" w:rsidRPr="00B779BB">
        <w:rPr>
          <w:rFonts w:ascii="Times New Roman" w:hAnsi="Times New Roman"/>
          <w:sz w:val="20"/>
          <w:szCs w:val="20"/>
        </w:rPr>
        <w:t>evaluation</w:t>
      </w:r>
      <w:r w:rsidR="00264497">
        <w:rPr>
          <w:rFonts w:ascii="Times New Roman" w:hAnsi="Times New Roman"/>
          <w:sz w:val="20"/>
          <w:szCs w:val="20"/>
        </w:rPr>
        <w:t>s</w:t>
      </w:r>
      <w:r w:rsidR="00FE65CA" w:rsidRPr="00B779BB">
        <w:rPr>
          <w:rFonts w:ascii="Times New Roman" w:hAnsi="Times New Roman"/>
          <w:sz w:val="20"/>
          <w:szCs w:val="20"/>
        </w:rPr>
        <w:t xml:space="preserve"> </w:t>
      </w:r>
      <w:r w:rsidR="00264497">
        <w:rPr>
          <w:rFonts w:ascii="Times New Roman" w:hAnsi="Times New Roman"/>
          <w:sz w:val="20"/>
          <w:szCs w:val="20"/>
        </w:rPr>
        <w:t xml:space="preserve">and by providing </w:t>
      </w:r>
      <w:r w:rsidR="00FE65CA" w:rsidRPr="00B779BB">
        <w:rPr>
          <w:rFonts w:ascii="Times New Roman" w:hAnsi="Times New Roman"/>
          <w:sz w:val="20"/>
          <w:szCs w:val="20"/>
        </w:rPr>
        <w:t xml:space="preserve">oversight of </w:t>
      </w:r>
      <w:r w:rsidR="00264497">
        <w:rPr>
          <w:rFonts w:ascii="Times New Roman" w:hAnsi="Times New Roman"/>
          <w:sz w:val="20"/>
          <w:szCs w:val="20"/>
        </w:rPr>
        <w:t>decentralized</w:t>
      </w:r>
      <w:r w:rsidR="00FE65CA" w:rsidRPr="00B779BB">
        <w:rPr>
          <w:rFonts w:ascii="Times New Roman" w:hAnsi="Times New Roman"/>
          <w:sz w:val="20"/>
          <w:szCs w:val="20"/>
        </w:rPr>
        <w:t xml:space="preserve"> evaluation</w:t>
      </w:r>
      <w:r w:rsidR="00264497">
        <w:rPr>
          <w:rFonts w:ascii="Times New Roman" w:hAnsi="Times New Roman"/>
          <w:sz w:val="20"/>
          <w:szCs w:val="20"/>
        </w:rPr>
        <w:t>s</w:t>
      </w:r>
      <w:r w:rsidR="00FE65CA" w:rsidRPr="00B779BB">
        <w:rPr>
          <w:rFonts w:ascii="Times New Roman" w:hAnsi="Times New Roman"/>
          <w:sz w:val="20"/>
          <w:szCs w:val="20"/>
        </w:rPr>
        <w:t xml:space="preserve">. </w:t>
      </w:r>
    </w:p>
    <w:p w14:paraId="5B270D35" w14:textId="77777777" w:rsidR="00FB6BBC" w:rsidRDefault="00FB6BBC" w:rsidP="00210A2A">
      <w:pPr>
        <w:spacing w:before="0" w:after="0" w:line="240" w:lineRule="auto"/>
        <w:ind w:left="567" w:hanging="567"/>
        <w:jc w:val="both"/>
        <w:rPr>
          <w:rFonts w:ascii="Times New Roman" w:hAnsi="Times New Roman"/>
          <w:b/>
          <w:bCs/>
          <w:sz w:val="20"/>
          <w:szCs w:val="20"/>
          <w:u w:val="single"/>
        </w:rPr>
      </w:pPr>
    </w:p>
    <w:p w14:paraId="00636BCC" w14:textId="1BC36C16" w:rsidR="00CB5054" w:rsidRPr="007640B3" w:rsidRDefault="00265C87" w:rsidP="00210A2A">
      <w:pPr>
        <w:spacing w:before="0" w:after="0" w:line="240" w:lineRule="auto"/>
        <w:ind w:left="567" w:hanging="567"/>
        <w:jc w:val="both"/>
        <w:rPr>
          <w:rFonts w:ascii="Times New Roman" w:hAnsi="Times New Roman"/>
          <w:b/>
          <w:bCs/>
          <w:sz w:val="20"/>
          <w:szCs w:val="20"/>
        </w:rPr>
      </w:pPr>
      <w:r w:rsidRPr="007640B3">
        <w:rPr>
          <w:rFonts w:ascii="Times New Roman" w:hAnsi="Times New Roman"/>
          <w:b/>
          <w:bCs/>
          <w:sz w:val="20"/>
          <w:szCs w:val="20"/>
        </w:rPr>
        <w:t xml:space="preserve">Evaluation </w:t>
      </w:r>
      <w:r w:rsidR="00264497" w:rsidRPr="007640B3">
        <w:rPr>
          <w:rFonts w:ascii="Times New Roman" w:hAnsi="Times New Roman"/>
          <w:b/>
          <w:bCs/>
          <w:sz w:val="20"/>
          <w:szCs w:val="20"/>
        </w:rPr>
        <w:t>g</w:t>
      </w:r>
      <w:r w:rsidRPr="007640B3">
        <w:rPr>
          <w:rFonts w:ascii="Times New Roman" w:hAnsi="Times New Roman"/>
          <w:b/>
          <w:bCs/>
          <w:sz w:val="20"/>
          <w:szCs w:val="20"/>
        </w:rPr>
        <w:t>uidelines</w:t>
      </w:r>
    </w:p>
    <w:p w14:paraId="55511188" w14:textId="77777777" w:rsidR="00FB6BBC" w:rsidRPr="005D3A5A" w:rsidRDefault="00FB6BBC" w:rsidP="00210A2A">
      <w:pPr>
        <w:spacing w:before="0" w:after="0" w:line="240" w:lineRule="auto"/>
        <w:ind w:left="567" w:hanging="567"/>
        <w:jc w:val="both"/>
        <w:rPr>
          <w:rFonts w:ascii="Times New Roman" w:hAnsi="Times New Roman"/>
          <w:b/>
          <w:bCs/>
          <w:sz w:val="20"/>
          <w:szCs w:val="20"/>
          <w:u w:val="single"/>
        </w:rPr>
      </w:pPr>
    </w:p>
    <w:p w14:paraId="725FBB30" w14:textId="0BE8C4D2" w:rsidR="00CB5054" w:rsidRPr="00264497" w:rsidRDefault="00264497" w:rsidP="00264497">
      <w:pPr>
        <w:spacing w:before="0" w:after="0" w:line="240" w:lineRule="auto"/>
        <w:jc w:val="both"/>
        <w:rPr>
          <w:rFonts w:ascii="Times New Roman" w:hAnsi="Times New Roman"/>
          <w:sz w:val="20"/>
          <w:szCs w:val="20"/>
        </w:rPr>
      </w:pPr>
      <w:r w:rsidRPr="00264497">
        <w:rPr>
          <w:rFonts w:ascii="Times New Roman" w:hAnsi="Times New Roman"/>
          <w:sz w:val="20"/>
          <w:szCs w:val="20"/>
        </w:rPr>
        <w:t xml:space="preserve">2. </w:t>
      </w:r>
      <w:r w:rsidR="00265C87" w:rsidRPr="00264497">
        <w:rPr>
          <w:rFonts w:ascii="Times New Roman" w:hAnsi="Times New Roman"/>
          <w:b/>
          <w:bCs/>
          <w:sz w:val="20"/>
          <w:szCs w:val="20"/>
        </w:rPr>
        <w:t>New UNDP Evaluation Guidelines (IEO, Regional Bureau</w:t>
      </w:r>
      <w:r w:rsidR="00CB5054" w:rsidRPr="00264497">
        <w:rPr>
          <w:rFonts w:ascii="Times New Roman" w:hAnsi="Times New Roman"/>
          <w:b/>
          <w:bCs/>
          <w:sz w:val="20"/>
          <w:szCs w:val="20"/>
        </w:rPr>
        <w:t>x</w:t>
      </w:r>
      <w:r w:rsidR="00265C87" w:rsidRPr="00264497">
        <w:rPr>
          <w:rFonts w:ascii="Times New Roman" w:hAnsi="Times New Roman"/>
          <w:b/>
          <w:bCs/>
          <w:sz w:val="20"/>
          <w:szCs w:val="20"/>
        </w:rPr>
        <w:t xml:space="preserve"> and BPPS, 2019)</w:t>
      </w:r>
      <w:r>
        <w:rPr>
          <w:rFonts w:ascii="Times New Roman" w:hAnsi="Times New Roman"/>
          <w:b/>
          <w:bCs/>
          <w:sz w:val="20"/>
          <w:szCs w:val="20"/>
        </w:rPr>
        <w:t>.</w:t>
      </w:r>
      <w:r w:rsidR="00265C87" w:rsidRPr="00264497">
        <w:rPr>
          <w:rFonts w:ascii="Times New Roman" w:hAnsi="Times New Roman"/>
          <w:sz w:val="20"/>
          <w:szCs w:val="20"/>
        </w:rPr>
        <w:t xml:space="preserve"> The evaluation guidelines were updated to reflect changes in evaluation in UNDP and to bring them in line with the </w:t>
      </w:r>
      <w:r>
        <w:rPr>
          <w:rFonts w:ascii="Times New Roman" w:hAnsi="Times New Roman"/>
          <w:sz w:val="20"/>
          <w:szCs w:val="20"/>
        </w:rPr>
        <w:t>S</w:t>
      </w:r>
      <w:r w:rsidR="00265C87" w:rsidRPr="00264497">
        <w:rPr>
          <w:rFonts w:ascii="Times New Roman" w:hAnsi="Times New Roman"/>
          <w:sz w:val="20"/>
          <w:szCs w:val="20"/>
        </w:rPr>
        <w:t xml:space="preserve">trategic </w:t>
      </w:r>
      <w:r>
        <w:rPr>
          <w:rFonts w:ascii="Times New Roman" w:hAnsi="Times New Roman"/>
          <w:sz w:val="20"/>
          <w:szCs w:val="20"/>
        </w:rPr>
        <w:t>P</w:t>
      </w:r>
      <w:r w:rsidR="00265C87" w:rsidRPr="00264497">
        <w:rPr>
          <w:rFonts w:ascii="Times New Roman" w:hAnsi="Times New Roman"/>
          <w:sz w:val="20"/>
          <w:szCs w:val="20"/>
        </w:rPr>
        <w:t>lan, 2018-2021 and the 2030 Agenda</w:t>
      </w:r>
      <w:r>
        <w:rPr>
          <w:rFonts w:ascii="Times New Roman" w:hAnsi="Times New Roman"/>
          <w:sz w:val="20"/>
          <w:szCs w:val="20"/>
        </w:rPr>
        <w:t xml:space="preserve"> for Sustainable Development</w:t>
      </w:r>
      <w:r w:rsidR="00265C87" w:rsidRPr="00264497">
        <w:rPr>
          <w:rFonts w:ascii="Times New Roman" w:hAnsi="Times New Roman"/>
          <w:sz w:val="20"/>
          <w:szCs w:val="20"/>
        </w:rPr>
        <w:t xml:space="preserve">. </w:t>
      </w:r>
      <w:r w:rsidR="008B6F32" w:rsidRPr="009067AF">
        <w:rPr>
          <w:rFonts w:ascii="Times New Roman" w:hAnsi="Times New Roman"/>
          <w:sz w:val="20"/>
          <w:szCs w:val="20"/>
        </w:rPr>
        <w:t xml:space="preserve">The guidelines </w:t>
      </w:r>
      <w:r w:rsidR="00210A2A" w:rsidRPr="009067AF">
        <w:rPr>
          <w:rFonts w:ascii="Times New Roman" w:hAnsi="Times New Roman"/>
          <w:sz w:val="20"/>
          <w:szCs w:val="20"/>
        </w:rPr>
        <w:t>were updated</w:t>
      </w:r>
      <w:r w:rsidR="008B6F32" w:rsidRPr="009067AF">
        <w:rPr>
          <w:rFonts w:ascii="Times New Roman" w:hAnsi="Times New Roman"/>
          <w:sz w:val="20"/>
          <w:szCs w:val="20"/>
        </w:rPr>
        <w:t xml:space="preserve"> in 2021</w:t>
      </w:r>
      <w:r w:rsidR="008B6F32" w:rsidRPr="00264497">
        <w:rPr>
          <w:rFonts w:ascii="Times New Roman" w:hAnsi="Times New Roman"/>
          <w:sz w:val="20"/>
          <w:szCs w:val="20"/>
        </w:rPr>
        <w:t xml:space="preserve"> </w:t>
      </w:r>
      <w:r w:rsidR="00265C87" w:rsidRPr="00264497">
        <w:rPr>
          <w:rFonts w:ascii="Times New Roman" w:hAnsi="Times New Roman"/>
          <w:sz w:val="20"/>
          <w:szCs w:val="20"/>
        </w:rPr>
        <w:t>to reflect recent policy changes</w:t>
      </w:r>
      <w:r w:rsidR="009067AF">
        <w:rPr>
          <w:rFonts w:ascii="Times New Roman" w:hAnsi="Times New Roman"/>
          <w:sz w:val="20"/>
          <w:szCs w:val="20"/>
        </w:rPr>
        <w:t xml:space="preserve"> </w:t>
      </w:r>
      <w:r w:rsidR="009067AF" w:rsidRPr="00264497">
        <w:rPr>
          <w:rFonts w:ascii="Times New Roman" w:hAnsi="Times New Roman"/>
          <w:sz w:val="20"/>
          <w:szCs w:val="20"/>
        </w:rPr>
        <w:t>–</w:t>
      </w:r>
      <w:r w:rsidR="00265C87" w:rsidRPr="00264497">
        <w:rPr>
          <w:rFonts w:ascii="Times New Roman" w:hAnsi="Times New Roman"/>
          <w:sz w:val="20"/>
          <w:szCs w:val="20"/>
        </w:rPr>
        <w:t xml:space="preserve"> including the </w:t>
      </w:r>
      <w:r w:rsidR="009067AF" w:rsidRPr="00264497">
        <w:rPr>
          <w:rFonts w:ascii="Times New Roman" w:hAnsi="Times New Roman"/>
          <w:sz w:val="20"/>
          <w:szCs w:val="20"/>
        </w:rPr>
        <w:t xml:space="preserve">gender equality strategy </w:t>
      </w:r>
      <w:r w:rsidR="00265C87" w:rsidRPr="00264497">
        <w:rPr>
          <w:rFonts w:ascii="Times New Roman" w:hAnsi="Times New Roman"/>
          <w:sz w:val="20"/>
          <w:szCs w:val="20"/>
        </w:rPr>
        <w:t>2018-</w:t>
      </w:r>
      <w:r w:rsidR="00CB5054" w:rsidRPr="00264497">
        <w:rPr>
          <w:rFonts w:ascii="Times New Roman" w:hAnsi="Times New Roman"/>
          <w:sz w:val="20"/>
          <w:szCs w:val="20"/>
        </w:rPr>
        <w:t>20</w:t>
      </w:r>
      <w:r w:rsidR="00265C87" w:rsidRPr="00264497">
        <w:rPr>
          <w:rFonts w:ascii="Times New Roman" w:hAnsi="Times New Roman"/>
          <w:sz w:val="20"/>
          <w:szCs w:val="20"/>
        </w:rPr>
        <w:t xml:space="preserve">21, the </w:t>
      </w:r>
      <w:r w:rsidR="009067AF" w:rsidRPr="00264497">
        <w:rPr>
          <w:rFonts w:ascii="Times New Roman" w:hAnsi="Times New Roman"/>
          <w:sz w:val="20"/>
          <w:szCs w:val="20"/>
        </w:rPr>
        <w:t>guidance note on disability</w:t>
      </w:r>
      <w:r w:rsidR="009067AF">
        <w:rPr>
          <w:rFonts w:ascii="Times New Roman" w:hAnsi="Times New Roman"/>
          <w:sz w:val="20"/>
          <w:szCs w:val="20"/>
        </w:rPr>
        <w:t>-</w:t>
      </w:r>
      <w:r w:rsidR="009067AF" w:rsidRPr="00264497">
        <w:rPr>
          <w:rFonts w:ascii="Times New Roman" w:hAnsi="Times New Roman"/>
          <w:sz w:val="20"/>
          <w:szCs w:val="20"/>
        </w:rPr>
        <w:t>inclusive development</w:t>
      </w:r>
      <w:r w:rsidR="009067AF">
        <w:rPr>
          <w:rFonts w:ascii="Times New Roman" w:hAnsi="Times New Roman"/>
          <w:sz w:val="20"/>
          <w:szCs w:val="20"/>
        </w:rPr>
        <w:t xml:space="preserve"> </w:t>
      </w:r>
      <w:r w:rsidR="009067AF" w:rsidRPr="00264497">
        <w:rPr>
          <w:rFonts w:ascii="Times New Roman" w:hAnsi="Times New Roman"/>
          <w:sz w:val="20"/>
          <w:szCs w:val="20"/>
        </w:rPr>
        <w:t xml:space="preserve">and the 2020 social and environmental standards </w:t>
      </w:r>
      <w:r w:rsidR="00265C87" w:rsidRPr="00264497">
        <w:rPr>
          <w:rFonts w:ascii="Times New Roman" w:hAnsi="Times New Roman"/>
          <w:sz w:val="20"/>
          <w:szCs w:val="20"/>
        </w:rPr>
        <w:t xml:space="preserve">– and recurrent weaknesses observed in evaluations, as well as the feedback received by colleagues through training and interviews. The evaluation guidelines are available in all six </w:t>
      </w:r>
      <w:r w:rsidR="009067AF">
        <w:rPr>
          <w:rFonts w:ascii="Times New Roman" w:hAnsi="Times New Roman"/>
          <w:sz w:val="20"/>
          <w:szCs w:val="20"/>
        </w:rPr>
        <w:t xml:space="preserve">official </w:t>
      </w:r>
      <w:r w:rsidR="00265C87" w:rsidRPr="00264497">
        <w:rPr>
          <w:rFonts w:ascii="Times New Roman" w:hAnsi="Times New Roman"/>
          <w:sz w:val="20"/>
          <w:szCs w:val="20"/>
        </w:rPr>
        <w:t>U</w:t>
      </w:r>
      <w:r w:rsidR="009067AF">
        <w:rPr>
          <w:rFonts w:ascii="Times New Roman" w:hAnsi="Times New Roman"/>
          <w:sz w:val="20"/>
          <w:szCs w:val="20"/>
        </w:rPr>
        <w:t xml:space="preserve">nited </w:t>
      </w:r>
      <w:r w:rsidR="00265C87" w:rsidRPr="00264497">
        <w:rPr>
          <w:rFonts w:ascii="Times New Roman" w:hAnsi="Times New Roman"/>
          <w:sz w:val="20"/>
          <w:szCs w:val="20"/>
        </w:rPr>
        <w:t>N</w:t>
      </w:r>
      <w:r w:rsidR="009067AF">
        <w:rPr>
          <w:rFonts w:ascii="Times New Roman" w:hAnsi="Times New Roman"/>
          <w:sz w:val="20"/>
          <w:szCs w:val="20"/>
        </w:rPr>
        <w:t>ations</w:t>
      </w:r>
      <w:r w:rsidR="00265C87" w:rsidRPr="00264497">
        <w:rPr>
          <w:rFonts w:ascii="Times New Roman" w:hAnsi="Times New Roman"/>
          <w:sz w:val="20"/>
          <w:szCs w:val="20"/>
        </w:rPr>
        <w:t xml:space="preserve"> languages (Arabic, Chinese, English, French, Russian and Spanish).</w:t>
      </w:r>
    </w:p>
    <w:p w14:paraId="79FB17E4" w14:textId="77777777" w:rsidR="00FB6BBC" w:rsidRPr="005D3A5A" w:rsidRDefault="00FB6BBC" w:rsidP="00210A2A">
      <w:pPr>
        <w:pStyle w:val="ListParagraph"/>
        <w:spacing w:before="0" w:after="0" w:line="240" w:lineRule="auto"/>
        <w:ind w:left="360"/>
        <w:contextualSpacing w:val="0"/>
        <w:jc w:val="both"/>
        <w:rPr>
          <w:rFonts w:ascii="Times New Roman" w:hAnsi="Times New Roman"/>
          <w:sz w:val="20"/>
          <w:szCs w:val="20"/>
        </w:rPr>
      </w:pPr>
    </w:p>
    <w:p w14:paraId="16DC85F8" w14:textId="77777777" w:rsidR="009067AF" w:rsidRDefault="009067AF" w:rsidP="009067AF">
      <w:pPr>
        <w:pStyle w:val="ListParagraph"/>
        <w:spacing w:before="0" w:after="0" w:line="240" w:lineRule="auto"/>
        <w:ind w:left="360"/>
        <w:contextualSpacing w:val="0"/>
        <w:jc w:val="both"/>
        <w:rPr>
          <w:rFonts w:ascii="Times New Roman" w:hAnsi="Times New Roman"/>
          <w:b/>
          <w:bCs/>
          <w:sz w:val="20"/>
          <w:szCs w:val="20"/>
        </w:rPr>
      </w:pPr>
    </w:p>
    <w:p w14:paraId="0CFF305D" w14:textId="3599FD32" w:rsidR="00CB5054" w:rsidRDefault="009067AF" w:rsidP="009067AF">
      <w:pPr>
        <w:pStyle w:val="ListParagraph"/>
        <w:spacing w:before="0" w:after="0" w:line="240" w:lineRule="auto"/>
        <w:ind w:left="0"/>
        <w:contextualSpacing w:val="0"/>
        <w:jc w:val="both"/>
        <w:rPr>
          <w:rFonts w:ascii="Times New Roman" w:hAnsi="Times New Roman"/>
          <w:sz w:val="20"/>
          <w:szCs w:val="20"/>
        </w:rPr>
      </w:pPr>
      <w:r w:rsidRPr="009067AF">
        <w:rPr>
          <w:rFonts w:ascii="Times New Roman" w:hAnsi="Times New Roman"/>
          <w:sz w:val="20"/>
          <w:szCs w:val="20"/>
        </w:rPr>
        <w:t xml:space="preserve">3. </w:t>
      </w:r>
      <w:r>
        <w:rPr>
          <w:rFonts w:ascii="Times New Roman" w:hAnsi="Times New Roman"/>
          <w:b/>
          <w:bCs/>
          <w:sz w:val="20"/>
          <w:szCs w:val="20"/>
        </w:rPr>
        <w:t xml:space="preserve"> </w:t>
      </w:r>
      <w:r w:rsidR="00265C87" w:rsidRPr="005D3A5A">
        <w:rPr>
          <w:rFonts w:ascii="Times New Roman" w:hAnsi="Times New Roman"/>
          <w:b/>
          <w:bCs/>
          <w:sz w:val="20"/>
          <w:szCs w:val="20"/>
        </w:rPr>
        <w:t xml:space="preserve">COVID-19 </w:t>
      </w:r>
      <w:r w:rsidRPr="005D3A5A">
        <w:rPr>
          <w:rFonts w:ascii="Times New Roman" w:hAnsi="Times New Roman"/>
          <w:b/>
          <w:bCs/>
          <w:sz w:val="20"/>
          <w:szCs w:val="20"/>
        </w:rPr>
        <w:t>evaluation g</w:t>
      </w:r>
      <w:r w:rsidR="00265C87" w:rsidRPr="005D3A5A">
        <w:rPr>
          <w:rFonts w:ascii="Times New Roman" w:hAnsi="Times New Roman"/>
          <w:b/>
          <w:bCs/>
          <w:sz w:val="20"/>
          <w:szCs w:val="20"/>
        </w:rPr>
        <w:t xml:space="preserve">uidance (IEO, </w:t>
      </w:r>
      <w:r w:rsidR="00490AA5">
        <w:rPr>
          <w:rFonts w:ascii="Times New Roman" w:hAnsi="Times New Roman"/>
          <w:b/>
          <w:bCs/>
          <w:sz w:val="20"/>
          <w:szCs w:val="20"/>
        </w:rPr>
        <w:t xml:space="preserve">GEF </w:t>
      </w:r>
      <w:r w:rsidR="00265C87" w:rsidRPr="005D3A5A">
        <w:rPr>
          <w:rFonts w:ascii="Times New Roman" w:hAnsi="Times New Roman"/>
          <w:b/>
          <w:bCs/>
          <w:sz w:val="20"/>
          <w:szCs w:val="20"/>
        </w:rPr>
        <w:t xml:space="preserve">and </w:t>
      </w:r>
      <w:r w:rsidR="00490AA5" w:rsidRPr="005D3A5A">
        <w:rPr>
          <w:rFonts w:ascii="Times New Roman" w:hAnsi="Times New Roman"/>
          <w:b/>
          <w:bCs/>
          <w:sz w:val="20"/>
          <w:szCs w:val="20"/>
        </w:rPr>
        <w:t>regional b</w:t>
      </w:r>
      <w:r w:rsidR="00265C87" w:rsidRPr="005D3A5A">
        <w:rPr>
          <w:rFonts w:ascii="Times New Roman" w:hAnsi="Times New Roman"/>
          <w:b/>
          <w:bCs/>
          <w:sz w:val="20"/>
          <w:szCs w:val="20"/>
        </w:rPr>
        <w:t>ureau</w:t>
      </w:r>
      <w:r w:rsidR="00CB5054" w:rsidRPr="005D3A5A">
        <w:rPr>
          <w:rFonts w:ascii="Times New Roman" w:hAnsi="Times New Roman"/>
          <w:b/>
          <w:bCs/>
          <w:sz w:val="20"/>
          <w:szCs w:val="20"/>
        </w:rPr>
        <w:t>x</w:t>
      </w:r>
      <w:r w:rsidR="00265C87" w:rsidRPr="005D3A5A">
        <w:rPr>
          <w:rFonts w:ascii="Times New Roman" w:hAnsi="Times New Roman"/>
          <w:b/>
          <w:bCs/>
          <w:sz w:val="20"/>
          <w:szCs w:val="20"/>
        </w:rPr>
        <w:t>, 2020</w:t>
      </w:r>
      <w:r w:rsidR="00CB5054" w:rsidRPr="005D3A5A">
        <w:rPr>
          <w:rFonts w:ascii="Times New Roman" w:hAnsi="Times New Roman"/>
          <w:b/>
          <w:bCs/>
          <w:sz w:val="20"/>
          <w:szCs w:val="20"/>
        </w:rPr>
        <w:t>-2021</w:t>
      </w:r>
      <w:r w:rsidR="00265C87" w:rsidRPr="005D3A5A">
        <w:rPr>
          <w:rFonts w:ascii="Times New Roman" w:hAnsi="Times New Roman"/>
          <w:b/>
          <w:bCs/>
          <w:sz w:val="20"/>
          <w:szCs w:val="20"/>
        </w:rPr>
        <w:t>)</w:t>
      </w:r>
      <w:r w:rsidR="007640B3">
        <w:rPr>
          <w:rFonts w:ascii="Times New Roman" w:hAnsi="Times New Roman"/>
          <w:b/>
          <w:bCs/>
          <w:sz w:val="20"/>
          <w:szCs w:val="20"/>
        </w:rPr>
        <w:t>.</w:t>
      </w:r>
      <w:r w:rsidR="00265C87" w:rsidRPr="005D3A5A">
        <w:rPr>
          <w:rFonts w:ascii="Times New Roman" w:hAnsi="Times New Roman"/>
          <w:sz w:val="20"/>
          <w:szCs w:val="20"/>
        </w:rPr>
        <w:t xml:space="preserve"> The IEO worked closely with </w:t>
      </w:r>
      <w:r w:rsidR="00490AA5" w:rsidRPr="005D3A5A">
        <w:rPr>
          <w:rFonts w:ascii="Times New Roman" w:hAnsi="Times New Roman"/>
          <w:sz w:val="20"/>
          <w:szCs w:val="20"/>
        </w:rPr>
        <w:t xml:space="preserve">regional bureaux </w:t>
      </w:r>
      <w:r w:rsidR="00265C87" w:rsidRPr="005D3A5A">
        <w:rPr>
          <w:rFonts w:ascii="Times New Roman" w:hAnsi="Times New Roman"/>
          <w:sz w:val="20"/>
          <w:szCs w:val="20"/>
        </w:rPr>
        <w:t>in 2020 to develop and roll</w:t>
      </w:r>
      <w:r w:rsidR="00490AA5">
        <w:rPr>
          <w:rFonts w:ascii="Times New Roman" w:hAnsi="Times New Roman"/>
          <w:sz w:val="20"/>
          <w:szCs w:val="20"/>
        </w:rPr>
        <w:t xml:space="preserve"> </w:t>
      </w:r>
      <w:r w:rsidR="00265C87" w:rsidRPr="005D3A5A">
        <w:rPr>
          <w:rFonts w:ascii="Times New Roman" w:hAnsi="Times New Roman"/>
          <w:sz w:val="20"/>
          <w:szCs w:val="20"/>
        </w:rPr>
        <w:t xml:space="preserve">out COVID-19 </w:t>
      </w:r>
      <w:r w:rsidR="00490AA5">
        <w:rPr>
          <w:rFonts w:ascii="Times New Roman" w:hAnsi="Times New Roman"/>
          <w:sz w:val="20"/>
          <w:szCs w:val="20"/>
        </w:rPr>
        <w:t>e</w:t>
      </w:r>
      <w:r w:rsidR="00265C87" w:rsidRPr="005D3A5A">
        <w:rPr>
          <w:rFonts w:ascii="Times New Roman" w:hAnsi="Times New Roman"/>
          <w:sz w:val="20"/>
          <w:szCs w:val="20"/>
        </w:rPr>
        <w:t xml:space="preserve">valuation guidance to support </w:t>
      </w:r>
      <w:r w:rsidR="00CB5054" w:rsidRPr="005D3A5A">
        <w:rPr>
          <w:rFonts w:ascii="Times New Roman" w:hAnsi="Times New Roman"/>
          <w:sz w:val="20"/>
          <w:szCs w:val="20"/>
        </w:rPr>
        <w:t>c</w:t>
      </w:r>
      <w:r w:rsidR="00265C87" w:rsidRPr="005D3A5A">
        <w:rPr>
          <w:rFonts w:ascii="Times New Roman" w:hAnsi="Times New Roman"/>
          <w:sz w:val="20"/>
          <w:szCs w:val="20"/>
        </w:rPr>
        <w:t xml:space="preserve">ountry offices in adapting to the </w:t>
      </w:r>
      <w:r w:rsidR="00490AA5">
        <w:rPr>
          <w:rFonts w:ascii="Times New Roman" w:hAnsi="Times New Roman"/>
          <w:sz w:val="20"/>
          <w:szCs w:val="20"/>
        </w:rPr>
        <w:t xml:space="preserve">constraints imposed by the </w:t>
      </w:r>
      <w:r w:rsidR="00265C87" w:rsidRPr="005D3A5A">
        <w:rPr>
          <w:rFonts w:ascii="Times New Roman" w:hAnsi="Times New Roman"/>
          <w:sz w:val="20"/>
          <w:szCs w:val="20"/>
        </w:rPr>
        <w:t xml:space="preserve">pandemic and ensuring </w:t>
      </w:r>
      <w:r w:rsidR="00490AA5">
        <w:rPr>
          <w:rFonts w:ascii="Times New Roman" w:hAnsi="Times New Roman"/>
          <w:sz w:val="20"/>
          <w:szCs w:val="20"/>
        </w:rPr>
        <w:t xml:space="preserve">that </w:t>
      </w:r>
      <w:r w:rsidR="00265C87" w:rsidRPr="005D3A5A">
        <w:rPr>
          <w:rFonts w:ascii="Times New Roman" w:hAnsi="Times New Roman"/>
          <w:sz w:val="20"/>
          <w:szCs w:val="20"/>
        </w:rPr>
        <w:t xml:space="preserve">evaluation commitments were maintained. </w:t>
      </w:r>
    </w:p>
    <w:p w14:paraId="7B09EB22" w14:textId="77777777" w:rsidR="00FB6BBC" w:rsidRPr="00D95432" w:rsidRDefault="00FB6BBC" w:rsidP="00210A2A">
      <w:pPr>
        <w:spacing w:before="0" w:after="0" w:line="240" w:lineRule="auto"/>
        <w:jc w:val="both"/>
        <w:rPr>
          <w:rFonts w:ascii="Times New Roman" w:hAnsi="Times New Roman"/>
          <w:sz w:val="20"/>
          <w:szCs w:val="20"/>
        </w:rPr>
      </w:pPr>
    </w:p>
    <w:p w14:paraId="3B9E99C3" w14:textId="0B73FC8A" w:rsidR="00CB5054" w:rsidRPr="00490AA5" w:rsidRDefault="00490AA5" w:rsidP="00490AA5">
      <w:pPr>
        <w:spacing w:before="0" w:after="0" w:line="240" w:lineRule="auto"/>
        <w:jc w:val="both"/>
        <w:rPr>
          <w:rFonts w:ascii="Times New Roman" w:hAnsi="Times New Roman"/>
          <w:sz w:val="20"/>
          <w:szCs w:val="20"/>
        </w:rPr>
      </w:pPr>
      <w:r>
        <w:rPr>
          <w:rFonts w:ascii="Times New Roman" w:hAnsi="Times New Roman"/>
          <w:b/>
          <w:bCs/>
          <w:sz w:val="20"/>
          <w:szCs w:val="20"/>
        </w:rPr>
        <w:t xml:space="preserve">4. </w:t>
      </w:r>
      <w:r w:rsidR="00265C87" w:rsidRPr="00490AA5">
        <w:rPr>
          <w:rFonts w:ascii="Times New Roman" w:hAnsi="Times New Roman"/>
          <w:b/>
          <w:bCs/>
          <w:sz w:val="20"/>
          <w:szCs w:val="20"/>
        </w:rPr>
        <w:t>M&amp;E focal point induction package (IEO 2021)</w:t>
      </w:r>
      <w:r>
        <w:rPr>
          <w:rFonts w:ascii="Times New Roman" w:hAnsi="Times New Roman"/>
          <w:b/>
          <w:bCs/>
          <w:sz w:val="20"/>
          <w:szCs w:val="20"/>
        </w:rPr>
        <w:t>.</w:t>
      </w:r>
      <w:r w:rsidR="00265C87" w:rsidRPr="00490AA5">
        <w:rPr>
          <w:rFonts w:ascii="Times New Roman" w:hAnsi="Times New Roman"/>
          <w:sz w:val="20"/>
          <w:szCs w:val="20"/>
        </w:rPr>
        <w:t xml:space="preserve"> Recogni</w:t>
      </w:r>
      <w:r>
        <w:rPr>
          <w:rFonts w:ascii="Times New Roman" w:hAnsi="Times New Roman"/>
          <w:sz w:val="20"/>
          <w:szCs w:val="20"/>
        </w:rPr>
        <w:t>z</w:t>
      </w:r>
      <w:r w:rsidR="00265C87" w:rsidRPr="00490AA5">
        <w:rPr>
          <w:rFonts w:ascii="Times New Roman" w:hAnsi="Times New Roman"/>
          <w:sz w:val="20"/>
          <w:szCs w:val="20"/>
        </w:rPr>
        <w:t xml:space="preserve">ing the </w:t>
      </w:r>
      <w:r w:rsidR="00CB5054" w:rsidRPr="00490AA5">
        <w:rPr>
          <w:rFonts w:ascii="Times New Roman" w:hAnsi="Times New Roman"/>
          <w:sz w:val="20"/>
          <w:szCs w:val="20"/>
        </w:rPr>
        <w:t xml:space="preserve">need to equip </w:t>
      </w:r>
      <w:r w:rsidR="00265C87" w:rsidRPr="00490AA5">
        <w:rPr>
          <w:rFonts w:ascii="Times New Roman" w:hAnsi="Times New Roman"/>
          <w:sz w:val="20"/>
          <w:szCs w:val="20"/>
        </w:rPr>
        <w:t xml:space="preserve">new staff members responsible for evaluation in </w:t>
      </w:r>
      <w:r w:rsidRPr="00490AA5">
        <w:rPr>
          <w:rFonts w:ascii="Times New Roman" w:hAnsi="Times New Roman"/>
          <w:sz w:val="20"/>
          <w:szCs w:val="20"/>
        </w:rPr>
        <w:t>regional b</w:t>
      </w:r>
      <w:r w:rsidR="00724C29" w:rsidRPr="00490AA5">
        <w:rPr>
          <w:rFonts w:ascii="Times New Roman" w:hAnsi="Times New Roman"/>
          <w:sz w:val="20"/>
          <w:szCs w:val="20"/>
        </w:rPr>
        <w:t>ureaux</w:t>
      </w:r>
      <w:r w:rsidR="00265C87" w:rsidRPr="00490AA5">
        <w:rPr>
          <w:rFonts w:ascii="Times New Roman" w:hAnsi="Times New Roman"/>
          <w:sz w:val="20"/>
          <w:szCs w:val="20"/>
        </w:rPr>
        <w:t xml:space="preserve"> and </w:t>
      </w:r>
      <w:r w:rsidR="00CB5054" w:rsidRPr="00490AA5">
        <w:rPr>
          <w:rFonts w:ascii="Times New Roman" w:hAnsi="Times New Roman"/>
          <w:sz w:val="20"/>
          <w:szCs w:val="20"/>
        </w:rPr>
        <w:t>c</w:t>
      </w:r>
      <w:r w:rsidR="00265C87" w:rsidRPr="00490AA5">
        <w:rPr>
          <w:rFonts w:ascii="Times New Roman" w:hAnsi="Times New Roman"/>
          <w:sz w:val="20"/>
          <w:szCs w:val="20"/>
        </w:rPr>
        <w:t xml:space="preserve">ountry </w:t>
      </w:r>
      <w:r w:rsidR="00CB5054" w:rsidRPr="00490AA5">
        <w:rPr>
          <w:rFonts w:ascii="Times New Roman" w:hAnsi="Times New Roman"/>
          <w:sz w:val="20"/>
          <w:szCs w:val="20"/>
        </w:rPr>
        <w:t>o</w:t>
      </w:r>
      <w:r w:rsidR="00265C87" w:rsidRPr="00490AA5">
        <w:rPr>
          <w:rFonts w:ascii="Times New Roman" w:hAnsi="Times New Roman"/>
          <w:sz w:val="20"/>
          <w:szCs w:val="20"/>
        </w:rPr>
        <w:t>ffices</w:t>
      </w:r>
      <w:r w:rsidR="00CB5054" w:rsidRPr="00490AA5">
        <w:rPr>
          <w:rFonts w:ascii="Times New Roman" w:hAnsi="Times New Roman"/>
          <w:sz w:val="20"/>
          <w:szCs w:val="20"/>
        </w:rPr>
        <w:t xml:space="preserve"> with sufficient knowledge and technique </w:t>
      </w:r>
      <w:r>
        <w:rPr>
          <w:rFonts w:ascii="Times New Roman" w:hAnsi="Times New Roman"/>
          <w:sz w:val="20"/>
          <w:szCs w:val="20"/>
        </w:rPr>
        <w:t xml:space="preserve">to conduct </w:t>
      </w:r>
      <w:r w:rsidR="00CB5054" w:rsidRPr="00490AA5">
        <w:rPr>
          <w:rFonts w:ascii="Times New Roman" w:hAnsi="Times New Roman"/>
          <w:sz w:val="20"/>
          <w:szCs w:val="20"/>
        </w:rPr>
        <w:t>decentralized evaluations in UNDP</w:t>
      </w:r>
      <w:r w:rsidR="00265C87" w:rsidRPr="00490AA5">
        <w:rPr>
          <w:rFonts w:ascii="Times New Roman" w:hAnsi="Times New Roman"/>
          <w:sz w:val="20"/>
          <w:szCs w:val="20"/>
        </w:rPr>
        <w:t xml:space="preserve">, the IEO </w:t>
      </w:r>
      <w:r w:rsidR="00412E26" w:rsidRPr="00490AA5">
        <w:rPr>
          <w:rFonts w:ascii="Times New Roman" w:hAnsi="Times New Roman"/>
          <w:sz w:val="20"/>
          <w:szCs w:val="20"/>
        </w:rPr>
        <w:t>introduced</w:t>
      </w:r>
      <w:r w:rsidR="00265C87" w:rsidRPr="00490AA5">
        <w:rPr>
          <w:rFonts w:ascii="Times New Roman" w:hAnsi="Times New Roman"/>
          <w:sz w:val="20"/>
          <w:szCs w:val="20"/>
        </w:rPr>
        <w:t xml:space="preserve"> an induction package </w:t>
      </w:r>
      <w:r w:rsidR="00CB5054" w:rsidRPr="00490AA5">
        <w:rPr>
          <w:rFonts w:ascii="Times New Roman" w:hAnsi="Times New Roman"/>
          <w:sz w:val="20"/>
          <w:szCs w:val="20"/>
        </w:rPr>
        <w:t xml:space="preserve">that gives </w:t>
      </w:r>
      <w:r w:rsidR="00265C87" w:rsidRPr="00490AA5">
        <w:rPr>
          <w:rFonts w:ascii="Times New Roman" w:hAnsi="Times New Roman"/>
          <w:sz w:val="20"/>
          <w:szCs w:val="20"/>
        </w:rPr>
        <w:t xml:space="preserve">access to online </w:t>
      </w:r>
      <w:r w:rsidR="00210A2A" w:rsidRPr="00490AA5">
        <w:rPr>
          <w:rFonts w:ascii="Times New Roman" w:hAnsi="Times New Roman"/>
          <w:sz w:val="20"/>
          <w:szCs w:val="20"/>
        </w:rPr>
        <w:t>training</w:t>
      </w:r>
      <w:r w:rsidR="00265C87" w:rsidRPr="00490AA5">
        <w:rPr>
          <w:rFonts w:ascii="Times New Roman" w:hAnsi="Times New Roman"/>
          <w:sz w:val="20"/>
          <w:szCs w:val="20"/>
        </w:rPr>
        <w:t xml:space="preserve">, </w:t>
      </w:r>
      <w:r w:rsidR="00210A2A" w:rsidRPr="00490AA5">
        <w:rPr>
          <w:rFonts w:ascii="Times New Roman" w:hAnsi="Times New Roman"/>
          <w:sz w:val="20"/>
          <w:szCs w:val="20"/>
        </w:rPr>
        <w:t>guidance</w:t>
      </w:r>
      <w:r w:rsidR="00265C87" w:rsidRPr="00490AA5">
        <w:rPr>
          <w:rFonts w:ascii="Times New Roman" w:hAnsi="Times New Roman"/>
          <w:sz w:val="20"/>
          <w:szCs w:val="20"/>
        </w:rPr>
        <w:t xml:space="preserve"> and templates. </w:t>
      </w:r>
    </w:p>
    <w:p w14:paraId="5888A296" w14:textId="77777777" w:rsidR="00FB6BBC" w:rsidRPr="00D95432" w:rsidRDefault="00FB6BBC" w:rsidP="00210A2A">
      <w:pPr>
        <w:spacing w:before="0" w:after="0" w:line="240" w:lineRule="auto"/>
        <w:jc w:val="both"/>
        <w:rPr>
          <w:rFonts w:ascii="Times New Roman" w:hAnsi="Times New Roman"/>
          <w:sz w:val="20"/>
          <w:szCs w:val="20"/>
        </w:rPr>
      </w:pPr>
    </w:p>
    <w:p w14:paraId="65C4E2F1" w14:textId="7BABE570" w:rsidR="00CB5054" w:rsidRPr="007640B3" w:rsidRDefault="00265C87" w:rsidP="00210A2A">
      <w:pPr>
        <w:spacing w:before="0" w:after="0" w:line="240" w:lineRule="auto"/>
        <w:jc w:val="both"/>
        <w:rPr>
          <w:rFonts w:ascii="Times New Roman" w:hAnsi="Times New Roman"/>
          <w:b/>
          <w:bCs/>
          <w:sz w:val="20"/>
          <w:szCs w:val="20"/>
        </w:rPr>
      </w:pPr>
      <w:r w:rsidRPr="007640B3">
        <w:rPr>
          <w:rFonts w:ascii="Times New Roman" w:hAnsi="Times New Roman"/>
          <w:b/>
          <w:bCs/>
          <w:sz w:val="20"/>
          <w:szCs w:val="20"/>
        </w:rPr>
        <w:t xml:space="preserve">Evaluation </w:t>
      </w:r>
      <w:r w:rsidR="00490AA5" w:rsidRPr="007640B3">
        <w:rPr>
          <w:rFonts w:ascii="Times New Roman" w:hAnsi="Times New Roman"/>
          <w:b/>
          <w:bCs/>
          <w:sz w:val="20"/>
          <w:szCs w:val="20"/>
        </w:rPr>
        <w:t>t</w:t>
      </w:r>
      <w:r w:rsidRPr="007640B3">
        <w:rPr>
          <w:rFonts w:ascii="Times New Roman" w:hAnsi="Times New Roman"/>
          <w:b/>
          <w:bCs/>
          <w:sz w:val="20"/>
          <w:szCs w:val="20"/>
        </w:rPr>
        <w:t>raining</w:t>
      </w:r>
    </w:p>
    <w:p w14:paraId="77189B7C" w14:textId="77777777" w:rsidR="00FB6BBC" w:rsidRPr="005D3A5A" w:rsidRDefault="00FB6BBC" w:rsidP="00210A2A">
      <w:pPr>
        <w:spacing w:before="0" w:after="0" w:line="240" w:lineRule="auto"/>
        <w:jc w:val="both"/>
        <w:rPr>
          <w:rFonts w:ascii="Times New Roman" w:hAnsi="Times New Roman"/>
          <w:sz w:val="20"/>
          <w:szCs w:val="20"/>
        </w:rPr>
      </w:pPr>
    </w:p>
    <w:p w14:paraId="3E6EC2EB" w14:textId="2AC3F889" w:rsidR="009E3189" w:rsidRPr="00580825" w:rsidRDefault="00580825" w:rsidP="00580825">
      <w:pPr>
        <w:spacing w:before="0" w:after="0" w:line="240" w:lineRule="auto"/>
        <w:jc w:val="both"/>
        <w:rPr>
          <w:rFonts w:ascii="Times New Roman" w:hAnsi="Times New Roman"/>
          <w:sz w:val="20"/>
          <w:szCs w:val="20"/>
        </w:rPr>
      </w:pPr>
      <w:r w:rsidRPr="00580825">
        <w:rPr>
          <w:rFonts w:ascii="Times New Roman" w:hAnsi="Times New Roman"/>
          <w:sz w:val="20"/>
          <w:szCs w:val="20"/>
        </w:rPr>
        <w:t xml:space="preserve">5. </w:t>
      </w:r>
      <w:r w:rsidR="009E3189" w:rsidRPr="00580825">
        <w:rPr>
          <w:rFonts w:ascii="Times New Roman" w:hAnsi="Times New Roman"/>
          <w:b/>
          <w:bCs/>
          <w:sz w:val="20"/>
          <w:szCs w:val="20"/>
        </w:rPr>
        <w:t xml:space="preserve">Regional </w:t>
      </w:r>
      <w:r w:rsidRPr="00580825">
        <w:rPr>
          <w:rFonts w:ascii="Times New Roman" w:hAnsi="Times New Roman"/>
          <w:b/>
          <w:bCs/>
          <w:sz w:val="20"/>
          <w:szCs w:val="20"/>
        </w:rPr>
        <w:t>bureau training (regional bureau</w:t>
      </w:r>
      <w:r w:rsidR="007640B3">
        <w:rPr>
          <w:rFonts w:ascii="Times New Roman" w:hAnsi="Times New Roman"/>
          <w:b/>
          <w:bCs/>
          <w:sz w:val="20"/>
          <w:szCs w:val="20"/>
        </w:rPr>
        <w:t>-</w:t>
      </w:r>
      <w:r w:rsidR="009E3189" w:rsidRPr="00580825">
        <w:rPr>
          <w:rFonts w:ascii="Times New Roman" w:hAnsi="Times New Roman"/>
          <w:b/>
          <w:bCs/>
          <w:sz w:val="20"/>
          <w:szCs w:val="20"/>
        </w:rPr>
        <w:t>led, with input from GEF, IEO and BPPS, 2018-2021)</w:t>
      </w:r>
      <w:r w:rsidR="00AC3A72">
        <w:rPr>
          <w:rFonts w:ascii="Times New Roman" w:hAnsi="Times New Roman"/>
          <w:b/>
          <w:bCs/>
          <w:sz w:val="20"/>
          <w:szCs w:val="20"/>
        </w:rPr>
        <w:t xml:space="preserve">. </w:t>
      </w:r>
      <w:r w:rsidR="00AC3A72" w:rsidRPr="00AC3A72">
        <w:rPr>
          <w:rFonts w:ascii="Times New Roman" w:hAnsi="Times New Roman"/>
          <w:sz w:val="20"/>
          <w:szCs w:val="20"/>
        </w:rPr>
        <w:t>The</w:t>
      </w:r>
      <w:r w:rsidR="009E3189" w:rsidRPr="00580825">
        <w:rPr>
          <w:rFonts w:ascii="Times New Roman" w:hAnsi="Times New Roman"/>
          <w:sz w:val="20"/>
          <w:szCs w:val="20"/>
        </w:rPr>
        <w:t xml:space="preserve"> IEO and BPPS had supported </w:t>
      </w:r>
      <w:r w:rsidRPr="00580825">
        <w:rPr>
          <w:rFonts w:ascii="Times New Roman" w:hAnsi="Times New Roman"/>
          <w:sz w:val="20"/>
          <w:szCs w:val="20"/>
        </w:rPr>
        <w:t>regional b</w:t>
      </w:r>
      <w:r w:rsidR="00724C29" w:rsidRPr="00580825">
        <w:rPr>
          <w:rFonts w:ascii="Times New Roman" w:hAnsi="Times New Roman"/>
          <w:sz w:val="20"/>
          <w:szCs w:val="20"/>
        </w:rPr>
        <w:t>ureaux</w:t>
      </w:r>
      <w:r w:rsidR="009E3189" w:rsidRPr="00580825">
        <w:rPr>
          <w:rFonts w:ascii="Times New Roman" w:hAnsi="Times New Roman"/>
          <w:sz w:val="20"/>
          <w:szCs w:val="20"/>
        </w:rPr>
        <w:t xml:space="preserve"> in designing and conducting evaluation training programmes.</w:t>
      </w:r>
    </w:p>
    <w:p w14:paraId="0C38D7BF" w14:textId="77777777" w:rsidR="00FB6BBC" w:rsidRPr="00D95432" w:rsidRDefault="00FB6BBC" w:rsidP="00210A2A">
      <w:pPr>
        <w:spacing w:before="0" w:after="0" w:line="240" w:lineRule="auto"/>
        <w:jc w:val="both"/>
        <w:rPr>
          <w:rFonts w:ascii="Times New Roman" w:hAnsi="Times New Roman"/>
          <w:sz w:val="20"/>
          <w:szCs w:val="20"/>
        </w:rPr>
      </w:pPr>
    </w:p>
    <w:p w14:paraId="3FB560EF" w14:textId="58C8CF42" w:rsidR="00BF3F74" w:rsidRPr="00580825" w:rsidRDefault="00580825" w:rsidP="00580825">
      <w:pPr>
        <w:spacing w:before="0" w:after="0" w:line="240" w:lineRule="auto"/>
        <w:jc w:val="both"/>
        <w:rPr>
          <w:rFonts w:ascii="Times New Roman" w:hAnsi="Times New Roman"/>
          <w:sz w:val="20"/>
          <w:szCs w:val="20"/>
        </w:rPr>
      </w:pPr>
      <w:r w:rsidRPr="00580825">
        <w:rPr>
          <w:rFonts w:ascii="Times New Roman" w:hAnsi="Times New Roman"/>
          <w:sz w:val="20"/>
          <w:szCs w:val="20"/>
        </w:rPr>
        <w:t xml:space="preserve">6. </w:t>
      </w:r>
      <w:r w:rsidR="009E3189" w:rsidRPr="00580825">
        <w:rPr>
          <w:rFonts w:ascii="Times New Roman" w:hAnsi="Times New Roman"/>
          <w:b/>
          <w:bCs/>
          <w:sz w:val="20"/>
          <w:szCs w:val="20"/>
        </w:rPr>
        <w:t xml:space="preserve">UNDP </w:t>
      </w:r>
      <w:r w:rsidR="003C283C">
        <w:rPr>
          <w:rFonts w:ascii="Times New Roman" w:hAnsi="Times New Roman"/>
          <w:b/>
          <w:bCs/>
          <w:sz w:val="20"/>
          <w:szCs w:val="20"/>
        </w:rPr>
        <w:t>e</w:t>
      </w:r>
      <w:r w:rsidR="009E3189" w:rsidRPr="00580825">
        <w:rPr>
          <w:rFonts w:ascii="Times New Roman" w:hAnsi="Times New Roman"/>
          <w:b/>
          <w:bCs/>
          <w:sz w:val="20"/>
          <w:szCs w:val="20"/>
        </w:rPr>
        <w:t xml:space="preserve">valuation </w:t>
      </w:r>
      <w:r>
        <w:rPr>
          <w:rFonts w:ascii="Times New Roman" w:hAnsi="Times New Roman"/>
          <w:b/>
          <w:bCs/>
          <w:sz w:val="20"/>
          <w:szCs w:val="20"/>
        </w:rPr>
        <w:t>‘</w:t>
      </w:r>
      <w:r w:rsidR="009E3189" w:rsidRPr="00580825">
        <w:rPr>
          <w:rFonts w:ascii="Times New Roman" w:hAnsi="Times New Roman"/>
          <w:b/>
          <w:bCs/>
          <w:sz w:val="20"/>
          <w:szCs w:val="20"/>
        </w:rPr>
        <w:t xml:space="preserve">Ask us </w:t>
      </w:r>
      <w:r w:rsidR="00AC3A72">
        <w:rPr>
          <w:rFonts w:ascii="Times New Roman" w:hAnsi="Times New Roman"/>
          <w:b/>
          <w:bCs/>
          <w:sz w:val="20"/>
          <w:szCs w:val="20"/>
        </w:rPr>
        <w:t>a</w:t>
      </w:r>
      <w:r w:rsidR="009E3189" w:rsidRPr="00580825">
        <w:rPr>
          <w:rFonts w:ascii="Times New Roman" w:hAnsi="Times New Roman"/>
          <w:b/>
          <w:bCs/>
          <w:sz w:val="20"/>
          <w:szCs w:val="20"/>
        </w:rPr>
        <w:t>nything</w:t>
      </w:r>
      <w:r>
        <w:rPr>
          <w:rFonts w:ascii="Times New Roman" w:hAnsi="Times New Roman"/>
          <w:b/>
          <w:bCs/>
          <w:sz w:val="20"/>
          <w:szCs w:val="20"/>
        </w:rPr>
        <w:t>’</w:t>
      </w:r>
      <w:r w:rsidR="009E3189" w:rsidRPr="00580825">
        <w:rPr>
          <w:rFonts w:ascii="Times New Roman" w:hAnsi="Times New Roman"/>
          <w:b/>
          <w:bCs/>
          <w:sz w:val="20"/>
          <w:szCs w:val="20"/>
        </w:rPr>
        <w:t xml:space="preserve"> </w:t>
      </w:r>
      <w:r w:rsidR="00AC3A72">
        <w:rPr>
          <w:rFonts w:ascii="Times New Roman" w:hAnsi="Times New Roman"/>
          <w:b/>
          <w:bCs/>
          <w:sz w:val="20"/>
          <w:szCs w:val="20"/>
        </w:rPr>
        <w:t>s</w:t>
      </w:r>
      <w:r w:rsidR="009E3189" w:rsidRPr="00580825">
        <w:rPr>
          <w:rFonts w:ascii="Times New Roman" w:hAnsi="Times New Roman"/>
          <w:b/>
          <w:bCs/>
          <w:sz w:val="20"/>
          <w:szCs w:val="20"/>
        </w:rPr>
        <w:t xml:space="preserve">essions (IEO, BPPS, GEF and </w:t>
      </w:r>
      <w:r w:rsidR="007640B3" w:rsidRPr="00580825">
        <w:rPr>
          <w:rFonts w:ascii="Times New Roman" w:hAnsi="Times New Roman"/>
          <w:b/>
          <w:bCs/>
          <w:sz w:val="20"/>
          <w:szCs w:val="20"/>
        </w:rPr>
        <w:t>regional b</w:t>
      </w:r>
      <w:r w:rsidR="009E3189" w:rsidRPr="00580825">
        <w:rPr>
          <w:rFonts w:ascii="Times New Roman" w:hAnsi="Times New Roman"/>
          <w:b/>
          <w:bCs/>
          <w:sz w:val="20"/>
          <w:szCs w:val="20"/>
        </w:rPr>
        <w:t>ureaux, 2020-2021)</w:t>
      </w:r>
      <w:r w:rsidR="007640B3">
        <w:rPr>
          <w:rFonts w:ascii="Times New Roman" w:hAnsi="Times New Roman"/>
          <w:b/>
          <w:bCs/>
          <w:sz w:val="20"/>
          <w:szCs w:val="20"/>
        </w:rPr>
        <w:t>.</w:t>
      </w:r>
      <w:r w:rsidR="009E3189" w:rsidRPr="00580825">
        <w:rPr>
          <w:rFonts w:ascii="Times New Roman" w:hAnsi="Times New Roman"/>
          <w:b/>
          <w:bCs/>
          <w:sz w:val="20"/>
          <w:szCs w:val="20"/>
        </w:rPr>
        <w:t xml:space="preserve"> </w:t>
      </w:r>
      <w:r w:rsidR="009E3189" w:rsidRPr="00580825">
        <w:rPr>
          <w:rFonts w:ascii="Times New Roman" w:hAnsi="Times New Roman"/>
          <w:sz w:val="20"/>
          <w:szCs w:val="20"/>
        </w:rPr>
        <w:t xml:space="preserve">During the pandemic from 2020 to 2021, IEO held seven </w:t>
      </w:r>
      <w:r w:rsidR="007640B3">
        <w:rPr>
          <w:rFonts w:ascii="Times New Roman" w:hAnsi="Times New Roman"/>
          <w:sz w:val="20"/>
          <w:szCs w:val="20"/>
        </w:rPr>
        <w:t>‘</w:t>
      </w:r>
      <w:r w:rsidR="009E3189" w:rsidRPr="00580825">
        <w:rPr>
          <w:rFonts w:ascii="Times New Roman" w:hAnsi="Times New Roman"/>
          <w:sz w:val="20"/>
          <w:szCs w:val="20"/>
        </w:rPr>
        <w:t>ask us anything</w:t>
      </w:r>
      <w:r w:rsidR="007640B3">
        <w:rPr>
          <w:rFonts w:ascii="Times New Roman" w:hAnsi="Times New Roman"/>
          <w:sz w:val="20"/>
          <w:szCs w:val="20"/>
        </w:rPr>
        <w:t>’</w:t>
      </w:r>
      <w:r w:rsidR="009E3189" w:rsidRPr="00580825">
        <w:rPr>
          <w:rFonts w:ascii="Times New Roman" w:hAnsi="Times New Roman"/>
          <w:sz w:val="20"/>
          <w:szCs w:val="20"/>
        </w:rPr>
        <w:t xml:space="preserve"> sessions</w:t>
      </w:r>
      <w:r>
        <w:rPr>
          <w:rFonts w:ascii="Times New Roman" w:hAnsi="Times New Roman"/>
          <w:sz w:val="20"/>
          <w:szCs w:val="20"/>
        </w:rPr>
        <w:t xml:space="preserve"> attended by </w:t>
      </w:r>
      <w:r w:rsidR="009E3189" w:rsidRPr="00580825">
        <w:rPr>
          <w:rFonts w:ascii="Times New Roman" w:hAnsi="Times New Roman"/>
          <w:sz w:val="20"/>
          <w:szCs w:val="20"/>
        </w:rPr>
        <w:t>over 400 staff from across the organi</w:t>
      </w:r>
      <w:r w:rsidR="007640B3">
        <w:rPr>
          <w:rFonts w:ascii="Times New Roman" w:hAnsi="Times New Roman"/>
          <w:sz w:val="20"/>
          <w:szCs w:val="20"/>
        </w:rPr>
        <w:t>z</w:t>
      </w:r>
      <w:r w:rsidR="009E3189" w:rsidRPr="00580825">
        <w:rPr>
          <w:rFonts w:ascii="Times New Roman" w:hAnsi="Times New Roman"/>
          <w:sz w:val="20"/>
          <w:szCs w:val="20"/>
        </w:rPr>
        <w:t xml:space="preserve">ation </w:t>
      </w:r>
      <w:r>
        <w:rPr>
          <w:rFonts w:ascii="Times New Roman" w:hAnsi="Times New Roman"/>
          <w:sz w:val="20"/>
          <w:szCs w:val="20"/>
        </w:rPr>
        <w:t xml:space="preserve">who were able to </w:t>
      </w:r>
      <w:r w:rsidR="009E3189" w:rsidRPr="00580825">
        <w:rPr>
          <w:rFonts w:ascii="Times New Roman" w:hAnsi="Times New Roman"/>
          <w:sz w:val="20"/>
          <w:szCs w:val="20"/>
        </w:rPr>
        <w:t>raise questions on evaluation implementation</w:t>
      </w:r>
      <w:r w:rsidR="00D660D1" w:rsidRPr="00580825">
        <w:rPr>
          <w:rFonts w:ascii="Times New Roman" w:hAnsi="Times New Roman"/>
          <w:sz w:val="20"/>
          <w:szCs w:val="20"/>
        </w:rPr>
        <w:t>.</w:t>
      </w:r>
    </w:p>
    <w:p w14:paraId="30841EBB" w14:textId="77777777" w:rsidR="00FB6BBC" w:rsidRPr="00D95432" w:rsidRDefault="00FB6BBC" w:rsidP="00210A2A">
      <w:pPr>
        <w:spacing w:before="0" w:after="0" w:line="240" w:lineRule="auto"/>
        <w:jc w:val="both"/>
        <w:rPr>
          <w:rFonts w:ascii="Times New Roman" w:hAnsi="Times New Roman"/>
          <w:sz w:val="20"/>
          <w:szCs w:val="20"/>
        </w:rPr>
      </w:pPr>
    </w:p>
    <w:p w14:paraId="0B1E24D0" w14:textId="2586A756" w:rsidR="00BF3F74" w:rsidRPr="00580825" w:rsidRDefault="00580825" w:rsidP="00580825">
      <w:pPr>
        <w:spacing w:before="0" w:after="0" w:line="240" w:lineRule="auto"/>
        <w:jc w:val="both"/>
        <w:rPr>
          <w:rFonts w:ascii="Times New Roman" w:hAnsi="Times New Roman"/>
          <w:sz w:val="20"/>
          <w:szCs w:val="20"/>
        </w:rPr>
      </w:pPr>
      <w:r w:rsidRPr="00580825">
        <w:rPr>
          <w:rFonts w:ascii="Times New Roman" w:hAnsi="Times New Roman"/>
          <w:sz w:val="20"/>
          <w:szCs w:val="20"/>
        </w:rPr>
        <w:t xml:space="preserve">7. </w:t>
      </w:r>
      <w:r w:rsidR="009E3189" w:rsidRPr="00580825">
        <w:rPr>
          <w:rFonts w:ascii="Times New Roman" w:hAnsi="Times New Roman"/>
          <w:b/>
          <w:bCs/>
          <w:sz w:val="20"/>
          <w:szCs w:val="20"/>
        </w:rPr>
        <w:t xml:space="preserve">In-person </w:t>
      </w:r>
      <w:r w:rsidRPr="00580825">
        <w:rPr>
          <w:rFonts w:ascii="Times New Roman" w:hAnsi="Times New Roman"/>
          <w:b/>
          <w:bCs/>
          <w:sz w:val="20"/>
          <w:szCs w:val="20"/>
        </w:rPr>
        <w:t>t</w:t>
      </w:r>
      <w:r w:rsidR="009E3189" w:rsidRPr="00580825">
        <w:rPr>
          <w:rFonts w:ascii="Times New Roman" w:hAnsi="Times New Roman"/>
          <w:b/>
          <w:bCs/>
          <w:sz w:val="20"/>
          <w:szCs w:val="20"/>
        </w:rPr>
        <w:t xml:space="preserve">raining (IEO and </w:t>
      </w:r>
      <w:r w:rsidRPr="00580825">
        <w:rPr>
          <w:rFonts w:ascii="Times New Roman" w:hAnsi="Times New Roman"/>
          <w:b/>
          <w:bCs/>
          <w:sz w:val="20"/>
          <w:szCs w:val="20"/>
        </w:rPr>
        <w:t>regional b</w:t>
      </w:r>
      <w:r w:rsidR="009E3189" w:rsidRPr="00580825">
        <w:rPr>
          <w:rFonts w:ascii="Times New Roman" w:hAnsi="Times New Roman"/>
          <w:b/>
          <w:bCs/>
          <w:sz w:val="20"/>
          <w:szCs w:val="20"/>
        </w:rPr>
        <w:t>ureaux, 2019)</w:t>
      </w:r>
      <w:r w:rsidR="00AC3A72">
        <w:rPr>
          <w:rFonts w:ascii="Times New Roman" w:hAnsi="Times New Roman"/>
          <w:b/>
          <w:bCs/>
          <w:sz w:val="20"/>
          <w:szCs w:val="20"/>
        </w:rPr>
        <w:t>.</w:t>
      </w:r>
      <w:r w:rsidR="009E3189" w:rsidRPr="00580825">
        <w:rPr>
          <w:rFonts w:ascii="Times New Roman" w:hAnsi="Times New Roman"/>
          <w:sz w:val="20"/>
          <w:szCs w:val="20"/>
        </w:rPr>
        <w:t xml:space="preserve"> Supporting the </w:t>
      </w:r>
      <w:r>
        <w:rPr>
          <w:rFonts w:ascii="Times New Roman" w:hAnsi="Times New Roman"/>
          <w:sz w:val="20"/>
          <w:szCs w:val="20"/>
        </w:rPr>
        <w:t>roll-out of the e</w:t>
      </w:r>
      <w:r w:rsidR="009E3189" w:rsidRPr="00580825">
        <w:rPr>
          <w:rFonts w:ascii="Times New Roman" w:hAnsi="Times New Roman"/>
          <w:sz w:val="20"/>
          <w:szCs w:val="20"/>
        </w:rPr>
        <w:t xml:space="preserve">valuation </w:t>
      </w:r>
      <w:r>
        <w:rPr>
          <w:rFonts w:ascii="Times New Roman" w:hAnsi="Times New Roman"/>
          <w:sz w:val="20"/>
          <w:szCs w:val="20"/>
        </w:rPr>
        <w:t>g</w:t>
      </w:r>
      <w:r w:rsidR="009E3189" w:rsidRPr="00580825">
        <w:rPr>
          <w:rFonts w:ascii="Times New Roman" w:hAnsi="Times New Roman"/>
          <w:sz w:val="20"/>
          <w:szCs w:val="20"/>
        </w:rPr>
        <w:t xml:space="preserve">uidelines in 2019, IEO, BPPS, the GEF and </w:t>
      </w:r>
      <w:r w:rsidRPr="00580825">
        <w:rPr>
          <w:rFonts w:ascii="Times New Roman" w:hAnsi="Times New Roman"/>
          <w:sz w:val="20"/>
          <w:szCs w:val="20"/>
        </w:rPr>
        <w:t xml:space="preserve">regional bureaux </w:t>
      </w:r>
      <w:r w:rsidR="009E3189" w:rsidRPr="00580825">
        <w:rPr>
          <w:rFonts w:ascii="Times New Roman" w:hAnsi="Times New Roman"/>
          <w:sz w:val="20"/>
          <w:szCs w:val="20"/>
        </w:rPr>
        <w:t xml:space="preserve">collaborated on three two-day workshops with 158 </w:t>
      </w:r>
      <w:r w:rsidR="00AC3A72">
        <w:rPr>
          <w:rFonts w:ascii="Times New Roman" w:hAnsi="Times New Roman"/>
          <w:sz w:val="20"/>
          <w:szCs w:val="20"/>
        </w:rPr>
        <w:t>M&amp;E</w:t>
      </w:r>
      <w:r w:rsidR="009E3189" w:rsidRPr="00580825">
        <w:rPr>
          <w:rFonts w:ascii="Times New Roman" w:hAnsi="Times New Roman"/>
          <w:sz w:val="20"/>
          <w:szCs w:val="20"/>
        </w:rPr>
        <w:t xml:space="preserve"> focal points and programme staff from 100 country offices</w:t>
      </w:r>
      <w:r w:rsidR="00AE42E5" w:rsidRPr="00580825">
        <w:rPr>
          <w:rFonts w:ascii="Times New Roman" w:hAnsi="Times New Roman"/>
          <w:sz w:val="20"/>
          <w:szCs w:val="20"/>
        </w:rPr>
        <w:t>.</w:t>
      </w:r>
    </w:p>
    <w:p w14:paraId="60F2BCA0" w14:textId="77777777" w:rsidR="00FB6BBC" w:rsidRPr="00D95432" w:rsidRDefault="00FB6BBC" w:rsidP="00210A2A">
      <w:pPr>
        <w:spacing w:before="0" w:after="0" w:line="240" w:lineRule="auto"/>
        <w:jc w:val="both"/>
        <w:rPr>
          <w:rFonts w:ascii="Times New Roman" w:hAnsi="Times New Roman"/>
          <w:sz w:val="20"/>
          <w:szCs w:val="20"/>
        </w:rPr>
      </w:pPr>
    </w:p>
    <w:p w14:paraId="2F8E18FC" w14:textId="2CAF20C1" w:rsidR="00BF3F74" w:rsidRPr="00580825" w:rsidRDefault="00580825" w:rsidP="00580825">
      <w:pPr>
        <w:spacing w:before="0" w:after="0" w:line="240" w:lineRule="auto"/>
        <w:jc w:val="both"/>
        <w:rPr>
          <w:rFonts w:ascii="Times New Roman" w:hAnsi="Times New Roman"/>
          <w:sz w:val="20"/>
          <w:szCs w:val="20"/>
        </w:rPr>
      </w:pPr>
      <w:r w:rsidRPr="00580825">
        <w:rPr>
          <w:rFonts w:ascii="Times New Roman" w:hAnsi="Times New Roman"/>
          <w:sz w:val="20"/>
          <w:szCs w:val="20"/>
        </w:rPr>
        <w:t xml:space="preserve">8. </w:t>
      </w:r>
      <w:r w:rsidR="00BF3F74" w:rsidRPr="00580825">
        <w:rPr>
          <w:rFonts w:ascii="Times New Roman" w:hAnsi="Times New Roman"/>
          <w:b/>
          <w:bCs/>
          <w:sz w:val="20"/>
          <w:szCs w:val="20"/>
        </w:rPr>
        <w:t xml:space="preserve">Online </w:t>
      </w:r>
      <w:r w:rsidR="006550AB">
        <w:rPr>
          <w:rFonts w:ascii="Times New Roman" w:hAnsi="Times New Roman"/>
          <w:b/>
          <w:bCs/>
          <w:sz w:val="20"/>
          <w:szCs w:val="20"/>
        </w:rPr>
        <w:t>t</w:t>
      </w:r>
      <w:r w:rsidR="00BF3F74" w:rsidRPr="00580825">
        <w:rPr>
          <w:rFonts w:ascii="Times New Roman" w:hAnsi="Times New Roman"/>
          <w:b/>
          <w:bCs/>
          <w:sz w:val="20"/>
          <w:szCs w:val="20"/>
        </w:rPr>
        <w:t>raining (IEO, 2020):</w:t>
      </w:r>
      <w:r w:rsidR="00BF3F74" w:rsidRPr="00580825">
        <w:rPr>
          <w:rFonts w:ascii="Times New Roman" w:hAnsi="Times New Roman"/>
          <w:sz w:val="20"/>
          <w:szCs w:val="20"/>
        </w:rPr>
        <w:t xml:space="preserve"> In mid-2020, the IEO launched two online training courses aligned with </w:t>
      </w:r>
      <w:r w:rsidR="006550AB">
        <w:rPr>
          <w:rFonts w:ascii="Times New Roman" w:hAnsi="Times New Roman"/>
          <w:sz w:val="20"/>
          <w:szCs w:val="20"/>
        </w:rPr>
        <w:t xml:space="preserve">UNDP </w:t>
      </w:r>
      <w:r w:rsidR="00BF3F74" w:rsidRPr="00580825">
        <w:rPr>
          <w:rFonts w:ascii="Times New Roman" w:hAnsi="Times New Roman"/>
          <w:sz w:val="20"/>
          <w:szCs w:val="20"/>
        </w:rPr>
        <w:t xml:space="preserve">guidelines and requirements, including a mandatory certified course for all UNDP staff planning to implement and manage evaluations, and a shorter training introducing the evaluation requirements of the organization. By the end </w:t>
      </w:r>
      <w:r w:rsidR="00210A2A" w:rsidRPr="00580825">
        <w:rPr>
          <w:rFonts w:ascii="Times New Roman" w:hAnsi="Times New Roman"/>
          <w:sz w:val="20"/>
          <w:szCs w:val="20"/>
        </w:rPr>
        <w:t xml:space="preserve">of </w:t>
      </w:r>
      <w:r w:rsidR="00BF3F74" w:rsidRPr="00580825">
        <w:rPr>
          <w:rFonts w:ascii="Times New Roman" w:hAnsi="Times New Roman"/>
          <w:sz w:val="20"/>
          <w:szCs w:val="20"/>
        </w:rPr>
        <w:t xml:space="preserve">2021, 487 colleagues </w:t>
      </w:r>
      <w:r w:rsidR="006550AB">
        <w:rPr>
          <w:rFonts w:ascii="Times New Roman" w:hAnsi="Times New Roman"/>
          <w:sz w:val="20"/>
          <w:szCs w:val="20"/>
        </w:rPr>
        <w:t>had</w:t>
      </w:r>
      <w:r w:rsidR="006550AB" w:rsidRPr="00580825">
        <w:rPr>
          <w:rFonts w:ascii="Times New Roman" w:hAnsi="Times New Roman"/>
          <w:sz w:val="20"/>
          <w:szCs w:val="20"/>
        </w:rPr>
        <w:t xml:space="preserve"> </w:t>
      </w:r>
      <w:r w:rsidR="00BF3F74" w:rsidRPr="00580825">
        <w:rPr>
          <w:rFonts w:ascii="Times New Roman" w:hAnsi="Times New Roman"/>
          <w:sz w:val="20"/>
          <w:szCs w:val="20"/>
        </w:rPr>
        <w:t xml:space="preserve">completed the introductory course and 393 </w:t>
      </w:r>
      <w:r w:rsidR="006550AB">
        <w:rPr>
          <w:rFonts w:ascii="Times New Roman" w:hAnsi="Times New Roman"/>
          <w:sz w:val="20"/>
          <w:szCs w:val="20"/>
        </w:rPr>
        <w:t>had</w:t>
      </w:r>
      <w:r w:rsidR="006550AB" w:rsidRPr="00580825">
        <w:rPr>
          <w:rFonts w:ascii="Times New Roman" w:hAnsi="Times New Roman"/>
          <w:sz w:val="20"/>
          <w:szCs w:val="20"/>
        </w:rPr>
        <w:t xml:space="preserve"> </w:t>
      </w:r>
      <w:r w:rsidR="00BF3F74" w:rsidRPr="00580825">
        <w:rPr>
          <w:rFonts w:ascii="Times New Roman" w:hAnsi="Times New Roman"/>
          <w:sz w:val="20"/>
          <w:szCs w:val="20"/>
        </w:rPr>
        <w:t>completed the certified course.</w:t>
      </w:r>
    </w:p>
    <w:p w14:paraId="1CF1FBF8" w14:textId="77777777" w:rsidR="00FB6BBC" w:rsidRPr="00D95432" w:rsidRDefault="00FB6BBC" w:rsidP="00210A2A">
      <w:pPr>
        <w:spacing w:before="0" w:after="0" w:line="240" w:lineRule="auto"/>
        <w:jc w:val="both"/>
        <w:rPr>
          <w:rFonts w:ascii="Times New Roman" w:hAnsi="Times New Roman"/>
          <w:sz w:val="20"/>
          <w:szCs w:val="20"/>
        </w:rPr>
      </w:pPr>
    </w:p>
    <w:p w14:paraId="0BABA5F6" w14:textId="2B1E4A8D" w:rsidR="00BF3F74" w:rsidRPr="006550AB" w:rsidRDefault="006550AB" w:rsidP="006550AB">
      <w:pPr>
        <w:spacing w:before="0" w:after="0" w:line="240" w:lineRule="auto"/>
        <w:jc w:val="both"/>
        <w:rPr>
          <w:rFonts w:ascii="Times New Roman" w:hAnsi="Times New Roman"/>
          <w:sz w:val="20"/>
          <w:szCs w:val="20"/>
        </w:rPr>
      </w:pPr>
      <w:r>
        <w:rPr>
          <w:rFonts w:ascii="Times New Roman" w:hAnsi="Times New Roman"/>
          <w:sz w:val="20"/>
          <w:szCs w:val="20"/>
        </w:rPr>
        <w:t xml:space="preserve">9.  </w:t>
      </w:r>
      <w:r w:rsidR="00BF3F74" w:rsidRPr="006550AB">
        <w:rPr>
          <w:rFonts w:ascii="Times New Roman" w:hAnsi="Times New Roman"/>
          <w:b/>
          <w:bCs/>
          <w:sz w:val="20"/>
          <w:szCs w:val="20"/>
        </w:rPr>
        <w:t>International Program for Development Evaluation Training (IPDET) and the National Evaluation Capacities Conference (IEO, 2018 to 2021)</w:t>
      </w:r>
      <w:r w:rsidR="00AC3A72">
        <w:rPr>
          <w:rFonts w:ascii="Times New Roman" w:hAnsi="Times New Roman"/>
          <w:b/>
          <w:bCs/>
          <w:sz w:val="20"/>
          <w:szCs w:val="20"/>
        </w:rPr>
        <w:t>.</w:t>
      </w:r>
      <w:r w:rsidR="00BF3F74" w:rsidRPr="006550AB">
        <w:rPr>
          <w:rFonts w:ascii="Times New Roman" w:hAnsi="Times New Roman"/>
          <w:sz w:val="20"/>
          <w:szCs w:val="20"/>
        </w:rPr>
        <w:t xml:space="preserve"> The IEO has used its </w:t>
      </w:r>
      <w:r>
        <w:rPr>
          <w:rFonts w:ascii="Times New Roman" w:hAnsi="Times New Roman"/>
          <w:sz w:val="20"/>
          <w:szCs w:val="20"/>
        </w:rPr>
        <w:t xml:space="preserve">regular </w:t>
      </w:r>
      <w:r w:rsidR="00AC3A72">
        <w:rPr>
          <w:rFonts w:ascii="Times New Roman" w:hAnsi="Times New Roman"/>
          <w:sz w:val="20"/>
          <w:szCs w:val="20"/>
        </w:rPr>
        <w:t xml:space="preserve">(core) </w:t>
      </w:r>
      <w:r>
        <w:rPr>
          <w:rFonts w:ascii="Times New Roman" w:hAnsi="Times New Roman"/>
          <w:sz w:val="20"/>
          <w:szCs w:val="20"/>
        </w:rPr>
        <w:t>and other resources</w:t>
      </w:r>
      <w:r w:rsidR="00BF3F74" w:rsidRPr="006550AB">
        <w:rPr>
          <w:rFonts w:ascii="Times New Roman" w:hAnsi="Times New Roman"/>
          <w:sz w:val="20"/>
          <w:szCs w:val="20"/>
        </w:rPr>
        <w:t xml:space="preserve"> </w:t>
      </w:r>
      <w:r w:rsidR="00AC3A72">
        <w:rPr>
          <w:rFonts w:ascii="Times New Roman" w:hAnsi="Times New Roman"/>
          <w:sz w:val="20"/>
          <w:szCs w:val="20"/>
        </w:rPr>
        <w:t xml:space="preserve">(non-core) </w:t>
      </w:r>
      <w:r w:rsidR="00BF3F74" w:rsidRPr="006550AB">
        <w:rPr>
          <w:rFonts w:ascii="Times New Roman" w:hAnsi="Times New Roman"/>
          <w:sz w:val="20"/>
          <w:szCs w:val="20"/>
        </w:rPr>
        <w:t xml:space="preserve">funding to support staff members from across the five regions to </w:t>
      </w:r>
      <w:r w:rsidR="00AC3A72">
        <w:rPr>
          <w:rFonts w:ascii="Times New Roman" w:hAnsi="Times New Roman"/>
          <w:sz w:val="20"/>
          <w:szCs w:val="20"/>
        </w:rPr>
        <w:t>participate</w:t>
      </w:r>
      <w:r w:rsidR="00BF3F74" w:rsidRPr="006550AB">
        <w:rPr>
          <w:rFonts w:ascii="Times New Roman" w:hAnsi="Times New Roman"/>
          <w:sz w:val="20"/>
          <w:szCs w:val="20"/>
        </w:rPr>
        <w:t xml:space="preserve"> in the world</w:t>
      </w:r>
      <w:r>
        <w:rPr>
          <w:rFonts w:ascii="Times New Roman" w:hAnsi="Times New Roman"/>
          <w:sz w:val="20"/>
          <w:szCs w:val="20"/>
        </w:rPr>
        <w:t>-</w:t>
      </w:r>
      <w:r w:rsidR="00BF3F74" w:rsidRPr="006550AB">
        <w:rPr>
          <w:rFonts w:ascii="Times New Roman" w:hAnsi="Times New Roman"/>
          <w:sz w:val="20"/>
          <w:szCs w:val="20"/>
        </w:rPr>
        <w:t xml:space="preserve">renowned IPDET. IEO also provided bursaries for UNDP staff to take part in and support government personnel in the </w:t>
      </w:r>
      <w:r w:rsidRPr="006550AB">
        <w:rPr>
          <w:rFonts w:ascii="Times New Roman" w:hAnsi="Times New Roman"/>
          <w:sz w:val="20"/>
          <w:szCs w:val="20"/>
        </w:rPr>
        <w:t>National Evaluation Capacit</w:t>
      </w:r>
      <w:r>
        <w:rPr>
          <w:rFonts w:ascii="Times New Roman" w:hAnsi="Times New Roman"/>
          <w:sz w:val="20"/>
          <w:szCs w:val="20"/>
        </w:rPr>
        <w:t xml:space="preserve">ies </w:t>
      </w:r>
      <w:r w:rsidRPr="006550AB">
        <w:rPr>
          <w:rFonts w:ascii="Times New Roman" w:hAnsi="Times New Roman"/>
          <w:sz w:val="20"/>
          <w:szCs w:val="20"/>
        </w:rPr>
        <w:t>Conferenc</w:t>
      </w:r>
      <w:r w:rsidR="00BF3F74" w:rsidRPr="006550AB">
        <w:rPr>
          <w:rFonts w:ascii="Times New Roman" w:hAnsi="Times New Roman"/>
          <w:sz w:val="20"/>
          <w:szCs w:val="20"/>
        </w:rPr>
        <w:t>e in 2019.</w:t>
      </w:r>
    </w:p>
    <w:p w14:paraId="7E6CC6E8" w14:textId="77777777" w:rsidR="00412138" w:rsidRPr="005D3A5A" w:rsidRDefault="00412138" w:rsidP="00210A2A">
      <w:pPr>
        <w:spacing w:before="0" w:after="0" w:line="259" w:lineRule="auto"/>
        <w:jc w:val="both"/>
        <w:rPr>
          <w:rFonts w:ascii="Times New Roman" w:hAnsi="Times New Roman"/>
          <w:color w:val="365F91"/>
          <w:sz w:val="20"/>
          <w:szCs w:val="20"/>
        </w:rPr>
      </w:pPr>
      <w:r w:rsidRPr="005D3A5A">
        <w:rPr>
          <w:rFonts w:ascii="Times New Roman" w:hAnsi="Times New Roman"/>
          <w:b/>
          <w:bCs/>
          <w:sz w:val="20"/>
          <w:szCs w:val="20"/>
        </w:rPr>
        <w:br w:type="page"/>
      </w:r>
    </w:p>
    <w:p w14:paraId="4ADECC63" w14:textId="6D58BFDD" w:rsidR="00CC1679" w:rsidRPr="005D3A5A" w:rsidRDefault="00CC1679" w:rsidP="00210A2A">
      <w:pPr>
        <w:spacing w:before="0" w:after="0" w:line="240" w:lineRule="auto"/>
        <w:ind w:right="-270"/>
        <w:jc w:val="both"/>
        <w:rPr>
          <w:rFonts w:ascii="Times New Roman" w:hAnsi="Times New Roman"/>
          <w:sz w:val="20"/>
          <w:szCs w:val="20"/>
        </w:rPr>
      </w:pPr>
    </w:p>
    <w:p w14:paraId="666CCF2C" w14:textId="021D808D" w:rsidR="00AB4681" w:rsidRPr="00AC3A72" w:rsidRDefault="00AC3A72" w:rsidP="00210A2A">
      <w:pPr>
        <w:spacing w:before="0" w:after="0" w:line="240" w:lineRule="auto"/>
        <w:ind w:right="-270"/>
        <w:jc w:val="both"/>
        <w:rPr>
          <w:rFonts w:ascii="Times New Roman" w:hAnsi="Times New Roman"/>
          <w:b/>
          <w:bCs/>
          <w:sz w:val="20"/>
          <w:szCs w:val="20"/>
        </w:rPr>
      </w:pPr>
      <w:r w:rsidRPr="00AC3A72">
        <w:rPr>
          <w:rFonts w:ascii="Times New Roman" w:hAnsi="Times New Roman"/>
          <w:b/>
          <w:bCs/>
          <w:sz w:val="20"/>
          <w:szCs w:val="20"/>
        </w:rPr>
        <w:t>Annex II.</w:t>
      </w:r>
    </w:p>
    <w:p w14:paraId="69C34E6A" w14:textId="77777777" w:rsidR="00AC3A72" w:rsidRPr="005D3A5A" w:rsidRDefault="00AC3A72" w:rsidP="00210A2A">
      <w:pPr>
        <w:spacing w:before="0" w:after="0" w:line="240" w:lineRule="auto"/>
        <w:ind w:right="-270"/>
        <w:jc w:val="both"/>
        <w:rPr>
          <w:rFonts w:ascii="Times New Roman" w:hAnsi="Times New Roman"/>
          <w:sz w:val="20"/>
          <w:szCs w:val="20"/>
        </w:rPr>
      </w:pPr>
    </w:p>
    <w:p w14:paraId="394D0021" w14:textId="3FC6FFB6" w:rsidR="00AC3A72" w:rsidRDefault="0046763D" w:rsidP="00210A2A">
      <w:pPr>
        <w:pStyle w:val="Caption"/>
        <w:spacing w:after="0"/>
        <w:jc w:val="both"/>
        <w:rPr>
          <w:rFonts w:ascii="Times New Roman" w:hAnsi="Times New Roman"/>
          <w:b/>
          <w:bCs/>
          <w:i w:val="0"/>
          <w:iCs w:val="0"/>
          <w:color w:val="auto"/>
          <w:sz w:val="20"/>
          <w:szCs w:val="20"/>
        </w:rPr>
      </w:pPr>
      <w:r w:rsidRPr="005D3A5A">
        <w:rPr>
          <w:rFonts w:ascii="Times New Roman" w:hAnsi="Times New Roman"/>
          <w:b/>
          <w:bCs/>
          <w:i w:val="0"/>
          <w:iCs w:val="0"/>
          <w:color w:val="auto"/>
          <w:sz w:val="20"/>
          <w:szCs w:val="20"/>
        </w:rPr>
        <w:t xml:space="preserve">Overall budget for </w:t>
      </w:r>
      <w:r w:rsidR="00AC3A72">
        <w:rPr>
          <w:rFonts w:ascii="Times New Roman" w:hAnsi="Times New Roman"/>
          <w:b/>
          <w:bCs/>
          <w:i w:val="0"/>
          <w:iCs w:val="0"/>
          <w:color w:val="auto"/>
          <w:sz w:val="20"/>
          <w:szCs w:val="20"/>
        </w:rPr>
        <w:t>e</w:t>
      </w:r>
      <w:r w:rsidRPr="005D3A5A">
        <w:rPr>
          <w:rFonts w:ascii="Times New Roman" w:hAnsi="Times New Roman"/>
          <w:b/>
          <w:bCs/>
          <w:i w:val="0"/>
          <w:iCs w:val="0"/>
          <w:color w:val="auto"/>
          <w:sz w:val="20"/>
          <w:szCs w:val="20"/>
        </w:rPr>
        <w:t>valuation in UNDP, 2018 to 2021</w:t>
      </w:r>
      <w:r>
        <w:rPr>
          <w:rFonts w:ascii="Times New Roman" w:hAnsi="Times New Roman"/>
          <w:b/>
          <w:bCs/>
          <w:i w:val="0"/>
          <w:iCs w:val="0"/>
          <w:color w:val="auto"/>
          <w:sz w:val="20"/>
          <w:szCs w:val="20"/>
        </w:rPr>
        <w:t xml:space="preserve"> </w:t>
      </w:r>
    </w:p>
    <w:p w14:paraId="1A94EA27" w14:textId="504CB5C5" w:rsidR="0046763D" w:rsidRPr="005D3A5A" w:rsidRDefault="0046763D" w:rsidP="00210A2A">
      <w:pPr>
        <w:pStyle w:val="Caption"/>
        <w:spacing w:after="0"/>
        <w:jc w:val="both"/>
        <w:rPr>
          <w:rFonts w:ascii="Times New Roman" w:hAnsi="Times New Roman"/>
          <w:b/>
          <w:bCs/>
          <w:sz w:val="20"/>
          <w:szCs w:val="20"/>
        </w:rPr>
      </w:pPr>
      <w:r w:rsidRPr="00D95432">
        <w:rPr>
          <w:rFonts w:ascii="Times New Roman" w:hAnsi="Times New Roman"/>
          <w:color w:val="auto"/>
          <w:sz w:val="20"/>
          <w:szCs w:val="20"/>
        </w:rPr>
        <w:t>(</w:t>
      </w:r>
      <w:r w:rsidR="00AC3A72">
        <w:rPr>
          <w:rFonts w:ascii="Times New Roman" w:hAnsi="Times New Roman"/>
          <w:color w:val="auto"/>
          <w:sz w:val="20"/>
          <w:szCs w:val="20"/>
        </w:rPr>
        <w:t>I</w:t>
      </w:r>
      <w:r w:rsidRPr="00D95432">
        <w:rPr>
          <w:rFonts w:ascii="Times New Roman" w:hAnsi="Times New Roman"/>
          <w:color w:val="auto"/>
          <w:sz w:val="20"/>
          <w:szCs w:val="20"/>
        </w:rPr>
        <w:t>n millions of Unites States dollars)</w:t>
      </w:r>
    </w:p>
    <w:tbl>
      <w:tblPr>
        <w:tblpPr w:leftFromText="180" w:rightFromText="180" w:vertAnchor="text" w:horzAnchor="margin" w:tblpXSpec="center" w:tblpY="446"/>
        <w:tblW w:w="94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30"/>
        <w:gridCol w:w="1170"/>
        <w:gridCol w:w="1080"/>
        <w:gridCol w:w="1350"/>
        <w:gridCol w:w="900"/>
        <w:gridCol w:w="1078"/>
        <w:gridCol w:w="903"/>
        <w:gridCol w:w="766"/>
        <w:gridCol w:w="766"/>
      </w:tblGrid>
      <w:tr w:rsidR="00445E2F" w:rsidRPr="005D3A5A" w14:paraId="25CF6F58" w14:textId="77777777" w:rsidTr="007919C3">
        <w:trPr>
          <w:trHeight w:val="300"/>
        </w:trPr>
        <w:tc>
          <w:tcPr>
            <w:tcW w:w="1890" w:type="dxa"/>
            <w:shd w:val="clear" w:color="auto" w:fill="BFBFBF" w:themeFill="background1" w:themeFillShade="BF"/>
            <w:vAlign w:val="center"/>
            <w:hideMark/>
          </w:tcPr>
          <w:p w14:paraId="5DE79B0E" w14:textId="77777777" w:rsidR="0046763D" w:rsidRPr="005D3A5A" w:rsidRDefault="0046763D" w:rsidP="00210A2A">
            <w:pPr>
              <w:spacing w:before="0" w:after="0" w:line="240" w:lineRule="auto"/>
              <w:jc w:val="both"/>
              <w:rPr>
                <w:rFonts w:ascii="Times New Roman" w:hAnsi="Times New Roman"/>
                <w:color w:val="000000"/>
                <w:sz w:val="20"/>
                <w:szCs w:val="20"/>
                <w:lang w:val="en-US" w:bidi="ar-SA"/>
              </w:rPr>
            </w:pPr>
            <w:r w:rsidRPr="005D3A5A">
              <w:rPr>
                <w:rFonts w:ascii="Times New Roman" w:hAnsi="Times New Roman"/>
                <w:color w:val="000000"/>
                <w:sz w:val="20"/>
                <w:szCs w:val="20"/>
                <w:lang w:eastAsia="en-GB" w:bidi="ar-SA"/>
              </w:rPr>
              <w:t> </w:t>
            </w:r>
          </w:p>
        </w:tc>
        <w:tc>
          <w:tcPr>
            <w:tcW w:w="1170" w:type="dxa"/>
            <w:shd w:val="clear" w:color="auto" w:fill="BFBFBF" w:themeFill="background1" w:themeFillShade="BF"/>
            <w:noWrap/>
            <w:vAlign w:val="center"/>
            <w:hideMark/>
          </w:tcPr>
          <w:p w14:paraId="19344D77" w14:textId="77777777" w:rsidR="0046763D" w:rsidRPr="005D3A5A" w:rsidRDefault="0046763D" w:rsidP="008A08BF">
            <w:pPr>
              <w:spacing w:before="0" w:after="0" w:line="240" w:lineRule="auto"/>
              <w:jc w:val="center"/>
              <w:rPr>
                <w:rFonts w:ascii="Times New Roman" w:hAnsi="Times New Roman"/>
                <w:b/>
                <w:bCs/>
                <w:color w:val="000000"/>
                <w:sz w:val="20"/>
                <w:szCs w:val="20"/>
                <w:lang w:val="en-US" w:bidi="ar-SA"/>
              </w:rPr>
            </w:pPr>
            <w:r w:rsidRPr="005D3A5A">
              <w:rPr>
                <w:rFonts w:ascii="Times New Roman" w:hAnsi="Times New Roman"/>
                <w:b/>
                <w:bCs/>
                <w:color w:val="000000"/>
                <w:sz w:val="20"/>
                <w:szCs w:val="20"/>
                <w:lang w:eastAsia="en-GB" w:bidi="ar-SA"/>
              </w:rPr>
              <w:t>2018</w:t>
            </w:r>
          </w:p>
        </w:tc>
        <w:tc>
          <w:tcPr>
            <w:tcW w:w="1080" w:type="dxa"/>
            <w:shd w:val="clear" w:color="auto" w:fill="BFBFBF" w:themeFill="background1" w:themeFillShade="BF"/>
            <w:noWrap/>
            <w:vAlign w:val="center"/>
            <w:hideMark/>
          </w:tcPr>
          <w:p w14:paraId="068C9EDB" w14:textId="77777777" w:rsidR="0046763D" w:rsidRPr="005D3A5A" w:rsidRDefault="0046763D" w:rsidP="008A08BF">
            <w:pPr>
              <w:spacing w:before="0" w:after="0" w:line="240" w:lineRule="auto"/>
              <w:jc w:val="center"/>
              <w:rPr>
                <w:rFonts w:ascii="Times New Roman" w:hAnsi="Times New Roman"/>
                <w:b/>
                <w:bCs/>
                <w:color w:val="000000"/>
                <w:sz w:val="20"/>
                <w:szCs w:val="20"/>
                <w:lang w:val="en-US" w:bidi="ar-SA"/>
              </w:rPr>
            </w:pPr>
            <w:r w:rsidRPr="005D3A5A">
              <w:rPr>
                <w:rFonts w:ascii="Times New Roman" w:hAnsi="Times New Roman"/>
                <w:b/>
                <w:bCs/>
                <w:color w:val="000000"/>
                <w:sz w:val="20"/>
                <w:szCs w:val="20"/>
                <w:lang w:val="en-US" w:bidi="ar-SA"/>
              </w:rPr>
              <w:t>%</w:t>
            </w:r>
          </w:p>
        </w:tc>
        <w:tc>
          <w:tcPr>
            <w:tcW w:w="1350" w:type="dxa"/>
            <w:shd w:val="clear" w:color="auto" w:fill="BFBFBF" w:themeFill="background1" w:themeFillShade="BF"/>
            <w:noWrap/>
            <w:vAlign w:val="center"/>
            <w:hideMark/>
          </w:tcPr>
          <w:p w14:paraId="5BB6FC1E" w14:textId="77777777" w:rsidR="0046763D" w:rsidRPr="005D3A5A" w:rsidRDefault="0046763D" w:rsidP="008A08BF">
            <w:pPr>
              <w:spacing w:before="0" w:after="0" w:line="240" w:lineRule="auto"/>
              <w:jc w:val="center"/>
              <w:rPr>
                <w:rFonts w:ascii="Times New Roman" w:hAnsi="Times New Roman"/>
                <w:b/>
                <w:bCs/>
                <w:color w:val="000000"/>
                <w:sz w:val="20"/>
                <w:szCs w:val="20"/>
                <w:lang w:val="en-US" w:bidi="ar-SA"/>
              </w:rPr>
            </w:pPr>
            <w:r w:rsidRPr="005D3A5A">
              <w:rPr>
                <w:rFonts w:ascii="Times New Roman" w:hAnsi="Times New Roman"/>
                <w:b/>
                <w:bCs/>
                <w:color w:val="000000"/>
                <w:sz w:val="20"/>
                <w:szCs w:val="20"/>
                <w:lang w:eastAsia="en-GB" w:bidi="ar-SA"/>
              </w:rPr>
              <w:t>2019</w:t>
            </w:r>
          </w:p>
        </w:tc>
        <w:tc>
          <w:tcPr>
            <w:tcW w:w="900" w:type="dxa"/>
            <w:shd w:val="clear" w:color="auto" w:fill="BFBFBF" w:themeFill="background1" w:themeFillShade="BF"/>
            <w:noWrap/>
            <w:vAlign w:val="center"/>
            <w:hideMark/>
          </w:tcPr>
          <w:p w14:paraId="15F2EC75" w14:textId="77777777" w:rsidR="0046763D" w:rsidRPr="005D3A5A" w:rsidRDefault="0046763D" w:rsidP="008A08BF">
            <w:pPr>
              <w:spacing w:before="0" w:after="0" w:line="240" w:lineRule="auto"/>
              <w:jc w:val="center"/>
              <w:rPr>
                <w:rFonts w:ascii="Times New Roman" w:hAnsi="Times New Roman"/>
                <w:b/>
                <w:bCs/>
                <w:color w:val="000000"/>
                <w:sz w:val="20"/>
                <w:szCs w:val="20"/>
                <w:lang w:val="en-US" w:bidi="ar-SA"/>
              </w:rPr>
            </w:pPr>
            <w:r w:rsidRPr="005D3A5A">
              <w:rPr>
                <w:rFonts w:ascii="Times New Roman" w:hAnsi="Times New Roman"/>
                <w:b/>
                <w:bCs/>
                <w:color w:val="000000"/>
                <w:sz w:val="20"/>
                <w:szCs w:val="20"/>
                <w:lang w:val="en-US" w:bidi="ar-SA"/>
              </w:rPr>
              <w:t>%</w:t>
            </w:r>
          </w:p>
        </w:tc>
        <w:tc>
          <w:tcPr>
            <w:tcW w:w="1078" w:type="dxa"/>
            <w:shd w:val="clear" w:color="auto" w:fill="BFBFBF" w:themeFill="background1" w:themeFillShade="BF"/>
            <w:noWrap/>
            <w:vAlign w:val="center"/>
            <w:hideMark/>
          </w:tcPr>
          <w:p w14:paraId="23660B03" w14:textId="77777777" w:rsidR="0046763D" w:rsidRPr="005D3A5A" w:rsidRDefault="0046763D" w:rsidP="008A08BF">
            <w:pPr>
              <w:spacing w:before="0" w:after="0" w:line="240" w:lineRule="auto"/>
              <w:jc w:val="center"/>
              <w:rPr>
                <w:rFonts w:ascii="Times New Roman" w:hAnsi="Times New Roman"/>
                <w:b/>
                <w:bCs/>
                <w:color w:val="000000"/>
                <w:sz w:val="20"/>
                <w:szCs w:val="20"/>
                <w:lang w:val="en-US" w:bidi="ar-SA"/>
              </w:rPr>
            </w:pPr>
            <w:r w:rsidRPr="005D3A5A">
              <w:rPr>
                <w:rFonts w:ascii="Times New Roman" w:hAnsi="Times New Roman"/>
                <w:b/>
                <w:bCs/>
                <w:color w:val="000000"/>
                <w:sz w:val="20"/>
                <w:szCs w:val="20"/>
                <w:lang w:eastAsia="en-GB" w:bidi="ar-SA"/>
              </w:rPr>
              <w:t>2020</w:t>
            </w:r>
          </w:p>
        </w:tc>
        <w:tc>
          <w:tcPr>
            <w:tcW w:w="903" w:type="dxa"/>
            <w:shd w:val="clear" w:color="auto" w:fill="BFBFBF" w:themeFill="background1" w:themeFillShade="BF"/>
            <w:noWrap/>
            <w:vAlign w:val="center"/>
            <w:hideMark/>
          </w:tcPr>
          <w:p w14:paraId="1CC14902" w14:textId="77777777" w:rsidR="0046763D" w:rsidRPr="005D3A5A" w:rsidRDefault="0046763D" w:rsidP="008A08BF">
            <w:pPr>
              <w:spacing w:before="0" w:after="0" w:line="240" w:lineRule="auto"/>
              <w:jc w:val="center"/>
              <w:rPr>
                <w:rFonts w:ascii="Times New Roman" w:hAnsi="Times New Roman"/>
                <w:b/>
                <w:bCs/>
                <w:color w:val="000000"/>
                <w:sz w:val="20"/>
                <w:szCs w:val="20"/>
                <w:lang w:val="en-US" w:bidi="ar-SA"/>
              </w:rPr>
            </w:pPr>
            <w:r w:rsidRPr="005D3A5A">
              <w:rPr>
                <w:rFonts w:ascii="Times New Roman" w:hAnsi="Times New Roman"/>
                <w:b/>
                <w:bCs/>
                <w:color w:val="000000"/>
                <w:sz w:val="20"/>
                <w:szCs w:val="20"/>
                <w:lang w:val="en-US" w:bidi="ar-SA"/>
              </w:rPr>
              <w:t>%</w:t>
            </w:r>
          </w:p>
        </w:tc>
        <w:tc>
          <w:tcPr>
            <w:tcW w:w="656" w:type="dxa"/>
            <w:shd w:val="clear" w:color="auto" w:fill="BFBFBF" w:themeFill="background1" w:themeFillShade="BF"/>
            <w:noWrap/>
            <w:vAlign w:val="center"/>
            <w:hideMark/>
          </w:tcPr>
          <w:p w14:paraId="3E1AA02D" w14:textId="77777777" w:rsidR="0046763D" w:rsidRPr="005D3A5A" w:rsidRDefault="0046763D" w:rsidP="008A08BF">
            <w:pPr>
              <w:spacing w:before="0" w:after="0" w:line="240" w:lineRule="auto"/>
              <w:jc w:val="center"/>
              <w:rPr>
                <w:rFonts w:ascii="Times New Roman" w:hAnsi="Times New Roman"/>
                <w:b/>
                <w:bCs/>
                <w:color w:val="000000"/>
                <w:sz w:val="20"/>
                <w:szCs w:val="20"/>
                <w:lang w:val="en-US" w:bidi="ar-SA"/>
              </w:rPr>
            </w:pPr>
            <w:r w:rsidRPr="005D3A5A">
              <w:rPr>
                <w:rFonts w:ascii="Times New Roman" w:hAnsi="Times New Roman"/>
                <w:b/>
                <w:bCs/>
                <w:color w:val="000000"/>
                <w:sz w:val="20"/>
                <w:szCs w:val="20"/>
                <w:lang w:eastAsia="en-GB" w:bidi="ar-SA"/>
              </w:rPr>
              <w:t>2021</w:t>
            </w:r>
          </w:p>
        </w:tc>
        <w:tc>
          <w:tcPr>
            <w:tcW w:w="416" w:type="dxa"/>
            <w:shd w:val="clear" w:color="auto" w:fill="BFBFBF" w:themeFill="background1" w:themeFillShade="BF"/>
          </w:tcPr>
          <w:p w14:paraId="1E7FBF02" w14:textId="77777777" w:rsidR="0046763D" w:rsidRPr="005D3A5A" w:rsidRDefault="0046763D" w:rsidP="008A08BF">
            <w:pPr>
              <w:spacing w:before="0" w:after="0" w:line="240" w:lineRule="auto"/>
              <w:jc w:val="center"/>
              <w:rPr>
                <w:rFonts w:ascii="Times New Roman" w:hAnsi="Times New Roman"/>
                <w:b/>
                <w:bCs/>
                <w:color w:val="000000"/>
                <w:sz w:val="20"/>
                <w:szCs w:val="20"/>
                <w:lang w:eastAsia="en-GB" w:bidi="ar-SA"/>
              </w:rPr>
            </w:pPr>
            <w:r w:rsidRPr="005D3A5A">
              <w:rPr>
                <w:rFonts w:ascii="Times New Roman" w:hAnsi="Times New Roman"/>
                <w:b/>
                <w:bCs/>
                <w:color w:val="000000"/>
                <w:sz w:val="20"/>
                <w:szCs w:val="20"/>
                <w:lang w:val="en-US" w:bidi="ar-SA"/>
              </w:rPr>
              <w:t>%</w:t>
            </w:r>
          </w:p>
        </w:tc>
      </w:tr>
      <w:tr w:rsidR="00210A2A" w:rsidRPr="005D3A5A" w14:paraId="05E958CC" w14:textId="77777777" w:rsidTr="007919C3">
        <w:trPr>
          <w:trHeight w:val="790"/>
        </w:trPr>
        <w:tc>
          <w:tcPr>
            <w:tcW w:w="1890" w:type="dxa"/>
            <w:shd w:val="clear" w:color="000000" w:fill="FFFFFF"/>
            <w:vAlign w:val="center"/>
            <w:hideMark/>
          </w:tcPr>
          <w:p w14:paraId="21EF3E9D" w14:textId="33505901" w:rsidR="00210A2A" w:rsidRPr="005D3A5A" w:rsidRDefault="00210A2A" w:rsidP="008A08BF">
            <w:pPr>
              <w:spacing w:before="0" w:after="0" w:line="240" w:lineRule="auto"/>
              <w:jc w:val="center"/>
              <w:rPr>
                <w:rFonts w:ascii="Times New Roman" w:hAnsi="Times New Roman"/>
                <w:b/>
                <w:bCs/>
                <w:color w:val="000000"/>
                <w:sz w:val="20"/>
                <w:szCs w:val="20"/>
                <w:lang w:val="en-US" w:bidi="ar-SA"/>
              </w:rPr>
            </w:pPr>
            <w:r w:rsidRPr="005D3A5A">
              <w:rPr>
                <w:rFonts w:ascii="Times New Roman" w:hAnsi="Times New Roman"/>
                <w:b/>
                <w:bCs/>
                <w:color w:val="000000"/>
                <w:sz w:val="20"/>
                <w:szCs w:val="20"/>
                <w:lang w:eastAsia="en-GB" w:bidi="ar-SA"/>
              </w:rPr>
              <w:t xml:space="preserve">IEO </w:t>
            </w:r>
            <w:r w:rsidR="00D250D2" w:rsidRPr="005D3A5A">
              <w:rPr>
                <w:rFonts w:ascii="Times New Roman" w:hAnsi="Times New Roman"/>
                <w:b/>
                <w:bCs/>
                <w:color w:val="000000"/>
                <w:sz w:val="20"/>
                <w:szCs w:val="20"/>
                <w:lang w:eastAsia="en-GB" w:bidi="ar-SA"/>
              </w:rPr>
              <w:t>e</w:t>
            </w:r>
            <w:r w:rsidRPr="005D3A5A">
              <w:rPr>
                <w:rFonts w:ascii="Times New Roman" w:hAnsi="Times New Roman"/>
                <w:b/>
                <w:bCs/>
                <w:color w:val="000000"/>
                <w:sz w:val="20"/>
                <w:szCs w:val="20"/>
                <w:lang w:eastAsia="en-GB" w:bidi="ar-SA"/>
              </w:rPr>
              <w:t>xpenditure</w:t>
            </w:r>
          </w:p>
        </w:tc>
        <w:tc>
          <w:tcPr>
            <w:tcW w:w="1170" w:type="dxa"/>
            <w:shd w:val="clear" w:color="000000" w:fill="FFFFFF"/>
            <w:vAlign w:val="center"/>
            <w:hideMark/>
          </w:tcPr>
          <w:p w14:paraId="7241D6FD" w14:textId="523042FB" w:rsidR="00210A2A" w:rsidRPr="005D3A5A" w:rsidRDefault="00210A2A" w:rsidP="008A08BF">
            <w:pPr>
              <w:spacing w:before="0" w:after="0" w:line="240" w:lineRule="auto"/>
              <w:jc w:val="center"/>
              <w:rPr>
                <w:rFonts w:ascii="Times New Roman" w:hAnsi="Times New Roman"/>
                <w:color w:val="000000"/>
                <w:sz w:val="20"/>
                <w:szCs w:val="20"/>
                <w:lang w:val="en-US" w:bidi="ar-SA"/>
              </w:rPr>
            </w:pPr>
            <w:r>
              <w:rPr>
                <w:rFonts w:ascii="Times New Roman" w:hAnsi="Times New Roman"/>
                <w:color w:val="000000"/>
                <w:sz w:val="20"/>
                <w:szCs w:val="20"/>
                <w:lang w:eastAsia="en-GB" w:bidi="ar-SA"/>
              </w:rPr>
              <w:t>$</w:t>
            </w:r>
            <w:r w:rsidRPr="005D3A5A">
              <w:rPr>
                <w:rFonts w:ascii="Times New Roman" w:hAnsi="Times New Roman"/>
                <w:color w:val="000000"/>
                <w:sz w:val="20"/>
                <w:szCs w:val="20"/>
                <w:lang w:eastAsia="en-GB" w:bidi="ar-SA"/>
              </w:rPr>
              <w:t>8</w:t>
            </w:r>
            <w:r>
              <w:rPr>
                <w:rFonts w:ascii="Times New Roman" w:hAnsi="Times New Roman"/>
                <w:color w:val="000000"/>
                <w:sz w:val="20"/>
                <w:szCs w:val="20"/>
                <w:lang w:eastAsia="en-GB" w:bidi="ar-SA"/>
              </w:rPr>
              <w:t>.</w:t>
            </w:r>
            <w:r w:rsidRPr="005D3A5A">
              <w:rPr>
                <w:rFonts w:ascii="Times New Roman" w:hAnsi="Times New Roman"/>
                <w:color w:val="000000"/>
                <w:sz w:val="20"/>
                <w:szCs w:val="20"/>
                <w:lang w:eastAsia="en-GB" w:bidi="ar-SA"/>
              </w:rPr>
              <w:t>7</w:t>
            </w:r>
            <w:r>
              <w:rPr>
                <w:rFonts w:ascii="Times New Roman" w:hAnsi="Times New Roman"/>
                <w:color w:val="000000"/>
                <w:sz w:val="20"/>
                <w:szCs w:val="20"/>
                <w:lang w:eastAsia="en-GB" w:bidi="ar-SA"/>
              </w:rPr>
              <w:t>2</w:t>
            </w:r>
          </w:p>
        </w:tc>
        <w:tc>
          <w:tcPr>
            <w:tcW w:w="1080" w:type="dxa"/>
            <w:shd w:val="clear" w:color="000000" w:fill="FFFFFF"/>
            <w:vAlign w:val="center"/>
            <w:hideMark/>
          </w:tcPr>
          <w:p w14:paraId="62E18C76" w14:textId="77777777" w:rsidR="00210A2A" w:rsidRPr="005D3A5A" w:rsidRDefault="00210A2A" w:rsidP="008A08BF">
            <w:pPr>
              <w:spacing w:before="0" w:after="0" w:line="240" w:lineRule="auto"/>
              <w:jc w:val="center"/>
              <w:rPr>
                <w:rFonts w:ascii="Times New Roman" w:hAnsi="Times New Roman"/>
                <w:color w:val="000000"/>
                <w:sz w:val="20"/>
                <w:szCs w:val="20"/>
                <w:lang w:val="en-US" w:bidi="ar-SA"/>
              </w:rPr>
            </w:pPr>
            <w:r w:rsidRPr="005D3A5A">
              <w:rPr>
                <w:rFonts w:ascii="Times New Roman" w:hAnsi="Times New Roman"/>
                <w:color w:val="000000"/>
                <w:sz w:val="20"/>
                <w:szCs w:val="20"/>
                <w:lang w:val="en-US" w:bidi="ar-SA"/>
              </w:rPr>
              <w:t>0.19%</w:t>
            </w:r>
          </w:p>
        </w:tc>
        <w:tc>
          <w:tcPr>
            <w:tcW w:w="1350" w:type="dxa"/>
            <w:shd w:val="clear" w:color="000000" w:fill="FFFFFF"/>
            <w:vAlign w:val="center"/>
            <w:hideMark/>
          </w:tcPr>
          <w:p w14:paraId="01D68215" w14:textId="4B8EFA64" w:rsidR="00210A2A" w:rsidRPr="005D3A5A" w:rsidRDefault="00210A2A" w:rsidP="008A08BF">
            <w:pPr>
              <w:spacing w:before="0" w:after="0" w:line="240" w:lineRule="auto"/>
              <w:jc w:val="center"/>
              <w:rPr>
                <w:rFonts w:ascii="Times New Roman" w:hAnsi="Times New Roman"/>
                <w:color w:val="000000"/>
                <w:sz w:val="20"/>
                <w:szCs w:val="20"/>
                <w:lang w:val="en-US" w:bidi="ar-SA"/>
              </w:rPr>
            </w:pPr>
            <w:r>
              <w:rPr>
                <w:rFonts w:ascii="Times New Roman" w:hAnsi="Times New Roman"/>
                <w:color w:val="000000"/>
                <w:sz w:val="20"/>
                <w:szCs w:val="20"/>
                <w:lang w:eastAsia="en-GB" w:bidi="ar-SA"/>
              </w:rPr>
              <w:t>$</w:t>
            </w:r>
            <w:r w:rsidRPr="005D3A5A">
              <w:rPr>
                <w:rFonts w:ascii="Times New Roman" w:hAnsi="Times New Roman"/>
                <w:color w:val="000000"/>
                <w:sz w:val="20"/>
                <w:szCs w:val="20"/>
                <w:lang w:eastAsia="en-GB" w:bidi="ar-SA"/>
              </w:rPr>
              <w:t>10</w:t>
            </w:r>
            <w:r>
              <w:rPr>
                <w:rFonts w:ascii="Times New Roman" w:hAnsi="Times New Roman"/>
                <w:color w:val="000000"/>
                <w:sz w:val="20"/>
                <w:szCs w:val="20"/>
                <w:lang w:eastAsia="en-GB" w:bidi="ar-SA"/>
              </w:rPr>
              <w:t>.</w:t>
            </w:r>
            <w:r w:rsidRPr="005D3A5A">
              <w:rPr>
                <w:rFonts w:ascii="Times New Roman" w:hAnsi="Times New Roman"/>
                <w:color w:val="000000"/>
                <w:sz w:val="20"/>
                <w:szCs w:val="20"/>
                <w:lang w:eastAsia="en-GB" w:bidi="ar-SA"/>
              </w:rPr>
              <w:t>90</w:t>
            </w:r>
          </w:p>
        </w:tc>
        <w:tc>
          <w:tcPr>
            <w:tcW w:w="900" w:type="dxa"/>
            <w:shd w:val="clear" w:color="000000" w:fill="FFFFFF"/>
            <w:vAlign w:val="center"/>
            <w:hideMark/>
          </w:tcPr>
          <w:p w14:paraId="1D4912BC" w14:textId="77777777" w:rsidR="00210A2A" w:rsidRPr="005D3A5A" w:rsidRDefault="00210A2A" w:rsidP="008A08BF">
            <w:pPr>
              <w:spacing w:before="0" w:after="0" w:line="240" w:lineRule="auto"/>
              <w:jc w:val="center"/>
              <w:rPr>
                <w:rFonts w:ascii="Times New Roman" w:hAnsi="Times New Roman"/>
                <w:color w:val="000000"/>
                <w:sz w:val="20"/>
                <w:szCs w:val="20"/>
                <w:lang w:val="en-US" w:bidi="ar-SA"/>
              </w:rPr>
            </w:pPr>
            <w:r w:rsidRPr="005D3A5A">
              <w:rPr>
                <w:rFonts w:ascii="Times New Roman" w:hAnsi="Times New Roman"/>
                <w:color w:val="000000"/>
                <w:sz w:val="20"/>
                <w:szCs w:val="20"/>
                <w:lang w:val="en-US" w:bidi="ar-SA"/>
              </w:rPr>
              <w:t>0.25%</w:t>
            </w:r>
          </w:p>
        </w:tc>
        <w:tc>
          <w:tcPr>
            <w:tcW w:w="1078" w:type="dxa"/>
            <w:shd w:val="clear" w:color="000000" w:fill="FFFFFF"/>
            <w:vAlign w:val="center"/>
            <w:hideMark/>
          </w:tcPr>
          <w:p w14:paraId="17606522" w14:textId="6C9D46BF" w:rsidR="00210A2A" w:rsidRPr="005D3A5A" w:rsidRDefault="00210A2A" w:rsidP="008A08BF">
            <w:pPr>
              <w:spacing w:before="0" w:after="0" w:line="240" w:lineRule="auto"/>
              <w:jc w:val="center"/>
              <w:rPr>
                <w:rFonts w:ascii="Times New Roman" w:hAnsi="Times New Roman"/>
                <w:color w:val="000000"/>
                <w:sz w:val="20"/>
                <w:szCs w:val="20"/>
                <w:lang w:val="en-US" w:bidi="ar-SA"/>
              </w:rPr>
            </w:pPr>
            <w:r>
              <w:rPr>
                <w:rFonts w:ascii="Times New Roman" w:hAnsi="Times New Roman"/>
                <w:color w:val="000000"/>
                <w:sz w:val="20"/>
                <w:szCs w:val="20"/>
                <w:lang w:eastAsia="en-GB" w:bidi="ar-SA"/>
              </w:rPr>
              <w:t>$</w:t>
            </w:r>
            <w:r w:rsidRPr="005D3A5A">
              <w:rPr>
                <w:rFonts w:ascii="Times New Roman" w:hAnsi="Times New Roman"/>
                <w:color w:val="000000"/>
                <w:sz w:val="20"/>
                <w:szCs w:val="20"/>
                <w:lang w:eastAsia="en-GB" w:bidi="ar-SA"/>
              </w:rPr>
              <w:t>11</w:t>
            </w:r>
            <w:r>
              <w:rPr>
                <w:rFonts w:ascii="Times New Roman" w:hAnsi="Times New Roman"/>
                <w:color w:val="000000"/>
                <w:sz w:val="20"/>
                <w:szCs w:val="20"/>
                <w:lang w:eastAsia="en-GB" w:bidi="ar-SA"/>
              </w:rPr>
              <w:t>.</w:t>
            </w:r>
            <w:r w:rsidRPr="005D3A5A">
              <w:rPr>
                <w:rFonts w:ascii="Times New Roman" w:hAnsi="Times New Roman"/>
                <w:color w:val="000000"/>
                <w:sz w:val="20"/>
                <w:szCs w:val="20"/>
                <w:lang w:eastAsia="en-GB" w:bidi="ar-SA"/>
              </w:rPr>
              <w:t>24</w:t>
            </w:r>
          </w:p>
        </w:tc>
        <w:tc>
          <w:tcPr>
            <w:tcW w:w="903" w:type="dxa"/>
            <w:shd w:val="clear" w:color="000000" w:fill="FFFFFF"/>
            <w:vAlign w:val="center"/>
            <w:hideMark/>
          </w:tcPr>
          <w:p w14:paraId="6814819F" w14:textId="77777777" w:rsidR="00210A2A" w:rsidRPr="005D3A5A" w:rsidRDefault="00210A2A" w:rsidP="008A08BF">
            <w:pPr>
              <w:spacing w:before="0" w:after="0" w:line="240" w:lineRule="auto"/>
              <w:jc w:val="center"/>
              <w:rPr>
                <w:rFonts w:ascii="Times New Roman" w:hAnsi="Times New Roman"/>
                <w:color w:val="000000"/>
                <w:sz w:val="20"/>
                <w:szCs w:val="20"/>
                <w:lang w:val="en-US" w:bidi="ar-SA"/>
              </w:rPr>
            </w:pPr>
            <w:r w:rsidRPr="005D3A5A">
              <w:rPr>
                <w:rFonts w:ascii="Times New Roman" w:hAnsi="Times New Roman"/>
                <w:color w:val="000000"/>
                <w:sz w:val="20"/>
                <w:szCs w:val="20"/>
                <w:lang w:val="en-US" w:bidi="ar-SA"/>
              </w:rPr>
              <w:t>0.25%</w:t>
            </w:r>
          </w:p>
        </w:tc>
        <w:tc>
          <w:tcPr>
            <w:tcW w:w="656" w:type="dxa"/>
            <w:shd w:val="clear" w:color="000000" w:fill="FFFFFF"/>
            <w:noWrap/>
            <w:vAlign w:val="center"/>
            <w:hideMark/>
          </w:tcPr>
          <w:p w14:paraId="75BD9A68" w14:textId="5005A77B" w:rsidR="00210A2A" w:rsidRPr="005D3A5A" w:rsidRDefault="00210A2A" w:rsidP="008A08BF">
            <w:pPr>
              <w:spacing w:before="0" w:after="0" w:line="240" w:lineRule="auto"/>
              <w:jc w:val="center"/>
              <w:rPr>
                <w:rFonts w:ascii="Times New Roman" w:hAnsi="Times New Roman"/>
                <w:color w:val="000000"/>
                <w:sz w:val="20"/>
                <w:szCs w:val="20"/>
                <w:lang w:val="en-US" w:bidi="ar-SA"/>
              </w:rPr>
            </w:pPr>
            <w:r>
              <w:rPr>
                <w:rFonts w:ascii="Times New Roman" w:hAnsi="Times New Roman"/>
                <w:color w:val="000000"/>
                <w:sz w:val="20"/>
                <w:szCs w:val="20"/>
                <w:lang w:eastAsia="en-GB" w:bidi="ar-SA"/>
              </w:rPr>
              <w:t>$</w:t>
            </w:r>
            <w:r w:rsidRPr="005D3A5A">
              <w:rPr>
                <w:rFonts w:ascii="Times New Roman" w:hAnsi="Times New Roman"/>
                <w:color w:val="000000"/>
                <w:sz w:val="20"/>
                <w:szCs w:val="20"/>
                <w:lang w:eastAsia="en-GB" w:bidi="ar-SA"/>
              </w:rPr>
              <w:t>11</w:t>
            </w:r>
            <w:r>
              <w:rPr>
                <w:rFonts w:ascii="Times New Roman" w:hAnsi="Times New Roman"/>
                <w:color w:val="000000"/>
                <w:sz w:val="20"/>
                <w:szCs w:val="20"/>
                <w:lang w:eastAsia="en-GB" w:bidi="ar-SA"/>
              </w:rPr>
              <w:t>.4</w:t>
            </w:r>
          </w:p>
        </w:tc>
        <w:tc>
          <w:tcPr>
            <w:tcW w:w="416" w:type="dxa"/>
            <w:vAlign w:val="center"/>
          </w:tcPr>
          <w:p w14:paraId="05D98C55" w14:textId="361726C5" w:rsidR="00210A2A" w:rsidRPr="005D3A5A" w:rsidRDefault="00975E38" w:rsidP="008A08BF">
            <w:pPr>
              <w:spacing w:before="0" w:after="0" w:line="240" w:lineRule="auto"/>
              <w:jc w:val="center"/>
              <w:rPr>
                <w:rFonts w:ascii="Times New Roman" w:hAnsi="Times New Roman"/>
                <w:color w:val="000000"/>
                <w:sz w:val="20"/>
                <w:szCs w:val="20"/>
                <w:lang w:eastAsia="en-GB" w:bidi="ar-SA"/>
              </w:rPr>
            </w:pPr>
            <w:r>
              <w:rPr>
                <w:rFonts w:ascii="Times New Roman" w:hAnsi="Times New Roman"/>
                <w:color w:val="000000"/>
                <w:sz w:val="20"/>
                <w:szCs w:val="20"/>
                <w:lang w:eastAsia="en-GB" w:bidi="ar-SA"/>
              </w:rPr>
              <w:t>0.24%</w:t>
            </w:r>
          </w:p>
        </w:tc>
      </w:tr>
      <w:tr w:rsidR="00210A2A" w:rsidRPr="005D3A5A" w14:paraId="014B347E" w14:textId="77777777" w:rsidTr="007919C3">
        <w:trPr>
          <w:trHeight w:val="625"/>
        </w:trPr>
        <w:tc>
          <w:tcPr>
            <w:tcW w:w="1890" w:type="dxa"/>
            <w:shd w:val="clear" w:color="000000" w:fill="FFFFFF"/>
            <w:vAlign w:val="center"/>
            <w:hideMark/>
          </w:tcPr>
          <w:p w14:paraId="64003B43" w14:textId="7B6AB37A" w:rsidR="00210A2A" w:rsidRPr="005D3A5A" w:rsidRDefault="00210A2A" w:rsidP="008A08BF">
            <w:pPr>
              <w:spacing w:before="0" w:after="0" w:line="240" w:lineRule="auto"/>
              <w:jc w:val="center"/>
              <w:rPr>
                <w:rFonts w:ascii="Times New Roman" w:hAnsi="Times New Roman"/>
                <w:b/>
                <w:bCs/>
                <w:color w:val="000000"/>
                <w:sz w:val="20"/>
                <w:szCs w:val="20"/>
                <w:lang w:val="en-US" w:bidi="ar-SA"/>
              </w:rPr>
            </w:pPr>
            <w:r w:rsidRPr="005D3A5A">
              <w:rPr>
                <w:rFonts w:ascii="Times New Roman" w:hAnsi="Times New Roman"/>
                <w:b/>
                <w:bCs/>
                <w:color w:val="000000"/>
                <w:sz w:val="20"/>
                <w:szCs w:val="20"/>
                <w:lang w:eastAsia="en-GB" w:bidi="ar-SA"/>
              </w:rPr>
              <w:t xml:space="preserve">Country </w:t>
            </w:r>
            <w:r w:rsidR="00D250D2" w:rsidRPr="005D3A5A">
              <w:rPr>
                <w:rFonts w:ascii="Times New Roman" w:hAnsi="Times New Roman"/>
                <w:b/>
                <w:bCs/>
                <w:color w:val="000000"/>
                <w:sz w:val="20"/>
                <w:szCs w:val="20"/>
                <w:lang w:eastAsia="en-GB" w:bidi="ar-SA"/>
              </w:rPr>
              <w:t>office e</w:t>
            </w:r>
            <w:r w:rsidRPr="005D3A5A">
              <w:rPr>
                <w:rFonts w:ascii="Times New Roman" w:hAnsi="Times New Roman"/>
                <w:b/>
                <w:bCs/>
                <w:color w:val="000000"/>
                <w:sz w:val="20"/>
                <w:szCs w:val="20"/>
                <w:lang w:eastAsia="en-GB" w:bidi="ar-SA"/>
              </w:rPr>
              <w:t>xpenditure</w:t>
            </w:r>
          </w:p>
        </w:tc>
        <w:tc>
          <w:tcPr>
            <w:tcW w:w="1170" w:type="dxa"/>
            <w:shd w:val="clear" w:color="000000" w:fill="FFFFFF"/>
            <w:vAlign w:val="center"/>
            <w:hideMark/>
          </w:tcPr>
          <w:p w14:paraId="77EE592C" w14:textId="7E1BC086" w:rsidR="00210A2A" w:rsidRPr="005D3A5A" w:rsidRDefault="00210A2A" w:rsidP="008A08BF">
            <w:pPr>
              <w:spacing w:before="0" w:after="0" w:line="240" w:lineRule="auto"/>
              <w:jc w:val="center"/>
              <w:rPr>
                <w:rFonts w:ascii="Times New Roman" w:hAnsi="Times New Roman"/>
                <w:color w:val="000000"/>
                <w:sz w:val="20"/>
                <w:szCs w:val="20"/>
                <w:lang w:val="en-US" w:bidi="ar-SA"/>
              </w:rPr>
            </w:pPr>
            <w:r>
              <w:rPr>
                <w:rFonts w:ascii="Times New Roman" w:hAnsi="Times New Roman"/>
                <w:color w:val="000000"/>
                <w:sz w:val="20"/>
                <w:szCs w:val="20"/>
                <w:lang w:eastAsia="en-GB" w:bidi="ar-SA"/>
              </w:rPr>
              <w:t>$</w:t>
            </w:r>
            <w:r w:rsidRPr="005D3A5A">
              <w:rPr>
                <w:rFonts w:ascii="Times New Roman" w:hAnsi="Times New Roman"/>
                <w:color w:val="000000"/>
                <w:sz w:val="20"/>
                <w:szCs w:val="20"/>
                <w:lang w:eastAsia="en-GB" w:bidi="ar-SA"/>
              </w:rPr>
              <w:t>11</w:t>
            </w:r>
            <w:r>
              <w:rPr>
                <w:rFonts w:ascii="Times New Roman" w:hAnsi="Times New Roman"/>
                <w:color w:val="000000"/>
                <w:sz w:val="20"/>
                <w:szCs w:val="20"/>
                <w:lang w:eastAsia="en-GB" w:bidi="ar-SA"/>
              </w:rPr>
              <w:t>.</w:t>
            </w:r>
            <w:r w:rsidRPr="005D3A5A">
              <w:rPr>
                <w:rFonts w:ascii="Times New Roman" w:hAnsi="Times New Roman"/>
                <w:color w:val="000000"/>
                <w:sz w:val="20"/>
                <w:szCs w:val="20"/>
                <w:lang w:eastAsia="en-GB" w:bidi="ar-SA"/>
              </w:rPr>
              <w:t>53</w:t>
            </w:r>
          </w:p>
        </w:tc>
        <w:tc>
          <w:tcPr>
            <w:tcW w:w="1080" w:type="dxa"/>
            <w:shd w:val="clear" w:color="000000" w:fill="FFFFFF"/>
            <w:vAlign w:val="center"/>
            <w:hideMark/>
          </w:tcPr>
          <w:p w14:paraId="0DDFD30A" w14:textId="77777777" w:rsidR="00210A2A" w:rsidRPr="005D3A5A" w:rsidRDefault="00210A2A" w:rsidP="008A08BF">
            <w:pPr>
              <w:spacing w:before="0" w:after="0" w:line="240" w:lineRule="auto"/>
              <w:jc w:val="center"/>
              <w:rPr>
                <w:rFonts w:ascii="Times New Roman" w:hAnsi="Times New Roman"/>
                <w:color w:val="000000"/>
                <w:sz w:val="20"/>
                <w:szCs w:val="20"/>
                <w:lang w:val="en-US" w:bidi="ar-SA"/>
              </w:rPr>
            </w:pPr>
            <w:r w:rsidRPr="005D3A5A">
              <w:rPr>
                <w:rFonts w:ascii="Times New Roman" w:hAnsi="Times New Roman"/>
                <w:color w:val="000000"/>
                <w:sz w:val="20"/>
                <w:szCs w:val="20"/>
                <w:lang w:val="en-US" w:bidi="ar-SA"/>
              </w:rPr>
              <w:t>0.25%</w:t>
            </w:r>
          </w:p>
        </w:tc>
        <w:tc>
          <w:tcPr>
            <w:tcW w:w="1350" w:type="dxa"/>
            <w:shd w:val="clear" w:color="000000" w:fill="FFFFFF"/>
            <w:vAlign w:val="center"/>
            <w:hideMark/>
          </w:tcPr>
          <w:p w14:paraId="5EAFE964" w14:textId="6C3A5F87" w:rsidR="00210A2A" w:rsidRPr="005D3A5A" w:rsidRDefault="00210A2A" w:rsidP="008A08BF">
            <w:pPr>
              <w:spacing w:before="0" w:after="0" w:line="240" w:lineRule="auto"/>
              <w:jc w:val="center"/>
              <w:rPr>
                <w:rFonts w:ascii="Times New Roman" w:hAnsi="Times New Roman"/>
                <w:color w:val="000000"/>
                <w:sz w:val="20"/>
                <w:szCs w:val="20"/>
                <w:lang w:val="en-US" w:bidi="ar-SA"/>
              </w:rPr>
            </w:pPr>
            <w:r>
              <w:rPr>
                <w:rFonts w:ascii="Times New Roman" w:hAnsi="Times New Roman"/>
                <w:color w:val="000000"/>
                <w:sz w:val="20"/>
                <w:szCs w:val="20"/>
                <w:lang w:eastAsia="en-GB" w:bidi="ar-SA"/>
              </w:rPr>
              <w:t>$</w:t>
            </w:r>
            <w:r w:rsidRPr="005D3A5A">
              <w:rPr>
                <w:rFonts w:ascii="Times New Roman" w:hAnsi="Times New Roman"/>
                <w:color w:val="000000"/>
                <w:sz w:val="20"/>
                <w:szCs w:val="20"/>
                <w:lang w:eastAsia="en-GB" w:bidi="ar-SA"/>
              </w:rPr>
              <w:t>13</w:t>
            </w:r>
            <w:r>
              <w:rPr>
                <w:rFonts w:ascii="Times New Roman" w:hAnsi="Times New Roman"/>
                <w:color w:val="000000"/>
                <w:sz w:val="20"/>
                <w:szCs w:val="20"/>
                <w:lang w:eastAsia="en-GB" w:bidi="ar-SA"/>
              </w:rPr>
              <w:t>.</w:t>
            </w:r>
            <w:r w:rsidRPr="005D3A5A">
              <w:rPr>
                <w:rFonts w:ascii="Times New Roman" w:hAnsi="Times New Roman"/>
                <w:color w:val="000000"/>
                <w:sz w:val="20"/>
                <w:szCs w:val="20"/>
                <w:lang w:eastAsia="en-GB" w:bidi="ar-SA"/>
              </w:rPr>
              <w:t>24</w:t>
            </w:r>
          </w:p>
        </w:tc>
        <w:tc>
          <w:tcPr>
            <w:tcW w:w="900" w:type="dxa"/>
            <w:shd w:val="clear" w:color="000000" w:fill="FFFFFF"/>
            <w:vAlign w:val="center"/>
            <w:hideMark/>
          </w:tcPr>
          <w:p w14:paraId="1D999B77" w14:textId="77777777" w:rsidR="00210A2A" w:rsidRPr="005D3A5A" w:rsidRDefault="00210A2A" w:rsidP="008A08BF">
            <w:pPr>
              <w:spacing w:before="0" w:after="0" w:line="240" w:lineRule="auto"/>
              <w:jc w:val="center"/>
              <w:rPr>
                <w:rFonts w:ascii="Times New Roman" w:hAnsi="Times New Roman"/>
                <w:color w:val="000000"/>
                <w:sz w:val="20"/>
                <w:szCs w:val="20"/>
                <w:lang w:val="en-US" w:bidi="ar-SA"/>
              </w:rPr>
            </w:pPr>
            <w:r w:rsidRPr="005D3A5A">
              <w:rPr>
                <w:rFonts w:ascii="Times New Roman" w:hAnsi="Times New Roman"/>
                <w:color w:val="000000"/>
                <w:sz w:val="20"/>
                <w:szCs w:val="20"/>
                <w:lang w:val="en-US" w:bidi="ar-SA"/>
              </w:rPr>
              <w:t>0.30%</w:t>
            </w:r>
          </w:p>
        </w:tc>
        <w:tc>
          <w:tcPr>
            <w:tcW w:w="1078" w:type="dxa"/>
            <w:shd w:val="clear" w:color="000000" w:fill="FFFFFF"/>
            <w:vAlign w:val="center"/>
            <w:hideMark/>
          </w:tcPr>
          <w:p w14:paraId="28EDDA8E" w14:textId="5370B31A" w:rsidR="00210A2A" w:rsidRPr="005D3A5A" w:rsidRDefault="00210A2A" w:rsidP="008A08BF">
            <w:pPr>
              <w:spacing w:before="0" w:after="0" w:line="240" w:lineRule="auto"/>
              <w:jc w:val="center"/>
              <w:rPr>
                <w:rFonts w:ascii="Times New Roman" w:hAnsi="Times New Roman"/>
                <w:color w:val="000000"/>
                <w:sz w:val="20"/>
                <w:szCs w:val="20"/>
                <w:lang w:val="en-US" w:bidi="ar-SA"/>
              </w:rPr>
            </w:pPr>
            <w:r>
              <w:rPr>
                <w:rFonts w:ascii="Times New Roman" w:hAnsi="Times New Roman"/>
                <w:color w:val="000000"/>
                <w:sz w:val="20"/>
                <w:szCs w:val="20"/>
                <w:lang w:eastAsia="en-GB" w:bidi="ar-SA"/>
              </w:rPr>
              <w:t>$</w:t>
            </w:r>
            <w:r w:rsidRPr="005D3A5A">
              <w:rPr>
                <w:rFonts w:ascii="Times New Roman" w:hAnsi="Times New Roman"/>
                <w:color w:val="000000"/>
                <w:sz w:val="20"/>
                <w:szCs w:val="20"/>
                <w:lang w:eastAsia="en-GB" w:bidi="ar-SA"/>
              </w:rPr>
              <w:t>12</w:t>
            </w:r>
            <w:r>
              <w:rPr>
                <w:rFonts w:ascii="Times New Roman" w:hAnsi="Times New Roman"/>
                <w:color w:val="000000"/>
                <w:sz w:val="20"/>
                <w:szCs w:val="20"/>
                <w:lang w:eastAsia="en-GB" w:bidi="ar-SA"/>
              </w:rPr>
              <w:t>.</w:t>
            </w:r>
            <w:r w:rsidRPr="005D3A5A">
              <w:rPr>
                <w:rFonts w:ascii="Times New Roman" w:hAnsi="Times New Roman"/>
                <w:color w:val="000000"/>
                <w:sz w:val="20"/>
                <w:szCs w:val="20"/>
                <w:lang w:eastAsia="en-GB" w:bidi="ar-SA"/>
              </w:rPr>
              <w:t>2</w:t>
            </w:r>
            <w:r>
              <w:rPr>
                <w:rFonts w:ascii="Times New Roman" w:hAnsi="Times New Roman"/>
                <w:color w:val="000000"/>
                <w:sz w:val="20"/>
                <w:szCs w:val="20"/>
                <w:lang w:eastAsia="en-GB" w:bidi="ar-SA"/>
              </w:rPr>
              <w:t>9</w:t>
            </w:r>
          </w:p>
        </w:tc>
        <w:tc>
          <w:tcPr>
            <w:tcW w:w="903" w:type="dxa"/>
            <w:shd w:val="clear" w:color="000000" w:fill="FFFFFF"/>
            <w:vAlign w:val="center"/>
            <w:hideMark/>
          </w:tcPr>
          <w:p w14:paraId="47E64783" w14:textId="77777777" w:rsidR="00210A2A" w:rsidRPr="005D3A5A" w:rsidRDefault="00210A2A" w:rsidP="008A08BF">
            <w:pPr>
              <w:spacing w:before="0" w:after="0" w:line="240" w:lineRule="auto"/>
              <w:jc w:val="center"/>
              <w:rPr>
                <w:rFonts w:ascii="Times New Roman" w:hAnsi="Times New Roman"/>
                <w:color w:val="000000"/>
                <w:sz w:val="20"/>
                <w:szCs w:val="20"/>
                <w:lang w:val="en-US" w:bidi="ar-SA"/>
              </w:rPr>
            </w:pPr>
            <w:r w:rsidRPr="005D3A5A">
              <w:rPr>
                <w:rFonts w:ascii="Times New Roman" w:hAnsi="Times New Roman"/>
                <w:color w:val="000000"/>
                <w:sz w:val="20"/>
                <w:szCs w:val="20"/>
                <w:lang w:val="en-US" w:bidi="ar-SA"/>
              </w:rPr>
              <w:t>0.27%</w:t>
            </w:r>
          </w:p>
        </w:tc>
        <w:tc>
          <w:tcPr>
            <w:tcW w:w="656" w:type="dxa"/>
            <w:shd w:val="clear" w:color="000000" w:fill="FFFFFF"/>
            <w:noWrap/>
            <w:vAlign w:val="center"/>
            <w:hideMark/>
          </w:tcPr>
          <w:p w14:paraId="685242D5" w14:textId="2ED3C7F2" w:rsidR="00210A2A" w:rsidRPr="005D3A5A" w:rsidRDefault="00210A2A" w:rsidP="008A08BF">
            <w:pPr>
              <w:spacing w:before="0" w:after="0" w:line="240" w:lineRule="auto"/>
              <w:jc w:val="center"/>
              <w:rPr>
                <w:rFonts w:ascii="Times New Roman" w:hAnsi="Times New Roman"/>
                <w:color w:val="000000"/>
                <w:sz w:val="20"/>
                <w:szCs w:val="20"/>
                <w:lang w:val="en-US" w:bidi="ar-SA"/>
              </w:rPr>
            </w:pPr>
            <w:r>
              <w:rPr>
                <w:rFonts w:ascii="Times New Roman" w:hAnsi="Times New Roman"/>
                <w:color w:val="000000"/>
                <w:sz w:val="20"/>
                <w:szCs w:val="20"/>
                <w:lang w:eastAsia="en-GB" w:bidi="ar-SA"/>
              </w:rPr>
              <w:t>$</w:t>
            </w:r>
            <w:r w:rsidR="00975E38">
              <w:rPr>
                <w:rFonts w:ascii="Times New Roman" w:hAnsi="Times New Roman"/>
                <w:color w:val="000000"/>
                <w:sz w:val="20"/>
                <w:szCs w:val="20"/>
                <w:lang w:eastAsia="en-GB" w:bidi="ar-SA"/>
              </w:rPr>
              <w:t>14.27</w:t>
            </w:r>
          </w:p>
        </w:tc>
        <w:tc>
          <w:tcPr>
            <w:tcW w:w="416" w:type="dxa"/>
            <w:vAlign w:val="center"/>
          </w:tcPr>
          <w:p w14:paraId="36DAC1D7" w14:textId="316DC4A0" w:rsidR="00210A2A" w:rsidRPr="005D3A5A" w:rsidRDefault="007919C3" w:rsidP="008A08BF">
            <w:pPr>
              <w:spacing w:before="0" w:after="0" w:line="240" w:lineRule="auto"/>
              <w:jc w:val="center"/>
              <w:rPr>
                <w:rFonts w:ascii="Times New Roman" w:hAnsi="Times New Roman"/>
                <w:color w:val="000000"/>
                <w:sz w:val="20"/>
                <w:szCs w:val="20"/>
                <w:lang w:eastAsia="en-GB" w:bidi="ar-SA"/>
              </w:rPr>
            </w:pPr>
            <w:r>
              <w:rPr>
                <w:rFonts w:ascii="Times New Roman" w:hAnsi="Times New Roman"/>
                <w:color w:val="000000"/>
                <w:sz w:val="20"/>
                <w:szCs w:val="20"/>
                <w:lang w:eastAsia="en-GB" w:bidi="ar-SA"/>
              </w:rPr>
              <w:t>0.29%</w:t>
            </w:r>
          </w:p>
        </w:tc>
      </w:tr>
      <w:tr w:rsidR="00210A2A" w:rsidRPr="005D3A5A" w14:paraId="4F506624" w14:textId="77777777" w:rsidTr="007919C3">
        <w:trPr>
          <w:trHeight w:val="563"/>
        </w:trPr>
        <w:tc>
          <w:tcPr>
            <w:tcW w:w="1890" w:type="dxa"/>
            <w:shd w:val="clear" w:color="000000" w:fill="FFFFFF"/>
            <w:vAlign w:val="center"/>
            <w:hideMark/>
          </w:tcPr>
          <w:p w14:paraId="3D298204" w14:textId="47744EB3" w:rsidR="00210A2A" w:rsidRPr="005D3A5A" w:rsidRDefault="00210A2A" w:rsidP="008A08BF">
            <w:pPr>
              <w:spacing w:before="0" w:after="0" w:line="240" w:lineRule="auto"/>
              <w:jc w:val="center"/>
              <w:rPr>
                <w:rFonts w:ascii="Times New Roman" w:hAnsi="Times New Roman"/>
                <w:b/>
                <w:bCs/>
                <w:color w:val="000000"/>
                <w:sz w:val="20"/>
                <w:szCs w:val="20"/>
                <w:lang w:val="en-US" w:bidi="ar-SA"/>
              </w:rPr>
            </w:pPr>
            <w:r w:rsidRPr="005D3A5A">
              <w:rPr>
                <w:rFonts w:ascii="Times New Roman" w:hAnsi="Times New Roman"/>
                <w:b/>
                <w:bCs/>
                <w:color w:val="000000"/>
                <w:sz w:val="20"/>
                <w:szCs w:val="20"/>
                <w:lang w:eastAsia="en-GB" w:bidi="ar-SA"/>
              </w:rPr>
              <w:t xml:space="preserve">Regional </w:t>
            </w:r>
            <w:r w:rsidR="00D250D2" w:rsidRPr="005D3A5A">
              <w:rPr>
                <w:rFonts w:ascii="Times New Roman" w:hAnsi="Times New Roman"/>
                <w:b/>
                <w:bCs/>
                <w:color w:val="000000"/>
                <w:sz w:val="20"/>
                <w:szCs w:val="20"/>
                <w:lang w:eastAsia="en-GB" w:bidi="ar-SA"/>
              </w:rPr>
              <w:t>e</w:t>
            </w:r>
            <w:r w:rsidRPr="005D3A5A">
              <w:rPr>
                <w:rFonts w:ascii="Times New Roman" w:hAnsi="Times New Roman"/>
                <w:b/>
                <w:bCs/>
                <w:color w:val="000000"/>
                <w:sz w:val="20"/>
                <w:szCs w:val="20"/>
                <w:lang w:eastAsia="en-GB" w:bidi="ar-SA"/>
              </w:rPr>
              <w:t>xpenditure</w:t>
            </w:r>
          </w:p>
        </w:tc>
        <w:tc>
          <w:tcPr>
            <w:tcW w:w="1170" w:type="dxa"/>
            <w:shd w:val="clear" w:color="000000" w:fill="FFFFFF"/>
            <w:vAlign w:val="center"/>
            <w:hideMark/>
          </w:tcPr>
          <w:p w14:paraId="7C6DAECA" w14:textId="0C9250B9" w:rsidR="00210A2A" w:rsidRPr="005D3A5A" w:rsidRDefault="00210A2A" w:rsidP="008A08BF">
            <w:pPr>
              <w:spacing w:before="0" w:after="0" w:line="240" w:lineRule="auto"/>
              <w:jc w:val="center"/>
              <w:rPr>
                <w:rFonts w:ascii="Times New Roman" w:hAnsi="Times New Roman"/>
                <w:color w:val="000000"/>
                <w:sz w:val="20"/>
                <w:szCs w:val="20"/>
                <w:lang w:val="en-US" w:bidi="ar-SA"/>
              </w:rPr>
            </w:pPr>
            <w:r>
              <w:rPr>
                <w:rFonts w:ascii="Times New Roman" w:hAnsi="Times New Roman"/>
                <w:color w:val="000000"/>
                <w:sz w:val="20"/>
                <w:szCs w:val="20"/>
                <w:lang w:eastAsia="en-GB" w:bidi="ar-SA"/>
              </w:rPr>
              <w:t>$</w:t>
            </w:r>
            <w:r w:rsidRPr="005D3A5A">
              <w:rPr>
                <w:rFonts w:ascii="Times New Roman" w:hAnsi="Times New Roman"/>
                <w:color w:val="000000"/>
                <w:sz w:val="20"/>
                <w:szCs w:val="20"/>
                <w:lang w:eastAsia="en-GB" w:bidi="ar-SA"/>
              </w:rPr>
              <w:t>1</w:t>
            </w:r>
            <w:r>
              <w:rPr>
                <w:rFonts w:ascii="Times New Roman" w:hAnsi="Times New Roman"/>
                <w:color w:val="000000"/>
                <w:sz w:val="20"/>
                <w:szCs w:val="20"/>
                <w:lang w:eastAsia="en-GB" w:bidi="ar-SA"/>
              </w:rPr>
              <w:t>.</w:t>
            </w:r>
            <w:r w:rsidRPr="005D3A5A">
              <w:rPr>
                <w:rFonts w:ascii="Times New Roman" w:hAnsi="Times New Roman"/>
                <w:color w:val="000000"/>
                <w:sz w:val="20"/>
                <w:szCs w:val="20"/>
                <w:lang w:eastAsia="en-GB" w:bidi="ar-SA"/>
              </w:rPr>
              <w:t>83</w:t>
            </w:r>
          </w:p>
        </w:tc>
        <w:tc>
          <w:tcPr>
            <w:tcW w:w="1080" w:type="dxa"/>
            <w:shd w:val="clear" w:color="000000" w:fill="FFFFFF"/>
            <w:vAlign w:val="center"/>
            <w:hideMark/>
          </w:tcPr>
          <w:p w14:paraId="16D770CC" w14:textId="77777777" w:rsidR="00210A2A" w:rsidRPr="005D3A5A" w:rsidRDefault="00210A2A" w:rsidP="008A08BF">
            <w:pPr>
              <w:spacing w:before="0" w:after="0" w:line="240" w:lineRule="auto"/>
              <w:jc w:val="center"/>
              <w:rPr>
                <w:rFonts w:ascii="Times New Roman" w:hAnsi="Times New Roman"/>
                <w:color w:val="000000"/>
                <w:sz w:val="20"/>
                <w:szCs w:val="20"/>
                <w:lang w:val="en-US" w:bidi="ar-SA"/>
              </w:rPr>
            </w:pPr>
            <w:r w:rsidRPr="005D3A5A">
              <w:rPr>
                <w:rFonts w:ascii="Times New Roman" w:hAnsi="Times New Roman"/>
                <w:color w:val="000000"/>
                <w:sz w:val="20"/>
                <w:szCs w:val="20"/>
                <w:lang w:val="en-US" w:bidi="ar-SA"/>
              </w:rPr>
              <w:t>0.04%</w:t>
            </w:r>
          </w:p>
        </w:tc>
        <w:tc>
          <w:tcPr>
            <w:tcW w:w="1350" w:type="dxa"/>
            <w:shd w:val="clear" w:color="000000" w:fill="FFFFFF"/>
            <w:vAlign w:val="center"/>
            <w:hideMark/>
          </w:tcPr>
          <w:p w14:paraId="620F0DDC" w14:textId="527EAD2C" w:rsidR="00210A2A" w:rsidRPr="005D3A5A" w:rsidRDefault="00210A2A" w:rsidP="008A08BF">
            <w:pPr>
              <w:spacing w:before="0" w:after="0" w:line="240" w:lineRule="auto"/>
              <w:jc w:val="center"/>
              <w:rPr>
                <w:rFonts w:ascii="Times New Roman" w:hAnsi="Times New Roman"/>
                <w:color w:val="000000"/>
                <w:sz w:val="20"/>
                <w:szCs w:val="20"/>
                <w:lang w:val="en-US" w:bidi="ar-SA"/>
              </w:rPr>
            </w:pPr>
            <w:r>
              <w:rPr>
                <w:rFonts w:ascii="Times New Roman" w:hAnsi="Times New Roman"/>
                <w:color w:val="000000"/>
                <w:sz w:val="20"/>
                <w:szCs w:val="20"/>
                <w:lang w:eastAsia="en-GB" w:bidi="ar-SA"/>
              </w:rPr>
              <w:t>$</w:t>
            </w:r>
            <w:r w:rsidRPr="005D3A5A">
              <w:rPr>
                <w:rFonts w:ascii="Times New Roman" w:hAnsi="Times New Roman"/>
                <w:color w:val="000000"/>
                <w:sz w:val="20"/>
                <w:szCs w:val="20"/>
                <w:lang w:eastAsia="en-GB" w:bidi="ar-SA"/>
              </w:rPr>
              <w:t>1</w:t>
            </w:r>
            <w:r>
              <w:rPr>
                <w:rFonts w:ascii="Times New Roman" w:hAnsi="Times New Roman"/>
                <w:color w:val="000000"/>
                <w:sz w:val="20"/>
                <w:szCs w:val="20"/>
                <w:lang w:eastAsia="en-GB" w:bidi="ar-SA"/>
              </w:rPr>
              <w:t>.</w:t>
            </w:r>
            <w:r w:rsidRPr="005D3A5A">
              <w:rPr>
                <w:rFonts w:ascii="Times New Roman" w:hAnsi="Times New Roman"/>
                <w:color w:val="000000"/>
                <w:sz w:val="20"/>
                <w:szCs w:val="20"/>
                <w:lang w:eastAsia="en-GB" w:bidi="ar-SA"/>
              </w:rPr>
              <w:t>56</w:t>
            </w:r>
          </w:p>
        </w:tc>
        <w:tc>
          <w:tcPr>
            <w:tcW w:w="900" w:type="dxa"/>
            <w:shd w:val="clear" w:color="000000" w:fill="FFFFFF"/>
            <w:vAlign w:val="center"/>
            <w:hideMark/>
          </w:tcPr>
          <w:p w14:paraId="7693A342" w14:textId="77777777" w:rsidR="00210A2A" w:rsidRPr="005D3A5A" w:rsidRDefault="00210A2A" w:rsidP="008A08BF">
            <w:pPr>
              <w:spacing w:before="0" w:after="0" w:line="240" w:lineRule="auto"/>
              <w:jc w:val="center"/>
              <w:rPr>
                <w:rFonts w:ascii="Times New Roman" w:hAnsi="Times New Roman"/>
                <w:color w:val="000000"/>
                <w:sz w:val="20"/>
                <w:szCs w:val="20"/>
                <w:lang w:val="en-US" w:bidi="ar-SA"/>
              </w:rPr>
            </w:pPr>
            <w:r w:rsidRPr="005D3A5A">
              <w:rPr>
                <w:rFonts w:ascii="Times New Roman" w:hAnsi="Times New Roman"/>
                <w:color w:val="000000"/>
                <w:sz w:val="20"/>
                <w:szCs w:val="20"/>
                <w:lang w:val="en-US" w:bidi="ar-SA"/>
              </w:rPr>
              <w:t>0.04%</w:t>
            </w:r>
          </w:p>
        </w:tc>
        <w:tc>
          <w:tcPr>
            <w:tcW w:w="1078" w:type="dxa"/>
            <w:shd w:val="clear" w:color="000000" w:fill="FFFFFF"/>
            <w:vAlign w:val="center"/>
            <w:hideMark/>
          </w:tcPr>
          <w:p w14:paraId="18EB223A" w14:textId="20C5F3D0" w:rsidR="00210A2A" w:rsidRPr="005D3A5A" w:rsidRDefault="00210A2A" w:rsidP="008A08BF">
            <w:pPr>
              <w:spacing w:before="0" w:after="0" w:line="240" w:lineRule="auto"/>
              <w:jc w:val="center"/>
              <w:rPr>
                <w:rFonts w:ascii="Times New Roman" w:hAnsi="Times New Roman"/>
                <w:color w:val="000000"/>
                <w:sz w:val="20"/>
                <w:szCs w:val="20"/>
                <w:lang w:val="en-US" w:bidi="ar-SA"/>
              </w:rPr>
            </w:pPr>
            <w:r>
              <w:rPr>
                <w:rFonts w:ascii="Times New Roman" w:hAnsi="Times New Roman"/>
                <w:color w:val="000000"/>
                <w:sz w:val="20"/>
                <w:szCs w:val="20"/>
                <w:lang w:eastAsia="en-GB" w:bidi="ar-SA"/>
              </w:rPr>
              <w:t>$</w:t>
            </w:r>
            <w:r w:rsidRPr="005D3A5A">
              <w:rPr>
                <w:rFonts w:ascii="Times New Roman" w:hAnsi="Times New Roman"/>
                <w:color w:val="000000"/>
                <w:sz w:val="20"/>
                <w:szCs w:val="20"/>
                <w:lang w:eastAsia="en-GB" w:bidi="ar-SA"/>
              </w:rPr>
              <w:t>2</w:t>
            </w:r>
            <w:r>
              <w:rPr>
                <w:rFonts w:ascii="Times New Roman" w:hAnsi="Times New Roman"/>
                <w:color w:val="000000"/>
                <w:sz w:val="20"/>
                <w:szCs w:val="20"/>
                <w:lang w:eastAsia="en-GB" w:bidi="ar-SA"/>
              </w:rPr>
              <w:t>.</w:t>
            </w:r>
            <w:r w:rsidRPr="005D3A5A">
              <w:rPr>
                <w:rFonts w:ascii="Times New Roman" w:hAnsi="Times New Roman"/>
                <w:color w:val="000000"/>
                <w:sz w:val="20"/>
                <w:szCs w:val="20"/>
                <w:lang w:eastAsia="en-GB" w:bidi="ar-SA"/>
              </w:rPr>
              <w:t>2</w:t>
            </w:r>
            <w:r>
              <w:rPr>
                <w:rFonts w:ascii="Times New Roman" w:hAnsi="Times New Roman"/>
                <w:color w:val="000000"/>
                <w:sz w:val="20"/>
                <w:szCs w:val="20"/>
                <w:lang w:eastAsia="en-GB" w:bidi="ar-SA"/>
              </w:rPr>
              <w:t>5</w:t>
            </w:r>
          </w:p>
        </w:tc>
        <w:tc>
          <w:tcPr>
            <w:tcW w:w="903" w:type="dxa"/>
            <w:shd w:val="clear" w:color="000000" w:fill="FFFFFF"/>
            <w:vAlign w:val="center"/>
            <w:hideMark/>
          </w:tcPr>
          <w:p w14:paraId="0F8CB94E" w14:textId="77777777" w:rsidR="00210A2A" w:rsidRPr="005D3A5A" w:rsidRDefault="00210A2A" w:rsidP="008A08BF">
            <w:pPr>
              <w:spacing w:before="0" w:after="0" w:line="240" w:lineRule="auto"/>
              <w:jc w:val="center"/>
              <w:rPr>
                <w:rFonts w:ascii="Times New Roman" w:hAnsi="Times New Roman"/>
                <w:color w:val="000000"/>
                <w:sz w:val="20"/>
                <w:szCs w:val="20"/>
                <w:lang w:val="en-US" w:bidi="ar-SA"/>
              </w:rPr>
            </w:pPr>
            <w:r w:rsidRPr="005D3A5A">
              <w:rPr>
                <w:rFonts w:ascii="Times New Roman" w:hAnsi="Times New Roman"/>
                <w:color w:val="000000"/>
                <w:sz w:val="20"/>
                <w:szCs w:val="20"/>
                <w:lang w:val="en-US" w:bidi="ar-SA"/>
              </w:rPr>
              <w:t>0.05%</w:t>
            </w:r>
          </w:p>
        </w:tc>
        <w:tc>
          <w:tcPr>
            <w:tcW w:w="656" w:type="dxa"/>
            <w:shd w:val="clear" w:color="000000" w:fill="FFFFFF"/>
            <w:noWrap/>
            <w:vAlign w:val="center"/>
            <w:hideMark/>
          </w:tcPr>
          <w:p w14:paraId="24AD9B96" w14:textId="27F99073" w:rsidR="00210A2A" w:rsidRPr="005D3A5A" w:rsidRDefault="00210A2A" w:rsidP="008A08BF">
            <w:pPr>
              <w:spacing w:before="0" w:after="0" w:line="240" w:lineRule="auto"/>
              <w:jc w:val="center"/>
              <w:rPr>
                <w:rFonts w:ascii="Times New Roman" w:hAnsi="Times New Roman"/>
                <w:color w:val="000000"/>
                <w:sz w:val="20"/>
                <w:szCs w:val="20"/>
                <w:lang w:val="en-US" w:bidi="ar-SA"/>
              </w:rPr>
            </w:pPr>
            <w:r>
              <w:rPr>
                <w:rFonts w:ascii="Times New Roman" w:hAnsi="Times New Roman"/>
                <w:color w:val="000000"/>
                <w:sz w:val="20"/>
                <w:szCs w:val="20"/>
                <w:lang w:eastAsia="en-GB" w:bidi="ar-SA"/>
              </w:rPr>
              <w:t>$</w:t>
            </w:r>
            <w:r w:rsidRPr="005D3A5A">
              <w:rPr>
                <w:rFonts w:ascii="Times New Roman" w:hAnsi="Times New Roman"/>
                <w:color w:val="000000"/>
                <w:sz w:val="20"/>
                <w:szCs w:val="20"/>
                <w:lang w:eastAsia="en-GB" w:bidi="ar-SA"/>
              </w:rPr>
              <w:t>2</w:t>
            </w:r>
            <w:r>
              <w:rPr>
                <w:rFonts w:ascii="Times New Roman" w:hAnsi="Times New Roman"/>
                <w:color w:val="000000"/>
                <w:sz w:val="20"/>
                <w:szCs w:val="20"/>
                <w:lang w:eastAsia="en-GB" w:bidi="ar-SA"/>
              </w:rPr>
              <w:t>.</w:t>
            </w:r>
            <w:r w:rsidR="00975E38">
              <w:rPr>
                <w:rFonts w:ascii="Times New Roman" w:hAnsi="Times New Roman"/>
                <w:color w:val="000000"/>
                <w:sz w:val="20"/>
                <w:szCs w:val="20"/>
                <w:lang w:eastAsia="en-GB" w:bidi="ar-SA"/>
              </w:rPr>
              <w:t>13</w:t>
            </w:r>
          </w:p>
        </w:tc>
        <w:tc>
          <w:tcPr>
            <w:tcW w:w="416" w:type="dxa"/>
            <w:vAlign w:val="center"/>
          </w:tcPr>
          <w:p w14:paraId="33369073" w14:textId="305BE72D" w:rsidR="00210A2A" w:rsidRPr="005D3A5A" w:rsidRDefault="007919C3" w:rsidP="008A08BF">
            <w:pPr>
              <w:spacing w:before="0" w:after="0" w:line="240" w:lineRule="auto"/>
              <w:jc w:val="center"/>
              <w:rPr>
                <w:rFonts w:ascii="Times New Roman" w:hAnsi="Times New Roman"/>
                <w:color w:val="000000"/>
                <w:sz w:val="20"/>
                <w:szCs w:val="20"/>
                <w:lang w:eastAsia="en-GB" w:bidi="ar-SA"/>
              </w:rPr>
            </w:pPr>
            <w:r>
              <w:rPr>
                <w:rFonts w:ascii="Times New Roman" w:hAnsi="Times New Roman"/>
                <w:color w:val="000000"/>
                <w:sz w:val="20"/>
                <w:szCs w:val="20"/>
                <w:lang w:eastAsia="en-GB" w:bidi="ar-SA"/>
              </w:rPr>
              <w:t>0.04%</w:t>
            </w:r>
          </w:p>
        </w:tc>
      </w:tr>
      <w:tr w:rsidR="00210A2A" w:rsidRPr="005D3A5A" w14:paraId="26AE87E8" w14:textId="77777777" w:rsidTr="007919C3">
        <w:trPr>
          <w:trHeight w:val="401"/>
        </w:trPr>
        <w:tc>
          <w:tcPr>
            <w:tcW w:w="1890" w:type="dxa"/>
            <w:shd w:val="clear" w:color="000000" w:fill="FFFFFF"/>
            <w:vAlign w:val="center"/>
            <w:hideMark/>
          </w:tcPr>
          <w:p w14:paraId="5A6B4F2A" w14:textId="3D4F723E" w:rsidR="00210A2A" w:rsidRPr="005D3A5A" w:rsidRDefault="00210A2A" w:rsidP="008A08BF">
            <w:pPr>
              <w:spacing w:before="0" w:after="0" w:line="240" w:lineRule="auto"/>
              <w:jc w:val="center"/>
              <w:rPr>
                <w:rFonts w:ascii="Times New Roman" w:hAnsi="Times New Roman"/>
                <w:b/>
                <w:bCs/>
                <w:color w:val="000000"/>
                <w:sz w:val="20"/>
                <w:szCs w:val="20"/>
                <w:lang w:val="en-US" w:bidi="ar-SA"/>
              </w:rPr>
            </w:pPr>
            <w:r w:rsidRPr="005D3A5A">
              <w:rPr>
                <w:rFonts w:ascii="Times New Roman" w:hAnsi="Times New Roman"/>
                <w:b/>
                <w:bCs/>
                <w:color w:val="000000"/>
                <w:sz w:val="20"/>
                <w:szCs w:val="20"/>
                <w:lang w:eastAsia="en-GB" w:bidi="ar-SA"/>
              </w:rPr>
              <w:t xml:space="preserve">Total </w:t>
            </w:r>
            <w:r w:rsidR="00D250D2" w:rsidRPr="005D3A5A">
              <w:rPr>
                <w:rFonts w:ascii="Times New Roman" w:hAnsi="Times New Roman"/>
                <w:b/>
                <w:bCs/>
                <w:color w:val="000000"/>
                <w:sz w:val="20"/>
                <w:szCs w:val="20"/>
                <w:lang w:eastAsia="en-GB" w:bidi="ar-SA"/>
              </w:rPr>
              <w:t>e</w:t>
            </w:r>
            <w:r w:rsidRPr="005D3A5A">
              <w:rPr>
                <w:rFonts w:ascii="Times New Roman" w:hAnsi="Times New Roman"/>
                <w:b/>
                <w:bCs/>
                <w:color w:val="000000"/>
                <w:sz w:val="20"/>
                <w:szCs w:val="20"/>
                <w:lang w:eastAsia="en-GB" w:bidi="ar-SA"/>
              </w:rPr>
              <w:t>xpenditure</w:t>
            </w:r>
          </w:p>
        </w:tc>
        <w:tc>
          <w:tcPr>
            <w:tcW w:w="1170" w:type="dxa"/>
            <w:shd w:val="clear" w:color="000000" w:fill="FFFFFF"/>
            <w:noWrap/>
            <w:vAlign w:val="center"/>
            <w:hideMark/>
          </w:tcPr>
          <w:p w14:paraId="61C8E129" w14:textId="33F4AF2A" w:rsidR="00210A2A" w:rsidRPr="005D3A5A" w:rsidRDefault="00210A2A" w:rsidP="008A08BF">
            <w:pPr>
              <w:spacing w:before="0" w:after="0" w:line="240" w:lineRule="auto"/>
              <w:jc w:val="center"/>
              <w:rPr>
                <w:rFonts w:ascii="Times New Roman" w:hAnsi="Times New Roman"/>
                <w:b/>
                <w:bCs/>
                <w:color w:val="000000"/>
                <w:sz w:val="20"/>
                <w:szCs w:val="20"/>
                <w:lang w:val="en-US" w:bidi="ar-SA"/>
              </w:rPr>
            </w:pPr>
            <w:r>
              <w:rPr>
                <w:rFonts w:ascii="Times New Roman" w:hAnsi="Times New Roman"/>
                <w:b/>
                <w:bCs/>
                <w:color w:val="000000"/>
                <w:sz w:val="20"/>
                <w:szCs w:val="20"/>
                <w:lang w:eastAsia="en-GB" w:bidi="ar-SA"/>
              </w:rPr>
              <w:t>$</w:t>
            </w:r>
            <w:r w:rsidRPr="005D3A5A">
              <w:rPr>
                <w:rFonts w:ascii="Times New Roman" w:hAnsi="Times New Roman"/>
                <w:b/>
                <w:bCs/>
                <w:color w:val="000000"/>
                <w:sz w:val="20"/>
                <w:szCs w:val="20"/>
                <w:lang w:eastAsia="en-GB" w:bidi="ar-SA"/>
              </w:rPr>
              <w:t>22</w:t>
            </w:r>
            <w:r>
              <w:rPr>
                <w:rFonts w:ascii="Times New Roman" w:hAnsi="Times New Roman"/>
                <w:b/>
                <w:bCs/>
                <w:color w:val="000000"/>
                <w:sz w:val="20"/>
                <w:szCs w:val="20"/>
                <w:lang w:eastAsia="en-GB" w:bidi="ar-SA"/>
              </w:rPr>
              <w:t>.</w:t>
            </w:r>
            <w:r w:rsidRPr="005D3A5A">
              <w:rPr>
                <w:rFonts w:ascii="Times New Roman" w:hAnsi="Times New Roman"/>
                <w:b/>
                <w:bCs/>
                <w:color w:val="000000"/>
                <w:sz w:val="20"/>
                <w:szCs w:val="20"/>
                <w:lang w:eastAsia="en-GB" w:bidi="ar-SA"/>
              </w:rPr>
              <w:t>08</w:t>
            </w:r>
          </w:p>
        </w:tc>
        <w:tc>
          <w:tcPr>
            <w:tcW w:w="1080" w:type="dxa"/>
            <w:shd w:val="clear" w:color="000000" w:fill="FFFFFF"/>
            <w:vAlign w:val="center"/>
            <w:hideMark/>
          </w:tcPr>
          <w:p w14:paraId="7272D91A" w14:textId="77777777" w:rsidR="00210A2A" w:rsidRPr="005D3A5A" w:rsidRDefault="00210A2A" w:rsidP="008A08BF">
            <w:pPr>
              <w:spacing w:before="0" w:after="0" w:line="240" w:lineRule="auto"/>
              <w:jc w:val="center"/>
              <w:rPr>
                <w:rFonts w:ascii="Times New Roman" w:hAnsi="Times New Roman"/>
                <w:color w:val="000000"/>
                <w:sz w:val="20"/>
                <w:szCs w:val="20"/>
                <w:lang w:val="en-US" w:bidi="ar-SA"/>
              </w:rPr>
            </w:pPr>
            <w:r w:rsidRPr="005D3A5A">
              <w:rPr>
                <w:rFonts w:ascii="Times New Roman" w:hAnsi="Times New Roman"/>
                <w:color w:val="000000"/>
                <w:sz w:val="20"/>
                <w:szCs w:val="20"/>
                <w:lang w:val="en-US" w:bidi="ar-SA"/>
              </w:rPr>
              <w:t>0.48%</w:t>
            </w:r>
          </w:p>
        </w:tc>
        <w:tc>
          <w:tcPr>
            <w:tcW w:w="1350" w:type="dxa"/>
            <w:shd w:val="clear" w:color="000000" w:fill="FFFFFF"/>
            <w:noWrap/>
            <w:vAlign w:val="center"/>
            <w:hideMark/>
          </w:tcPr>
          <w:p w14:paraId="3AFFBA46" w14:textId="3B854BF5" w:rsidR="00210A2A" w:rsidRPr="005D3A5A" w:rsidRDefault="00210A2A" w:rsidP="008A08BF">
            <w:pPr>
              <w:spacing w:before="0" w:after="0" w:line="240" w:lineRule="auto"/>
              <w:jc w:val="center"/>
              <w:rPr>
                <w:rFonts w:ascii="Times New Roman" w:hAnsi="Times New Roman"/>
                <w:b/>
                <w:bCs/>
                <w:color w:val="000000"/>
                <w:sz w:val="20"/>
                <w:szCs w:val="20"/>
                <w:lang w:val="en-US" w:bidi="ar-SA"/>
              </w:rPr>
            </w:pPr>
            <w:r>
              <w:rPr>
                <w:rFonts w:ascii="Times New Roman" w:hAnsi="Times New Roman"/>
                <w:b/>
                <w:bCs/>
                <w:color w:val="000000"/>
                <w:sz w:val="20"/>
                <w:szCs w:val="20"/>
                <w:lang w:eastAsia="en-GB" w:bidi="ar-SA"/>
              </w:rPr>
              <w:t>$</w:t>
            </w:r>
            <w:r w:rsidRPr="005D3A5A">
              <w:rPr>
                <w:rFonts w:ascii="Times New Roman" w:hAnsi="Times New Roman"/>
                <w:b/>
                <w:bCs/>
                <w:color w:val="000000"/>
                <w:sz w:val="20"/>
                <w:szCs w:val="20"/>
                <w:lang w:eastAsia="en-GB" w:bidi="ar-SA"/>
              </w:rPr>
              <w:t>25</w:t>
            </w:r>
            <w:r>
              <w:rPr>
                <w:rFonts w:ascii="Times New Roman" w:hAnsi="Times New Roman"/>
                <w:b/>
                <w:bCs/>
                <w:color w:val="000000"/>
                <w:sz w:val="20"/>
                <w:szCs w:val="20"/>
                <w:lang w:eastAsia="en-GB" w:bidi="ar-SA"/>
              </w:rPr>
              <w:t>.</w:t>
            </w:r>
            <w:r w:rsidRPr="005D3A5A">
              <w:rPr>
                <w:rFonts w:ascii="Times New Roman" w:hAnsi="Times New Roman"/>
                <w:b/>
                <w:bCs/>
                <w:color w:val="000000"/>
                <w:sz w:val="20"/>
                <w:szCs w:val="20"/>
                <w:lang w:eastAsia="en-GB" w:bidi="ar-SA"/>
              </w:rPr>
              <w:t>70</w:t>
            </w:r>
          </w:p>
        </w:tc>
        <w:tc>
          <w:tcPr>
            <w:tcW w:w="900" w:type="dxa"/>
            <w:shd w:val="clear" w:color="000000" w:fill="FFFFFF"/>
            <w:vAlign w:val="center"/>
            <w:hideMark/>
          </w:tcPr>
          <w:p w14:paraId="7F99E4C5" w14:textId="77777777" w:rsidR="00210A2A" w:rsidRPr="005D3A5A" w:rsidRDefault="00210A2A" w:rsidP="008A08BF">
            <w:pPr>
              <w:spacing w:before="0" w:after="0" w:line="240" w:lineRule="auto"/>
              <w:jc w:val="center"/>
              <w:rPr>
                <w:rFonts w:ascii="Times New Roman" w:hAnsi="Times New Roman"/>
                <w:color w:val="000000"/>
                <w:sz w:val="20"/>
                <w:szCs w:val="20"/>
                <w:lang w:val="en-US" w:bidi="ar-SA"/>
              </w:rPr>
            </w:pPr>
            <w:r w:rsidRPr="005D3A5A">
              <w:rPr>
                <w:rFonts w:ascii="Times New Roman" w:hAnsi="Times New Roman"/>
                <w:color w:val="000000"/>
                <w:sz w:val="20"/>
                <w:szCs w:val="20"/>
                <w:lang w:val="en-US" w:bidi="ar-SA"/>
              </w:rPr>
              <w:t>0.58%</w:t>
            </w:r>
          </w:p>
        </w:tc>
        <w:tc>
          <w:tcPr>
            <w:tcW w:w="1078" w:type="dxa"/>
            <w:shd w:val="clear" w:color="000000" w:fill="FFFFFF"/>
            <w:noWrap/>
            <w:vAlign w:val="center"/>
            <w:hideMark/>
          </w:tcPr>
          <w:p w14:paraId="4DEA557F" w14:textId="61B271B1" w:rsidR="00210A2A" w:rsidRPr="005D3A5A" w:rsidRDefault="00210A2A" w:rsidP="008A08BF">
            <w:pPr>
              <w:spacing w:before="0" w:after="0" w:line="240" w:lineRule="auto"/>
              <w:jc w:val="center"/>
              <w:rPr>
                <w:rFonts w:ascii="Times New Roman" w:hAnsi="Times New Roman"/>
                <w:b/>
                <w:bCs/>
                <w:color w:val="000000"/>
                <w:sz w:val="20"/>
                <w:szCs w:val="20"/>
                <w:lang w:val="en-US" w:bidi="ar-SA"/>
              </w:rPr>
            </w:pPr>
            <w:r>
              <w:rPr>
                <w:rFonts w:ascii="Times New Roman" w:hAnsi="Times New Roman"/>
                <w:b/>
                <w:bCs/>
                <w:color w:val="000000"/>
                <w:sz w:val="20"/>
                <w:szCs w:val="20"/>
                <w:lang w:eastAsia="en-GB" w:bidi="ar-SA"/>
              </w:rPr>
              <w:t>$</w:t>
            </w:r>
            <w:r w:rsidRPr="005D3A5A">
              <w:rPr>
                <w:rFonts w:ascii="Times New Roman" w:hAnsi="Times New Roman"/>
                <w:b/>
                <w:bCs/>
                <w:color w:val="000000"/>
                <w:sz w:val="20"/>
                <w:szCs w:val="20"/>
                <w:lang w:eastAsia="en-GB" w:bidi="ar-SA"/>
              </w:rPr>
              <w:t>25</w:t>
            </w:r>
            <w:r>
              <w:rPr>
                <w:rFonts w:ascii="Times New Roman" w:hAnsi="Times New Roman"/>
                <w:b/>
                <w:bCs/>
                <w:color w:val="000000"/>
                <w:sz w:val="20"/>
                <w:szCs w:val="20"/>
                <w:lang w:eastAsia="en-GB" w:bidi="ar-SA"/>
              </w:rPr>
              <w:t>.</w:t>
            </w:r>
            <w:r w:rsidRPr="005D3A5A">
              <w:rPr>
                <w:rFonts w:ascii="Times New Roman" w:hAnsi="Times New Roman"/>
                <w:b/>
                <w:bCs/>
                <w:color w:val="000000"/>
                <w:sz w:val="20"/>
                <w:szCs w:val="20"/>
                <w:lang w:eastAsia="en-GB" w:bidi="ar-SA"/>
              </w:rPr>
              <w:t>7</w:t>
            </w:r>
            <w:r>
              <w:rPr>
                <w:rFonts w:ascii="Times New Roman" w:hAnsi="Times New Roman"/>
                <w:b/>
                <w:bCs/>
                <w:color w:val="000000"/>
                <w:sz w:val="20"/>
                <w:szCs w:val="20"/>
                <w:lang w:eastAsia="en-GB" w:bidi="ar-SA"/>
              </w:rPr>
              <w:t>8</w:t>
            </w:r>
          </w:p>
        </w:tc>
        <w:tc>
          <w:tcPr>
            <w:tcW w:w="903" w:type="dxa"/>
            <w:shd w:val="clear" w:color="000000" w:fill="FFFFFF"/>
            <w:vAlign w:val="center"/>
            <w:hideMark/>
          </w:tcPr>
          <w:p w14:paraId="31DED3C3" w14:textId="77777777" w:rsidR="00210A2A" w:rsidRPr="005D3A5A" w:rsidRDefault="00210A2A" w:rsidP="008A08BF">
            <w:pPr>
              <w:spacing w:before="0" w:after="0" w:line="240" w:lineRule="auto"/>
              <w:jc w:val="center"/>
              <w:rPr>
                <w:rFonts w:ascii="Times New Roman" w:hAnsi="Times New Roman"/>
                <w:color w:val="000000"/>
                <w:sz w:val="20"/>
                <w:szCs w:val="20"/>
                <w:lang w:val="en-US" w:bidi="ar-SA"/>
              </w:rPr>
            </w:pPr>
            <w:r w:rsidRPr="005D3A5A">
              <w:rPr>
                <w:rFonts w:ascii="Times New Roman" w:hAnsi="Times New Roman"/>
                <w:color w:val="000000"/>
                <w:sz w:val="20"/>
                <w:szCs w:val="20"/>
                <w:lang w:val="en-US" w:bidi="ar-SA"/>
              </w:rPr>
              <w:t>0.57%</w:t>
            </w:r>
          </w:p>
        </w:tc>
        <w:tc>
          <w:tcPr>
            <w:tcW w:w="656" w:type="dxa"/>
            <w:shd w:val="clear" w:color="000000" w:fill="FFFFFF"/>
            <w:noWrap/>
            <w:vAlign w:val="center"/>
            <w:hideMark/>
          </w:tcPr>
          <w:p w14:paraId="4C6EA586" w14:textId="20F0906B" w:rsidR="00210A2A" w:rsidRPr="005D3A5A" w:rsidRDefault="00210A2A" w:rsidP="008A08BF">
            <w:pPr>
              <w:spacing w:before="0" w:after="0" w:line="240" w:lineRule="auto"/>
              <w:jc w:val="center"/>
              <w:rPr>
                <w:rFonts w:ascii="Times New Roman" w:hAnsi="Times New Roman"/>
                <w:b/>
                <w:bCs/>
                <w:color w:val="000000"/>
                <w:sz w:val="20"/>
                <w:szCs w:val="20"/>
                <w:lang w:val="en-US" w:bidi="ar-SA"/>
              </w:rPr>
            </w:pPr>
            <w:r>
              <w:rPr>
                <w:rFonts w:ascii="Times New Roman" w:hAnsi="Times New Roman"/>
                <w:b/>
                <w:bCs/>
                <w:color w:val="000000"/>
                <w:sz w:val="20"/>
                <w:szCs w:val="20"/>
                <w:lang w:eastAsia="en-GB" w:bidi="ar-SA"/>
              </w:rPr>
              <w:t>$</w:t>
            </w:r>
            <w:r w:rsidRPr="005D3A5A">
              <w:rPr>
                <w:rFonts w:ascii="Times New Roman" w:hAnsi="Times New Roman"/>
                <w:b/>
                <w:bCs/>
                <w:color w:val="000000"/>
                <w:sz w:val="20"/>
                <w:szCs w:val="20"/>
                <w:lang w:eastAsia="en-GB" w:bidi="ar-SA"/>
              </w:rPr>
              <w:t>2</w:t>
            </w:r>
            <w:r>
              <w:rPr>
                <w:rFonts w:ascii="Times New Roman" w:hAnsi="Times New Roman"/>
                <w:b/>
                <w:bCs/>
                <w:color w:val="000000"/>
                <w:sz w:val="20"/>
                <w:szCs w:val="20"/>
                <w:lang w:eastAsia="en-GB" w:bidi="ar-SA"/>
              </w:rPr>
              <w:t>7.8</w:t>
            </w:r>
          </w:p>
        </w:tc>
        <w:tc>
          <w:tcPr>
            <w:tcW w:w="416" w:type="dxa"/>
            <w:vAlign w:val="center"/>
          </w:tcPr>
          <w:p w14:paraId="4BD0DCAC" w14:textId="4361B3F1" w:rsidR="00210A2A" w:rsidRPr="005D3A5A" w:rsidRDefault="007919C3" w:rsidP="008A08BF">
            <w:pPr>
              <w:spacing w:before="0" w:after="0" w:line="240" w:lineRule="auto"/>
              <w:jc w:val="center"/>
              <w:rPr>
                <w:rFonts w:ascii="Times New Roman" w:hAnsi="Times New Roman"/>
                <w:b/>
                <w:bCs/>
                <w:color w:val="000000"/>
                <w:sz w:val="20"/>
                <w:szCs w:val="20"/>
                <w:lang w:eastAsia="en-GB" w:bidi="ar-SA"/>
              </w:rPr>
            </w:pPr>
            <w:r>
              <w:rPr>
                <w:rFonts w:ascii="Times New Roman" w:hAnsi="Times New Roman"/>
                <w:b/>
                <w:bCs/>
                <w:color w:val="000000"/>
                <w:sz w:val="20"/>
                <w:szCs w:val="20"/>
                <w:lang w:eastAsia="en-GB" w:bidi="ar-SA"/>
              </w:rPr>
              <w:t>0.58%</w:t>
            </w:r>
          </w:p>
        </w:tc>
      </w:tr>
      <w:tr w:rsidR="00210A2A" w:rsidRPr="005D3A5A" w14:paraId="01F4DEAD" w14:textId="77777777" w:rsidTr="007919C3">
        <w:trPr>
          <w:trHeight w:val="406"/>
        </w:trPr>
        <w:tc>
          <w:tcPr>
            <w:tcW w:w="1890" w:type="dxa"/>
            <w:shd w:val="clear" w:color="000000" w:fill="FFFFFF"/>
            <w:vAlign w:val="center"/>
            <w:hideMark/>
          </w:tcPr>
          <w:p w14:paraId="10A08575" w14:textId="2B0F0A2F" w:rsidR="00210A2A" w:rsidRPr="005D3A5A" w:rsidRDefault="00210A2A" w:rsidP="008A08BF">
            <w:pPr>
              <w:spacing w:before="0" w:after="0" w:line="240" w:lineRule="auto"/>
              <w:jc w:val="center"/>
              <w:rPr>
                <w:rFonts w:ascii="Times New Roman" w:hAnsi="Times New Roman"/>
                <w:b/>
                <w:bCs/>
                <w:color w:val="000000"/>
                <w:sz w:val="20"/>
                <w:szCs w:val="20"/>
                <w:lang w:val="en-US" w:bidi="ar-SA"/>
              </w:rPr>
            </w:pPr>
            <w:r w:rsidRPr="005D3A5A">
              <w:rPr>
                <w:rFonts w:ascii="Times New Roman" w:hAnsi="Times New Roman"/>
                <w:b/>
                <w:bCs/>
                <w:color w:val="000000"/>
                <w:sz w:val="20"/>
                <w:szCs w:val="20"/>
                <w:lang w:eastAsia="en-GB" w:bidi="ar-SA"/>
              </w:rPr>
              <w:t xml:space="preserve">UNDP </w:t>
            </w:r>
            <w:r w:rsidR="00D250D2" w:rsidRPr="005D3A5A">
              <w:rPr>
                <w:rFonts w:ascii="Times New Roman" w:hAnsi="Times New Roman"/>
                <w:b/>
                <w:bCs/>
                <w:color w:val="000000"/>
                <w:sz w:val="20"/>
                <w:szCs w:val="20"/>
                <w:lang w:eastAsia="en-GB" w:bidi="ar-SA"/>
              </w:rPr>
              <w:t xml:space="preserve">programme </w:t>
            </w:r>
            <w:r w:rsidR="00D250D2">
              <w:rPr>
                <w:rFonts w:ascii="Times New Roman" w:hAnsi="Times New Roman"/>
                <w:b/>
                <w:bCs/>
                <w:color w:val="000000"/>
                <w:sz w:val="20"/>
                <w:szCs w:val="20"/>
                <w:lang w:eastAsia="en-GB" w:bidi="ar-SA"/>
              </w:rPr>
              <w:t>e</w:t>
            </w:r>
            <w:r>
              <w:rPr>
                <w:rFonts w:ascii="Times New Roman" w:hAnsi="Times New Roman"/>
                <w:b/>
                <w:bCs/>
                <w:color w:val="000000"/>
                <w:sz w:val="20"/>
                <w:szCs w:val="20"/>
                <w:lang w:eastAsia="en-GB" w:bidi="ar-SA"/>
              </w:rPr>
              <w:t>xpenditure</w:t>
            </w:r>
          </w:p>
        </w:tc>
        <w:tc>
          <w:tcPr>
            <w:tcW w:w="1170" w:type="dxa"/>
            <w:shd w:val="clear" w:color="000000" w:fill="FFFFFF"/>
            <w:noWrap/>
            <w:vAlign w:val="center"/>
            <w:hideMark/>
          </w:tcPr>
          <w:p w14:paraId="792C997D" w14:textId="109403E8" w:rsidR="00210A2A" w:rsidRPr="005D3A5A" w:rsidRDefault="00210A2A" w:rsidP="008A08BF">
            <w:pPr>
              <w:spacing w:before="0" w:after="0" w:line="240" w:lineRule="auto"/>
              <w:jc w:val="center"/>
              <w:rPr>
                <w:rFonts w:ascii="Times New Roman" w:hAnsi="Times New Roman"/>
                <w:color w:val="000000"/>
                <w:sz w:val="20"/>
                <w:szCs w:val="20"/>
                <w:lang w:val="en-US" w:bidi="ar-SA"/>
              </w:rPr>
            </w:pPr>
            <w:r>
              <w:rPr>
                <w:rFonts w:ascii="Times New Roman" w:hAnsi="Times New Roman"/>
                <w:color w:val="000000"/>
                <w:sz w:val="20"/>
                <w:szCs w:val="20"/>
                <w:lang w:eastAsia="en-GB" w:bidi="ar-SA"/>
              </w:rPr>
              <w:t>$</w:t>
            </w:r>
            <w:r w:rsidRPr="005D3A5A">
              <w:rPr>
                <w:rFonts w:ascii="Times New Roman" w:hAnsi="Times New Roman"/>
                <w:color w:val="000000"/>
                <w:sz w:val="20"/>
                <w:szCs w:val="20"/>
                <w:lang w:eastAsia="en-GB" w:bidi="ar-SA"/>
              </w:rPr>
              <w:t>4,60</w:t>
            </w:r>
            <w:r>
              <w:rPr>
                <w:rFonts w:ascii="Times New Roman" w:hAnsi="Times New Roman"/>
                <w:color w:val="000000"/>
                <w:sz w:val="20"/>
                <w:szCs w:val="20"/>
                <w:lang w:eastAsia="en-GB" w:bidi="ar-SA"/>
              </w:rPr>
              <w:t>3.91</w:t>
            </w:r>
          </w:p>
        </w:tc>
        <w:tc>
          <w:tcPr>
            <w:tcW w:w="1080" w:type="dxa"/>
            <w:shd w:val="clear" w:color="000000" w:fill="FFFFFF"/>
            <w:noWrap/>
            <w:vAlign w:val="center"/>
            <w:hideMark/>
          </w:tcPr>
          <w:p w14:paraId="3F095542" w14:textId="53FBFAC6" w:rsidR="00210A2A" w:rsidRPr="005D3A5A" w:rsidRDefault="00210A2A" w:rsidP="008A08BF">
            <w:pPr>
              <w:spacing w:before="0" w:after="0" w:line="240" w:lineRule="auto"/>
              <w:jc w:val="center"/>
              <w:rPr>
                <w:rFonts w:ascii="Times New Roman" w:hAnsi="Times New Roman"/>
                <w:color w:val="000000"/>
                <w:sz w:val="20"/>
                <w:szCs w:val="20"/>
                <w:lang w:val="en-US" w:bidi="ar-SA"/>
              </w:rPr>
            </w:pPr>
          </w:p>
        </w:tc>
        <w:tc>
          <w:tcPr>
            <w:tcW w:w="1350" w:type="dxa"/>
            <w:shd w:val="clear" w:color="000000" w:fill="FFFFFF"/>
            <w:noWrap/>
            <w:vAlign w:val="center"/>
            <w:hideMark/>
          </w:tcPr>
          <w:p w14:paraId="6418A0C3" w14:textId="708B516F" w:rsidR="00210A2A" w:rsidRPr="005D3A5A" w:rsidRDefault="00210A2A" w:rsidP="008A08BF">
            <w:pPr>
              <w:spacing w:before="0" w:after="0" w:line="240" w:lineRule="auto"/>
              <w:jc w:val="center"/>
              <w:rPr>
                <w:rFonts w:ascii="Times New Roman" w:hAnsi="Times New Roman"/>
                <w:color w:val="000000"/>
                <w:sz w:val="20"/>
                <w:szCs w:val="20"/>
                <w:lang w:val="en-US" w:bidi="ar-SA"/>
              </w:rPr>
            </w:pPr>
            <w:r>
              <w:rPr>
                <w:rFonts w:ascii="Times New Roman" w:hAnsi="Times New Roman"/>
                <w:color w:val="000000"/>
                <w:sz w:val="20"/>
                <w:szCs w:val="20"/>
                <w:lang w:eastAsia="en-GB" w:bidi="ar-SA"/>
              </w:rPr>
              <w:t>$</w:t>
            </w:r>
            <w:r w:rsidRPr="005D3A5A">
              <w:rPr>
                <w:rFonts w:ascii="Times New Roman" w:hAnsi="Times New Roman"/>
                <w:color w:val="000000"/>
                <w:sz w:val="20"/>
                <w:szCs w:val="20"/>
                <w:lang w:eastAsia="en-GB" w:bidi="ar-SA"/>
              </w:rPr>
              <w:t>4,4</w:t>
            </w:r>
            <w:r>
              <w:rPr>
                <w:rFonts w:ascii="Times New Roman" w:hAnsi="Times New Roman"/>
                <w:color w:val="000000"/>
                <w:sz w:val="20"/>
                <w:szCs w:val="20"/>
                <w:lang w:eastAsia="en-GB" w:bidi="ar-SA"/>
              </w:rPr>
              <w:t>1</w:t>
            </w:r>
            <w:r w:rsidRPr="005D3A5A">
              <w:rPr>
                <w:rFonts w:ascii="Times New Roman" w:hAnsi="Times New Roman"/>
                <w:color w:val="000000"/>
                <w:sz w:val="20"/>
                <w:szCs w:val="20"/>
                <w:lang w:eastAsia="en-GB" w:bidi="ar-SA"/>
              </w:rPr>
              <w:t>0</w:t>
            </w:r>
            <w:r>
              <w:rPr>
                <w:rFonts w:ascii="Times New Roman" w:hAnsi="Times New Roman"/>
                <w:color w:val="000000"/>
                <w:sz w:val="20"/>
                <w:szCs w:val="20"/>
                <w:lang w:eastAsia="en-GB" w:bidi="ar-SA"/>
              </w:rPr>
              <w:t>.59</w:t>
            </w:r>
          </w:p>
        </w:tc>
        <w:tc>
          <w:tcPr>
            <w:tcW w:w="900" w:type="dxa"/>
            <w:shd w:val="clear" w:color="000000" w:fill="FFFFFF"/>
            <w:noWrap/>
            <w:vAlign w:val="center"/>
            <w:hideMark/>
          </w:tcPr>
          <w:p w14:paraId="1FDC463D" w14:textId="04D05E4B" w:rsidR="00210A2A" w:rsidRPr="005D3A5A" w:rsidRDefault="00210A2A" w:rsidP="008A08BF">
            <w:pPr>
              <w:spacing w:before="0" w:after="0" w:line="240" w:lineRule="auto"/>
              <w:jc w:val="center"/>
              <w:rPr>
                <w:rFonts w:ascii="Times New Roman" w:hAnsi="Times New Roman"/>
                <w:color w:val="000000"/>
                <w:sz w:val="20"/>
                <w:szCs w:val="20"/>
                <w:lang w:val="en-US" w:bidi="ar-SA"/>
              </w:rPr>
            </w:pPr>
          </w:p>
        </w:tc>
        <w:tc>
          <w:tcPr>
            <w:tcW w:w="1078" w:type="dxa"/>
            <w:shd w:val="clear" w:color="000000" w:fill="FFFFFF"/>
            <w:noWrap/>
            <w:vAlign w:val="center"/>
            <w:hideMark/>
          </w:tcPr>
          <w:p w14:paraId="607F4D21" w14:textId="0C95ED76" w:rsidR="00210A2A" w:rsidRPr="005D3A5A" w:rsidRDefault="00210A2A" w:rsidP="008A08BF">
            <w:pPr>
              <w:spacing w:before="0" w:after="0" w:line="240" w:lineRule="auto"/>
              <w:jc w:val="center"/>
              <w:rPr>
                <w:rFonts w:ascii="Times New Roman" w:hAnsi="Times New Roman"/>
                <w:color w:val="000000"/>
                <w:sz w:val="20"/>
                <w:szCs w:val="20"/>
                <w:lang w:val="en-US" w:bidi="ar-SA"/>
              </w:rPr>
            </w:pPr>
            <w:r>
              <w:rPr>
                <w:rFonts w:ascii="Times New Roman" w:hAnsi="Times New Roman"/>
                <w:color w:val="000000"/>
                <w:sz w:val="20"/>
                <w:szCs w:val="20"/>
                <w:lang w:eastAsia="en-GB" w:bidi="ar-SA"/>
              </w:rPr>
              <w:t>$</w:t>
            </w:r>
            <w:r w:rsidRPr="005D3A5A">
              <w:rPr>
                <w:rFonts w:ascii="Times New Roman" w:hAnsi="Times New Roman"/>
                <w:color w:val="000000"/>
                <w:sz w:val="20"/>
                <w:szCs w:val="20"/>
                <w:lang w:eastAsia="en-GB" w:bidi="ar-SA"/>
              </w:rPr>
              <w:t>4</w:t>
            </w:r>
            <w:r>
              <w:rPr>
                <w:rFonts w:ascii="Times New Roman" w:hAnsi="Times New Roman"/>
                <w:color w:val="000000"/>
                <w:sz w:val="20"/>
                <w:szCs w:val="20"/>
                <w:lang w:eastAsia="en-GB" w:bidi="ar-SA"/>
              </w:rPr>
              <w:t>,</w:t>
            </w:r>
            <w:r w:rsidRPr="005D3A5A">
              <w:rPr>
                <w:rFonts w:ascii="Times New Roman" w:hAnsi="Times New Roman"/>
                <w:color w:val="000000"/>
                <w:sz w:val="20"/>
                <w:szCs w:val="20"/>
                <w:lang w:eastAsia="en-GB" w:bidi="ar-SA"/>
              </w:rPr>
              <w:t>50</w:t>
            </w:r>
            <w:r>
              <w:rPr>
                <w:rFonts w:ascii="Times New Roman" w:hAnsi="Times New Roman"/>
                <w:color w:val="000000"/>
                <w:sz w:val="20"/>
                <w:szCs w:val="20"/>
                <w:lang w:eastAsia="en-GB" w:bidi="ar-SA"/>
              </w:rPr>
              <w:t>6.86</w:t>
            </w:r>
          </w:p>
        </w:tc>
        <w:tc>
          <w:tcPr>
            <w:tcW w:w="903" w:type="dxa"/>
            <w:shd w:val="clear" w:color="000000" w:fill="FFFFFF"/>
            <w:noWrap/>
            <w:vAlign w:val="center"/>
            <w:hideMark/>
          </w:tcPr>
          <w:p w14:paraId="0EBEC2F5" w14:textId="48BE06FD" w:rsidR="00210A2A" w:rsidRPr="005D3A5A" w:rsidRDefault="00210A2A" w:rsidP="008A08BF">
            <w:pPr>
              <w:spacing w:before="0" w:after="0" w:line="240" w:lineRule="auto"/>
              <w:jc w:val="center"/>
              <w:rPr>
                <w:rFonts w:ascii="Times New Roman" w:hAnsi="Times New Roman"/>
                <w:color w:val="000000"/>
                <w:sz w:val="20"/>
                <w:szCs w:val="20"/>
                <w:lang w:val="en-US" w:bidi="ar-SA"/>
              </w:rPr>
            </w:pPr>
          </w:p>
        </w:tc>
        <w:tc>
          <w:tcPr>
            <w:tcW w:w="656" w:type="dxa"/>
            <w:shd w:val="clear" w:color="000000" w:fill="FFFFFF"/>
            <w:noWrap/>
            <w:vAlign w:val="center"/>
            <w:hideMark/>
          </w:tcPr>
          <w:p w14:paraId="4749EDEC" w14:textId="3D1EE40A" w:rsidR="00210A2A" w:rsidRPr="005D3A5A" w:rsidRDefault="00975E38" w:rsidP="008A08BF">
            <w:pPr>
              <w:spacing w:before="0" w:after="0" w:line="240" w:lineRule="auto"/>
              <w:jc w:val="center"/>
              <w:rPr>
                <w:rFonts w:ascii="Times New Roman" w:hAnsi="Times New Roman"/>
                <w:color w:val="000000"/>
                <w:sz w:val="20"/>
                <w:szCs w:val="20"/>
                <w:lang w:val="en-US" w:bidi="ar-SA"/>
              </w:rPr>
            </w:pPr>
            <w:r w:rsidRPr="00975E38">
              <w:rPr>
                <w:rFonts w:ascii="Times New Roman" w:hAnsi="Times New Roman"/>
                <w:color w:val="000000"/>
                <w:sz w:val="20"/>
                <w:szCs w:val="20"/>
                <w:lang w:eastAsia="en-GB" w:bidi="ar-SA"/>
              </w:rPr>
              <w:t>$4,802</w:t>
            </w:r>
          </w:p>
        </w:tc>
        <w:tc>
          <w:tcPr>
            <w:tcW w:w="416" w:type="dxa"/>
            <w:vAlign w:val="center"/>
          </w:tcPr>
          <w:p w14:paraId="7A39440F" w14:textId="164108CF" w:rsidR="00210A2A" w:rsidRPr="005D3A5A" w:rsidRDefault="00210A2A" w:rsidP="008A08BF">
            <w:pPr>
              <w:spacing w:before="0" w:after="0" w:line="240" w:lineRule="auto"/>
              <w:jc w:val="center"/>
              <w:rPr>
                <w:rFonts w:ascii="Times New Roman" w:hAnsi="Times New Roman"/>
                <w:color w:val="000000"/>
                <w:sz w:val="20"/>
                <w:szCs w:val="20"/>
                <w:lang w:eastAsia="en-GB" w:bidi="ar-SA"/>
              </w:rPr>
            </w:pPr>
          </w:p>
        </w:tc>
      </w:tr>
      <w:tr w:rsidR="00445E2F" w:rsidRPr="005D3A5A" w14:paraId="0E4B4BB9" w14:textId="77777777" w:rsidTr="007919C3">
        <w:trPr>
          <w:trHeight w:val="768"/>
        </w:trPr>
        <w:tc>
          <w:tcPr>
            <w:tcW w:w="1890" w:type="dxa"/>
            <w:shd w:val="clear" w:color="000000" w:fill="FFFFFF"/>
            <w:vAlign w:val="center"/>
            <w:hideMark/>
          </w:tcPr>
          <w:p w14:paraId="2A0F43A1" w14:textId="75856AA1" w:rsidR="0046763D" w:rsidRPr="005D3A5A" w:rsidRDefault="0046763D" w:rsidP="008A08BF">
            <w:pPr>
              <w:spacing w:before="0" w:after="0" w:line="240" w:lineRule="auto"/>
              <w:jc w:val="center"/>
              <w:rPr>
                <w:rFonts w:ascii="Times New Roman" w:hAnsi="Times New Roman"/>
                <w:color w:val="000000"/>
                <w:sz w:val="20"/>
                <w:szCs w:val="20"/>
                <w:lang w:val="en-US" w:bidi="ar-SA"/>
              </w:rPr>
            </w:pPr>
            <w:r w:rsidRPr="005D3A5A">
              <w:rPr>
                <w:rFonts w:ascii="Times New Roman" w:hAnsi="Times New Roman"/>
                <w:color w:val="000000"/>
                <w:sz w:val="20"/>
                <w:szCs w:val="20"/>
                <w:lang w:eastAsia="en-GB" w:bidi="ar-SA"/>
              </w:rPr>
              <w:t xml:space="preserve">% </w:t>
            </w:r>
            <w:r w:rsidR="00D250D2">
              <w:rPr>
                <w:rFonts w:ascii="Times New Roman" w:hAnsi="Times New Roman"/>
                <w:color w:val="000000"/>
                <w:sz w:val="20"/>
                <w:szCs w:val="20"/>
                <w:lang w:eastAsia="en-GB" w:bidi="ar-SA"/>
              </w:rPr>
              <w:t>r</w:t>
            </w:r>
            <w:r>
              <w:rPr>
                <w:rFonts w:ascii="Times New Roman" w:hAnsi="Times New Roman"/>
                <w:color w:val="000000"/>
                <w:sz w:val="20"/>
                <w:szCs w:val="20"/>
                <w:lang w:eastAsia="en-GB" w:bidi="ar-SA"/>
              </w:rPr>
              <w:t>esources</w:t>
            </w:r>
            <w:r w:rsidRPr="005D3A5A">
              <w:rPr>
                <w:rFonts w:ascii="Times New Roman" w:hAnsi="Times New Roman"/>
                <w:color w:val="000000"/>
                <w:sz w:val="20"/>
                <w:szCs w:val="20"/>
                <w:lang w:eastAsia="en-GB" w:bidi="ar-SA"/>
              </w:rPr>
              <w:t xml:space="preserve"> </w:t>
            </w:r>
            <w:r>
              <w:rPr>
                <w:rFonts w:ascii="Times New Roman" w:hAnsi="Times New Roman"/>
                <w:color w:val="000000"/>
                <w:sz w:val="20"/>
                <w:szCs w:val="20"/>
                <w:lang w:eastAsia="en-GB" w:bidi="ar-SA"/>
              </w:rPr>
              <w:t>spent</w:t>
            </w:r>
            <w:r w:rsidRPr="005D3A5A">
              <w:rPr>
                <w:rFonts w:ascii="Times New Roman" w:hAnsi="Times New Roman"/>
                <w:color w:val="000000"/>
                <w:sz w:val="20"/>
                <w:szCs w:val="20"/>
                <w:lang w:eastAsia="en-GB" w:bidi="ar-SA"/>
              </w:rPr>
              <w:t xml:space="preserve"> for evaluations</w:t>
            </w:r>
          </w:p>
        </w:tc>
        <w:tc>
          <w:tcPr>
            <w:tcW w:w="1170" w:type="dxa"/>
            <w:shd w:val="clear" w:color="000000" w:fill="FFFFFF"/>
            <w:noWrap/>
            <w:vAlign w:val="center"/>
            <w:hideMark/>
          </w:tcPr>
          <w:p w14:paraId="26A2347C" w14:textId="77777777" w:rsidR="0046763D" w:rsidRPr="005D3A5A" w:rsidRDefault="0046763D" w:rsidP="008A08BF">
            <w:pPr>
              <w:spacing w:before="0" w:after="0" w:line="240" w:lineRule="auto"/>
              <w:jc w:val="center"/>
              <w:rPr>
                <w:rFonts w:ascii="Times New Roman" w:hAnsi="Times New Roman"/>
                <w:color w:val="000000"/>
                <w:sz w:val="20"/>
                <w:szCs w:val="20"/>
                <w:lang w:val="en-US" w:bidi="ar-SA"/>
              </w:rPr>
            </w:pPr>
            <w:r w:rsidRPr="005D3A5A">
              <w:rPr>
                <w:rFonts w:ascii="Times New Roman" w:hAnsi="Times New Roman"/>
                <w:color w:val="000000"/>
                <w:sz w:val="20"/>
                <w:szCs w:val="20"/>
                <w:lang w:eastAsia="en-GB" w:bidi="ar-SA"/>
              </w:rPr>
              <w:t>0.48%</w:t>
            </w:r>
          </w:p>
        </w:tc>
        <w:tc>
          <w:tcPr>
            <w:tcW w:w="1080" w:type="dxa"/>
            <w:shd w:val="clear" w:color="000000" w:fill="FFFFFF"/>
            <w:noWrap/>
            <w:vAlign w:val="center"/>
            <w:hideMark/>
          </w:tcPr>
          <w:p w14:paraId="37C43DFB" w14:textId="1A589F3F" w:rsidR="0046763D" w:rsidRPr="005D3A5A" w:rsidRDefault="0046763D" w:rsidP="008A08BF">
            <w:pPr>
              <w:spacing w:before="0" w:after="0" w:line="240" w:lineRule="auto"/>
              <w:jc w:val="center"/>
              <w:rPr>
                <w:rFonts w:ascii="Times New Roman" w:hAnsi="Times New Roman"/>
                <w:color w:val="000000"/>
                <w:sz w:val="20"/>
                <w:szCs w:val="20"/>
                <w:lang w:val="en-US" w:bidi="ar-SA"/>
              </w:rPr>
            </w:pPr>
          </w:p>
        </w:tc>
        <w:tc>
          <w:tcPr>
            <w:tcW w:w="1350" w:type="dxa"/>
            <w:shd w:val="clear" w:color="000000" w:fill="FFFFFF"/>
            <w:noWrap/>
            <w:vAlign w:val="center"/>
            <w:hideMark/>
          </w:tcPr>
          <w:p w14:paraId="7E8AA437" w14:textId="77777777" w:rsidR="0046763D" w:rsidRPr="005D3A5A" w:rsidRDefault="0046763D" w:rsidP="008A08BF">
            <w:pPr>
              <w:spacing w:before="0" w:after="0" w:line="240" w:lineRule="auto"/>
              <w:jc w:val="center"/>
              <w:rPr>
                <w:rFonts w:ascii="Times New Roman" w:hAnsi="Times New Roman"/>
                <w:color w:val="000000"/>
                <w:sz w:val="20"/>
                <w:szCs w:val="20"/>
                <w:lang w:val="en-US" w:bidi="ar-SA"/>
              </w:rPr>
            </w:pPr>
            <w:r w:rsidRPr="005D3A5A">
              <w:rPr>
                <w:rFonts w:ascii="Times New Roman" w:hAnsi="Times New Roman"/>
                <w:color w:val="000000"/>
                <w:sz w:val="20"/>
                <w:szCs w:val="20"/>
                <w:lang w:eastAsia="en-GB" w:bidi="ar-SA"/>
              </w:rPr>
              <w:t>0.58%</w:t>
            </w:r>
          </w:p>
        </w:tc>
        <w:tc>
          <w:tcPr>
            <w:tcW w:w="900" w:type="dxa"/>
            <w:shd w:val="clear" w:color="000000" w:fill="FFFFFF"/>
            <w:noWrap/>
            <w:vAlign w:val="center"/>
            <w:hideMark/>
          </w:tcPr>
          <w:p w14:paraId="27CAD09C" w14:textId="54E1F7FF" w:rsidR="0046763D" w:rsidRPr="005D3A5A" w:rsidRDefault="0046763D" w:rsidP="008A08BF">
            <w:pPr>
              <w:spacing w:before="0" w:after="0" w:line="240" w:lineRule="auto"/>
              <w:jc w:val="center"/>
              <w:rPr>
                <w:rFonts w:ascii="Times New Roman" w:hAnsi="Times New Roman"/>
                <w:color w:val="000000"/>
                <w:sz w:val="20"/>
                <w:szCs w:val="20"/>
                <w:lang w:val="en-US" w:bidi="ar-SA"/>
              </w:rPr>
            </w:pPr>
          </w:p>
        </w:tc>
        <w:tc>
          <w:tcPr>
            <w:tcW w:w="1078" w:type="dxa"/>
            <w:shd w:val="clear" w:color="000000" w:fill="FFFFFF"/>
            <w:noWrap/>
            <w:vAlign w:val="center"/>
            <w:hideMark/>
          </w:tcPr>
          <w:p w14:paraId="2AB1C99D" w14:textId="77777777" w:rsidR="0046763D" w:rsidRPr="005D3A5A" w:rsidRDefault="0046763D" w:rsidP="008A08BF">
            <w:pPr>
              <w:spacing w:before="0" w:after="0" w:line="240" w:lineRule="auto"/>
              <w:jc w:val="center"/>
              <w:rPr>
                <w:rFonts w:ascii="Times New Roman" w:hAnsi="Times New Roman"/>
                <w:color w:val="000000"/>
                <w:sz w:val="20"/>
                <w:szCs w:val="20"/>
                <w:lang w:val="en-US" w:bidi="ar-SA"/>
              </w:rPr>
            </w:pPr>
            <w:r w:rsidRPr="005D3A5A">
              <w:rPr>
                <w:rFonts w:ascii="Times New Roman" w:hAnsi="Times New Roman"/>
                <w:color w:val="000000"/>
                <w:sz w:val="20"/>
                <w:szCs w:val="20"/>
                <w:lang w:eastAsia="en-GB" w:bidi="ar-SA"/>
              </w:rPr>
              <w:t>0.57%</w:t>
            </w:r>
          </w:p>
        </w:tc>
        <w:tc>
          <w:tcPr>
            <w:tcW w:w="903" w:type="dxa"/>
            <w:shd w:val="clear" w:color="000000" w:fill="FFFFFF"/>
            <w:noWrap/>
            <w:vAlign w:val="center"/>
            <w:hideMark/>
          </w:tcPr>
          <w:p w14:paraId="019056D1" w14:textId="7BF3CFBE" w:rsidR="0046763D" w:rsidRPr="005D3A5A" w:rsidRDefault="0046763D" w:rsidP="008A08BF">
            <w:pPr>
              <w:spacing w:before="0" w:after="0" w:line="240" w:lineRule="auto"/>
              <w:jc w:val="center"/>
              <w:rPr>
                <w:rFonts w:ascii="Times New Roman" w:hAnsi="Times New Roman"/>
                <w:color w:val="000000"/>
                <w:sz w:val="20"/>
                <w:szCs w:val="20"/>
                <w:lang w:val="en-US" w:bidi="ar-SA"/>
              </w:rPr>
            </w:pPr>
          </w:p>
        </w:tc>
        <w:tc>
          <w:tcPr>
            <w:tcW w:w="656" w:type="dxa"/>
            <w:shd w:val="clear" w:color="auto" w:fill="auto"/>
            <w:noWrap/>
            <w:vAlign w:val="center"/>
            <w:hideMark/>
          </w:tcPr>
          <w:p w14:paraId="195F4E0B" w14:textId="1CE61875" w:rsidR="0046763D" w:rsidRPr="005D3A5A" w:rsidRDefault="00975E38" w:rsidP="008A08BF">
            <w:pPr>
              <w:spacing w:before="0" w:after="0" w:line="240" w:lineRule="auto"/>
              <w:jc w:val="center"/>
              <w:rPr>
                <w:rFonts w:ascii="Times New Roman" w:hAnsi="Times New Roman"/>
                <w:color w:val="000000"/>
                <w:sz w:val="20"/>
                <w:szCs w:val="20"/>
                <w:lang w:val="en-US" w:bidi="ar-SA"/>
              </w:rPr>
            </w:pPr>
            <w:r>
              <w:rPr>
                <w:rFonts w:ascii="Times New Roman" w:hAnsi="Times New Roman"/>
                <w:color w:val="000000"/>
                <w:sz w:val="20"/>
                <w:szCs w:val="20"/>
                <w:lang w:eastAsia="en-GB" w:bidi="ar-SA"/>
              </w:rPr>
              <w:t>0.58%</w:t>
            </w:r>
          </w:p>
        </w:tc>
        <w:tc>
          <w:tcPr>
            <w:tcW w:w="416" w:type="dxa"/>
            <w:vAlign w:val="center"/>
          </w:tcPr>
          <w:p w14:paraId="7841C5B9" w14:textId="57FBA206" w:rsidR="0046763D" w:rsidRPr="005D3A5A" w:rsidRDefault="0046763D" w:rsidP="008A08BF">
            <w:pPr>
              <w:spacing w:before="0" w:after="0" w:line="240" w:lineRule="auto"/>
              <w:jc w:val="center"/>
              <w:rPr>
                <w:rFonts w:ascii="Times New Roman" w:hAnsi="Times New Roman"/>
                <w:color w:val="000000"/>
                <w:sz w:val="20"/>
                <w:szCs w:val="20"/>
                <w:lang w:eastAsia="en-GB" w:bidi="ar-SA"/>
              </w:rPr>
            </w:pPr>
          </w:p>
        </w:tc>
      </w:tr>
    </w:tbl>
    <w:p w14:paraId="79A4BDAA" w14:textId="77777777" w:rsidR="0046763D" w:rsidRDefault="0046763D" w:rsidP="00210A2A">
      <w:pPr>
        <w:spacing w:before="0" w:after="0" w:line="240" w:lineRule="auto"/>
        <w:ind w:right="-270"/>
        <w:jc w:val="both"/>
        <w:rPr>
          <w:rFonts w:ascii="Times New Roman" w:hAnsi="Times New Roman"/>
          <w:sz w:val="20"/>
          <w:szCs w:val="20"/>
        </w:rPr>
      </w:pPr>
    </w:p>
    <w:p w14:paraId="400D0B35" w14:textId="29E61970" w:rsidR="0046763D" w:rsidRPr="005D3A5A" w:rsidRDefault="00D250D2" w:rsidP="00210A2A">
      <w:pPr>
        <w:pStyle w:val="ListParagraph"/>
        <w:spacing w:before="0" w:after="0" w:line="240" w:lineRule="auto"/>
        <w:ind w:left="567"/>
        <w:contextualSpacing w:val="0"/>
        <w:jc w:val="both"/>
        <w:rPr>
          <w:rFonts w:ascii="Times New Roman" w:hAnsi="Times New Roman"/>
          <w:sz w:val="20"/>
          <w:szCs w:val="20"/>
        </w:rPr>
      </w:pPr>
      <w:r>
        <w:rPr>
          <w:rFonts w:ascii="Times New Roman" w:hAnsi="Times New Roman"/>
          <w:sz w:val="20"/>
          <w:szCs w:val="20"/>
        </w:rPr>
        <w:t xml:space="preserve">Source: </w:t>
      </w:r>
      <w:r w:rsidR="0046763D" w:rsidRPr="005D3A5A">
        <w:rPr>
          <w:rFonts w:ascii="Times New Roman" w:hAnsi="Times New Roman"/>
          <w:sz w:val="20"/>
          <w:szCs w:val="20"/>
        </w:rPr>
        <w:t xml:space="preserve">Calculated from </w:t>
      </w:r>
      <w:r w:rsidRPr="005D3A5A">
        <w:rPr>
          <w:rFonts w:ascii="Times New Roman" w:hAnsi="Times New Roman"/>
          <w:sz w:val="20"/>
          <w:szCs w:val="20"/>
        </w:rPr>
        <w:t>evaluation e</w:t>
      </w:r>
      <w:r w:rsidR="0046763D" w:rsidRPr="005D3A5A">
        <w:rPr>
          <w:rFonts w:ascii="Times New Roman" w:hAnsi="Times New Roman"/>
          <w:sz w:val="20"/>
          <w:szCs w:val="20"/>
        </w:rPr>
        <w:t>xpenditure, UNDP estimated staff costs and additional evaluation costs</w:t>
      </w:r>
    </w:p>
    <w:p w14:paraId="3C767C29" w14:textId="342DFF6B" w:rsidR="00210A2A" w:rsidRPr="00210A2A" w:rsidRDefault="00F468F7" w:rsidP="00F468F7">
      <w:pPr>
        <w:tabs>
          <w:tab w:val="left" w:pos="951"/>
        </w:tabs>
        <w:jc w:val="center"/>
        <w:rPr>
          <w:rFonts w:ascii="Times New Roman" w:hAnsi="Times New Roman"/>
          <w:sz w:val="20"/>
          <w:szCs w:val="20"/>
        </w:rPr>
      </w:pPr>
      <w:r>
        <w:rPr>
          <w:rFonts w:ascii="Times New Roman" w:hAnsi="Times New Roman"/>
          <w:noProof/>
          <w:sz w:val="20"/>
          <w:szCs w:val="20"/>
        </w:rPr>
        <w:drawing>
          <wp:inline distT="0" distB="0" distL="0" distR="0" wp14:anchorId="55CAF38B" wp14:editId="206740CF">
            <wp:extent cx="920750"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210A2A" w:rsidRPr="00210A2A" w:rsidSect="003E1500">
      <w:headerReference w:type="even" r:id="rId15"/>
      <w:headerReference w:type="default" r:id="rId16"/>
      <w:footerReference w:type="even" r:id="rId17"/>
      <w:footerReference w:type="default" r:id="rId18"/>
      <w:headerReference w:type="first" r:id="rId19"/>
      <w:endnotePr>
        <w:numFmt w:val="decimal"/>
      </w:endnotePr>
      <w:pgSz w:w="12240" w:h="15840"/>
      <w:pgMar w:top="751" w:right="2160" w:bottom="810" w:left="1440" w:header="36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4F880" w14:textId="77777777" w:rsidR="007B0CBD" w:rsidRDefault="007B0CBD" w:rsidP="00167B7A">
      <w:pPr>
        <w:spacing w:after="0" w:line="240" w:lineRule="auto"/>
      </w:pPr>
      <w:r>
        <w:separator/>
      </w:r>
    </w:p>
  </w:endnote>
  <w:endnote w:type="continuationSeparator" w:id="0">
    <w:p w14:paraId="25990128" w14:textId="77777777" w:rsidR="007B0CBD" w:rsidRDefault="007B0CBD" w:rsidP="00167B7A">
      <w:pPr>
        <w:spacing w:after="0" w:line="240" w:lineRule="auto"/>
      </w:pPr>
      <w:r>
        <w:continuationSeparator/>
      </w:r>
    </w:p>
  </w:endnote>
  <w:endnote w:type="continuationNotice" w:id="1">
    <w:p w14:paraId="75EB1A4D" w14:textId="77777777" w:rsidR="007B0CBD" w:rsidRDefault="007B0C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Batang">
    <w:altName w:val="Times New Roman"/>
    <w:panose1 w:val="00000000000000000000"/>
    <w:charset w:val="00"/>
    <w:family w:val="auto"/>
    <w:notTrueType/>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Lucida Grande">
    <w:altName w:val="Arial"/>
    <w:charset w:val="00"/>
    <w:family w:val="swiss"/>
    <w:pitch w:val="variable"/>
    <w:sig w:usb0="E1000AEF" w:usb1="5000A1FF" w:usb2="00000000" w:usb3="00000000" w:csb0="000001BF" w:csb1="00000000"/>
  </w:font>
  <w:font w:name="ヒラギノ角ゴ Pro W3">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760474"/>
      <w:docPartObj>
        <w:docPartGallery w:val="Page Numbers (Bottom of Page)"/>
        <w:docPartUnique/>
      </w:docPartObj>
    </w:sdtPr>
    <w:sdtEndPr>
      <w:rPr>
        <w:noProof/>
      </w:rPr>
    </w:sdtEndPr>
    <w:sdtContent>
      <w:p w14:paraId="76C34B08" w14:textId="3F725ABD" w:rsidR="00265C87" w:rsidRPr="00CC4E53" w:rsidRDefault="00CC4E53" w:rsidP="00CC4E53">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155717"/>
      <w:docPartObj>
        <w:docPartGallery w:val="Page Numbers (Bottom of Page)"/>
        <w:docPartUnique/>
      </w:docPartObj>
    </w:sdtPr>
    <w:sdtEndPr>
      <w:rPr>
        <w:color w:val="7F7F7F" w:themeColor="background1" w:themeShade="7F"/>
        <w:spacing w:val="60"/>
      </w:rPr>
    </w:sdtEndPr>
    <w:sdtContent>
      <w:p w14:paraId="6D890D9A" w14:textId="2FD82A7E" w:rsidR="00265C87" w:rsidRPr="0013780C" w:rsidRDefault="001816B8" w:rsidP="0013780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DCF80" w14:textId="77777777" w:rsidR="007B0CBD" w:rsidRDefault="007B0CBD" w:rsidP="00167B7A">
      <w:pPr>
        <w:spacing w:after="0" w:line="240" w:lineRule="auto"/>
      </w:pPr>
      <w:r>
        <w:separator/>
      </w:r>
    </w:p>
  </w:footnote>
  <w:footnote w:type="continuationSeparator" w:id="0">
    <w:p w14:paraId="3F52FA6F" w14:textId="77777777" w:rsidR="007B0CBD" w:rsidRDefault="007B0CBD" w:rsidP="00167B7A">
      <w:pPr>
        <w:spacing w:after="0" w:line="240" w:lineRule="auto"/>
      </w:pPr>
      <w:r>
        <w:continuationSeparator/>
      </w:r>
    </w:p>
  </w:footnote>
  <w:footnote w:type="continuationNotice" w:id="1">
    <w:p w14:paraId="563FAF0D" w14:textId="77777777" w:rsidR="007B0CBD" w:rsidRDefault="007B0CBD">
      <w:pPr>
        <w:spacing w:after="0" w:line="240" w:lineRule="auto"/>
      </w:pPr>
    </w:p>
  </w:footnote>
  <w:footnote w:id="2">
    <w:p w14:paraId="2A7BA36B" w14:textId="724C54CD" w:rsidR="00601A5F" w:rsidRPr="00D256C1" w:rsidRDefault="00601A5F" w:rsidP="00601A5F">
      <w:pPr>
        <w:pStyle w:val="FootnoteText"/>
        <w:spacing w:before="0" w:after="0"/>
        <w:rPr>
          <w:sz w:val="21"/>
          <w:szCs w:val="18"/>
          <w:lang w:val="en-US"/>
        </w:rPr>
      </w:pPr>
      <w:r w:rsidRPr="00D256C1">
        <w:rPr>
          <w:rStyle w:val="FootnoteReference"/>
          <w:sz w:val="21"/>
          <w:szCs w:val="18"/>
        </w:rPr>
        <w:footnoteRef/>
      </w:r>
      <w:r w:rsidRPr="00D256C1">
        <w:rPr>
          <w:sz w:val="21"/>
          <w:szCs w:val="18"/>
        </w:rPr>
        <w:t xml:space="preserve"> </w:t>
      </w:r>
      <w:r w:rsidR="005E7C0C" w:rsidRPr="00D256C1">
        <w:rPr>
          <w:rFonts w:ascii="Times New Roman" w:hAnsi="Times New Roman"/>
          <w:sz w:val="16"/>
          <w:szCs w:val="16"/>
        </w:rPr>
        <w:t xml:space="preserve">See </w:t>
      </w:r>
      <w:r w:rsidR="00CD1F69">
        <w:rPr>
          <w:rFonts w:ascii="Times New Roman" w:hAnsi="Times New Roman"/>
          <w:sz w:val="16"/>
          <w:szCs w:val="16"/>
        </w:rPr>
        <w:t xml:space="preserve"> annex</w:t>
      </w:r>
      <w:r w:rsidR="00C71281">
        <w:rPr>
          <w:rFonts w:ascii="Times New Roman" w:hAnsi="Times New Roman"/>
          <w:sz w:val="16"/>
          <w:szCs w:val="16"/>
        </w:rPr>
        <w:t xml:space="preserve"> II </w:t>
      </w:r>
      <w:r w:rsidRPr="00D256C1">
        <w:rPr>
          <w:rFonts w:ascii="Times New Roman" w:hAnsi="Times New Roman"/>
          <w:sz w:val="16"/>
          <w:szCs w:val="16"/>
        </w:rPr>
        <w:t>for the</w:t>
      </w:r>
      <w:r w:rsidR="00C71281">
        <w:rPr>
          <w:rFonts w:ascii="Times New Roman" w:hAnsi="Times New Roman"/>
          <w:sz w:val="16"/>
          <w:szCs w:val="16"/>
        </w:rPr>
        <w:t xml:space="preserve"> </w:t>
      </w:r>
      <w:r w:rsidR="00CD1F69">
        <w:rPr>
          <w:rFonts w:ascii="Times New Roman" w:hAnsi="Times New Roman"/>
          <w:sz w:val="16"/>
          <w:szCs w:val="16"/>
        </w:rPr>
        <w:t>financial data</w:t>
      </w:r>
      <w:r w:rsidRPr="00D256C1">
        <w:rPr>
          <w:rFonts w:ascii="Times New Roman" w:hAnsi="Times New Roman"/>
          <w:sz w:val="16"/>
          <w:szCs w:val="16"/>
        </w:rPr>
        <w:t xml:space="preserve"> </w:t>
      </w:r>
      <w:r w:rsidR="00C71281">
        <w:rPr>
          <w:rFonts w:ascii="Times New Roman" w:hAnsi="Times New Roman"/>
          <w:sz w:val="16"/>
          <w:szCs w:val="16"/>
        </w:rPr>
        <w:t xml:space="preserve">on </w:t>
      </w:r>
      <w:r w:rsidR="00C71281" w:rsidRPr="00D256C1">
        <w:rPr>
          <w:rFonts w:ascii="Times New Roman" w:hAnsi="Times New Roman"/>
          <w:sz w:val="16"/>
          <w:szCs w:val="16"/>
        </w:rPr>
        <w:t>decentralized evaluation</w:t>
      </w:r>
      <w:r w:rsidR="00C71281">
        <w:rPr>
          <w:rFonts w:ascii="Times New Roman" w:hAnsi="Times New Roman"/>
          <w:sz w:val="16"/>
          <w:szCs w:val="16"/>
        </w:rPr>
        <w:t>s</w:t>
      </w:r>
      <w:r w:rsidR="00C71281" w:rsidRPr="00D256C1">
        <w:rPr>
          <w:rFonts w:ascii="Times New Roman" w:hAnsi="Times New Roman"/>
          <w:sz w:val="16"/>
          <w:szCs w:val="16"/>
        </w:rPr>
        <w:t xml:space="preserve"> </w:t>
      </w:r>
      <w:r w:rsidRPr="00D256C1">
        <w:rPr>
          <w:rFonts w:ascii="Times New Roman" w:hAnsi="Times New Roman"/>
          <w:sz w:val="16"/>
          <w:szCs w:val="16"/>
        </w:rPr>
        <w:t xml:space="preserve">for </w:t>
      </w:r>
      <w:r w:rsidR="00C71281">
        <w:rPr>
          <w:rFonts w:ascii="Times New Roman" w:hAnsi="Times New Roman"/>
          <w:sz w:val="16"/>
          <w:szCs w:val="16"/>
        </w:rPr>
        <w:t xml:space="preserve">the period </w:t>
      </w:r>
      <w:r w:rsidRPr="00D256C1">
        <w:rPr>
          <w:rFonts w:ascii="Times New Roman" w:hAnsi="Times New Roman"/>
          <w:sz w:val="16"/>
          <w:szCs w:val="16"/>
        </w:rPr>
        <w:t>2018-2021.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290943"/>
      <w:docPartObj>
        <w:docPartGallery w:val="Page Numbers (Top of Page)"/>
        <w:docPartUnique/>
      </w:docPartObj>
    </w:sdtPr>
    <w:sdtEndPr>
      <w:rPr>
        <w:noProof/>
      </w:rPr>
    </w:sdtEndPr>
    <w:sdtContent>
      <w:p w14:paraId="48B597F0" w14:textId="7A20EB88" w:rsidR="0013780C" w:rsidRDefault="0013780C">
        <w:pPr>
          <w:pStyle w:val="Header"/>
        </w:pPr>
      </w:p>
    </w:sdtContent>
  </w:sdt>
  <w:p w14:paraId="4DC54067" w14:textId="77777777" w:rsidR="00265C87" w:rsidRPr="00240F76" w:rsidRDefault="00265C87" w:rsidP="008C6EFC">
    <w:pPr>
      <w:spacing w:before="0" w:after="0"/>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FC5A" w14:textId="77777777" w:rsidR="00265C87" w:rsidRPr="007726C8" w:rsidRDefault="00265C87" w:rsidP="008C6EFC">
    <w:pPr>
      <w:spacing w:before="0" w:after="0"/>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42FD1" w14:textId="59C392F0" w:rsidR="00265C87" w:rsidRPr="00BE5A26" w:rsidRDefault="00265C87" w:rsidP="00BE5A26">
    <w:pPr>
      <w:pStyle w:val="Header"/>
      <w:spacing w:before="0"/>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30C"/>
    <w:multiLevelType w:val="hybridMultilevel"/>
    <w:tmpl w:val="143A68EC"/>
    <w:lvl w:ilvl="0" w:tplc="F36884B2">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AF104E"/>
    <w:multiLevelType w:val="hybridMultilevel"/>
    <w:tmpl w:val="8F46E15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A74D4"/>
    <w:multiLevelType w:val="hybridMultilevel"/>
    <w:tmpl w:val="58FC1B0C"/>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C7B7EC2"/>
    <w:multiLevelType w:val="hybridMultilevel"/>
    <w:tmpl w:val="7E840F3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AF3137"/>
    <w:multiLevelType w:val="hybridMultilevel"/>
    <w:tmpl w:val="A5CC1AB6"/>
    <w:lvl w:ilvl="0" w:tplc="3E8C046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812928"/>
    <w:multiLevelType w:val="hybridMultilevel"/>
    <w:tmpl w:val="3484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949DE"/>
    <w:multiLevelType w:val="hybridMultilevel"/>
    <w:tmpl w:val="42505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681F44"/>
    <w:multiLevelType w:val="multilevel"/>
    <w:tmpl w:val="54384C72"/>
    <w:lvl w:ilvl="0">
      <w:start w:val="1"/>
      <w:numFmt w:val="upperRoman"/>
      <w:pStyle w:val="Heading1"/>
      <w:lvlText w:val="%1."/>
      <w:lvlJc w:val="right"/>
      <w:pPr>
        <w:ind w:left="630" w:hanging="360"/>
      </w:pPr>
      <w:rPr>
        <w:rFonts w:hint="default"/>
        <w:b/>
        <w:bCs/>
        <w:color w:val="auto"/>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486CF4"/>
    <w:multiLevelType w:val="hybridMultilevel"/>
    <w:tmpl w:val="55EA4CC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041A93"/>
    <w:multiLevelType w:val="hybridMultilevel"/>
    <w:tmpl w:val="66FE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A7B69"/>
    <w:multiLevelType w:val="multilevel"/>
    <w:tmpl w:val="1C02C168"/>
    <w:lvl w:ilvl="0">
      <w:start w:val="1"/>
      <w:numFmt w:val="decimal"/>
      <w:lvlText w:val="%1."/>
      <w:lvlJc w:val="left"/>
      <w:pPr>
        <w:tabs>
          <w:tab w:val="num" w:pos="720"/>
        </w:tabs>
        <w:ind w:left="720" w:hanging="720"/>
      </w:pPr>
      <w:rPr>
        <w:b w:val="0"/>
        <w:bCs/>
        <w:color w:val="000000" w:themeColor="text1"/>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FE55924"/>
    <w:multiLevelType w:val="hybridMultilevel"/>
    <w:tmpl w:val="E7F2C10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C015F30"/>
    <w:multiLevelType w:val="hybridMultilevel"/>
    <w:tmpl w:val="27EE573C"/>
    <w:lvl w:ilvl="0" w:tplc="1ACA152A">
      <w:start w:val="1"/>
      <w:numFmt w:val="decimal"/>
      <w:lvlText w:val="%1."/>
      <w:lvlJc w:val="left"/>
      <w:pPr>
        <w:ind w:left="360" w:hanging="360"/>
      </w:pPr>
      <w:rPr>
        <w:rFonts w:hint="default"/>
        <w:i w:val="0"/>
        <w:iCs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406129"/>
    <w:multiLevelType w:val="hybridMultilevel"/>
    <w:tmpl w:val="6DCE00E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4F61BE"/>
    <w:multiLevelType w:val="hybridMultilevel"/>
    <w:tmpl w:val="F092D790"/>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5333689"/>
    <w:multiLevelType w:val="hybridMultilevel"/>
    <w:tmpl w:val="DE447E68"/>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619296B"/>
    <w:multiLevelType w:val="hybridMultilevel"/>
    <w:tmpl w:val="C18CC22A"/>
    <w:lvl w:ilvl="0" w:tplc="5438510A">
      <w:start w:val="1"/>
      <w:numFmt w:val="decimal"/>
      <w:pStyle w:val="Conclusions"/>
      <w:lvlText w:val="Conclusion  %1. "/>
      <w:lvlJc w:val="left"/>
      <w:pPr>
        <w:ind w:left="540" w:hanging="360"/>
      </w:pPr>
      <w:rPr>
        <w:b/>
        <w:i w:val="0"/>
        <w:color w:val="1F3864" w:themeColor="accent1" w:themeShade="8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71C69CF"/>
    <w:multiLevelType w:val="hybridMultilevel"/>
    <w:tmpl w:val="49AE2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8F18FE10">
      <w:numFmt w:val="bullet"/>
      <w:lvlText w:val="•"/>
      <w:lvlJc w:val="left"/>
      <w:pPr>
        <w:ind w:left="3240" w:hanging="720"/>
      </w:pPr>
      <w:rPr>
        <w:rFonts w:ascii="Times New Roman" w:eastAsia="Times New Roman,Batang" w:hAnsi="Times New Roman"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863F4A"/>
    <w:multiLevelType w:val="hybridMultilevel"/>
    <w:tmpl w:val="9CA29AE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531449"/>
    <w:multiLevelType w:val="hybridMultilevel"/>
    <w:tmpl w:val="EFE2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C45CF8"/>
    <w:multiLevelType w:val="hybridMultilevel"/>
    <w:tmpl w:val="5F466694"/>
    <w:lvl w:ilvl="0" w:tplc="A4D8A2EA">
      <w:start w:val="1"/>
      <w:numFmt w:val="decimal"/>
      <w:lvlText w:val="%1."/>
      <w:lvlJc w:val="left"/>
      <w:pPr>
        <w:ind w:left="360" w:hanging="360"/>
      </w:pPr>
      <w:rPr>
        <w:rFonts w:hint="default"/>
        <w:b w:val="0"/>
        <w:b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875C76"/>
    <w:multiLevelType w:val="hybridMultilevel"/>
    <w:tmpl w:val="81704C6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C2100"/>
    <w:multiLevelType w:val="hybridMultilevel"/>
    <w:tmpl w:val="6D4439FA"/>
    <w:lvl w:ilvl="0" w:tplc="04090001">
      <w:start w:val="1"/>
      <w:numFmt w:val="bullet"/>
      <w:lvlText w:val=""/>
      <w:lvlJc w:val="left"/>
      <w:pPr>
        <w:ind w:left="900" w:hanging="360"/>
      </w:pPr>
      <w:rPr>
        <w:rFonts w:ascii="Symbol" w:hAnsi="Symbol" w:hint="default"/>
      </w:rPr>
    </w:lvl>
    <w:lvl w:ilvl="1" w:tplc="08090003">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3" w15:restartNumberingAfterBreak="0">
    <w:nsid w:val="45A46257"/>
    <w:multiLevelType w:val="hybridMultilevel"/>
    <w:tmpl w:val="847AC3A8"/>
    <w:lvl w:ilvl="0" w:tplc="9F8C3B78">
      <w:start w:val="1"/>
      <w:numFmt w:val="decimal"/>
      <w:lvlText w:val="%1."/>
      <w:lvlJc w:val="left"/>
      <w:pPr>
        <w:ind w:left="360" w:hanging="360"/>
      </w:pPr>
      <w:rPr>
        <w:rFonts w:hint="default"/>
        <w:i/>
        <w:iCs/>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502157"/>
    <w:multiLevelType w:val="hybridMultilevel"/>
    <w:tmpl w:val="A226F514"/>
    <w:lvl w:ilvl="0" w:tplc="9F8C3B78">
      <w:start w:val="1"/>
      <w:numFmt w:val="decimal"/>
      <w:lvlText w:val="%1."/>
      <w:lvlJc w:val="left"/>
      <w:pPr>
        <w:ind w:left="360" w:hanging="360"/>
      </w:pPr>
      <w:rPr>
        <w:rFonts w:hint="default"/>
        <w:i/>
        <w:i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B144D7"/>
    <w:multiLevelType w:val="hybridMultilevel"/>
    <w:tmpl w:val="66067D9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260BDF"/>
    <w:multiLevelType w:val="hybridMultilevel"/>
    <w:tmpl w:val="29E22F9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F938B1"/>
    <w:multiLevelType w:val="hybridMultilevel"/>
    <w:tmpl w:val="767844DC"/>
    <w:lvl w:ilvl="0" w:tplc="183E6C6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2B46A3"/>
    <w:multiLevelType w:val="hybridMultilevel"/>
    <w:tmpl w:val="23665DE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F860166"/>
    <w:multiLevelType w:val="hybridMultilevel"/>
    <w:tmpl w:val="A538EE1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221785"/>
    <w:multiLevelType w:val="hybridMultilevel"/>
    <w:tmpl w:val="DD78C562"/>
    <w:lvl w:ilvl="0" w:tplc="04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1" w15:restartNumberingAfterBreak="0">
    <w:nsid w:val="536E5AEE"/>
    <w:multiLevelType w:val="hybridMultilevel"/>
    <w:tmpl w:val="9E00CEE6"/>
    <w:lvl w:ilvl="0" w:tplc="1ACA152A">
      <w:start w:val="1"/>
      <w:numFmt w:val="decimal"/>
      <w:lvlText w:val="%1."/>
      <w:lvlJc w:val="left"/>
      <w:pPr>
        <w:ind w:left="360" w:hanging="360"/>
      </w:pPr>
      <w:rPr>
        <w:rFonts w:hint="default"/>
        <w:i w:val="0"/>
        <w:iCs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4440939"/>
    <w:multiLevelType w:val="hybridMultilevel"/>
    <w:tmpl w:val="00981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4BB5077"/>
    <w:multiLevelType w:val="multilevel"/>
    <w:tmpl w:val="0456C8E6"/>
    <w:lvl w:ilvl="0">
      <w:start w:val="1"/>
      <w:numFmt w:val="decimal"/>
      <w:isLgl/>
      <w:lvlText w:val="%1"/>
      <w:lvlJc w:val="left"/>
      <w:pPr>
        <w:tabs>
          <w:tab w:val="num" w:pos="720"/>
        </w:tabs>
        <w:ind w:left="720" w:firstLine="0"/>
      </w:pPr>
      <w:rPr>
        <w:rFonts w:hint="default"/>
        <w:color w:val="000000"/>
        <w:position w:val="0"/>
        <w:sz w:val="22"/>
      </w:rPr>
    </w:lvl>
    <w:lvl w:ilvl="1">
      <w:start w:val="1"/>
      <w:numFmt w:val="decimal"/>
      <w:lvlText w:val="%2."/>
      <w:lvlJc w:val="left"/>
      <w:pPr>
        <w:tabs>
          <w:tab w:val="num" w:pos="0"/>
        </w:tabs>
        <w:ind w:left="0" w:firstLine="0"/>
      </w:pPr>
      <w:rPr>
        <w:rFonts w:hint="default"/>
        <w:color w:val="000000"/>
        <w:position w:val="0"/>
        <w:sz w:val="22"/>
      </w:rPr>
    </w:lvl>
    <w:lvl w:ilvl="2">
      <w:start w:val="1"/>
      <w:numFmt w:val="decimal"/>
      <w:isLgl/>
      <w:lvlText w:val="%1.%2.%3"/>
      <w:lvlJc w:val="left"/>
      <w:pPr>
        <w:tabs>
          <w:tab w:val="num" w:pos="720"/>
        </w:tabs>
        <w:ind w:left="720" w:firstLine="0"/>
      </w:pPr>
      <w:rPr>
        <w:rFonts w:hint="default"/>
        <w:color w:val="000000"/>
        <w:position w:val="0"/>
        <w:sz w:val="22"/>
      </w:rPr>
    </w:lvl>
    <w:lvl w:ilvl="3">
      <w:start w:val="1"/>
      <w:numFmt w:val="decimal"/>
      <w:isLgl/>
      <w:lvlText w:val="%1.%2.%3.%4"/>
      <w:lvlJc w:val="left"/>
      <w:pPr>
        <w:tabs>
          <w:tab w:val="num" w:pos="720"/>
        </w:tabs>
        <w:ind w:left="720" w:firstLine="0"/>
      </w:pPr>
      <w:rPr>
        <w:rFonts w:hint="default"/>
        <w:color w:val="000000"/>
        <w:position w:val="0"/>
        <w:sz w:val="22"/>
      </w:rPr>
    </w:lvl>
    <w:lvl w:ilvl="4">
      <w:start w:val="1"/>
      <w:numFmt w:val="decimal"/>
      <w:isLgl/>
      <w:lvlText w:val="%1.%2.%3.%4.%5"/>
      <w:lvlJc w:val="left"/>
      <w:pPr>
        <w:tabs>
          <w:tab w:val="num" w:pos="1080"/>
        </w:tabs>
        <w:ind w:left="1080" w:firstLine="0"/>
      </w:pPr>
      <w:rPr>
        <w:rFonts w:hint="default"/>
        <w:color w:val="000000"/>
        <w:position w:val="0"/>
        <w:sz w:val="22"/>
      </w:rPr>
    </w:lvl>
    <w:lvl w:ilvl="5">
      <w:start w:val="1"/>
      <w:numFmt w:val="decimal"/>
      <w:isLgl/>
      <w:lvlText w:val="%1.%2.%3.%4.%5.%6"/>
      <w:lvlJc w:val="left"/>
      <w:pPr>
        <w:tabs>
          <w:tab w:val="num" w:pos="1080"/>
        </w:tabs>
        <w:ind w:left="1080" w:firstLine="0"/>
      </w:pPr>
      <w:rPr>
        <w:rFonts w:hint="default"/>
        <w:color w:val="000000"/>
        <w:position w:val="0"/>
        <w:sz w:val="22"/>
      </w:rPr>
    </w:lvl>
    <w:lvl w:ilvl="6">
      <w:start w:val="1"/>
      <w:numFmt w:val="decimal"/>
      <w:isLgl/>
      <w:lvlText w:val="%1.%2.%3.%4.%5.%6.%7"/>
      <w:lvlJc w:val="left"/>
      <w:pPr>
        <w:tabs>
          <w:tab w:val="num" w:pos="1440"/>
        </w:tabs>
        <w:ind w:left="1440" w:firstLine="0"/>
      </w:pPr>
      <w:rPr>
        <w:rFonts w:hint="default"/>
        <w:color w:val="000000"/>
        <w:position w:val="0"/>
        <w:sz w:val="22"/>
      </w:rPr>
    </w:lvl>
    <w:lvl w:ilvl="7">
      <w:start w:val="1"/>
      <w:numFmt w:val="decimal"/>
      <w:isLgl/>
      <w:lvlText w:val="%1.%2.%3.%4.%5.%6.%7.%8"/>
      <w:lvlJc w:val="left"/>
      <w:pPr>
        <w:tabs>
          <w:tab w:val="num" w:pos="1440"/>
        </w:tabs>
        <w:ind w:left="1440" w:firstLine="0"/>
      </w:pPr>
      <w:rPr>
        <w:rFonts w:hint="default"/>
        <w:color w:val="000000"/>
        <w:position w:val="0"/>
        <w:sz w:val="22"/>
      </w:rPr>
    </w:lvl>
    <w:lvl w:ilvl="8">
      <w:start w:val="1"/>
      <w:numFmt w:val="decimal"/>
      <w:isLgl/>
      <w:lvlText w:val="%1.%2.%3.%4.%5.%6.%7.%8.%9"/>
      <w:lvlJc w:val="left"/>
      <w:pPr>
        <w:tabs>
          <w:tab w:val="num" w:pos="1080"/>
        </w:tabs>
        <w:ind w:left="1080" w:firstLine="0"/>
      </w:pPr>
      <w:rPr>
        <w:rFonts w:hint="default"/>
        <w:color w:val="000000"/>
        <w:position w:val="0"/>
        <w:sz w:val="22"/>
      </w:rPr>
    </w:lvl>
  </w:abstractNum>
  <w:abstractNum w:abstractNumId="34" w15:restartNumberingAfterBreak="0">
    <w:nsid w:val="5E145F29"/>
    <w:multiLevelType w:val="hybridMultilevel"/>
    <w:tmpl w:val="0BFC0058"/>
    <w:lvl w:ilvl="0" w:tplc="75469C06">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F701516"/>
    <w:multiLevelType w:val="hybridMultilevel"/>
    <w:tmpl w:val="1E947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277130"/>
    <w:multiLevelType w:val="hybridMultilevel"/>
    <w:tmpl w:val="3F3649F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8273B3"/>
    <w:multiLevelType w:val="hybridMultilevel"/>
    <w:tmpl w:val="F8068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8D0794"/>
    <w:multiLevelType w:val="hybridMultilevel"/>
    <w:tmpl w:val="A022CBE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9F1EFE"/>
    <w:multiLevelType w:val="hybridMultilevel"/>
    <w:tmpl w:val="47A63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C35ED5"/>
    <w:multiLevelType w:val="hybridMultilevel"/>
    <w:tmpl w:val="1940FFB0"/>
    <w:lvl w:ilvl="0" w:tplc="5CAEEE9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8E148A8"/>
    <w:multiLevelType w:val="hybridMultilevel"/>
    <w:tmpl w:val="22B00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B44A3B"/>
    <w:multiLevelType w:val="hybridMultilevel"/>
    <w:tmpl w:val="DBB6723C"/>
    <w:lvl w:ilvl="0" w:tplc="F36884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BF763A"/>
    <w:multiLevelType w:val="hybridMultilevel"/>
    <w:tmpl w:val="9E00CEE6"/>
    <w:lvl w:ilvl="0" w:tplc="1ACA152A">
      <w:start w:val="1"/>
      <w:numFmt w:val="decimal"/>
      <w:lvlText w:val="%1."/>
      <w:lvlJc w:val="left"/>
      <w:pPr>
        <w:ind w:left="360" w:hanging="360"/>
      </w:pPr>
      <w:rPr>
        <w:rFonts w:hint="default"/>
        <w:i w:val="0"/>
        <w:iCs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5"/>
  </w:num>
  <w:num w:numId="2">
    <w:abstractNumId w:val="20"/>
  </w:num>
  <w:num w:numId="3">
    <w:abstractNumId w:val="10"/>
  </w:num>
  <w:num w:numId="4">
    <w:abstractNumId w:val="16"/>
  </w:num>
  <w:num w:numId="5">
    <w:abstractNumId w:val="40"/>
  </w:num>
  <w:num w:numId="6">
    <w:abstractNumId w:val="21"/>
  </w:num>
  <w:num w:numId="7">
    <w:abstractNumId w:val="27"/>
  </w:num>
  <w:num w:numId="8">
    <w:abstractNumId w:val="37"/>
  </w:num>
  <w:num w:numId="9">
    <w:abstractNumId w:val="16"/>
  </w:num>
  <w:num w:numId="10">
    <w:abstractNumId w:val="16"/>
  </w:num>
  <w:num w:numId="11">
    <w:abstractNumId w:val="33"/>
  </w:num>
  <w:num w:numId="12">
    <w:abstractNumId w:val="7"/>
  </w:num>
  <w:num w:numId="13">
    <w:abstractNumId w:val="31"/>
  </w:num>
  <w:num w:numId="14">
    <w:abstractNumId w:val="11"/>
  </w:num>
  <w:num w:numId="15">
    <w:abstractNumId w:val="18"/>
  </w:num>
  <w:num w:numId="16">
    <w:abstractNumId w:val="38"/>
  </w:num>
  <w:num w:numId="17">
    <w:abstractNumId w:val="1"/>
  </w:num>
  <w:num w:numId="18">
    <w:abstractNumId w:val="17"/>
  </w:num>
  <w:num w:numId="19">
    <w:abstractNumId w:val="39"/>
  </w:num>
  <w:num w:numId="20">
    <w:abstractNumId w:val="28"/>
  </w:num>
  <w:num w:numId="21">
    <w:abstractNumId w:val="0"/>
  </w:num>
  <w:num w:numId="22">
    <w:abstractNumId w:val="6"/>
  </w:num>
  <w:num w:numId="23">
    <w:abstractNumId w:val="4"/>
  </w:num>
  <w:num w:numId="24">
    <w:abstractNumId w:val="22"/>
  </w:num>
  <w:num w:numId="25">
    <w:abstractNumId w:val="41"/>
  </w:num>
  <w:num w:numId="26">
    <w:abstractNumId w:val="9"/>
  </w:num>
  <w:num w:numId="27">
    <w:abstractNumId w:val="19"/>
  </w:num>
  <w:num w:numId="28">
    <w:abstractNumId w:val="5"/>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5"/>
  </w:num>
  <w:num w:numId="32">
    <w:abstractNumId w:val="14"/>
  </w:num>
  <w:num w:numId="33">
    <w:abstractNumId w:val="8"/>
  </w:num>
  <w:num w:numId="34">
    <w:abstractNumId w:val="13"/>
  </w:num>
  <w:num w:numId="35">
    <w:abstractNumId w:val="29"/>
  </w:num>
  <w:num w:numId="36">
    <w:abstractNumId w:val="3"/>
  </w:num>
  <w:num w:numId="37">
    <w:abstractNumId w:val="25"/>
  </w:num>
  <w:num w:numId="38">
    <w:abstractNumId w:val="36"/>
  </w:num>
  <w:num w:numId="39">
    <w:abstractNumId w:val="24"/>
  </w:num>
  <w:num w:numId="40">
    <w:abstractNumId w:val="26"/>
  </w:num>
  <w:num w:numId="41">
    <w:abstractNumId w:val="12"/>
  </w:num>
  <w:num w:numId="42">
    <w:abstractNumId w:val="43"/>
  </w:num>
  <w:num w:numId="43">
    <w:abstractNumId w:val="30"/>
  </w:num>
  <w:num w:numId="44">
    <w:abstractNumId w:val="2"/>
  </w:num>
  <w:num w:numId="45">
    <w:abstractNumId w:val="34"/>
  </w:num>
  <w:num w:numId="46">
    <w:abstractNumId w:val="42"/>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7454*"/>
    <w:docVar w:name="jobn" w:val="21-17454 (E)"/>
    <w:docVar w:name="JobNo" w:val="2117454E"/>
    <w:docVar w:name="ODSRefJobNo" w:val="2135761E"/>
    <w:docVar w:name="sss1" w:val="DP/2022/7"/>
    <w:docVar w:name="sss2" w:val="-"/>
  </w:docVars>
  <w:rsids>
    <w:rsidRoot w:val="00C45435"/>
    <w:rsid w:val="00000459"/>
    <w:rsid w:val="000015DA"/>
    <w:rsid w:val="0000348D"/>
    <w:rsid w:val="0000466A"/>
    <w:rsid w:val="00010097"/>
    <w:rsid w:val="00013B62"/>
    <w:rsid w:val="000140F0"/>
    <w:rsid w:val="000142F4"/>
    <w:rsid w:val="00022204"/>
    <w:rsid w:val="00022E8C"/>
    <w:rsid w:val="0002311A"/>
    <w:rsid w:val="00026BEA"/>
    <w:rsid w:val="000308BD"/>
    <w:rsid w:val="000351C5"/>
    <w:rsid w:val="000366C4"/>
    <w:rsid w:val="00036FC7"/>
    <w:rsid w:val="000420F2"/>
    <w:rsid w:val="0005107C"/>
    <w:rsid w:val="00053D10"/>
    <w:rsid w:val="00060BD8"/>
    <w:rsid w:val="00062DEC"/>
    <w:rsid w:val="0006495B"/>
    <w:rsid w:val="0006647F"/>
    <w:rsid w:val="0006712D"/>
    <w:rsid w:val="00070DFC"/>
    <w:rsid w:val="000711F5"/>
    <w:rsid w:val="00071B89"/>
    <w:rsid w:val="000922BA"/>
    <w:rsid w:val="0009350B"/>
    <w:rsid w:val="00094469"/>
    <w:rsid w:val="00094DC2"/>
    <w:rsid w:val="0009622D"/>
    <w:rsid w:val="000969E2"/>
    <w:rsid w:val="000B53AA"/>
    <w:rsid w:val="000B5623"/>
    <w:rsid w:val="000B74CF"/>
    <w:rsid w:val="000B7E64"/>
    <w:rsid w:val="000C0B1E"/>
    <w:rsid w:val="000C26FE"/>
    <w:rsid w:val="000C3103"/>
    <w:rsid w:val="000C7D90"/>
    <w:rsid w:val="000D2050"/>
    <w:rsid w:val="000D4CE7"/>
    <w:rsid w:val="000D50EF"/>
    <w:rsid w:val="000D5675"/>
    <w:rsid w:val="000D5F37"/>
    <w:rsid w:val="000D6D40"/>
    <w:rsid w:val="000D7ECC"/>
    <w:rsid w:val="000E0E86"/>
    <w:rsid w:val="000E5760"/>
    <w:rsid w:val="000E60C6"/>
    <w:rsid w:val="000F0C7D"/>
    <w:rsid w:val="000F635A"/>
    <w:rsid w:val="00100A17"/>
    <w:rsid w:val="00101144"/>
    <w:rsid w:val="0010537E"/>
    <w:rsid w:val="00116E99"/>
    <w:rsid w:val="00122451"/>
    <w:rsid w:val="00125FAA"/>
    <w:rsid w:val="00130D83"/>
    <w:rsid w:val="0013780C"/>
    <w:rsid w:val="00141325"/>
    <w:rsid w:val="00143719"/>
    <w:rsid w:val="00146C70"/>
    <w:rsid w:val="00153255"/>
    <w:rsid w:val="00156CA5"/>
    <w:rsid w:val="00162E31"/>
    <w:rsid w:val="00163F80"/>
    <w:rsid w:val="00167B7A"/>
    <w:rsid w:val="00167E2C"/>
    <w:rsid w:val="001741E5"/>
    <w:rsid w:val="00176ED4"/>
    <w:rsid w:val="001816B8"/>
    <w:rsid w:val="00182565"/>
    <w:rsid w:val="00183FB0"/>
    <w:rsid w:val="00184B62"/>
    <w:rsid w:val="00185137"/>
    <w:rsid w:val="00185F2A"/>
    <w:rsid w:val="0018660D"/>
    <w:rsid w:val="00187E23"/>
    <w:rsid w:val="00191EED"/>
    <w:rsid w:val="00196CDA"/>
    <w:rsid w:val="001A22CD"/>
    <w:rsid w:val="001B1159"/>
    <w:rsid w:val="001B3609"/>
    <w:rsid w:val="001B3EFA"/>
    <w:rsid w:val="001B7718"/>
    <w:rsid w:val="001C3DE5"/>
    <w:rsid w:val="001C4BC7"/>
    <w:rsid w:val="001C6522"/>
    <w:rsid w:val="001C7025"/>
    <w:rsid w:val="001D0B72"/>
    <w:rsid w:val="001D17CA"/>
    <w:rsid w:val="001D32D4"/>
    <w:rsid w:val="001D4649"/>
    <w:rsid w:val="001E5445"/>
    <w:rsid w:val="001E5D3B"/>
    <w:rsid w:val="001E7CFD"/>
    <w:rsid w:val="001F0C8D"/>
    <w:rsid w:val="00202796"/>
    <w:rsid w:val="00207132"/>
    <w:rsid w:val="00210A2A"/>
    <w:rsid w:val="00211C9D"/>
    <w:rsid w:val="002155C0"/>
    <w:rsid w:val="00215D14"/>
    <w:rsid w:val="00215ED0"/>
    <w:rsid w:val="00216FB8"/>
    <w:rsid w:val="0022182A"/>
    <w:rsid w:val="0022405A"/>
    <w:rsid w:val="0022424B"/>
    <w:rsid w:val="0023112C"/>
    <w:rsid w:val="0023177F"/>
    <w:rsid w:val="00231BE9"/>
    <w:rsid w:val="00240F76"/>
    <w:rsid w:val="00243202"/>
    <w:rsid w:val="00245FA0"/>
    <w:rsid w:val="002467C9"/>
    <w:rsid w:val="0024758D"/>
    <w:rsid w:val="00253C95"/>
    <w:rsid w:val="0025744E"/>
    <w:rsid w:val="002609FD"/>
    <w:rsid w:val="00264497"/>
    <w:rsid w:val="00264ED2"/>
    <w:rsid w:val="00265C87"/>
    <w:rsid w:val="002675FE"/>
    <w:rsid w:val="00275238"/>
    <w:rsid w:val="002764D6"/>
    <w:rsid w:val="0028233A"/>
    <w:rsid w:val="0028387F"/>
    <w:rsid w:val="00286487"/>
    <w:rsid w:val="00286ADF"/>
    <w:rsid w:val="00293403"/>
    <w:rsid w:val="002A031C"/>
    <w:rsid w:val="002B4B07"/>
    <w:rsid w:val="002B4D48"/>
    <w:rsid w:val="002B5098"/>
    <w:rsid w:val="002B6B39"/>
    <w:rsid w:val="002B73ED"/>
    <w:rsid w:val="002C10CA"/>
    <w:rsid w:val="002C1AF3"/>
    <w:rsid w:val="002C3614"/>
    <w:rsid w:val="002C39A1"/>
    <w:rsid w:val="002C7204"/>
    <w:rsid w:val="002D2EB0"/>
    <w:rsid w:val="002D3BE6"/>
    <w:rsid w:val="002E0529"/>
    <w:rsid w:val="002E0EA3"/>
    <w:rsid w:val="002E592C"/>
    <w:rsid w:val="002E6079"/>
    <w:rsid w:val="002F0090"/>
    <w:rsid w:val="002F3E27"/>
    <w:rsid w:val="002F6444"/>
    <w:rsid w:val="00300123"/>
    <w:rsid w:val="003005DE"/>
    <w:rsid w:val="00306C3C"/>
    <w:rsid w:val="003103AF"/>
    <w:rsid w:val="0031099C"/>
    <w:rsid w:val="00312702"/>
    <w:rsid w:val="00313A96"/>
    <w:rsid w:val="00317CC3"/>
    <w:rsid w:val="00320CC2"/>
    <w:rsid w:val="00325E1F"/>
    <w:rsid w:val="00341EDB"/>
    <w:rsid w:val="003469DA"/>
    <w:rsid w:val="00353B43"/>
    <w:rsid w:val="00357259"/>
    <w:rsid w:val="003623C0"/>
    <w:rsid w:val="00362F8E"/>
    <w:rsid w:val="00371EFB"/>
    <w:rsid w:val="00372823"/>
    <w:rsid w:val="00373FA5"/>
    <w:rsid w:val="00374F34"/>
    <w:rsid w:val="00383E33"/>
    <w:rsid w:val="003863D4"/>
    <w:rsid w:val="00386521"/>
    <w:rsid w:val="00390076"/>
    <w:rsid w:val="00390267"/>
    <w:rsid w:val="00392FAF"/>
    <w:rsid w:val="003932E7"/>
    <w:rsid w:val="00393C33"/>
    <w:rsid w:val="00395844"/>
    <w:rsid w:val="00397218"/>
    <w:rsid w:val="003A04FE"/>
    <w:rsid w:val="003A3E5C"/>
    <w:rsid w:val="003A3EB0"/>
    <w:rsid w:val="003A784D"/>
    <w:rsid w:val="003B14FA"/>
    <w:rsid w:val="003B2408"/>
    <w:rsid w:val="003B2CC7"/>
    <w:rsid w:val="003C283C"/>
    <w:rsid w:val="003C331E"/>
    <w:rsid w:val="003C4A46"/>
    <w:rsid w:val="003C7CFE"/>
    <w:rsid w:val="003E1500"/>
    <w:rsid w:val="003E22E6"/>
    <w:rsid w:val="003F1325"/>
    <w:rsid w:val="003F190F"/>
    <w:rsid w:val="003F3C4A"/>
    <w:rsid w:val="003F4D05"/>
    <w:rsid w:val="003F52F9"/>
    <w:rsid w:val="00400A29"/>
    <w:rsid w:val="00400C54"/>
    <w:rsid w:val="004069EC"/>
    <w:rsid w:val="00407F41"/>
    <w:rsid w:val="00412138"/>
    <w:rsid w:val="00412E26"/>
    <w:rsid w:val="0041516C"/>
    <w:rsid w:val="00417443"/>
    <w:rsid w:val="00422F28"/>
    <w:rsid w:val="00435AE2"/>
    <w:rsid w:val="004369D4"/>
    <w:rsid w:val="00436A54"/>
    <w:rsid w:val="00436A7A"/>
    <w:rsid w:val="00441B54"/>
    <w:rsid w:val="0044222B"/>
    <w:rsid w:val="00442FBF"/>
    <w:rsid w:val="00443927"/>
    <w:rsid w:val="00445E2F"/>
    <w:rsid w:val="00447423"/>
    <w:rsid w:val="00455626"/>
    <w:rsid w:val="00456500"/>
    <w:rsid w:val="00457DA7"/>
    <w:rsid w:val="00465E0E"/>
    <w:rsid w:val="00465EC6"/>
    <w:rsid w:val="0046763D"/>
    <w:rsid w:val="00472FDE"/>
    <w:rsid w:val="0047427D"/>
    <w:rsid w:val="00476A11"/>
    <w:rsid w:val="004819C3"/>
    <w:rsid w:val="004829A6"/>
    <w:rsid w:val="00483C48"/>
    <w:rsid w:val="00484616"/>
    <w:rsid w:val="00485336"/>
    <w:rsid w:val="00486EE0"/>
    <w:rsid w:val="00487344"/>
    <w:rsid w:val="004906B2"/>
    <w:rsid w:val="00490AA5"/>
    <w:rsid w:val="00490D1F"/>
    <w:rsid w:val="0049459E"/>
    <w:rsid w:val="00495666"/>
    <w:rsid w:val="004A46A2"/>
    <w:rsid w:val="004A48E2"/>
    <w:rsid w:val="004A7FD8"/>
    <w:rsid w:val="004B45A0"/>
    <w:rsid w:val="004B48D5"/>
    <w:rsid w:val="004C1D2F"/>
    <w:rsid w:val="004C1D80"/>
    <w:rsid w:val="004C20CB"/>
    <w:rsid w:val="004C35E6"/>
    <w:rsid w:val="004E1F0F"/>
    <w:rsid w:val="004E34F6"/>
    <w:rsid w:val="004E3FEA"/>
    <w:rsid w:val="004E4096"/>
    <w:rsid w:val="004E5D06"/>
    <w:rsid w:val="004E72B8"/>
    <w:rsid w:val="004F13AC"/>
    <w:rsid w:val="0051125F"/>
    <w:rsid w:val="00515152"/>
    <w:rsid w:val="00516FF2"/>
    <w:rsid w:val="00532F9C"/>
    <w:rsid w:val="0053328F"/>
    <w:rsid w:val="00533824"/>
    <w:rsid w:val="00534AD0"/>
    <w:rsid w:val="00536EE6"/>
    <w:rsid w:val="0054225C"/>
    <w:rsid w:val="00543234"/>
    <w:rsid w:val="00543F71"/>
    <w:rsid w:val="00547155"/>
    <w:rsid w:val="005476A3"/>
    <w:rsid w:val="00556866"/>
    <w:rsid w:val="0055747C"/>
    <w:rsid w:val="00563137"/>
    <w:rsid w:val="005673B3"/>
    <w:rsid w:val="00567922"/>
    <w:rsid w:val="00572C23"/>
    <w:rsid w:val="00574D19"/>
    <w:rsid w:val="00575C90"/>
    <w:rsid w:val="00580825"/>
    <w:rsid w:val="00580C95"/>
    <w:rsid w:val="005900AF"/>
    <w:rsid w:val="005971F7"/>
    <w:rsid w:val="005A1138"/>
    <w:rsid w:val="005A16E7"/>
    <w:rsid w:val="005A7940"/>
    <w:rsid w:val="005B315D"/>
    <w:rsid w:val="005C1F69"/>
    <w:rsid w:val="005C566B"/>
    <w:rsid w:val="005C5FE4"/>
    <w:rsid w:val="005D14BE"/>
    <w:rsid w:val="005D3A5A"/>
    <w:rsid w:val="005D44C5"/>
    <w:rsid w:val="005D5E86"/>
    <w:rsid w:val="005E25B0"/>
    <w:rsid w:val="005E2D69"/>
    <w:rsid w:val="005E3E0E"/>
    <w:rsid w:val="005E4908"/>
    <w:rsid w:val="005E7C0C"/>
    <w:rsid w:val="005F1D9A"/>
    <w:rsid w:val="005F2237"/>
    <w:rsid w:val="005F65C6"/>
    <w:rsid w:val="00601A5F"/>
    <w:rsid w:val="00602321"/>
    <w:rsid w:val="006071CA"/>
    <w:rsid w:val="00607D36"/>
    <w:rsid w:val="006138D7"/>
    <w:rsid w:val="006169F6"/>
    <w:rsid w:val="006205E7"/>
    <w:rsid w:val="0062183C"/>
    <w:rsid w:val="00630F31"/>
    <w:rsid w:val="006324DD"/>
    <w:rsid w:val="00633573"/>
    <w:rsid w:val="00633F02"/>
    <w:rsid w:val="006343D8"/>
    <w:rsid w:val="00635563"/>
    <w:rsid w:val="00636181"/>
    <w:rsid w:val="00641761"/>
    <w:rsid w:val="00642FB1"/>
    <w:rsid w:val="0064401F"/>
    <w:rsid w:val="006550AB"/>
    <w:rsid w:val="006603BE"/>
    <w:rsid w:val="00664605"/>
    <w:rsid w:val="006661BA"/>
    <w:rsid w:val="00671C38"/>
    <w:rsid w:val="00683D25"/>
    <w:rsid w:val="006940B5"/>
    <w:rsid w:val="006A54A3"/>
    <w:rsid w:val="006A6466"/>
    <w:rsid w:val="006B50F7"/>
    <w:rsid w:val="006B558C"/>
    <w:rsid w:val="006B6E55"/>
    <w:rsid w:val="006D1B04"/>
    <w:rsid w:val="006D35C5"/>
    <w:rsid w:val="006D7503"/>
    <w:rsid w:val="006E1B95"/>
    <w:rsid w:val="006E2A1D"/>
    <w:rsid w:val="006F5DA2"/>
    <w:rsid w:val="006F77A7"/>
    <w:rsid w:val="006F7CB4"/>
    <w:rsid w:val="00700B6A"/>
    <w:rsid w:val="0070275B"/>
    <w:rsid w:val="00702DB1"/>
    <w:rsid w:val="007069E7"/>
    <w:rsid w:val="00706D95"/>
    <w:rsid w:val="00707EAA"/>
    <w:rsid w:val="00716DA3"/>
    <w:rsid w:val="00722A03"/>
    <w:rsid w:val="0072321C"/>
    <w:rsid w:val="00724C29"/>
    <w:rsid w:val="0072677B"/>
    <w:rsid w:val="0072697B"/>
    <w:rsid w:val="00726F93"/>
    <w:rsid w:val="007327F9"/>
    <w:rsid w:val="00732B49"/>
    <w:rsid w:val="00734297"/>
    <w:rsid w:val="00755930"/>
    <w:rsid w:val="00755C57"/>
    <w:rsid w:val="007578F0"/>
    <w:rsid w:val="00761656"/>
    <w:rsid w:val="00763483"/>
    <w:rsid w:val="00763B4E"/>
    <w:rsid w:val="00764079"/>
    <w:rsid w:val="007640B3"/>
    <w:rsid w:val="0076553C"/>
    <w:rsid w:val="007726C8"/>
    <w:rsid w:val="007803E7"/>
    <w:rsid w:val="00783369"/>
    <w:rsid w:val="0078749C"/>
    <w:rsid w:val="007919C3"/>
    <w:rsid w:val="00794FBD"/>
    <w:rsid w:val="007A3CF9"/>
    <w:rsid w:val="007A40A0"/>
    <w:rsid w:val="007A5492"/>
    <w:rsid w:val="007A5CB4"/>
    <w:rsid w:val="007A608F"/>
    <w:rsid w:val="007B0CBD"/>
    <w:rsid w:val="007B4558"/>
    <w:rsid w:val="007C07A8"/>
    <w:rsid w:val="007C1D24"/>
    <w:rsid w:val="007C7104"/>
    <w:rsid w:val="007D6FDE"/>
    <w:rsid w:val="007E1F16"/>
    <w:rsid w:val="007E3FC0"/>
    <w:rsid w:val="007E3FEF"/>
    <w:rsid w:val="007F110B"/>
    <w:rsid w:val="008021C6"/>
    <w:rsid w:val="00810965"/>
    <w:rsid w:val="0081383A"/>
    <w:rsid w:val="00822DF5"/>
    <w:rsid w:val="00822E37"/>
    <w:rsid w:val="00823ACF"/>
    <w:rsid w:val="00825313"/>
    <w:rsid w:val="00825359"/>
    <w:rsid w:val="0082732D"/>
    <w:rsid w:val="008310E3"/>
    <w:rsid w:val="008345A0"/>
    <w:rsid w:val="00835C9B"/>
    <w:rsid w:val="008440CC"/>
    <w:rsid w:val="00845A39"/>
    <w:rsid w:val="00846B24"/>
    <w:rsid w:val="00847A1F"/>
    <w:rsid w:val="008505B6"/>
    <w:rsid w:val="0085781D"/>
    <w:rsid w:val="00857EF3"/>
    <w:rsid w:val="008604EE"/>
    <w:rsid w:val="0086676A"/>
    <w:rsid w:val="00872F59"/>
    <w:rsid w:val="0087610D"/>
    <w:rsid w:val="0087638D"/>
    <w:rsid w:val="008765A3"/>
    <w:rsid w:val="00876943"/>
    <w:rsid w:val="00880009"/>
    <w:rsid w:val="008801F1"/>
    <w:rsid w:val="00881CF4"/>
    <w:rsid w:val="00884A7E"/>
    <w:rsid w:val="00887A59"/>
    <w:rsid w:val="0089200F"/>
    <w:rsid w:val="00893E51"/>
    <w:rsid w:val="00897640"/>
    <w:rsid w:val="008A02A2"/>
    <w:rsid w:val="008A08BF"/>
    <w:rsid w:val="008A2856"/>
    <w:rsid w:val="008B0835"/>
    <w:rsid w:val="008B6F32"/>
    <w:rsid w:val="008C0489"/>
    <w:rsid w:val="008C0E77"/>
    <w:rsid w:val="008C1C0C"/>
    <w:rsid w:val="008C5203"/>
    <w:rsid w:val="008C6EFC"/>
    <w:rsid w:val="008C77F3"/>
    <w:rsid w:val="008D2045"/>
    <w:rsid w:val="008D546E"/>
    <w:rsid w:val="008D6BF9"/>
    <w:rsid w:val="008E03FE"/>
    <w:rsid w:val="008E2E84"/>
    <w:rsid w:val="008E6418"/>
    <w:rsid w:val="008F021F"/>
    <w:rsid w:val="008F3CDB"/>
    <w:rsid w:val="009010B8"/>
    <w:rsid w:val="009036B0"/>
    <w:rsid w:val="00905809"/>
    <w:rsid w:val="009067AF"/>
    <w:rsid w:val="00910D65"/>
    <w:rsid w:val="009135C4"/>
    <w:rsid w:val="00914B39"/>
    <w:rsid w:val="00914FE8"/>
    <w:rsid w:val="00923409"/>
    <w:rsid w:val="009241A3"/>
    <w:rsid w:val="00941D77"/>
    <w:rsid w:val="00944090"/>
    <w:rsid w:val="00951B5E"/>
    <w:rsid w:val="00952E26"/>
    <w:rsid w:val="00953B81"/>
    <w:rsid w:val="0095567F"/>
    <w:rsid w:val="00955EEF"/>
    <w:rsid w:val="00957DDF"/>
    <w:rsid w:val="00963EFF"/>
    <w:rsid w:val="009670C6"/>
    <w:rsid w:val="00967F93"/>
    <w:rsid w:val="009726FF"/>
    <w:rsid w:val="00972A67"/>
    <w:rsid w:val="0097389A"/>
    <w:rsid w:val="009757EE"/>
    <w:rsid w:val="00975E38"/>
    <w:rsid w:val="009835EC"/>
    <w:rsid w:val="00985408"/>
    <w:rsid w:val="00987F7B"/>
    <w:rsid w:val="00990185"/>
    <w:rsid w:val="00990556"/>
    <w:rsid w:val="00993B91"/>
    <w:rsid w:val="009A4DA8"/>
    <w:rsid w:val="009B2134"/>
    <w:rsid w:val="009B45AC"/>
    <w:rsid w:val="009B4AEA"/>
    <w:rsid w:val="009B693B"/>
    <w:rsid w:val="009B6D6E"/>
    <w:rsid w:val="009B791E"/>
    <w:rsid w:val="009C0A36"/>
    <w:rsid w:val="009C1166"/>
    <w:rsid w:val="009C559C"/>
    <w:rsid w:val="009C73CD"/>
    <w:rsid w:val="009D2383"/>
    <w:rsid w:val="009D2C9E"/>
    <w:rsid w:val="009D2DA1"/>
    <w:rsid w:val="009D369B"/>
    <w:rsid w:val="009D5724"/>
    <w:rsid w:val="009D750A"/>
    <w:rsid w:val="009E013A"/>
    <w:rsid w:val="009E1EC6"/>
    <w:rsid w:val="009E3189"/>
    <w:rsid w:val="009E53F9"/>
    <w:rsid w:val="009E6B4D"/>
    <w:rsid w:val="009E7946"/>
    <w:rsid w:val="00A07CAA"/>
    <w:rsid w:val="00A10447"/>
    <w:rsid w:val="00A1571B"/>
    <w:rsid w:val="00A242B3"/>
    <w:rsid w:val="00A261BB"/>
    <w:rsid w:val="00A270EF"/>
    <w:rsid w:val="00A27215"/>
    <w:rsid w:val="00A31D21"/>
    <w:rsid w:val="00A33A8A"/>
    <w:rsid w:val="00A33EBC"/>
    <w:rsid w:val="00A4041C"/>
    <w:rsid w:val="00A45514"/>
    <w:rsid w:val="00A46085"/>
    <w:rsid w:val="00A54AE1"/>
    <w:rsid w:val="00A57CCE"/>
    <w:rsid w:val="00A63B4F"/>
    <w:rsid w:val="00A64775"/>
    <w:rsid w:val="00A73D1F"/>
    <w:rsid w:val="00A82C5A"/>
    <w:rsid w:val="00A84100"/>
    <w:rsid w:val="00A874BA"/>
    <w:rsid w:val="00A93B8B"/>
    <w:rsid w:val="00AA1B60"/>
    <w:rsid w:val="00AA32B1"/>
    <w:rsid w:val="00AA55CF"/>
    <w:rsid w:val="00AA66B5"/>
    <w:rsid w:val="00AB4681"/>
    <w:rsid w:val="00AB7850"/>
    <w:rsid w:val="00AB7CB7"/>
    <w:rsid w:val="00AC3A72"/>
    <w:rsid w:val="00AC5368"/>
    <w:rsid w:val="00AC743D"/>
    <w:rsid w:val="00AD1C01"/>
    <w:rsid w:val="00AD4A04"/>
    <w:rsid w:val="00AD6AC8"/>
    <w:rsid w:val="00AE2598"/>
    <w:rsid w:val="00AE42E5"/>
    <w:rsid w:val="00AE70EF"/>
    <w:rsid w:val="00AE7B59"/>
    <w:rsid w:val="00AF3558"/>
    <w:rsid w:val="00B01449"/>
    <w:rsid w:val="00B04EFA"/>
    <w:rsid w:val="00B061C3"/>
    <w:rsid w:val="00B10CD0"/>
    <w:rsid w:val="00B14018"/>
    <w:rsid w:val="00B14FA0"/>
    <w:rsid w:val="00B16D33"/>
    <w:rsid w:val="00B20805"/>
    <w:rsid w:val="00B21A47"/>
    <w:rsid w:val="00B23686"/>
    <w:rsid w:val="00B25B53"/>
    <w:rsid w:val="00B35C00"/>
    <w:rsid w:val="00B45638"/>
    <w:rsid w:val="00B456EA"/>
    <w:rsid w:val="00B47136"/>
    <w:rsid w:val="00B5499F"/>
    <w:rsid w:val="00B60364"/>
    <w:rsid w:val="00B61BAD"/>
    <w:rsid w:val="00B61F01"/>
    <w:rsid w:val="00B62FAE"/>
    <w:rsid w:val="00B65B57"/>
    <w:rsid w:val="00B66366"/>
    <w:rsid w:val="00B706A1"/>
    <w:rsid w:val="00B720DC"/>
    <w:rsid w:val="00B7290E"/>
    <w:rsid w:val="00B779BB"/>
    <w:rsid w:val="00B94C30"/>
    <w:rsid w:val="00B95111"/>
    <w:rsid w:val="00BA020B"/>
    <w:rsid w:val="00BA557A"/>
    <w:rsid w:val="00BC174A"/>
    <w:rsid w:val="00BC204A"/>
    <w:rsid w:val="00BC3F1F"/>
    <w:rsid w:val="00BD0F82"/>
    <w:rsid w:val="00BD2607"/>
    <w:rsid w:val="00BE5A26"/>
    <w:rsid w:val="00BF39BA"/>
    <w:rsid w:val="00BF3F74"/>
    <w:rsid w:val="00BF47E7"/>
    <w:rsid w:val="00C12DDE"/>
    <w:rsid w:val="00C23F67"/>
    <w:rsid w:val="00C24FA0"/>
    <w:rsid w:val="00C276A6"/>
    <w:rsid w:val="00C30021"/>
    <w:rsid w:val="00C31143"/>
    <w:rsid w:val="00C3273B"/>
    <w:rsid w:val="00C3536D"/>
    <w:rsid w:val="00C41289"/>
    <w:rsid w:val="00C41CD7"/>
    <w:rsid w:val="00C45435"/>
    <w:rsid w:val="00C5182A"/>
    <w:rsid w:val="00C54DF4"/>
    <w:rsid w:val="00C604F3"/>
    <w:rsid w:val="00C6424C"/>
    <w:rsid w:val="00C658BC"/>
    <w:rsid w:val="00C66869"/>
    <w:rsid w:val="00C702AB"/>
    <w:rsid w:val="00C71281"/>
    <w:rsid w:val="00C72CDA"/>
    <w:rsid w:val="00C7509E"/>
    <w:rsid w:val="00C856BB"/>
    <w:rsid w:val="00C85DE1"/>
    <w:rsid w:val="00C91A1E"/>
    <w:rsid w:val="00C9227D"/>
    <w:rsid w:val="00C96638"/>
    <w:rsid w:val="00C97AF2"/>
    <w:rsid w:val="00CA01D0"/>
    <w:rsid w:val="00CA039F"/>
    <w:rsid w:val="00CA1E12"/>
    <w:rsid w:val="00CA3FA1"/>
    <w:rsid w:val="00CA7731"/>
    <w:rsid w:val="00CB0A08"/>
    <w:rsid w:val="00CB0D74"/>
    <w:rsid w:val="00CB1590"/>
    <w:rsid w:val="00CB5054"/>
    <w:rsid w:val="00CB565B"/>
    <w:rsid w:val="00CB6184"/>
    <w:rsid w:val="00CB620B"/>
    <w:rsid w:val="00CB7506"/>
    <w:rsid w:val="00CC1679"/>
    <w:rsid w:val="00CC3B3F"/>
    <w:rsid w:val="00CC3DDB"/>
    <w:rsid w:val="00CC4E53"/>
    <w:rsid w:val="00CC5CC6"/>
    <w:rsid w:val="00CC68A2"/>
    <w:rsid w:val="00CC7E45"/>
    <w:rsid w:val="00CD0DE9"/>
    <w:rsid w:val="00CD0FF2"/>
    <w:rsid w:val="00CD1640"/>
    <w:rsid w:val="00CD1A32"/>
    <w:rsid w:val="00CD1F69"/>
    <w:rsid w:val="00CD3849"/>
    <w:rsid w:val="00CD5B45"/>
    <w:rsid w:val="00CD5DCF"/>
    <w:rsid w:val="00CF3B77"/>
    <w:rsid w:val="00CF5F6C"/>
    <w:rsid w:val="00D005CF"/>
    <w:rsid w:val="00D03BF0"/>
    <w:rsid w:val="00D07621"/>
    <w:rsid w:val="00D07930"/>
    <w:rsid w:val="00D07CFC"/>
    <w:rsid w:val="00D1538D"/>
    <w:rsid w:val="00D158CD"/>
    <w:rsid w:val="00D223B9"/>
    <w:rsid w:val="00D24EEE"/>
    <w:rsid w:val="00D250D2"/>
    <w:rsid w:val="00D256C1"/>
    <w:rsid w:val="00D25816"/>
    <w:rsid w:val="00D30AE0"/>
    <w:rsid w:val="00D31B62"/>
    <w:rsid w:val="00D33BE2"/>
    <w:rsid w:val="00D36A1C"/>
    <w:rsid w:val="00D37E3E"/>
    <w:rsid w:val="00D401C5"/>
    <w:rsid w:val="00D41641"/>
    <w:rsid w:val="00D54DBA"/>
    <w:rsid w:val="00D567A0"/>
    <w:rsid w:val="00D572F0"/>
    <w:rsid w:val="00D6149D"/>
    <w:rsid w:val="00D660D1"/>
    <w:rsid w:val="00D70BCC"/>
    <w:rsid w:val="00D74A8F"/>
    <w:rsid w:val="00D759D4"/>
    <w:rsid w:val="00D77886"/>
    <w:rsid w:val="00D81A4D"/>
    <w:rsid w:val="00D82960"/>
    <w:rsid w:val="00D92012"/>
    <w:rsid w:val="00D9490F"/>
    <w:rsid w:val="00D95432"/>
    <w:rsid w:val="00DA5699"/>
    <w:rsid w:val="00DA6C3E"/>
    <w:rsid w:val="00DB3F81"/>
    <w:rsid w:val="00DC0BC2"/>
    <w:rsid w:val="00DC3A38"/>
    <w:rsid w:val="00DD1372"/>
    <w:rsid w:val="00DD4818"/>
    <w:rsid w:val="00DE6315"/>
    <w:rsid w:val="00DE7455"/>
    <w:rsid w:val="00DF2D06"/>
    <w:rsid w:val="00DF34CE"/>
    <w:rsid w:val="00DF39B6"/>
    <w:rsid w:val="00DF6D57"/>
    <w:rsid w:val="00DF7D3A"/>
    <w:rsid w:val="00E064A3"/>
    <w:rsid w:val="00E0692D"/>
    <w:rsid w:val="00E108CC"/>
    <w:rsid w:val="00E14344"/>
    <w:rsid w:val="00E16FBF"/>
    <w:rsid w:val="00E17AA3"/>
    <w:rsid w:val="00E20027"/>
    <w:rsid w:val="00E25440"/>
    <w:rsid w:val="00E25AE8"/>
    <w:rsid w:val="00E310AF"/>
    <w:rsid w:val="00E323AA"/>
    <w:rsid w:val="00E418FE"/>
    <w:rsid w:val="00E42548"/>
    <w:rsid w:val="00E43CA7"/>
    <w:rsid w:val="00E463C7"/>
    <w:rsid w:val="00E46C77"/>
    <w:rsid w:val="00E56FEF"/>
    <w:rsid w:val="00E57829"/>
    <w:rsid w:val="00E6410D"/>
    <w:rsid w:val="00E67ADC"/>
    <w:rsid w:val="00E90912"/>
    <w:rsid w:val="00E9496A"/>
    <w:rsid w:val="00EA108E"/>
    <w:rsid w:val="00EA2AEF"/>
    <w:rsid w:val="00EA7B97"/>
    <w:rsid w:val="00EB102C"/>
    <w:rsid w:val="00EB43FF"/>
    <w:rsid w:val="00ED697F"/>
    <w:rsid w:val="00EF2451"/>
    <w:rsid w:val="00EF5237"/>
    <w:rsid w:val="00F03DF4"/>
    <w:rsid w:val="00F129AC"/>
    <w:rsid w:val="00F136C8"/>
    <w:rsid w:val="00F15D7B"/>
    <w:rsid w:val="00F20BF0"/>
    <w:rsid w:val="00F22EC1"/>
    <w:rsid w:val="00F308A1"/>
    <w:rsid w:val="00F32426"/>
    <w:rsid w:val="00F33922"/>
    <w:rsid w:val="00F33C4C"/>
    <w:rsid w:val="00F3407A"/>
    <w:rsid w:val="00F40E56"/>
    <w:rsid w:val="00F4114E"/>
    <w:rsid w:val="00F4232E"/>
    <w:rsid w:val="00F45DEC"/>
    <w:rsid w:val="00F46354"/>
    <w:rsid w:val="00F4680A"/>
    <w:rsid w:val="00F468F7"/>
    <w:rsid w:val="00F50E63"/>
    <w:rsid w:val="00F54842"/>
    <w:rsid w:val="00F54F03"/>
    <w:rsid w:val="00F55E7D"/>
    <w:rsid w:val="00F602E1"/>
    <w:rsid w:val="00F60F22"/>
    <w:rsid w:val="00F613B6"/>
    <w:rsid w:val="00F6467C"/>
    <w:rsid w:val="00F6728A"/>
    <w:rsid w:val="00F7013A"/>
    <w:rsid w:val="00F81F9C"/>
    <w:rsid w:val="00F82CD1"/>
    <w:rsid w:val="00F8551F"/>
    <w:rsid w:val="00F94876"/>
    <w:rsid w:val="00F949E9"/>
    <w:rsid w:val="00FA0D93"/>
    <w:rsid w:val="00FA5C6D"/>
    <w:rsid w:val="00FA5DF0"/>
    <w:rsid w:val="00FB0865"/>
    <w:rsid w:val="00FB296E"/>
    <w:rsid w:val="00FB6BBC"/>
    <w:rsid w:val="00FC1A8A"/>
    <w:rsid w:val="00FC67CA"/>
    <w:rsid w:val="00FC77E2"/>
    <w:rsid w:val="00FD0950"/>
    <w:rsid w:val="00FD1167"/>
    <w:rsid w:val="00FD3BF4"/>
    <w:rsid w:val="00FD458F"/>
    <w:rsid w:val="00FD5A2E"/>
    <w:rsid w:val="00FD5CD0"/>
    <w:rsid w:val="00FD6849"/>
    <w:rsid w:val="00FE06F2"/>
    <w:rsid w:val="00FE0936"/>
    <w:rsid w:val="00FE27CE"/>
    <w:rsid w:val="00FE2D97"/>
    <w:rsid w:val="00FE3614"/>
    <w:rsid w:val="00FE44B1"/>
    <w:rsid w:val="00FE65CA"/>
    <w:rsid w:val="00FF103F"/>
    <w:rsid w:val="00FF223A"/>
    <w:rsid w:val="00FF67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E32345"/>
  <w15:chartTrackingRefBased/>
  <w15:docId w15:val="{7A06E06F-7765-4BCC-8BC0-AEAAEF6D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63D"/>
    <w:pPr>
      <w:spacing w:before="120" w:after="120" w:line="276" w:lineRule="auto"/>
    </w:pPr>
    <w:rPr>
      <w:rFonts w:ascii="Calibri" w:eastAsia="Times New Roman" w:hAnsi="Calibri" w:cs="Times New Roman"/>
      <w:lang w:val="en-GB" w:bidi="en-US"/>
    </w:rPr>
  </w:style>
  <w:style w:type="paragraph" w:styleId="Heading1">
    <w:name w:val="heading 1"/>
    <w:basedOn w:val="Normal"/>
    <w:next w:val="Normal"/>
    <w:link w:val="Heading1Char"/>
    <w:uiPriority w:val="9"/>
    <w:qFormat/>
    <w:rsid w:val="00C41CD7"/>
    <w:pPr>
      <w:keepNext/>
      <w:keepLines/>
      <w:numPr>
        <w:numId w:val="12"/>
      </w:numPr>
      <w:spacing w:before="240"/>
      <w:outlineLvl w:val="0"/>
    </w:pPr>
    <w:rPr>
      <w:rFonts w:ascii="Cambria" w:hAnsi="Cambria"/>
      <w:b/>
      <w:bCs/>
      <w:color w:val="365F91"/>
      <w:sz w:val="28"/>
      <w:szCs w:val="28"/>
    </w:rPr>
  </w:style>
  <w:style w:type="paragraph" w:styleId="Heading2">
    <w:name w:val="heading 2"/>
    <w:basedOn w:val="Heading1"/>
    <w:next w:val="Normal"/>
    <w:link w:val="Heading2Char"/>
    <w:uiPriority w:val="9"/>
    <w:qFormat/>
    <w:rsid w:val="00C41CD7"/>
    <w:pPr>
      <w:numPr>
        <w:ilvl w:val="1"/>
      </w:numPr>
      <w:spacing w:before="360"/>
      <w:ind w:left="547" w:hanging="547"/>
      <w:outlineLvl w:val="1"/>
    </w:pPr>
    <w:rPr>
      <w:color w:val="1F497D"/>
      <w:sz w:val="24"/>
    </w:rPr>
  </w:style>
  <w:style w:type="paragraph" w:styleId="Heading3">
    <w:name w:val="heading 3"/>
    <w:basedOn w:val="Heading2"/>
    <w:next w:val="Normal"/>
    <w:link w:val="Heading3Char"/>
    <w:uiPriority w:val="9"/>
    <w:qFormat/>
    <w:rsid w:val="00C41CD7"/>
    <w:pPr>
      <w:numPr>
        <w:ilvl w:val="2"/>
      </w:numPr>
      <w:spacing w:before="240"/>
      <w:ind w:left="547" w:hanging="547"/>
      <w:outlineLvl w:val="2"/>
    </w:pPr>
  </w:style>
  <w:style w:type="paragraph" w:styleId="Heading4">
    <w:name w:val="heading 4"/>
    <w:basedOn w:val="Normal"/>
    <w:next w:val="Normal"/>
    <w:link w:val="Heading4Char"/>
    <w:uiPriority w:val="9"/>
    <w:semiHidden/>
    <w:unhideWhenUsed/>
    <w:qFormat/>
    <w:rsid w:val="005E3E0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543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ullets,WB Para,Lapis Bulleted List,Dot pt,F5 List Paragraph,No Spacing1,List Paragraph Char Char Char,Indicator Text,Numbered Para 1,Bullet 1,List Paragraph12,Bullet Points,MAIN CONTENT,L,List Paragraph (numbered (a)),Bul,Ha,CV text,3,B"/>
    <w:basedOn w:val="Normal"/>
    <w:link w:val="ListParagraphChar"/>
    <w:uiPriority w:val="34"/>
    <w:qFormat/>
    <w:rsid w:val="00C45435"/>
    <w:pPr>
      <w:ind w:left="720"/>
      <w:contextualSpacing/>
    </w:pPr>
  </w:style>
  <w:style w:type="character" w:customStyle="1" w:styleId="ListParagraphChar">
    <w:name w:val="List Paragraph Char"/>
    <w:aliases w:val="Bullets Char,WB Para Char,Lapis Bulleted List Char,Dot pt Char,F5 List Paragraph Char,No Spacing1 Char,List Paragraph Char Char Char Char,Indicator Text Char,Numbered Para 1 Char,Bullet 1 Char,List Paragraph12 Char,Bullet Points Char"/>
    <w:basedOn w:val="DefaultParagraphFont"/>
    <w:link w:val="ListParagraph"/>
    <w:uiPriority w:val="34"/>
    <w:qFormat/>
    <w:locked/>
    <w:rsid w:val="00FD3BF4"/>
  </w:style>
  <w:style w:type="paragraph" w:styleId="FootnoteText">
    <w:name w:val="footnote text"/>
    <w:aliases w:val="Geneva 9,Font: Geneva 9,Boston 10,f,otnote Text,Footnote,ft,Times Roman 9,Footnote Text Char1 Char,Footnote Text Char Char Char,Footnote Text Char1 Char Char Char,Footnote Text Char Char Char Char Char,Footnote Text Char1 Char1 Char,12pt"/>
    <w:basedOn w:val="Normal"/>
    <w:link w:val="FootnoteTextChar"/>
    <w:uiPriority w:val="99"/>
    <w:unhideWhenUsed/>
    <w:qFormat/>
    <w:rsid w:val="00167B7A"/>
    <w:pPr>
      <w:spacing w:line="268" w:lineRule="auto"/>
      <w:jc w:val="both"/>
    </w:pPr>
    <w:rPr>
      <w:szCs w:val="20"/>
    </w:rPr>
  </w:style>
  <w:style w:type="character" w:customStyle="1" w:styleId="FootnoteTextChar">
    <w:name w:val="Footnote Text Char"/>
    <w:aliases w:val="Geneva 9 Char,Font: Geneva 9 Char,Boston 10 Char,f Char,otnote Text Char,Footnote Char,ft Char,Times Roman 9 Char,Footnote Text Char1 Char Char,Footnote Text Char Char Char Char,Footnote Text Char1 Char Char Char Char,12pt Char"/>
    <w:basedOn w:val="DefaultParagraphFont"/>
    <w:link w:val="FootnoteText"/>
    <w:uiPriority w:val="99"/>
    <w:qFormat/>
    <w:rsid w:val="00167B7A"/>
    <w:rPr>
      <w:rFonts w:ascii="Calibri" w:hAnsi="Calibri"/>
      <w:szCs w:val="20"/>
    </w:rPr>
  </w:style>
  <w:style w:type="character" w:styleId="FootnoteReference">
    <w:name w:val="footnote reference"/>
    <w:aliases w:val="ftref,16 Point,Superscript 6 Point,Carattere Char1,Carattere Char Char Carattere Carattere Char Char,fr,BVI fnr Char Char Char Char,ftref Char Char Char Char,16 Point Char Char Char Char,Superscript 6 Point Char Char Char Char,4_,Ref"/>
    <w:basedOn w:val="DefaultParagraphFont"/>
    <w:link w:val="BVIfnrCharCharChar"/>
    <w:uiPriority w:val="99"/>
    <w:unhideWhenUsed/>
    <w:qFormat/>
    <w:rsid w:val="00167B7A"/>
    <w:rPr>
      <w:vertAlign w:val="superscript"/>
    </w:rPr>
  </w:style>
  <w:style w:type="paragraph" w:customStyle="1" w:styleId="BVIfnrCharCharChar">
    <w:name w:val="BVI fnr Char Char Char"/>
    <w:aliases w:val="ftref Char Char Char,16 Point Char Char Char,Superscript 6 Point Char Char Char,BVI fnr Car Car Char Char Char,BVI fnr Car Char Char Char,BVI fnr Car Car Car Car Char Char Char Char Char,BVI fnr Car Car,BVI fnr Car, BVI fnr"/>
    <w:basedOn w:val="Normal"/>
    <w:link w:val="FootnoteReference"/>
    <w:uiPriority w:val="99"/>
    <w:qFormat/>
    <w:rsid w:val="00167B7A"/>
    <w:pPr>
      <w:spacing w:line="240" w:lineRule="exact"/>
      <w:jc w:val="both"/>
    </w:pPr>
    <w:rPr>
      <w:vertAlign w:val="superscript"/>
    </w:rPr>
  </w:style>
  <w:style w:type="paragraph" w:customStyle="1" w:styleId="Conclusions">
    <w:name w:val="Conclusions"/>
    <w:basedOn w:val="ListParagraph"/>
    <w:next w:val="Normal"/>
    <w:qFormat/>
    <w:rsid w:val="00CC1679"/>
    <w:pPr>
      <w:numPr>
        <w:numId w:val="4"/>
      </w:numPr>
      <w:spacing w:line="257" w:lineRule="auto"/>
      <w:jc w:val="both"/>
      <w:outlineLvl w:val="2"/>
    </w:pPr>
    <w:rPr>
      <w:rFonts w:eastAsiaTheme="minorEastAsia"/>
      <w:b/>
      <w:bCs/>
      <w:lang w:eastAsia="ja-JP"/>
    </w:rPr>
  </w:style>
  <w:style w:type="character" w:customStyle="1" w:styleId="Heading4Char">
    <w:name w:val="Heading 4 Char"/>
    <w:basedOn w:val="DefaultParagraphFont"/>
    <w:link w:val="Heading4"/>
    <w:uiPriority w:val="9"/>
    <w:semiHidden/>
    <w:rsid w:val="005E3E0E"/>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563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137"/>
  </w:style>
  <w:style w:type="paragraph" w:styleId="Footer">
    <w:name w:val="footer"/>
    <w:basedOn w:val="Normal"/>
    <w:link w:val="FooterChar"/>
    <w:uiPriority w:val="99"/>
    <w:unhideWhenUsed/>
    <w:rsid w:val="00563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137"/>
  </w:style>
  <w:style w:type="character" w:customStyle="1" w:styleId="Heading1Char">
    <w:name w:val="Heading 1 Char"/>
    <w:basedOn w:val="DefaultParagraphFont"/>
    <w:link w:val="Heading1"/>
    <w:uiPriority w:val="9"/>
    <w:rsid w:val="00C41CD7"/>
    <w:rPr>
      <w:rFonts w:ascii="Cambria" w:eastAsia="Times New Roman" w:hAnsi="Cambria" w:cs="Times New Roman"/>
      <w:b/>
      <w:bCs/>
      <w:color w:val="365F91"/>
      <w:sz w:val="28"/>
      <w:szCs w:val="28"/>
      <w:lang w:val="en-GB" w:bidi="en-US"/>
    </w:rPr>
  </w:style>
  <w:style w:type="character" w:customStyle="1" w:styleId="Heading2Char">
    <w:name w:val="Heading 2 Char"/>
    <w:basedOn w:val="DefaultParagraphFont"/>
    <w:link w:val="Heading2"/>
    <w:uiPriority w:val="9"/>
    <w:rsid w:val="00C41CD7"/>
    <w:rPr>
      <w:rFonts w:ascii="Cambria" w:eastAsia="Times New Roman" w:hAnsi="Cambria" w:cs="Times New Roman"/>
      <w:b/>
      <w:bCs/>
      <w:color w:val="1F497D"/>
      <w:sz w:val="24"/>
      <w:szCs w:val="28"/>
      <w:lang w:val="en-GB" w:bidi="en-US"/>
    </w:rPr>
  </w:style>
  <w:style w:type="character" w:customStyle="1" w:styleId="Heading3Char">
    <w:name w:val="Heading 3 Char"/>
    <w:basedOn w:val="DefaultParagraphFont"/>
    <w:link w:val="Heading3"/>
    <w:uiPriority w:val="9"/>
    <w:rsid w:val="00C41CD7"/>
    <w:rPr>
      <w:rFonts w:ascii="Cambria" w:eastAsia="Times New Roman" w:hAnsi="Cambria" w:cs="Times New Roman"/>
      <w:b/>
      <w:bCs/>
      <w:color w:val="1F497D"/>
      <w:sz w:val="24"/>
      <w:szCs w:val="28"/>
      <w:lang w:val="en-GB" w:bidi="en-US"/>
    </w:rPr>
  </w:style>
  <w:style w:type="paragraph" w:styleId="TOCHeading">
    <w:name w:val="TOC Heading"/>
    <w:basedOn w:val="Heading1"/>
    <w:next w:val="Normal"/>
    <w:uiPriority w:val="39"/>
    <w:qFormat/>
    <w:rsid w:val="00C41CD7"/>
    <w:pPr>
      <w:outlineLvl w:val="9"/>
    </w:pPr>
  </w:style>
  <w:style w:type="paragraph" w:customStyle="1" w:styleId="Footer1">
    <w:name w:val="Footer1"/>
    <w:rsid w:val="00C41CD7"/>
    <w:pPr>
      <w:tabs>
        <w:tab w:val="center" w:pos="4680"/>
        <w:tab w:val="right" w:pos="9360"/>
      </w:tabs>
      <w:spacing w:after="0" w:line="240" w:lineRule="auto"/>
      <w:ind w:firstLine="360"/>
    </w:pPr>
    <w:rPr>
      <w:rFonts w:ascii="Lucida Grande" w:eastAsia="ヒラギノ角ゴ Pro W3" w:hAnsi="Lucida Grande" w:cs="Times New Roman"/>
      <w:color w:val="000000"/>
      <w:szCs w:val="20"/>
      <w:lang w:val="en-GB"/>
    </w:rPr>
  </w:style>
  <w:style w:type="character" w:styleId="Hyperlink">
    <w:name w:val="Hyperlink"/>
    <w:uiPriority w:val="99"/>
    <w:rsid w:val="00C41CD7"/>
    <w:rPr>
      <w:color w:val="0032F2"/>
      <w:sz w:val="22"/>
      <w:u w:val="single"/>
    </w:rPr>
  </w:style>
  <w:style w:type="paragraph" w:styleId="TOC1">
    <w:name w:val="toc 1"/>
    <w:basedOn w:val="Normal"/>
    <w:next w:val="Normal"/>
    <w:autoRedefine/>
    <w:uiPriority w:val="39"/>
    <w:unhideWhenUsed/>
    <w:rsid w:val="00357259"/>
    <w:pPr>
      <w:tabs>
        <w:tab w:val="left" w:pos="880"/>
        <w:tab w:val="right" w:leader="dot" w:pos="8630"/>
      </w:tabs>
      <w:spacing w:before="0" w:after="0" w:line="240" w:lineRule="auto"/>
      <w:ind w:firstLine="360"/>
    </w:pPr>
    <w:rPr>
      <w:rFonts w:eastAsia="ヒラギノ角ゴ Pro W3"/>
      <w:color w:val="000000"/>
      <w:szCs w:val="24"/>
      <w:lang w:bidi="ar-SA"/>
    </w:rPr>
  </w:style>
  <w:style w:type="paragraph" w:customStyle="1" w:styleId="HCh">
    <w:name w:val="_ H _Ch"/>
    <w:basedOn w:val="Normal"/>
    <w:next w:val="Normal"/>
    <w:rsid w:val="00C41CD7"/>
    <w:pPr>
      <w:keepNext/>
      <w:keepLines/>
      <w:suppressAutoHyphens/>
      <w:spacing w:before="0" w:after="0" w:line="300" w:lineRule="exact"/>
      <w:outlineLvl w:val="0"/>
    </w:pPr>
    <w:rPr>
      <w:rFonts w:ascii="Times New Roman" w:hAnsi="Times New Roman"/>
      <w:b/>
      <w:spacing w:val="-2"/>
      <w:w w:val="103"/>
      <w:kern w:val="14"/>
      <w:sz w:val="28"/>
      <w:szCs w:val="20"/>
      <w:lang w:bidi="ar-SA"/>
    </w:rPr>
  </w:style>
  <w:style w:type="paragraph" w:customStyle="1" w:styleId="H56">
    <w:name w:val="_ H_5/6"/>
    <w:basedOn w:val="Normal"/>
    <w:next w:val="Normal"/>
    <w:rsid w:val="00C41CD7"/>
    <w:pPr>
      <w:keepNext/>
      <w:keepLines/>
      <w:tabs>
        <w:tab w:val="right" w:pos="360"/>
      </w:tabs>
      <w:suppressAutoHyphens/>
      <w:spacing w:before="0" w:after="0" w:line="240" w:lineRule="exact"/>
      <w:outlineLvl w:val="4"/>
    </w:pPr>
    <w:rPr>
      <w:rFonts w:ascii="Times New Roman" w:hAnsi="Times New Roman"/>
      <w:spacing w:val="4"/>
      <w:w w:val="103"/>
      <w:kern w:val="14"/>
      <w:sz w:val="20"/>
      <w:szCs w:val="20"/>
      <w:lang w:bidi="ar-SA"/>
    </w:rPr>
  </w:style>
  <w:style w:type="paragraph" w:customStyle="1" w:styleId="XLarge">
    <w:name w:val="XLarge"/>
    <w:basedOn w:val="Normal"/>
    <w:rsid w:val="00C41CD7"/>
    <w:pPr>
      <w:keepNext/>
      <w:keepLines/>
      <w:tabs>
        <w:tab w:val="right" w:leader="dot" w:pos="360"/>
      </w:tabs>
      <w:suppressAutoHyphens/>
      <w:spacing w:before="0" w:after="0" w:line="390" w:lineRule="exact"/>
      <w:outlineLvl w:val="0"/>
    </w:pPr>
    <w:rPr>
      <w:rFonts w:ascii="Times New Roman" w:hAnsi="Times New Roman"/>
      <w:b/>
      <w:spacing w:val="-4"/>
      <w:w w:val="98"/>
      <w:kern w:val="14"/>
      <w:sz w:val="40"/>
      <w:szCs w:val="20"/>
      <w:lang w:bidi="ar-SA"/>
    </w:rPr>
  </w:style>
  <w:style w:type="paragraph" w:customStyle="1" w:styleId="HM">
    <w:name w:val="_ H __M"/>
    <w:basedOn w:val="HCh"/>
    <w:next w:val="Normal"/>
    <w:rsid w:val="00C41CD7"/>
    <w:pPr>
      <w:spacing w:line="360" w:lineRule="exact"/>
    </w:pPr>
    <w:rPr>
      <w:spacing w:val="-3"/>
      <w:w w:val="99"/>
      <w:sz w:val="34"/>
    </w:rPr>
  </w:style>
  <w:style w:type="table" w:styleId="TableGrid">
    <w:name w:val="Table Grid"/>
    <w:basedOn w:val="TableNormal"/>
    <w:uiPriority w:val="39"/>
    <w:rsid w:val="00C41CD7"/>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0CD0"/>
    <w:rPr>
      <w:sz w:val="16"/>
      <w:szCs w:val="16"/>
    </w:rPr>
  </w:style>
  <w:style w:type="paragraph" w:styleId="CommentText">
    <w:name w:val="annotation text"/>
    <w:basedOn w:val="Normal"/>
    <w:link w:val="CommentTextChar"/>
    <w:uiPriority w:val="99"/>
    <w:unhideWhenUsed/>
    <w:rsid w:val="00B10CD0"/>
    <w:pPr>
      <w:spacing w:line="240" w:lineRule="auto"/>
    </w:pPr>
    <w:rPr>
      <w:sz w:val="20"/>
      <w:szCs w:val="20"/>
    </w:rPr>
  </w:style>
  <w:style w:type="character" w:customStyle="1" w:styleId="CommentTextChar">
    <w:name w:val="Comment Text Char"/>
    <w:basedOn w:val="DefaultParagraphFont"/>
    <w:link w:val="CommentText"/>
    <w:uiPriority w:val="99"/>
    <w:rsid w:val="00B10CD0"/>
    <w:rPr>
      <w:rFonts w:ascii="Calibri" w:eastAsia="Times New Roman" w:hAnsi="Calibri"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B10CD0"/>
    <w:rPr>
      <w:b/>
      <w:bCs/>
    </w:rPr>
  </w:style>
  <w:style w:type="character" w:customStyle="1" w:styleId="CommentSubjectChar">
    <w:name w:val="Comment Subject Char"/>
    <w:basedOn w:val="CommentTextChar"/>
    <w:link w:val="CommentSubject"/>
    <w:uiPriority w:val="99"/>
    <w:semiHidden/>
    <w:rsid w:val="00B10CD0"/>
    <w:rPr>
      <w:rFonts w:ascii="Calibri" w:eastAsia="Times New Roman" w:hAnsi="Calibri" w:cs="Times New Roman"/>
      <w:b/>
      <w:bCs/>
      <w:sz w:val="20"/>
      <w:szCs w:val="20"/>
      <w:lang w:val="en-GB" w:bidi="en-US"/>
    </w:rPr>
  </w:style>
  <w:style w:type="paragraph" w:styleId="BalloonText">
    <w:name w:val="Balloon Text"/>
    <w:basedOn w:val="Normal"/>
    <w:link w:val="BalloonTextChar"/>
    <w:uiPriority w:val="99"/>
    <w:semiHidden/>
    <w:unhideWhenUsed/>
    <w:rsid w:val="00B10CD0"/>
    <w:pPr>
      <w:spacing w:before="0"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10CD0"/>
    <w:rPr>
      <w:rFonts w:ascii="Times New Roman" w:eastAsia="Times New Roman" w:hAnsi="Times New Roman" w:cs="Times New Roman"/>
      <w:sz w:val="18"/>
      <w:szCs w:val="18"/>
      <w:lang w:val="en-GB" w:bidi="en-US"/>
    </w:rPr>
  </w:style>
  <w:style w:type="character" w:styleId="UnresolvedMention">
    <w:name w:val="Unresolved Mention"/>
    <w:basedOn w:val="DefaultParagraphFont"/>
    <w:uiPriority w:val="99"/>
    <w:semiHidden/>
    <w:unhideWhenUsed/>
    <w:rsid w:val="00026BEA"/>
    <w:rPr>
      <w:color w:val="605E5C"/>
      <w:shd w:val="clear" w:color="auto" w:fill="E1DFDD"/>
    </w:rPr>
  </w:style>
  <w:style w:type="paragraph" w:styleId="Revision">
    <w:name w:val="Revision"/>
    <w:hidden/>
    <w:uiPriority w:val="99"/>
    <w:semiHidden/>
    <w:rsid w:val="00993B91"/>
    <w:pPr>
      <w:spacing w:after="0" w:line="240" w:lineRule="auto"/>
    </w:pPr>
    <w:rPr>
      <w:rFonts w:ascii="Calibri" w:eastAsia="Times New Roman" w:hAnsi="Calibri" w:cs="Times New Roman"/>
      <w:lang w:val="en-GB" w:bidi="en-US"/>
    </w:rPr>
  </w:style>
  <w:style w:type="character" w:customStyle="1" w:styleId="normaltextrun">
    <w:name w:val="normaltextrun"/>
    <w:basedOn w:val="DefaultParagraphFont"/>
    <w:rsid w:val="00F3407A"/>
  </w:style>
  <w:style w:type="character" w:customStyle="1" w:styleId="eop">
    <w:name w:val="eop"/>
    <w:basedOn w:val="DefaultParagraphFont"/>
    <w:rsid w:val="00F3407A"/>
  </w:style>
  <w:style w:type="paragraph" w:styleId="NormalWeb">
    <w:name w:val="Normal (Web)"/>
    <w:basedOn w:val="Normal"/>
    <w:uiPriority w:val="99"/>
    <w:unhideWhenUsed/>
    <w:rsid w:val="00CF5F6C"/>
    <w:pPr>
      <w:spacing w:before="100" w:beforeAutospacing="1" w:after="100" w:afterAutospacing="1" w:line="240" w:lineRule="auto"/>
    </w:pPr>
    <w:rPr>
      <w:rFonts w:ascii="Times New Roman" w:hAnsi="Times New Roman"/>
      <w:sz w:val="24"/>
      <w:szCs w:val="24"/>
      <w:lang w:val="en-US" w:bidi="ar-SA"/>
    </w:rPr>
  </w:style>
  <w:style w:type="paragraph" w:styleId="Caption">
    <w:name w:val="caption"/>
    <w:basedOn w:val="Normal"/>
    <w:next w:val="Normal"/>
    <w:uiPriority w:val="35"/>
    <w:unhideWhenUsed/>
    <w:qFormat/>
    <w:rsid w:val="00D660D1"/>
    <w:pPr>
      <w:spacing w:before="0"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E425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7439">
      <w:bodyDiv w:val="1"/>
      <w:marLeft w:val="0"/>
      <w:marRight w:val="0"/>
      <w:marTop w:val="0"/>
      <w:marBottom w:val="0"/>
      <w:divBdr>
        <w:top w:val="none" w:sz="0" w:space="0" w:color="auto"/>
        <w:left w:val="none" w:sz="0" w:space="0" w:color="auto"/>
        <w:bottom w:val="none" w:sz="0" w:space="0" w:color="auto"/>
        <w:right w:val="none" w:sz="0" w:space="0" w:color="auto"/>
      </w:divBdr>
    </w:div>
    <w:div w:id="157815054">
      <w:bodyDiv w:val="1"/>
      <w:marLeft w:val="0"/>
      <w:marRight w:val="0"/>
      <w:marTop w:val="0"/>
      <w:marBottom w:val="0"/>
      <w:divBdr>
        <w:top w:val="none" w:sz="0" w:space="0" w:color="auto"/>
        <w:left w:val="none" w:sz="0" w:space="0" w:color="auto"/>
        <w:bottom w:val="none" w:sz="0" w:space="0" w:color="auto"/>
        <w:right w:val="none" w:sz="0" w:space="0" w:color="auto"/>
      </w:divBdr>
    </w:div>
    <w:div w:id="1170868922">
      <w:bodyDiv w:val="1"/>
      <w:marLeft w:val="0"/>
      <w:marRight w:val="0"/>
      <w:marTop w:val="0"/>
      <w:marBottom w:val="0"/>
      <w:divBdr>
        <w:top w:val="none" w:sz="0" w:space="0" w:color="auto"/>
        <w:left w:val="none" w:sz="0" w:space="0" w:color="auto"/>
        <w:bottom w:val="none" w:sz="0" w:space="0" w:color="auto"/>
        <w:right w:val="none" w:sz="0" w:space="0" w:color="auto"/>
      </w:divBdr>
    </w:div>
    <w:div w:id="1487893632">
      <w:bodyDiv w:val="1"/>
      <w:marLeft w:val="0"/>
      <w:marRight w:val="0"/>
      <w:marTop w:val="0"/>
      <w:marBottom w:val="0"/>
      <w:divBdr>
        <w:top w:val="none" w:sz="0" w:space="0" w:color="auto"/>
        <w:left w:val="none" w:sz="0" w:space="0" w:color="auto"/>
        <w:bottom w:val="none" w:sz="0" w:space="0" w:color="auto"/>
        <w:right w:val="none" w:sz="0" w:space="0" w:color="auto"/>
      </w:divBdr>
      <w:divsChild>
        <w:div w:id="510723564">
          <w:marLeft w:val="0"/>
          <w:marRight w:val="0"/>
          <w:marTop w:val="0"/>
          <w:marBottom w:val="0"/>
          <w:divBdr>
            <w:top w:val="none" w:sz="0" w:space="0" w:color="auto"/>
            <w:left w:val="none" w:sz="0" w:space="0" w:color="auto"/>
            <w:bottom w:val="none" w:sz="0" w:space="0" w:color="auto"/>
            <w:right w:val="none" w:sz="0" w:space="0" w:color="auto"/>
          </w:divBdr>
        </w:div>
        <w:div w:id="1083797161">
          <w:marLeft w:val="0"/>
          <w:marRight w:val="0"/>
          <w:marTop w:val="0"/>
          <w:marBottom w:val="0"/>
          <w:divBdr>
            <w:top w:val="none" w:sz="0" w:space="0" w:color="auto"/>
            <w:left w:val="none" w:sz="0" w:space="0" w:color="auto"/>
            <w:bottom w:val="none" w:sz="0" w:space="0" w:color="auto"/>
            <w:right w:val="none" w:sz="0" w:space="0" w:color="auto"/>
          </w:divBdr>
        </w:div>
        <w:div w:id="1648436085">
          <w:marLeft w:val="0"/>
          <w:marRight w:val="0"/>
          <w:marTop w:val="0"/>
          <w:marBottom w:val="0"/>
          <w:divBdr>
            <w:top w:val="none" w:sz="0" w:space="0" w:color="auto"/>
            <w:left w:val="none" w:sz="0" w:space="0" w:color="auto"/>
            <w:bottom w:val="none" w:sz="0" w:space="0" w:color="auto"/>
            <w:right w:val="none" w:sz="0" w:space="0" w:color="auto"/>
          </w:divBdr>
        </w:div>
      </w:divsChild>
    </w:div>
    <w:div w:id="214134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uments-dds-ny.un.org/doc/UNDOC/GEN/N21/065/84/PDF/N2106584.pdf?OpenElemen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rc.undp.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uments-dds-ny.un.org/doc/UNDOC/GEN/N19/206/00/PDF/N1920600.pdf?OpenElemen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0FB38D6FCFA418DA39187A7920BEA" ma:contentTypeVersion="13" ma:contentTypeDescription="Create a new document." ma:contentTypeScope="" ma:versionID="c35ce5935ba98e33fcf9323a0e52f3a7">
  <xsd:schema xmlns:xsd="http://www.w3.org/2001/XMLSchema" xmlns:xs="http://www.w3.org/2001/XMLSchema" xmlns:p="http://schemas.microsoft.com/office/2006/metadata/properties" xmlns:ns2="d75abbe9-4b63-46ba-acaa-ae82d37ec5f4" xmlns:ns3="9d5e6f84-5843-49cc-89a8-d7ee1a915182" targetNamespace="http://schemas.microsoft.com/office/2006/metadata/properties" ma:root="true" ma:fieldsID="ed71711fa7c319bdf9b932c7e6d64c78" ns2:_="" ns3:_="">
    <xsd:import namespace="d75abbe9-4b63-46ba-acaa-ae82d37ec5f4"/>
    <xsd:import namespace="9d5e6f84-5843-49cc-89a8-d7ee1a9151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abbe9-4b63-46ba-acaa-ae82d37ec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5e6f84-5843-49cc-89a8-d7ee1a9151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8EF5B9-A308-4D67-AB66-B24DAAEB8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abbe9-4b63-46ba-acaa-ae82d37ec5f4"/>
    <ds:schemaRef ds:uri="9d5e6f84-5843-49cc-89a8-d7ee1a915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ADA95A-8925-42C3-A504-DF52B1222B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ADF4CC-4A9C-4697-B405-B09D23556BAC}">
  <ds:schemaRefs>
    <ds:schemaRef ds:uri="http://schemas.openxmlformats.org/officeDocument/2006/bibliography"/>
  </ds:schemaRefs>
</ds:datastoreItem>
</file>

<file path=customXml/itemProps4.xml><?xml version="1.0" encoding="utf-8"?>
<ds:datastoreItem xmlns:ds="http://schemas.openxmlformats.org/officeDocument/2006/customXml" ds:itemID="{CAA8FDDC-9686-48BD-8CA9-61B7A567A2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3791</Words>
  <Characters>21615</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25356</CharactersWithSpaces>
  <SharedDoc>false</SharedDoc>
  <HLinks>
    <vt:vector size="36" baseType="variant">
      <vt:variant>
        <vt:i4>1179711</vt:i4>
      </vt:variant>
      <vt:variant>
        <vt:i4>32</vt:i4>
      </vt:variant>
      <vt:variant>
        <vt:i4>0</vt:i4>
      </vt:variant>
      <vt:variant>
        <vt:i4>5</vt:i4>
      </vt:variant>
      <vt:variant>
        <vt:lpwstr/>
      </vt:variant>
      <vt:variant>
        <vt:lpwstr>_Toc85648490</vt:lpwstr>
      </vt:variant>
      <vt:variant>
        <vt:i4>1769534</vt:i4>
      </vt:variant>
      <vt:variant>
        <vt:i4>26</vt:i4>
      </vt:variant>
      <vt:variant>
        <vt:i4>0</vt:i4>
      </vt:variant>
      <vt:variant>
        <vt:i4>5</vt:i4>
      </vt:variant>
      <vt:variant>
        <vt:lpwstr/>
      </vt:variant>
      <vt:variant>
        <vt:lpwstr>_Toc85648489</vt:lpwstr>
      </vt:variant>
      <vt:variant>
        <vt:i4>1703998</vt:i4>
      </vt:variant>
      <vt:variant>
        <vt:i4>20</vt:i4>
      </vt:variant>
      <vt:variant>
        <vt:i4>0</vt:i4>
      </vt:variant>
      <vt:variant>
        <vt:i4>5</vt:i4>
      </vt:variant>
      <vt:variant>
        <vt:lpwstr/>
      </vt:variant>
      <vt:variant>
        <vt:lpwstr>_Toc85648488</vt:lpwstr>
      </vt:variant>
      <vt:variant>
        <vt:i4>1376318</vt:i4>
      </vt:variant>
      <vt:variant>
        <vt:i4>14</vt:i4>
      </vt:variant>
      <vt:variant>
        <vt:i4>0</vt:i4>
      </vt:variant>
      <vt:variant>
        <vt:i4>5</vt:i4>
      </vt:variant>
      <vt:variant>
        <vt:lpwstr/>
      </vt:variant>
      <vt:variant>
        <vt:lpwstr>_Toc85648487</vt:lpwstr>
      </vt:variant>
      <vt:variant>
        <vt:i4>1310782</vt:i4>
      </vt:variant>
      <vt:variant>
        <vt:i4>8</vt:i4>
      </vt:variant>
      <vt:variant>
        <vt:i4>0</vt:i4>
      </vt:variant>
      <vt:variant>
        <vt:i4>5</vt:i4>
      </vt:variant>
      <vt:variant>
        <vt:lpwstr/>
      </vt:variant>
      <vt:variant>
        <vt:lpwstr>_Toc85648486</vt:lpwstr>
      </vt:variant>
      <vt:variant>
        <vt:i4>1507390</vt:i4>
      </vt:variant>
      <vt:variant>
        <vt:i4>2</vt:i4>
      </vt:variant>
      <vt:variant>
        <vt:i4>0</vt:i4>
      </vt:variant>
      <vt:variant>
        <vt:i4>5</vt:i4>
      </vt:variant>
      <vt:variant>
        <vt:lpwstr/>
      </vt:variant>
      <vt:variant>
        <vt:lpwstr>_Toc85648485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Xiaoling Zhang</dc:creator>
  <cp:keywords/>
  <dc:description/>
  <cp:lastModifiedBy>Svetlana Iazykova</cp:lastModifiedBy>
  <cp:revision>2</cp:revision>
  <cp:lastPrinted>2021-11-30T21:57:00Z</cp:lastPrinted>
  <dcterms:created xsi:type="dcterms:W3CDTF">2022-04-22T19:37:00Z</dcterms:created>
  <dcterms:modified xsi:type="dcterms:W3CDTF">2022-04-22T19:37:00Z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0x010100F2E0FB38D6FCFA418DA39187A7920BEA</vt:lpwstr>
  </property>
  <property fmtid="{D5CDD505-2E9C-101B-9397-08002B2CF9AE}" pid="3" name="JobNo">
    <vt:lpwstr>2117454E</vt:lpwstr>
  </property>
  <property fmtid="{D5CDD505-2E9C-101B-9397-08002B2CF9AE}" pid="4" name="ODSRefJobNo">
    <vt:lpwstr>2135761E</vt:lpwstr>
  </property>
  <property fmtid="{D5CDD505-2E9C-101B-9397-08002B2CF9AE}" pid="5" name="Symbol1">
    <vt:lpwstr>DP/2022/7</vt:lpwstr>
  </property>
  <property fmtid="{D5CDD505-2E9C-101B-9397-08002B2CF9AE}" pid="6" name="Symbol2">
    <vt:lpwstr/>
  </property>
</Properties>
</file>