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F5F1" w14:textId="3C671CC6" w:rsidR="003E54F5" w:rsidRPr="00EC48E4" w:rsidRDefault="000B77E5" w:rsidP="00CE3CE7">
      <w:pPr>
        <w:pStyle w:val="HCh"/>
        <w:spacing w:before="240" w:after="120" w:line="240" w:lineRule="auto"/>
        <w:ind w:left="720" w:right="1267" w:hanging="720"/>
      </w:pPr>
      <w:r w:rsidRPr="00EC48E4">
        <w:t xml:space="preserve">Appendix </w:t>
      </w:r>
      <w:r w:rsidR="003E54F5" w:rsidRPr="00EC48E4">
        <w:t xml:space="preserve">I. </w:t>
      </w:r>
    </w:p>
    <w:p w14:paraId="6FA4F5F2" w14:textId="627A6951" w:rsidR="003E54F5" w:rsidRPr="00EC48E4" w:rsidRDefault="003E54F5" w:rsidP="00CE3CE7">
      <w:pPr>
        <w:pStyle w:val="HCh"/>
        <w:spacing w:before="120" w:after="120" w:line="240" w:lineRule="auto"/>
        <w:ind w:left="720" w:right="1267" w:hanging="720"/>
      </w:pPr>
      <w:r w:rsidRPr="00EC48E4">
        <w:t>UNDP overview</w:t>
      </w:r>
    </w:p>
    <w:p w14:paraId="6FA4F5F4" w14:textId="50A51BEE" w:rsidR="003E54F5" w:rsidRPr="00EC48E4" w:rsidRDefault="003E54F5" w:rsidP="0059536B">
      <w:pPr>
        <w:pStyle w:val="H1"/>
        <w:numPr>
          <w:ilvl w:val="0"/>
          <w:numId w:val="3"/>
        </w:numPr>
        <w:tabs>
          <w:tab w:val="clear" w:pos="1022"/>
          <w:tab w:val="clear" w:pos="1742"/>
          <w:tab w:val="right" w:pos="1440"/>
          <w:tab w:val="num" w:pos="1692"/>
          <w:tab w:val="left" w:pos="1800"/>
        </w:tabs>
        <w:spacing w:before="120" w:line="240" w:lineRule="auto"/>
        <w:ind w:left="432" w:right="0" w:hanging="432"/>
        <w:outlineLvl w:val="1"/>
        <w:rPr>
          <w:sz w:val="28"/>
          <w:szCs w:val="21"/>
        </w:rPr>
      </w:pPr>
      <w:r w:rsidRPr="00EC48E4">
        <w:rPr>
          <w:sz w:val="28"/>
          <w:szCs w:val="21"/>
        </w:rPr>
        <w:t>Statement of financial performance for</w:t>
      </w:r>
      <w:r w:rsidR="005833F0" w:rsidRPr="00EC48E4">
        <w:rPr>
          <w:sz w:val="28"/>
          <w:szCs w:val="21"/>
        </w:rPr>
        <w:t xml:space="preserve"> the year ended 31 December </w:t>
      </w:r>
      <w:r w:rsidR="009F11CA" w:rsidRPr="00EC48E4">
        <w:rPr>
          <w:sz w:val="28"/>
          <w:szCs w:val="21"/>
        </w:rPr>
        <w:t>2020</w:t>
      </w:r>
      <w:r w:rsidR="00CE3CE7" w:rsidRPr="00EC48E4">
        <w:rPr>
          <w:sz w:val="28"/>
          <w:szCs w:val="21"/>
        </w:rPr>
        <w:t xml:space="preserve"> </w:t>
      </w:r>
    </w:p>
    <w:p w14:paraId="5BCB940F" w14:textId="3A33FF86" w:rsidR="006463A5" w:rsidRPr="00EC48E4" w:rsidRDefault="00170E1F" w:rsidP="00170E1F">
      <w:pPr>
        <w:tabs>
          <w:tab w:val="left" w:pos="360"/>
        </w:tabs>
        <w:suppressAutoHyphens/>
        <w:ind w:left="1786" w:right="720" w:hanging="1426"/>
        <w:rPr>
          <w:rFonts w:ascii="Times New Roman" w:hAnsi="Times New Roman"/>
          <w:iCs/>
          <w:color w:val="000000"/>
          <w:sz w:val="16"/>
          <w:szCs w:val="15"/>
        </w:rPr>
      </w:pPr>
      <w:r w:rsidRPr="00EC48E4">
        <w:rPr>
          <w:noProof/>
        </w:rPr>
        <w:drawing>
          <wp:anchor distT="0" distB="0" distL="114300" distR="114300" simplePos="0" relativeHeight="251659275" behindDoc="1" locked="0" layoutInCell="1" allowOverlap="1" wp14:anchorId="08304BE2" wp14:editId="0FB7ECF9">
            <wp:simplePos x="0" y="0"/>
            <wp:positionH relativeFrom="column">
              <wp:posOffset>3810</wp:posOffset>
            </wp:positionH>
            <wp:positionV relativeFrom="paragraph">
              <wp:posOffset>132715</wp:posOffset>
            </wp:positionV>
            <wp:extent cx="8282305" cy="4326890"/>
            <wp:effectExtent l="0" t="0" r="4445" b="0"/>
            <wp:wrapTight wrapText="bothSides">
              <wp:wrapPolygon edited="0">
                <wp:start x="0" y="0"/>
                <wp:lineTo x="0" y="21492"/>
                <wp:lineTo x="21562" y="21492"/>
                <wp:lineTo x="21562" y="0"/>
                <wp:lineTo x="0" y="0"/>
              </wp:wrapPolygon>
            </wp:wrapTight>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282305" cy="4326890"/>
                    </a:xfrm>
                    <a:prstGeom prst="rect">
                      <a:avLst/>
                    </a:prstGeom>
                  </pic:spPr>
                </pic:pic>
              </a:graphicData>
            </a:graphic>
            <wp14:sizeRelH relativeFrom="margin">
              <wp14:pctWidth>0</wp14:pctWidth>
            </wp14:sizeRelH>
          </wp:anchor>
        </w:drawing>
      </w:r>
      <w:r w:rsidR="00ED3606" w:rsidRPr="00EC48E4">
        <w:t xml:space="preserve"> </w:t>
      </w:r>
      <w:r w:rsidR="00BE4EC0" w:rsidRPr="00EC48E4">
        <w:rPr>
          <w:rFonts w:ascii="Times New Roman" w:hAnsi="Times New Roman"/>
          <w:iCs/>
          <w:color w:val="000000"/>
          <w:sz w:val="16"/>
          <w:szCs w:val="15"/>
        </w:rPr>
        <w:t>(</w:t>
      </w:r>
      <w:r w:rsidR="00534B0D" w:rsidRPr="00EC48E4">
        <w:rPr>
          <w:rFonts w:ascii="Times New Roman" w:hAnsi="Times New Roman"/>
          <w:iCs/>
          <w:color w:val="000000"/>
          <w:sz w:val="16"/>
          <w:szCs w:val="15"/>
        </w:rPr>
        <w:t>in t</w:t>
      </w:r>
      <w:r w:rsidR="00BE4EC0" w:rsidRPr="00EC48E4">
        <w:rPr>
          <w:rFonts w:ascii="Times New Roman" w:hAnsi="Times New Roman"/>
          <w:iCs/>
          <w:color w:val="000000"/>
          <w:sz w:val="16"/>
          <w:szCs w:val="15"/>
        </w:rPr>
        <w:t>housands of United States dollars)</w:t>
      </w:r>
    </w:p>
    <w:p w14:paraId="45F325A8" w14:textId="751AA443" w:rsidR="007E73BD" w:rsidRPr="00EC48E4" w:rsidRDefault="007E73BD" w:rsidP="00170E1F">
      <w:pPr>
        <w:ind w:firstLine="360"/>
        <w:rPr>
          <w:rFonts w:ascii="Times New Roman" w:hAnsi="Times New Roman"/>
          <w:iCs/>
          <w:color w:val="000000"/>
          <w:sz w:val="16"/>
          <w:szCs w:val="15"/>
        </w:rPr>
      </w:pPr>
      <w:r w:rsidRPr="00EC48E4">
        <w:rPr>
          <w:rFonts w:ascii="Times New Roman" w:hAnsi="Times New Roman"/>
          <w:iCs/>
          <w:color w:val="000000"/>
          <w:sz w:val="16"/>
          <w:szCs w:val="15"/>
        </w:rPr>
        <w:t>Source: Table 2a, DP/2021/3</w:t>
      </w:r>
      <w:r w:rsidR="00AE3429" w:rsidRPr="00EC48E4">
        <w:rPr>
          <w:rFonts w:ascii="Times New Roman" w:hAnsi="Times New Roman"/>
          <w:iCs/>
          <w:color w:val="000000"/>
          <w:sz w:val="16"/>
          <w:szCs w:val="15"/>
        </w:rPr>
        <w:t>1</w:t>
      </w:r>
      <w:r w:rsidRPr="00EC48E4">
        <w:rPr>
          <w:rFonts w:ascii="Times New Roman" w:hAnsi="Times New Roman"/>
          <w:iCs/>
          <w:color w:val="000000"/>
          <w:sz w:val="16"/>
          <w:szCs w:val="15"/>
        </w:rPr>
        <w:t xml:space="preserve"> Appendix VII to Annex I.  Appendix I to Annex I expenses presented based on cost classifications.</w:t>
      </w:r>
    </w:p>
    <w:p w14:paraId="1BF868E3" w14:textId="77777777" w:rsidR="007E73BD" w:rsidRPr="00EC48E4" w:rsidRDefault="007E73BD" w:rsidP="007E73BD">
      <w:pPr>
        <w:ind w:left="360"/>
        <w:rPr>
          <w:rFonts w:ascii="Times New Roman" w:hAnsi="Times New Roman"/>
          <w:iCs/>
          <w:color w:val="000000"/>
          <w:sz w:val="16"/>
          <w:szCs w:val="15"/>
        </w:rPr>
      </w:pPr>
      <w:r w:rsidRPr="00EC48E4">
        <w:rPr>
          <w:rFonts w:ascii="Times New Roman" w:hAnsi="Times New Roman"/>
          <w:iCs/>
          <w:color w:val="000000"/>
          <w:sz w:val="16"/>
          <w:szCs w:val="15"/>
        </w:rPr>
        <w:t>a/ Includes IPSAS adjustments in 2019.</w:t>
      </w:r>
    </w:p>
    <w:p w14:paraId="23DC918D" w14:textId="19C03C21" w:rsidR="007E73BD" w:rsidRPr="00EC48E4" w:rsidRDefault="007E73BD" w:rsidP="007E73BD">
      <w:pPr>
        <w:ind w:left="360"/>
        <w:rPr>
          <w:rFonts w:ascii="Times New Roman" w:hAnsi="Times New Roman"/>
          <w:iCs/>
          <w:color w:val="000000"/>
          <w:sz w:val="16"/>
          <w:szCs w:val="15"/>
        </w:rPr>
      </w:pPr>
      <w:r w:rsidRPr="00EC48E4">
        <w:rPr>
          <w:rFonts w:ascii="Times New Roman" w:hAnsi="Times New Roman"/>
          <w:iCs/>
          <w:color w:val="000000"/>
          <w:sz w:val="16"/>
          <w:szCs w:val="15"/>
        </w:rPr>
        <w:t>b/ Includes general management support service cost.</w:t>
      </w:r>
    </w:p>
    <w:p w14:paraId="5FC893D4" w14:textId="7ECF89BD" w:rsidR="007E73BD" w:rsidRPr="00EC48E4" w:rsidRDefault="007E73BD" w:rsidP="007E73BD">
      <w:pPr>
        <w:ind w:left="360"/>
        <w:rPr>
          <w:rFonts w:ascii="Times New Roman" w:hAnsi="Times New Roman"/>
          <w:iCs/>
          <w:color w:val="000000"/>
          <w:sz w:val="16"/>
          <w:szCs w:val="15"/>
        </w:rPr>
      </w:pPr>
      <w:r w:rsidRPr="00EC48E4">
        <w:rPr>
          <w:rFonts w:ascii="Times New Roman" w:hAnsi="Times New Roman"/>
          <w:iCs/>
          <w:color w:val="000000"/>
          <w:sz w:val="16"/>
          <w:szCs w:val="15"/>
        </w:rPr>
        <w:t>c/ This adjustment is required to remove the effect of internal UNDP cost recovery.</w:t>
      </w:r>
    </w:p>
    <w:p w14:paraId="3375CACB" w14:textId="11C40492" w:rsidR="00170E1F" w:rsidRDefault="007E73BD" w:rsidP="00170E1F">
      <w:pPr>
        <w:ind w:left="360"/>
        <w:rPr>
          <w:rFonts w:ascii="Times New Roman" w:hAnsi="Times New Roman"/>
          <w:iCs/>
          <w:color w:val="000000"/>
          <w:sz w:val="16"/>
          <w:szCs w:val="15"/>
        </w:rPr>
      </w:pPr>
      <w:r w:rsidRPr="00EC48E4">
        <w:rPr>
          <w:rFonts w:ascii="Times New Roman" w:hAnsi="Times New Roman"/>
          <w:iCs/>
          <w:color w:val="000000"/>
          <w:sz w:val="16"/>
          <w:szCs w:val="15"/>
        </w:rPr>
        <w:t xml:space="preserve">d/ Includes the reimbursable support services to the resident coordinator system </w:t>
      </w:r>
      <w:r w:rsidR="00A83603" w:rsidRPr="00EC48E4">
        <w:rPr>
          <w:rFonts w:ascii="Times New Roman" w:hAnsi="Times New Roman"/>
          <w:iCs/>
          <w:color w:val="000000"/>
          <w:sz w:val="16"/>
          <w:szCs w:val="15"/>
        </w:rPr>
        <w:t>amounting to $17</w:t>
      </w:r>
      <w:r w:rsidR="005C1E04" w:rsidRPr="00EC48E4">
        <w:rPr>
          <w:rFonts w:ascii="Times New Roman" w:hAnsi="Times New Roman"/>
          <w:iCs/>
          <w:color w:val="000000"/>
          <w:sz w:val="16"/>
          <w:szCs w:val="15"/>
        </w:rPr>
        <w:t>.</w:t>
      </w:r>
      <w:r w:rsidR="00A83603" w:rsidRPr="00EC48E4">
        <w:rPr>
          <w:rFonts w:ascii="Times New Roman" w:hAnsi="Times New Roman"/>
          <w:iCs/>
          <w:color w:val="000000"/>
          <w:sz w:val="16"/>
          <w:szCs w:val="15"/>
        </w:rPr>
        <w:t>2 million and $17.9 million in 20</w:t>
      </w:r>
      <w:r w:rsidR="005C1E04" w:rsidRPr="00EC48E4">
        <w:rPr>
          <w:rFonts w:ascii="Times New Roman" w:hAnsi="Times New Roman"/>
          <w:iCs/>
          <w:color w:val="000000"/>
          <w:sz w:val="16"/>
          <w:szCs w:val="15"/>
        </w:rPr>
        <w:t>20</w:t>
      </w:r>
      <w:r w:rsidR="00A83603" w:rsidRPr="00EC48E4">
        <w:rPr>
          <w:rFonts w:ascii="Times New Roman" w:hAnsi="Times New Roman"/>
          <w:iCs/>
          <w:color w:val="000000"/>
          <w:sz w:val="16"/>
          <w:szCs w:val="15"/>
        </w:rPr>
        <w:t xml:space="preserve"> and </w:t>
      </w:r>
      <w:r w:rsidRPr="00EC48E4">
        <w:rPr>
          <w:rFonts w:ascii="Times New Roman" w:hAnsi="Times New Roman"/>
          <w:iCs/>
          <w:color w:val="000000"/>
          <w:sz w:val="16"/>
          <w:szCs w:val="15"/>
        </w:rPr>
        <w:t>2019</w:t>
      </w:r>
      <w:r w:rsidR="00A83603" w:rsidRPr="00EC48E4">
        <w:rPr>
          <w:rFonts w:ascii="Times New Roman" w:hAnsi="Times New Roman"/>
          <w:iCs/>
          <w:color w:val="000000"/>
          <w:sz w:val="16"/>
          <w:szCs w:val="15"/>
        </w:rPr>
        <w:t>, respectively</w:t>
      </w:r>
      <w:r w:rsidRPr="00EC48E4">
        <w:rPr>
          <w:rFonts w:ascii="Times New Roman" w:hAnsi="Times New Roman"/>
          <w:iCs/>
          <w:color w:val="000000"/>
          <w:sz w:val="16"/>
          <w:szCs w:val="15"/>
        </w:rPr>
        <w:t>.</w:t>
      </w:r>
    </w:p>
    <w:p w14:paraId="7EA4BEDA" w14:textId="6AC8C68C" w:rsidR="00740A91" w:rsidRPr="0059536B" w:rsidRDefault="00184154" w:rsidP="00170E1F">
      <w:pPr>
        <w:ind w:left="360"/>
        <w:rPr>
          <w:rFonts w:ascii="Times New Roman" w:hAnsi="Times New Roman"/>
          <w:iCs/>
          <w:color w:val="000000"/>
          <w:sz w:val="16"/>
          <w:szCs w:val="15"/>
        </w:rPr>
      </w:pPr>
      <w:r>
        <w:rPr>
          <w:rFonts w:ascii="Times New Roman" w:hAnsi="Times New Roman"/>
          <w:iCs/>
          <w:color w:val="000000"/>
          <w:sz w:val="16"/>
          <w:szCs w:val="15"/>
        </w:rPr>
        <w:br w:type="page"/>
      </w:r>
    </w:p>
    <w:p w14:paraId="6FA4F745" w14:textId="3EFC3C32" w:rsidR="003E54F5" w:rsidRPr="008D356C" w:rsidRDefault="003E54F5" w:rsidP="00CE3CE7">
      <w:pPr>
        <w:pStyle w:val="H1"/>
        <w:numPr>
          <w:ilvl w:val="0"/>
          <w:numId w:val="3"/>
        </w:numPr>
        <w:tabs>
          <w:tab w:val="clear" w:pos="1022"/>
          <w:tab w:val="clear" w:pos="1742"/>
          <w:tab w:val="right" w:pos="1440"/>
          <w:tab w:val="num" w:pos="1692"/>
          <w:tab w:val="left" w:pos="1800"/>
        </w:tabs>
        <w:spacing w:before="240" w:line="240" w:lineRule="auto"/>
        <w:ind w:left="432" w:right="0" w:hanging="432"/>
        <w:outlineLvl w:val="1"/>
        <w:rPr>
          <w:sz w:val="28"/>
          <w:szCs w:val="21"/>
        </w:rPr>
      </w:pPr>
      <w:r w:rsidRPr="0050651C">
        <w:rPr>
          <w:sz w:val="28"/>
          <w:szCs w:val="21"/>
        </w:rPr>
        <w:lastRenderedPageBreak/>
        <w:t>Statement of financial position as at 31 December 20</w:t>
      </w:r>
      <w:r w:rsidR="001C3686" w:rsidRPr="0050651C">
        <w:rPr>
          <w:sz w:val="28"/>
          <w:szCs w:val="21"/>
        </w:rPr>
        <w:t>20</w:t>
      </w:r>
    </w:p>
    <w:p w14:paraId="0F6D2087" w14:textId="3A1017F4" w:rsidR="00BE4EC0" w:rsidRDefault="00D52E37" w:rsidP="00BE4EC0">
      <w:pPr>
        <w:tabs>
          <w:tab w:val="left" w:pos="360"/>
        </w:tabs>
        <w:suppressAutoHyphens/>
        <w:spacing w:line="240" w:lineRule="exact"/>
        <w:ind w:left="540" w:right="720" w:hanging="90"/>
        <w:rPr>
          <w:rFonts w:ascii="Times New Roman" w:hAnsi="Times New Roman"/>
          <w:iCs/>
          <w:color w:val="000000"/>
          <w:sz w:val="16"/>
          <w:szCs w:val="15"/>
        </w:rPr>
      </w:pPr>
      <w:r w:rsidRPr="00D52E37">
        <w:t xml:space="preserve"> </w:t>
      </w:r>
      <w:r w:rsidR="00BE4EC0" w:rsidRPr="00FB2146">
        <w:rPr>
          <w:rFonts w:ascii="Times New Roman" w:hAnsi="Times New Roman"/>
          <w:iCs/>
          <w:color w:val="000000"/>
          <w:sz w:val="16"/>
          <w:szCs w:val="15"/>
        </w:rPr>
        <w:t>(</w:t>
      </w:r>
      <w:r w:rsidR="00534B0D">
        <w:rPr>
          <w:rFonts w:ascii="Times New Roman" w:hAnsi="Times New Roman"/>
          <w:iCs/>
          <w:color w:val="000000"/>
          <w:sz w:val="16"/>
          <w:szCs w:val="15"/>
        </w:rPr>
        <w:t>in t</w:t>
      </w:r>
      <w:r w:rsidR="00BE4EC0" w:rsidRPr="00FB2146">
        <w:rPr>
          <w:rFonts w:ascii="Times New Roman" w:hAnsi="Times New Roman"/>
          <w:iCs/>
          <w:color w:val="000000"/>
          <w:sz w:val="16"/>
          <w:szCs w:val="15"/>
        </w:rPr>
        <w:t>housands of United States dollars)</w:t>
      </w:r>
    </w:p>
    <w:p w14:paraId="63DC21DF" w14:textId="6D9E0FEB" w:rsidR="00E324C8" w:rsidRDefault="00313D1E" w:rsidP="00E3069D">
      <w:pPr>
        <w:tabs>
          <w:tab w:val="left" w:pos="450"/>
        </w:tabs>
        <w:spacing w:after="60"/>
        <w:rPr>
          <w:rFonts w:ascii="Times New Roman" w:hAnsi="Times New Roman"/>
          <w:iCs/>
          <w:color w:val="000000"/>
          <w:sz w:val="16"/>
          <w:szCs w:val="15"/>
        </w:rPr>
      </w:pPr>
      <w:r>
        <w:rPr>
          <w:noProof/>
        </w:rPr>
        <w:drawing>
          <wp:inline distT="0" distB="0" distL="0" distR="0" wp14:anchorId="7F8B5E87" wp14:editId="66A55A87">
            <wp:extent cx="7983110" cy="54698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98251" cy="5480264"/>
                    </a:xfrm>
                    <a:prstGeom prst="rect">
                      <a:avLst/>
                    </a:prstGeom>
                  </pic:spPr>
                </pic:pic>
              </a:graphicData>
            </a:graphic>
          </wp:inline>
        </w:drawing>
      </w:r>
    </w:p>
    <w:p w14:paraId="7861D571" w14:textId="77777777" w:rsidR="00E324C8" w:rsidRPr="00A9135B" w:rsidRDefault="00E324C8">
      <w:pPr>
        <w:rPr>
          <w:rFonts w:ascii="Times New Roman" w:hAnsi="Times New Roman"/>
          <w:iCs/>
          <w:color w:val="000000"/>
          <w:sz w:val="10"/>
          <w:szCs w:val="9"/>
        </w:rPr>
      </w:pPr>
      <w:r>
        <w:rPr>
          <w:rFonts w:ascii="Times New Roman" w:hAnsi="Times New Roman"/>
          <w:iCs/>
          <w:color w:val="000000"/>
          <w:sz w:val="16"/>
          <w:szCs w:val="15"/>
        </w:rPr>
        <w:br w:type="page"/>
      </w:r>
    </w:p>
    <w:p w14:paraId="12EF8AC6" w14:textId="76A17140" w:rsidR="00F56175" w:rsidRPr="00695941" w:rsidRDefault="000B77E5" w:rsidP="002E756F">
      <w:pPr>
        <w:pStyle w:val="HCh"/>
        <w:spacing w:before="240" w:after="240" w:line="240" w:lineRule="auto"/>
        <w:ind w:left="720" w:right="1267" w:hanging="720"/>
        <w:rPr>
          <w:b w:val="0"/>
        </w:rPr>
      </w:pPr>
      <w:r>
        <w:lastRenderedPageBreak/>
        <w:t xml:space="preserve">Appendix </w:t>
      </w:r>
      <w:r w:rsidR="003E54F5" w:rsidRPr="002E756F">
        <w:t>II.</w:t>
      </w:r>
    </w:p>
    <w:p w14:paraId="6FA4F99B" w14:textId="36D859CA" w:rsidR="003E54F5" w:rsidRPr="00CE3CE7" w:rsidRDefault="003E54F5" w:rsidP="00CE3CE7">
      <w:pPr>
        <w:pStyle w:val="HCh"/>
        <w:spacing w:before="120" w:line="240" w:lineRule="auto"/>
        <w:ind w:left="720" w:right="1267" w:hanging="720"/>
      </w:pPr>
      <w:bookmarkStart w:id="0" w:name="_Hlk13593575"/>
      <w:r w:rsidRPr="00CE3CE7">
        <w:t>Regular resources – comparison of budget to actual, 20</w:t>
      </w:r>
      <w:r w:rsidR="001C3686">
        <w:t>20</w:t>
      </w:r>
    </w:p>
    <w:p w14:paraId="15201DAD" w14:textId="3399FB1E" w:rsidR="00BE4EC0" w:rsidRPr="00FB2146" w:rsidRDefault="00BE4EC0" w:rsidP="00BE4EC0">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FB2146">
        <w:rPr>
          <w:rFonts w:ascii="Times New Roman" w:hAnsi="Times New Roman"/>
          <w:iCs/>
          <w:color w:val="000000"/>
          <w:sz w:val="16"/>
          <w:szCs w:val="15"/>
        </w:rPr>
        <w:t>(</w:t>
      </w:r>
      <w:r w:rsidR="00534B0D">
        <w:rPr>
          <w:rFonts w:ascii="Times New Roman" w:hAnsi="Times New Roman"/>
          <w:iCs/>
          <w:color w:val="000000"/>
          <w:sz w:val="16"/>
          <w:szCs w:val="15"/>
        </w:rPr>
        <w:t>in t</w:t>
      </w:r>
      <w:r w:rsidRPr="00FB2146">
        <w:rPr>
          <w:rFonts w:ascii="Times New Roman" w:hAnsi="Times New Roman"/>
          <w:iCs/>
          <w:color w:val="000000"/>
          <w:sz w:val="16"/>
          <w:szCs w:val="15"/>
        </w:rPr>
        <w:t>housands of United States dollars)</w:t>
      </w:r>
    </w:p>
    <w:bookmarkEnd w:id="0"/>
    <w:p w14:paraId="61D1100A" w14:textId="1937849B" w:rsidR="008A51AD" w:rsidRPr="001B4064" w:rsidRDefault="004A3FE7" w:rsidP="008A51AD">
      <w:pPr>
        <w:rPr>
          <w:lang w:val="en-GB"/>
        </w:rPr>
      </w:pPr>
      <w:r>
        <w:rPr>
          <w:noProof/>
        </w:rPr>
        <w:drawing>
          <wp:inline distT="0" distB="0" distL="0" distR="0" wp14:anchorId="564C21B8" wp14:editId="0D422941">
            <wp:extent cx="7515225" cy="5003321"/>
            <wp:effectExtent l="0" t="0" r="0" b="698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7523144" cy="5008593"/>
                    </a:xfrm>
                    <a:prstGeom prst="rect">
                      <a:avLst/>
                    </a:prstGeom>
                  </pic:spPr>
                </pic:pic>
              </a:graphicData>
            </a:graphic>
          </wp:inline>
        </w:drawing>
      </w:r>
    </w:p>
    <w:p w14:paraId="13ABA7CE" w14:textId="4D41914A" w:rsidR="00CE3CE7" w:rsidRDefault="00CE3CE7" w:rsidP="00634F26">
      <w:pPr>
        <w:suppressAutoHyphens/>
        <w:spacing w:after="120"/>
        <w:ind w:left="1267" w:right="738"/>
        <w:rPr>
          <w:rFonts w:ascii="Times New Roman" w:hAnsi="Times New Roman"/>
          <w:b/>
          <w:bCs/>
          <w:color w:val="000000"/>
          <w:spacing w:val="-2"/>
          <w:sz w:val="28"/>
        </w:rPr>
      </w:pPr>
      <w:r>
        <w:rPr>
          <w:rFonts w:ascii="Times New Roman" w:hAnsi="Times New Roman"/>
          <w:b/>
          <w:bCs/>
          <w:color w:val="000000"/>
          <w:spacing w:val="-2"/>
          <w:sz w:val="28"/>
        </w:rPr>
        <w:br w:type="page"/>
      </w:r>
    </w:p>
    <w:p w14:paraId="04C6F9BB" w14:textId="172E0241" w:rsidR="00F56175" w:rsidRPr="00CE3CE7" w:rsidRDefault="000B77E5" w:rsidP="00CE3CE7">
      <w:pPr>
        <w:pStyle w:val="HCh"/>
        <w:spacing w:before="240" w:after="240" w:line="240" w:lineRule="auto"/>
        <w:ind w:left="720" w:right="1267" w:hanging="720"/>
      </w:pPr>
      <w:r>
        <w:lastRenderedPageBreak/>
        <w:t xml:space="preserve">Appendix </w:t>
      </w:r>
      <w:r w:rsidR="004C50EC" w:rsidRPr="00CE3CE7">
        <w:t>I</w:t>
      </w:r>
      <w:r w:rsidR="007602D5" w:rsidRPr="00CE3CE7">
        <w:t>II</w:t>
      </w:r>
      <w:r w:rsidR="004C50EC" w:rsidRPr="00CE3CE7">
        <w:t>.</w:t>
      </w:r>
    </w:p>
    <w:p w14:paraId="0B171440" w14:textId="21329FCE" w:rsidR="004C50EC" w:rsidRPr="008D356C" w:rsidRDefault="004C50EC" w:rsidP="008D356C">
      <w:pPr>
        <w:pStyle w:val="H1"/>
        <w:numPr>
          <w:ilvl w:val="0"/>
          <w:numId w:val="26"/>
        </w:numPr>
        <w:tabs>
          <w:tab w:val="clear" w:pos="1022"/>
          <w:tab w:val="clear" w:pos="1742"/>
          <w:tab w:val="right" w:pos="1440"/>
          <w:tab w:val="left" w:pos="1800"/>
        </w:tabs>
        <w:spacing w:before="240" w:line="240" w:lineRule="auto"/>
        <w:ind w:left="360" w:right="0"/>
        <w:outlineLvl w:val="1"/>
        <w:rPr>
          <w:sz w:val="28"/>
          <w:szCs w:val="21"/>
        </w:rPr>
      </w:pPr>
      <w:r w:rsidRPr="008D356C">
        <w:rPr>
          <w:sz w:val="28"/>
          <w:szCs w:val="21"/>
        </w:rPr>
        <w:t xml:space="preserve">Integrated </w:t>
      </w:r>
      <w:r w:rsidR="00081689" w:rsidRPr="008D356C">
        <w:rPr>
          <w:sz w:val="28"/>
          <w:szCs w:val="21"/>
        </w:rPr>
        <w:t>resources plan</w:t>
      </w:r>
      <w:r w:rsidR="00E27DBB" w:rsidRPr="008D356C">
        <w:rPr>
          <w:sz w:val="28"/>
          <w:szCs w:val="21"/>
        </w:rPr>
        <w:t xml:space="preserve">, </w:t>
      </w:r>
      <w:r w:rsidRPr="008D356C">
        <w:rPr>
          <w:sz w:val="28"/>
          <w:szCs w:val="21"/>
        </w:rPr>
        <w:t>201</w:t>
      </w:r>
      <w:r w:rsidR="00C52301" w:rsidRPr="008D356C">
        <w:rPr>
          <w:sz w:val="28"/>
          <w:szCs w:val="21"/>
        </w:rPr>
        <w:t>8</w:t>
      </w:r>
      <w:r w:rsidR="007B2C86" w:rsidRPr="008D356C">
        <w:rPr>
          <w:sz w:val="28"/>
          <w:szCs w:val="21"/>
        </w:rPr>
        <w:t>-20</w:t>
      </w:r>
      <w:r w:rsidR="00C52301" w:rsidRPr="008D356C">
        <w:rPr>
          <w:sz w:val="28"/>
          <w:szCs w:val="21"/>
        </w:rPr>
        <w:t>21</w:t>
      </w:r>
      <w:r w:rsidRPr="008D356C">
        <w:rPr>
          <w:sz w:val="28"/>
          <w:szCs w:val="21"/>
        </w:rPr>
        <w:t xml:space="preserve"> </w:t>
      </w:r>
      <w:r w:rsidR="00C52301" w:rsidRPr="008D356C">
        <w:rPr>
          <w:sz w:val="28"/>
          <w:szCs w:val="21"/>
        </w:rPr>
        <w:t>estimates compared to 2018</w:t>
      </w:r>
      <w:r w:rsidR="00116269">
        <w:rPr>
          <w:sz w:val="28"/>
          <w:szCs w:val="21"/>
        </w:rPr>
        <w:t>-20</w:t>
      </w:r>
      <w:r w:rsidR="000F487B">
        <w:rPr>
          <w:sz w:val="28"/>
          <w:szCs w:val="21"/>
        </w:rPr>
        <w:t>20</w:t>
      </w:r>
      <w:r w:rsidR="00C52301" w:rsidRPr="008D356C">
        <w:rPr>
          <w:sz w:val="28"/>
          <w:szCs w:val="21"/>
        </w:rPr>
        <w:t xml:space="preserve"> actuals</w:t>
      </w:r>
    </w:p>
    <w:p w14:paraId="2FFB5E4F" w14:textId="39D108C3" w:rsidR="00BE4EC0" w:rsidRDefault="005B5B3A" w:rsidP="00BE4EC0">
      <w:pPr>
        <w:tabs>
          <w:tab w:val="left" w:pos="360"/>
        </w:tabs>
        <w:suppressAutoHyphens/>
        <w:spacing w:line="240" w:lineRule="exact"/>
        <w:ind w:left="1785" w:right="720" w:hanging="1785"/>
        <w:rPr>
          <w:rFonts w:ascii="Times New Roman" w:hAnsi="Times New Roman"/>
          <w:iCs/>
          <w:color w:val="000000"/>
          <w:sz w:val="16"/>
          <w:szCs w:val="15"/>
        </w:rPr>
      </w:pPr>
      <w:r>
        <w:rPr>
          <w:noProof/>
        </w:rPr>
        <w:drawing>
          <wp:anchor distT="0" distB="0" distL="114300" distR="114300" simplePos="0" relativeHeight="251660299" behindDoc="1" locked="0" layoutInCell="1" allowOverlap="1" wp14:anchorId="36413965" wp14:editId="480825B9">
            <wp:simplePos x="0" y="0"/>
            <wp:positionH relativeFrom="margin">
              <wp:align>right</wp:align>
            </wp:positionH>
            <wp:positionV relativeFrom="paragraph">
              <wp:posOffset>218440</wp:posOffset>
            </wp:positionV>
            <wp:extent cx="8189595" cy="4881880"/>
            <wp:effectExtent l="0" t="0" r="1905" b="0"/>
            <wp:wrapTight wrapText="bothSides">
              <wp:wrapPolygon edited="0">
                <wp:start x="0" y="0"/>
                <wp:lineTo x="0" y="21493"/>
                <wp:lineTo x="21555" y="21493"/>
                <wp:lineTo x="215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189595" cy="4881880"/>
                    </a:xfrm>
                    <a:prstGeom prst="rect">
                      <a:avLst/>
                    </a:prstGeom>
                  </pic:spPr>
                </pic:pic>
              </a:graphicData>
            </a:graphic>
            <wp14:sizeRelH relativeFrom="margin">
              <wp14:pctWidth>0</wp14:pctWidth>
            </wp14:sizeRelH>
            <wp14:sizeRelV relativeFrom="margin">
              <wp14:pctHeight>0</wp14:pctHeight>
            </wp14:sizeRelV>
          </wp:anchor>
        </w:drawing>
      </w:r>
      <w:r w:rsidR="0019047E">
        <w:rPr>
          <w:rFonts w:ascii="Times New Roman" w:hAnsi="Times New Roman"/>
          <w:i/>
          <w:iCs/>
          <w:color w:val="000000"/>
          <w:sz w:val="16"/>
          <w:szCs w:val="15"/>
        </w:rPr>
        <w:tab/>
      </w:r>
      <w:r w:rsidR="00BE4EC0" w:rsidRPr="00FB2146">
        <w:rPr>
          <w:rFonts w:ascii="Times New Roman" w:hAnsi="Times New Roman"/>
          <w:iCs/>
          <w:color w:val="000000"/>
          <w:sz w:val="16"/>
          <w:szCs w:val="15"/>
        </w:rPr>
        <w:t>(</w:t>
      </w:r>
      <w:r w:rsidR="00534B0D">
        <w:rPr>
          <w:rFonts w:ascii="Times New Roman" w:hAnsi="Times New Roman"/>
          <w:iCs/>
          <w:color w:val="000000"/>
          <w:sz w:val="16"/>
          <w:szCs w:val="15"/>
        </w:rPr>
        <w:t>in m</w:t>
      </w:r>
      <w:r w:rsidR="00BE4EC0" w:rsidRPr="00FB2146">
        <w:rPr>
          <w:rFonts w:ascii="Times New Roman" w:hAnsi="Times New Roman"/>
          <w:iCs/>
          <w:color w:val="000000"/>
          <w:sz w:val="16"/>
          <w:szCs w:val="15"/>
        </w:rPr>
        <w:t>illions of United States dollars)</w:t>
      </w:r>
    </w:p>
    <w:p w14:paraId="4BE07989" w14:textId="5AE97BBB" w:rsidR="00BD6B76" w:rsidRPr="002C0756" w:rsidRDefault="001329EF">
      <w:pPr>
        <w:rPr>
          <w:rFonts w:ascii="Times New Roman" w:hAnsi="Times New Roman"/>
          <w:color w:val="000000"/>
          <w:sz w:val="28"/>
          <w:szCs w:val="28"/>
          <w:lang w:val="en-GB"/>
        </w:rPr>
      </w:pPr>
      <w:r w:rsidRPr="002C0756">
        <w:rPr>
          <w:rFonts w:ascii="Times New Roman" w:hAnsi="Times New Roman"/>
          <w:color w:val="000000"/>
          <w:sz w:val="18"/>
          <w:szCs w:val="18"/>
          <w:lang w:val="en-GB"/>
        </w:rPr>
        <w:t>Note that 2018-2020 actuals exclude expenditures of $4.5m from additional regular resources for security measures (per Executive Board decision 2017/31) for COVID-related activities in 2020.</w:t>
      </w:r>
      <w:r w:rsidR="00BD6B76" w:rsidRPr="002C0756">
        <w:rPr>
          <w:rFonts w:ascii="Times New Roman" w:hAnsi="Times New Roman"/>
          <w:color w:val="000000"/>
          <w:sz w:val="28"/>
          <w:szCs w:val="28"/>
          <w:lang w:val="en-GB"/>
        </w:rPr>
        <w:br w:type="page"/>
      </w:r>
    </w:p>
    <w:p w14:paraId="29E211B1" w14:textId="7DF719A3" w:rsidR="00A45BEC" w:rsidRPr="008D356C" w:rsidRDefault="00A45BEC" w:rsidP="008D356C">
      <w:pPr>
        <w:pStyle w:val="H1"/>
        <w:numPr>
          <w:ilvl w:val="0"/>
          <w:numId w:val="26"/>
        </w:numPr>
        <w:tabs>
          <w:tab w:val="clear" w:pos="1022"/>
          <w:tab w:val="clear" w:pos="1742"/>
          <w:tab w:val="right" w:pos="1440"/>
          <w:tab w:val="left" w:pos="1800"/>
        </w:tabs>
        <w:spacing w:before="240" w:line="240" w:lineRule="auto"/>
        <w:ind w:left="360" w:right="0"/>
        <w:outlineLvl w:val="1"/>
        <w:rPr>
          <w:sz w:val="28"/>
          <w:szCs w:val="21"/>
        </w:rPr>
      </w:pPr>
      <w:r w:rsidRPr="008D356C">
        <w:rPr>
          <w:sz w:val="28"/>
          <w:szCs w:val="21"/>
        </w:rPr>
        <w:lastRenderedPageBreak/>
        <w:t>Summary of institutional component of the integrated budget by category</w:t>
      </w:r>
      <w:r w:rsidR="00534B0D" w:rsidRPr="008D356C">
        <w:rPr>
          <w:sz w:val="28"/>
          <w:szCs w:val="21"/>
        </w:rPr>
        <w:t xml:space="preserve"> of expenditures</w:t>
      </w:r>
      <w:r w:rsidRPr="008D356C">
        <w:rPr>
          <w:sz w:val="28"/>
          <w:szCs w:val="21"/>
        </w:rPr>
        <w:t>:</w:t>
      </w:r>
      <w:r w:rsidR="008D356C" w:rsidRPr="008D356C">
        <w:rPr>
          <w:sz w:val="28"/>
          <w:szCs w:val="21"/>
        </w:rPr>
        <w:br/>
      </w:r>
      <w:r w:rsidRPr="008D356C">
        <w:rPr>
          <w:sz w:val="28"/>
          <w:szCs w:val="21"/>
        </w:rPr>
        <w:t>20</w:t>
      </w:r>
      <w:r w:rsidR="00534B0D" w:rsidRPr="008D356C">
        <w:rPr>
          <w:sz w:val="28"/>
          <w:szCs w:val="21"/>
        </w:rPr>
        <w:t>18</w:t>
      </w:r>
      <w:r w:rsidR="003C3C91">
        <w:rPr>
          <w:sz w:val="28"/>
          <w:szCs w:val="21"/>
        </w:rPr>
        <w:t>-20</w:t>
      </w:r>
      <w:r w:rsidR="009C3D45">
        <w:rPr>
          <w:sz w:val="28"/>
          <w:szCs w:val="21"/>
        </w:rPr>
        <w:t>20</w:t>
      </w:r>
      <w:r w:rsidR="00534B0D" w:rsidRPr="008D356C">
        <w:rPr>
          <w:sz w:val="28"/>
          <w:szCs w:val="21"/>
        </w:rPr>
        <w:t xml:space="preserve"> </w:t>
      </w:r>
      <w:r w:rsidR="00515799">
        <w:rPr>
          <w:sz w:val="28"/>
          <w:szCs w:val="21"/>
        </w:rPr>
        <w:t xml:space="preserve">annualized </w:t>
      </w:r>
      <w:r w:rsidR="00534B0D" w:rsidRPr="008D356C">
        <w:rPr>
          <w:sz w:val="28"/>
          <w:szCs w:val="21"/>
        </w:rPr>
        <w:t>estimates vs 2018</w:t>
      </w:r>
      <w:r w:rsidR="00E137E9">
        <w:rPr>
          <w:sz w:val="28"/>
          <w:szCs w:val="21"/>
        </w:rPr>
        <w:t>-20</w:t>
      </w:r>
      <w:r w:rsidR="009C3D45">
        <w:rPr>
          <w:sz w:val="28"/>
          <w:szCs w:val="21"/>
        </w:rPr>
        <w:t>20</w:t>
      </w:r>
      <w:r w:rsidR="00534B0D" w:rsidRPr="008D356C">
        <w:rPr>
          <w:sz w:val="28"/>
          <w:szCs w:val="21"/>
        </w:rPr>
        <w:t xml:space="preserve"> actual expenditures</w:t>
      </w:r>
    </w:p>
    <w:p w14:paraId="3C64993A" w14:textId="71AAABDC" w:rsidR="00DF2569" w:rsidRDefault="00534B0D" w:rsidP="00A04DD9">
      <w:pPr>
        <w:suppressAutoHyphens/>
        <w:spacing w:after="60"/>
        <w:ind w:left="720" w:firstLine="90"/>
        <w:rPr>
          <w:rFonts w:ascii="Times New Roman" w:hAnsi="Times New Roman"/>
          <w:bCs/>
          <w:color w:val="000000"/>
          <w:sz w:val="20"/>
          <w:szCs w:val="28"/>
          <w:lang w:val="en-GB"/>
        </w:rPr>
      </w:pPr>
      <w:r w:rsidRPr="00534B0D">
        <w:rPr>
          <w:rFonts w:ascii="Times New Roman" w:hAnsi="Times New Roman"/>
          <w:bCs/>
          <w:color w:val="000000"/>
          <w:sz w:val="20"/>
          <w:szCs w:val="28"/>
          <w:lang w:val="en-GB"/>
        </w:rPr>
        <w:t>(in millions of United States dollars)</w:t>
      </w:r>
    </w:p>
    <w:p w14:paraId="3B900C56" w14:textId="0B9F76A8" w:rsidR="00534B0D" w:rsidRPr="00534B0D" w:rsidRDefault="00B72146" w:rsidP="00A45BEC">
      <w:pPr>
        <w:suppressAutoHyphens/>
        <w:spacing w:after="60"/>
        <w:ind w:left="720" w:hanging="360"/>
        <w:rPr>
          <w:rFonts w:ascii="Times New Roman" w:hAnsi="Times New Roman"/>
          <w:bCs/>
          <w:color w:val="000000"/>
          <w:sz w:val="20"/>
          <w:szCs w:val="28"/>
          <w:lang w:val="en-GB"/>
        </w:rPr>
      </w:pPr>
      <w:r>
        <w:rPr>
          <w:noProof/>
        </w:rPr>
        <w:drawing>
          <wp:anchor distT="0" distB="0" distL="114300" distR="114300" simplePos="0" relativeHeight="251658247" behindDoc="1" locked="0" layoutInCell="1" allowOverlap="1" wp14:anchorId="4786503B" wp14:editId="15D10E47">
            <wp:simplePos x="0" y="0"/>
            <wp:positionH relativeFrom="column">
              <wp:posOffset>229235</wp:posOffset>
            </wp:positionH>
            <wp:positionV relativeFrom="paragraph">
              <wp:posOffset>-1270</wp:posOffset>
            </wp:positionV>
            <wp:extent cx="8001000" cy="4406900"/>
            <wp:effectExtent l="0" t="0" r="0" b="0"/>
            <wp:wrapTight wrapText="bothSides">
              <wp:wrapPolygon edited="0">
                <wp:start x="0" y="0"/>
                <wp:lineTo x="0" y="21476"/>
                <wp:lineTo x="21549" y="21476"/>
                <wp:lineTo x="21549" y="0"/>
                <wp:lineTo x="0" y="0"/>
              </wp:wrapPolygon>
            </wp:wrapTight>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001000" cy="4406900"/>
                    </a:xfrm>
                    <a:prstGeom prst="rect">
                      <a:avLst/>
                    </a:prstGeom>
                  </pic:spPr>
                </pic:pic>
              </a:graphicData>
            </a:graphic>
          </wp:anchor>
        </w:drawing>
      </w:r>
    </w:p>
    <w:p w14:paraId="361A78BB" w14:textId="4CCE2DBA" w:rsidR="00BF4077" w:rsidRDefault="00BF4077">
      <w:pPr>
        <w:rPr>
          <w:rFonts w:ascii="Times New Roman" w:hAnsi="Times New Roman"/>
          <w:b/>
          <w:bCs/>
          <w:color w:val="000000"/>
          <w:sz w:val="28"/>
          <w:szCs w:val="28"/>
          <w:lang w:val="en-GB"/>
        </w:rPr>
      </w:pPr>
      <w:r>
        <w:rPr>
          <w:rFonts w:ascii="Times New Roman" w:hAnsi="Times New Roman"/>
          <w:b/>
          <w:bCs/>
          <w:color w:val="000000"/>
          <w:sz w:val="28"/>
          <w:szCs w:val="28"/>
          <w:lang w:val="en-GB"/>
        </w:rPr>
        <w:br w:type="page"/>
      </w:r>
    </w:p>
    <w:p w14:paraId="6430DFB4" w14:textId="32C3F989" w:rsidR="00DB0466" w:rsidRPr="008D356C" w:rsidRDefault="00DB26B2" w:rsidP="008D356C">
      <w:pPr>
        <w:pStyle w:val="H1"/>
        <w:numPr>
          <w:ilvl w:val="0"/>
          <w:numId w:val="26"/>
        </w:numPr>
        <w:tabs>
          <w:tab w:val="clear" w:pos="1022"/>
          <w:tab w:val="clear" w:pos="1742"/>
          <w:tab w:val="right" w:pos="1440"/>
          <w:tab w:val="left" w:pos="1800"/>
        </w:tabs>
        <w:spacing w:before="240" w:line="240" w:lineRule="auto"/>
        <w:ind w:left="360" w:right="0"/>
        <w:outlineLvl w:val="1"/>
        <w:rPr>
          <w:sz w:val="28"/>
          <w:szCs w:val="21"/>
        </w:rPr>
      </w:pPr>
      <w:r w:rsidRPr="008D356C">
        <w:rPr>
          <w:sz w:val="28"/>
          <w:szCs w:val="21"/>
        </w:rPr>
        <w:lastRenderedPageBreak/>
        <w:t>Resources allocated to posts by location</w:t>
      </w:r>
      <w:r w:rsidR="00107975" w:rsidRPr="008D356C">
        <w:rPr>
          <w:sz w:val="28"/>
          <w:szCs w:val="21"/>
        </w:rPr>
        <w:t>, 20</w:t>
      </w:r>
      <w:r w:rsidR="009C38F5">
        <w:rPr>
          <w:sz w:val="28"/>
          <w:szCs w:val="21"/>
        </w:rPr>
        <w:t>20</w:t>
      </w:r>
    </w:p>
    <w:p w14:paraId="6BECF2F1" w14:textId="2DCE9C0F" w:rsidR="00A31A2A" w:rsidRDefault="007B02D1" w:rsidP="007B02D1">
      <w:pPr>
        <w:suppressAutoHyphens/>
        <w:spacing w:line="240" w:lineRule="exact"/>
        <w:ind w:firstLine="540"/>
        <w:contextualSpacing/>
        <w:rPr>
          <w:rFonts w:ascii="Times New Roman" w:hAnsi="Times New Roman"/>
          <w:i/>
          <w:spacing w:val="4"/>
          <w:w w:val="103"/>
          <w:kern w:val="14"/>
          <w:sz w:val="16"/>
          <w:lang w:val="en-GB"/>
        </w:rPr>
      </w:pPr>
      <w:r>
        <w:rPr>
          <w:noProof/>
        </w:rPr>
        <w:drawing>
          <wp:anchor distT="0" distB="0" distL="114300" distR="114300" simplePos="0" relativeHeight="251658248" behindDoc="1" locked="0" layoutInCell="1" allowOverlap="1" wp14:anchorId="6BD47FBF" wp14:editId="5C1418D1">
            <wp:simplePos x="0" y="0"/>
            <wp:positionH relativeFrom="column">
              <wp:posOffset>-3810</wp:posOffset>
            </wp:positionH>
            <wp:positionV relativeFrom="paragraph">
              <wp:posOffset>206375</wp:posOffset>
            </wp:positionV>
            <wp:extent cx="8030845" cy="5460365"/>
            <wp:effectExtent l="0" t="0" r="8255" b="6985"/>
            <wp:wrapTight wrapText="bothSides">
              <wp:wrapPolygon edited="0">
                <wp:start x="0" y="0"/>
                <wp:lineTo x="0" y="21552"/>
                <wp:lineTo x="21571" y="21552"/>
                <wp:lineTo x="21571" y="0"/>
                <wp:lineTo x="0" y="0"/>
              </wp:wrapPolygon>
            </wp:wrapTight>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030845" cy="5460365"/>
                    </a:xfrm>
                    <a:prstGeom prst="rect">
                      <a:avLst/>
                    </a:prstGeom>
                  </pic:spPr>
                </pic:pic>
              </a:graphicData>
            </a:graphic>
            <wp14:sizeRelH relativeFrom="margin">
              <wp14:pctWidth>0</wp14:pctWidth>
            </wp14:sizeRelH>
            <wp14:sizeRelV relativeFrom="margin">
              <wp14:pctHeight>0</wp14:pctHeight>
            </wp14:sizeRelV>
          </wp:anchor>
        </w:drawing>
      </w:r>
      <w:r w:rsidR="00DB26B2" w:rsidRPr="00A578CD">
        <w:rPr>
          <w:rFonts w:ascii="Times New Roman" w:hAnsi="Times New Roman"/>
          <w:spacing w:val="4"/>
          <w:w w:val="103"/>
          <w:kern w:val="14"/>
          <w:sz w:val="16"/>
          <w:lang w:val="en-GB"/>
        </w:rPr>
        <w:t>(</w:t>
      </w:r>
      <w:r w:rsidR="004E78D5">
        <w:rPr>
          <w:rFonts w:ascii="Times New Roman" w:hAnsi="Times New Roman"/>
          <w:spacing w:val="4"/>
          <w:w w:val="103"/>
          <w:kern w:val="14"/>
          <w:sz w:val="16"/>
          <w:lang w:val="en-GB"/>
        </w:rPr>
        <w:t>in t</w:t>
      </w:r>
      <w:r w:rsidR="00DB26B2" w:rsidRPr="00A578CD">
        <w:rPr>
          <w:rFonts w:ascii="Times New Roman" w:hAnsi="Times New Roman"/>
          <w:spacing w:val="4"/>
          <w:w w:val="103"/>
          <w:kern w:val="14"/>
          <w:sz w:val="16"/>
          <w:lang w:val="en-GB"/>
        </w:rPr>
        <w:t>housands of United States dollars)</w:t>
      </w:r>
    </w:p>
    <w:p w14:paraId="1CC2561F" w14:textId="77777777" w:rsidR="0068337C" w:rsidRDefault="0068337C">
      <w:pPr>
        <w:rPr>
          <w:rFonts w:ascii="Times New Roman" w:hAnsi="Times New Roman"/>
          <w:b/>
          <w:spacing w:val="4"/>
          <w:w w:val="103"/>
          <w:kern w:val="14"/>
          <w:sz w:val="20"/>
          <w:lang w:val="en-GB"/>
        </w:rPr>
      </w:pPr>
      <w:r>
        <w:rPr>
          <w:rFonts w:ascii="Times New Roman" w:hAnsi="Times New Roman"/>
          <w:b/>
          <w:spacing w:val="4"/>
          <w:w w:val="103"/>
          <w:kern w:val="14"/>
          <w:sz w:val="20"/>
          <w:lang w:val="en-GB"/>
        </w:rPr>
        <w:br w:type="page"/>
      </w:r>
    </w:p>
    <w:p w14:paraId="378E6563" w14:textId="02BE59B2" w:rsidR="0068337C" w:rsidRDefault="004B12E2" w:rsidP="0068337C">
      <w:pPr>
        <w:suppressAutoHyphens/>
        <w:spacing w:line="240" w:lineRule="exact"/>
        <w:contextualSpacing/>
        <w:rPr>
          <w:rFonts w:ascii="Times New Roman" w:hAnsi="Times New Roman"/>
          <w:b/>
          <w:spacing w:val="4"/>
          <w:w w:val="103"/>
          <w:kern w:val="14"/>
          <w:sz w:val="20"/>
          <w:lang w:val="en-GB"/>
        </w:rPr>
      </w:pPr>
      <w:r>
        <w:rPr>
          <w:noProof/>
        </w:rPr>
        <w:lastRenderedPageBreak/>
        <w:drawing>
          <wp:anchor distT="0" distB="0" distL="114300" distR="114300" simplePos="0" relativeHeight="251658249" behindDoc="1" locked="0" layoutInCell="1" allowOverlap="1" wp14:anchorId="17E6DC86" wp14:editId="0F17FD25">
            <wp:simplePos x="0" y="0"/>
            <wp:positionH relativeFrom="column">
              <wp:posOffset>-46990</wp:posOffset>
            </wp:positionH>
            <wp:positionV relativeFrom="paragraph">
              <wp:posOffset>0</wp:posOffset>
            </wp:positionV>
            <wp:extent cx="8107680" cy="5882640"/>
            <wp:effectExtent l="0" t="0" r="7620" b="3810"/>
            <wp:wrapTight wrapText="bothSides">
              <wp:wrapPolygon edited="0">
                <wp:start x="0" y="0"/>
                <wp:lineTo x="0" y="21544"/>
                <wp:lineTo x="21570" y="21544"/>
                <wp:lineTo x="21570" y="0"/>
                <wp:lineTo x="0" y="0"/>
              </wp:wrapPolygon>
            </wp:wrapTight>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107680" cy="5882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0" behindDoc="1" locked="0" layoutInCell="1" allowOverlap="1" wp14:anchorId="314C54B6" wp14:editId="7E43CB83">
            <wp:simplePos x="0" y="0"/>
            <wp:positionH relativeFrom="column">
              <wp:posOffset>-46990</wp:posOffset>
            </wp:positionH>
            <wp:positionV relativeFrom="paragraph">
              <wp:posOffset>0</wp:posOffset>
            </wp:positionV>
            <wp:extent cx="8108315" cy="6047105"/>
            <wp:effectExtent l="0" t="0" r="6985" b="0"/>
            <wp:wrapTight wrapText="bothSides">
              <wp:wrapPolygon edited="0">
                <wp:start x="0" y="0"/>
                <wp:lineTo x="0" y="21502"/>
                <wp:lineTo x="21568" y="21502"/>
                <wp:lineTo x="21568" y="0"/>
                <wp:lineTo x="0" y="0"/>
              </wp:wrapPolygon>
            </wp:wrapTight>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108315" cy="6047105"/>
                    </a:xfrm>
                    <a:prstGeom prst="rect">
                      <a:avLst/>
                    </a:prstGeom>
                  </pic:spPr>
                </pic:pic>
              </a:graphicData>
            </a:graphic>
            <wp14:sizeRelH relativeFrom="margin">
              <wp14:pctWidth>0</wp14:pctWidth>
            </wp14:sizeRelH>
            <wp14:sizeRelV relativeFrom="margin">
              <wp14:pctHeight>0</wp14:pctHeight>
            </wp14:sizeRelV>
          </wp:anchor>
        </w:drawing>
      </w:r>
      <w:r w:rsidR="00CE0226">
        <w:rPr>
          <w:rFonts w:ascii="Times New Roman" w:hAnsi="Times New Roman"/>
          <w:b/>
          <w:spacing w:val="4"/>
          <w:w w:val="103"/>
          <w:kern w:val="14"/>
          <w:sz w:val="20"/>
          <w:lang w:val="en-GB"/>
        </w:rPr>
        <w:br w:type="page"/>
      </w:r>
    </w:p>
    <w:p w14:paraId="251EB167" w14:textId="3ACCF639" w:rsidR="002B47AC" w:rsidRDefault="0068337C" w:rsidP="002B47AC">
      <w:pPr>
        <w:suppressAutoHyphens/>
        <w:spacing w:line="240" w:lineRule="exact"/>
        <w:contextualSpacing/>
        <w:rPr>
          <w:rFonts w:ascii="Times New Roman" w:hAnsi="Times New Roman"/>
          <w:b/>
          <w:spacing w:val="4"/>
          <w:w w:val="103"/>
          <w:kern w:val="14"/>
          <w:sz w:val="20"/>
          <w:lang w:val="en-GB"/>
        </w:rPr>
      </w:pPr>
      <w:r>
        <w:rPr>
          <w:noProof/>
        </w:rPr>
        <w:lastRenderedPageBreak/>
        <w:drawing>
          <wp:anchor distT="0" distB="0" distL="114300" distR="114300" simplePos="0" relativeHeight="251658251" behindDoc="1" locked="0" layoutInCell="1" allowOverlap="1" wp14:anchorId="38F09F73" wp14:editId="15FAA44F">
            <wp:simplePos x="0" y="0"/>
            <wp:positionH relativeFrom="column">
              <wp:posOffset>-72390</wp:posOffset>
            </wp:positionH>
            <wp:positionV relativeFrom="paragraph">
              <wp:posOffset>0</wp:posOffset>
            </wp:positionV>
            <wp:extent cx="8125460" cy="5969000"/>
            <wp:effectExtent l="0" t="0" r="8890" b="0"/>
            <wp:wrapTight wrapText="bothSides">
              <wp:wrapPolygon edited="0">
                <wp:start x="0" y="0"/>
                <wp:lineTo x="0" y="21508"/>
                <wp:lineTo x="21573" y="21508"/>
                <wp:lineTo x="21573" y="0"/>
                <wp:lineTo x="0" y="0"/>
              </wp:wrapPolygon>
            </wp:wrapTight>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8125460" cy="5969000"/>
                    </a:xfrm>
                    <a:prstGeom prst="rect">
                      <a:avLst/>
                    </a:prstGeom>
                  </pic:spPr>
                </pic:pic>
              </a:graphicData>
            </a:graphic>
            <wp14:sizeRelH relativeFrom="margin">
              <wp14:pctWidth>0</wp14:pctWidth>
            </wp14:sizeRelH>
            <wp14:sizeRelV relativeFrom="margin">
              <wp14:pctHeight>0</wp14:pctHeight>
            </wp14:sizeRelV>
          </wp:anchor>
        </w:drawing>
      </w:r>
      <w:r w:rsidR="002B47AC">
        <w:rPr>
          <w:rFonts w:ascii="Times New Roman" w:hAnsi="Times New Roman"/>
          <w:b/>
          <w:spacing w:val="4"/>
          <w:w w:val="103"/>
          <w:kern w:val="14"/>
          <w:sz w:val="20"/>
          <w:lang w:val="en-GB"/>
        </w:rPr>
        <w:br w:type="page"/>
      </w:r>
    </w:p>
    <w:p w14:paraId="2AFFF6BB" w14:textId="223CEDCD" w:rsidR="00A10E7B" w:rsidRPr="009252FE" w:rsidRDefault="000B77E5" w:rsidP="002B47AC">
      <w:pPr>
        <w:pStyle w:val="HCh"/>
        <w:spacing w:before="240" w:after="240" w:line="240" w:lineRule="auto"/>
        <w:ind w:left="720" w:right="1267" w:hanging="720"/>
        <w:rPr>
          <w:b w:val="0"/>
        </w:rPr>
      </w:pPr>
      <w:r>
        <w:lastRenderedPageBreak/>
        <w:t xml:space="preserve">Appendix </w:t>
      </w:r>
      <w:r w:rsidR="00A10E7B" w:rsidRPr="009252FE">
        <w:t xml:space="preserve">IV. </w:t>
      </w:r>
    </w:p>
    <w:p w14:paraId="28FFD7A4" w14:textId="503D28D0" w:rsidR="002F218C" w:rsidRPr="009252FE" w:rsidRDefault="002F218C" w:rsidP="008D356C">
      <w:pPr>
        <w:pStyle w:val="HCh"/>
        <w:spacing w:before="120" w:line="240" w:lineRule="auto"/>
        <w:ind w:left="720" w:right="1267" w:hanging="720"/>
      </w:pPr>
      <w:r w:rsidRPr="00817658">
        <w:t xml:space="preserve">Regular resources – </w:t>
      </w:r>
      <w:r w:rsidR="00E061C8" w:rsidRPr="00817658">
        <w:t xml:space="preserve">annual </w:t>
      </w:r>
      <w:r w:rsidRPr="00817658">
        <w:t>contributions from top 10 donors, 201</w:t>
      </w:r>
      <w:r w:rsidR="00B726F1" w:rsidRPr="00817658">
        <w:t>9</w:t>
      </w:r>
      <w:r w:rsidRPr="00817658">
        <w:t>-20</w:t>
      </w:r>
      <w:r w:rsidR="00B726F1" w:rsidRPr="00817658">
        <w:t>20</w:t>
      </w:r>
    </w:p>
    <w:p w14:paraId="7A007E56" w14:textId="728683F6" w:rsidR="002F218C" w:rsidRPr="00FB2146" w:rsidRDefault="002F218C" w:rsidP="002F218C">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9252FE">
        <w:rPr>
          <w:rFonts w:ascii="Times New Roman" w:hAnsi="Times New Roman"/>
          <w:iCs/>
          <w:color w:val="000000"/>
          <w:sz w:val="16"/>
          <w:szCs w:val="15"/>
        </w:rPr>
        <w:t>(in millions of United States dollars)</w:t>
      </w:r>
    </w:p>
    <w:p w14:paraId="57BFA7C9" w14:textId="55538D1A" w:rsidR="00A10E7B" w:rsidRDefault="00817658" w:rsidP="00A10E7B">
      <w:pPr>
        <w:jc w:val="both"/>
        <w:rPr>
          <w:rFonts w:ascii="Times New Roman" w:hAnsi="Times New Roman"/>
          <w:b/>
          <w:bCs/>
          <w:szCs w:val="24"/>
        </w:rPr>
      </w:pPr>
      <w:r>
        <w:rPr>
          <w:noProof/>
        </w:rPr>
        <w:drawing>
          <wp:inline distT="0" distB="0" distL="0" distR="0" wp14:anchorId="0E40FAEF" wp14:editId="1AC46BC1">
            <wp:extent cx="8001000" cy="3548380"/>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0"/>
                    <a:stretch>
                      <a:fillRect/>
                    </a:stretch>
                  </pic:blipFill>
                  <pic:spPr>
                    <a:xfrm>
                      <a:off x="0" y="0"/>
                      <a:ext cx="8001000" cy="3548380"/>
                    </a:xfrm>
                    <a:prstGeom prst="rect">
                      <a:avLst/>
                    </a:prstGeom>
                  </pic:spPr>
                </pic:pic>
              </a:graphicData>
            </a:graphic>
          </wp:inline>
        </w:drawing>
      </w:r>
    </w:p>
    <w:p w14:paraId="72C5F717" w14:textId="08DFCB1C" w:rsidR="00D700C5" w:rsidRDefault="00D700C5" w:rsidP="00A10E7B">
      <w:pPr>
        <w:jc w:val="both"/>
        <w:rPr>
          <w:rFonts w:ascii="Times New Roman" w:hAnsi="Times New Roman"/>
          <w:b/>
          <w:bCs/>
          <w:szCs w:val="24"/>
        </w:rPr>
      </w:pPr>
    </w:p>
    <w:p w14:paraId="6FA4FCE5" w14:textId="77777777" w:rsidR="00E43691" w:rsidRDefault="00E43691" w:rsidP="007657B4">
      <w:pPr>
        <w:suppressAutoHyphens/>
        <w:spacing w:after="120"/>
        <w:ind w:right="738"/>
        <w:rPr>
          <w:rFonts w:ascii="Times New Roman" w:hAnsi="Times New Roman"/>
          <w:b/>
          <w:bCs/>
          <w:color w:val="000000"/>
          <w:spacing w:val="-2"/>
          <w:sz w:val="28"/>
        </w:rPr>
        <w:sectPr w:rsidR="00E43691" w:rsidSect="00A10E7B">
          <w:headerReference w:type="even" r:id="rId21"/>
          <w:headerReference w:type="default" r:id="rId22"/>
          <w:footerReference w:type="even" r:id="rId23"/>
          <w:footerReference w:type="default" r:id="rId24"/>
          <w:endnotePr>
            <w:numFmt w:val="decimal"/>
          </w:endnotePr>
          <w:type w:val="continuous"/>
          <w:pgSz w:w="15840" w:h="12240" w:orient="landscape"/>
          <w:pgMar w:top="1526" w:right="1890" w:bottom="990" w:left="1350" w:header="720" w:footer="720" w:gutter="0"/>
          <w:cols w:space="720"/>
          <w:noEndnote/>
          <w:docGrid w:linePitch="326"/>
        </w:sectPr>
      </w:pPr>
    </w:p>
    <w:p w14:paraId="3768E5D4" w14:textId="55D56A11" w:rsidR="00034DF3" w:rsidRDefault="00034DF3" w:rsidP="00034DF3">
      <w:pPr>
        <w:pStyle w:val="HCh"/>
        <w:spacing w:before="240" w:after="240" w:line="240" w:lineRule="auto"/>
        <w:ind w:left="720" w:right="1267" w:hanging="720"/>
      </w:pPr>
      <w:r>
        <w:lastRenderedPageBreak/>
        <w:t xml:space="preserve">Appendix </w:t>
      </w:r>
      <w:r w:rsidRPr="00DB6747">
        <w:t>V.</w:t>
      </w:r>
    </w:p>
    <w:p w14:paraId="7752E218" w14:textId="22651637" w:rsidR="00826F18" w:rsidRPr="00826F18" w:rsidRDefault="00EB5CC5" w:rsidP="00FF308E">
      <w:pPr>
        <w:pStyle w:val="HCh"/>
        <w:spacing w:before="120" w:line="240" w:lineRule="auto"/>
        <w:ind w:left="720" w:right="1267" w:hanging="720"/>
      </w:pPr>
      <w:r w:rsidRPr="00EB5CC5">
        <w:t>Update on general management services cost-recovery waivers</w:t>
      </w:r>
    </w:p>
    <w:p w14:paraId="259FD177" w14:textId="77777777" w:rsidR="00826F18" w:rsidRPr="002C0C40" w:rsidRDefault="00826F18" w:rsidP="002C0C40">
      <w:pPr>
        <w:pStyle w:val="SingleTxt"/>
        <w:numPr>
          <w:ilvl w:val="0"/>
          <w:numId w:val="30"/>
        </w:numPr>
        <w:tabs>
          <w:tab w:val="clear" w:pos="1742"/>
          <w:tab w:val="clear" w:pos="2218"/>
          <w:tab w:val="left" w:pos="1530"/>
        </w:tabs>
        <w:spacing w:before="240" w:after="240" w:line="240" w:lineRule="auto"/>
        <w:ind w:left="1343"/>
        <w:rPr>
          <w:rFonts w:eastAsia="MS Mincho"/>
        </w:rPr>
      </w:pPr>
      <w:r w:rsidRPr="002C0C40">
        <w:rPr>
          <w:rFonts w:eastAsia="MS Mincho"/>
        </w:rPr>
        <w:t>The Executive Board in its decision 2013/9 endorsed “a general, harmonized cost recovery rate of 8 per cent for non-core contributions,”  and further endorsed the following differentiated cost recovery rate structure:  “(a) a harmonized 1 per cent reduction for the thematic contributions at the global, regional and country level in UNDP, UNFPA and UNICEF (8 per cent - 1 per cent = 7 per cent), with the United Nations Entity for Gender Equality and the Empowerment of Women (UN-Women) maintaining the 8 per cent as a temporary arrangement; and (b) maintaining the existing preferential rates for government cost-sharing, South- South contributions and private-sector contributions.”</w:t>
      </w:r>
    </w:p>
    <w:p w14:paraId="7961B6EF" w14:textId="08E37991" w:rsidR="00826F18" w:rsidRPr="003852A6" w:rsidRDefault="00826F18" w:rsidP="00434984">
      <w:pPr>
        <w:pStyle w:val="SingleTxt"/>
        <w:numPr>
          <w:ilvl w:val="0"/>
          <w:numId w:val="30"/>
        </w:numPr>
        <w:tabs>
          <w:tab w:val="clear" w:pos="1742"/>
          <w:tab w:val="clear" w:pos="2218"/>
          <w:tab w:val="left" w:pos="1530"/>
        </w:tabs>
        <w:spacing w:before="240" w:after="240" w:line="240" w:lineRule="auto"/>
        <w:ind w:left="1343"/>
        <w:rPr>
          <w:rFonts w:eastAsia="MS Mincho"/>
        </w:rPr>
      </w:pPr>
      <w:r w:rsidRPr="003852A6">
        <w:rPr>
          <w:rFonts w:eastAsia="MS Mincho"/>
        </w:rPr>
        <w:t xml:space="preserve"> In the same decision, the Executive Board also decided that on an exceptional basis, and when the urgency of the circumstances requires, “the Administrator of UNDP and the Executive Director of UNFPA may consider granting a waiver of the cost-recovery rates on a case-by-case basis, taking into account specific priorities, modalities that incur lower management costs, and harmonization goals, and that the Executive Board will be informed of these waivers in the annual financial reports;”</w:t>
      </w:r>
    </w:p>
    <w:p w14:paraId="7378CD39" w14:textId="77777777" w:rsidR="00826F18" w:rsidRPr="002C0C40" w:rsidRDefault="00826F18" w:rsidP="002C0C40">
      <w:pPr>
        <w:pStyle w:val="SingleTxt"/>
        <w:numPr>
          <w:ilvl w:val="0"/>
          <w:numId w:val="30"/>
        </w:numPr>
        <w:tabs>
          <w:tab w:val="clear" w:pos="1742"/>
          <w:tab w:val="clear" w:pos="2218"/>
          <w:tab w:val="left" w:pos="1530"/>
        </w:tabs>
        <w:spacing w:before="240" w:after="240" w:line="240" w:lineRule="auto"/>
        <w:ind w:left="1343"/>
        <w:rPr>
          <w:rFonts w:eastAsia="MS Mincho"/>
        </w:rPr>
      </w:pPr>
      <w:r w:rsidRPr="002C0C40">
        <w:rPr>
          <w:rFonts w:eastAsia="MS Mincho"/>
        </w:rPr>
        <w:t xml:space="preserve">Consistent with decision 2013/9, UNDP has annually reported to the Executive board on the cost recovery waivers through the successive annual reviews of the financial situation as well as the cumulative review of the UNDP integrated budgets. </w:t>
      </w:r>
    </w:p>
    <w:p w14:paraId="6D161CFA" w14:textId="77777777" w:rsidR="00826F18" w:rsidRPr="002C0C40" w:rsidRDefault="00826F18" w:rsidP="002C0C40">
      <w:pPr>
        <w:pStyle w:val="SingleTxt"/>
        <w:numPr>
          <w:ilvl w:val="0"/>
          <w:numId w:val="30"/>
        </w:numPr>
        <w:tabs>
          <w:tab w:val="clear" w:pos="1742"/>
          <w:tab w:val="clear" w:pos="2218"/>
          <w:tab w:val="left" w:pos="1530"/>
        </w:tabs>
        <w:spacing w:before="240" w:after="240" w:line="240" w:lineRule="auto"/>
        <w:ind w:left="1343"/>
        <w:rPr>
          <w:rFonts w:eastAsia="MS Mincho"/>
        </w:rPr>
      </w:pPr>
      <w:r w:rsidRPr="002C0C40">
        <w:rPr>
          <w:rFonts w:eastAsia="MS Mincho"/>
        </w:rPr>
        <w:t>In its decision 2018/21 from the second regular session of 2018, the Executive Board requested “UNICEF, together with UNDP, UNFPA and UN-Women, to reduce the granting of waivers lowering the agreed cost-recovery rates and to provide an update on the steps taken in this regard, including on the application of waivers across their organizations, to the Executive Board at its annual session in 2019”.</w:t>
      </w:r>
    </w:p>
    <w:p w14:paraId="562379CA" w14:textId="77777777" w:rsidR="00826F18" w:rsidRPr="002C0C40" w:rsidRDefault="00826F18" w:rsidP="002C0C40">
      <w:pPr>
        <w:pStyle w:val="SingleTxt"/>
        <w:numPr>
          <w:ilvl w:val="0"/>
          <w:numId w:val="30"/>
        </w:numPr>
        <w:tabs>
          <w:tab w:val="clear" w:pos="1742"/>
          <w:tab w:val="clear" w:pos="2218"/>
          <w:tab w:val="left" w:pos="1530"/>
        </w:tabs>
        <w:spacing w:before="240" w:after="240" w:line="240" w:lineRule="auto"/>
        <w:ind w:left="1343"/>
        <w:rPr>
          <w:rFonts w:eastAsia="MS Mincho"/>
        </w:rPr>
      </w:pPr>
      <w:r w:rsidRPr="002C0C40">
        <w:rPr>
          <w:rFonts w:eastAsia="MS Mincho"/>
        </w:rPr>
        <w:t>In addition to the standard reporting, UNDP together with UNICEF, UNFPA and UN-Women provided detailed information on the effective cost-recovery rates and financial impact of the differentiated rates covering the period 2014 to 2019 in the joint comprehensive proposal on the cost-recovery policy (DP/FPA-ICEF-UNW/2020/1). The joint comprehensive cost-recovery policy was approved in September 2020 through decision 2020/12 and includes cost-classification categories, methodology and rates effective 1 January 2022.</w:t>
      </w:r>
    </w:p>
    <w:p w14:paraId="7AA53393" w14:textId="77777777" w:rsidR="00826F18" w:rsidRPr="002C0C40" w:rsidRDefault="00826F18" w:rsidP="002C0C40">
      <w:pPr>
        <w:pStyle w:val="SingleTxt"/>
        <w:numPr>
          <w:ilvl w:val="0"/>
          <w:numId w:val="30"/>
        </w:numPr>
        <w:tabs>
          <w:tab w:val="clear" w:pos="1742"/>
          <w:tab w:val="clear" w:pos="2218"/>
          <w:tab w:val="left" w:pos="1530"/>
        </w:tabs>
        <w:spacing w:before="240" w:after="240" w:line="240" w:lineRule="auto"/>
        <w:ind w:left="1343"/>
        <w:rPr>
          <w:rFonts w:eastAsia="MS Mincho"/>
        </w:rPr>
      </w:pPr>
      <w:r w:rsidRPr="002C0C40">
        <w:rPr>
          <w:rFonts w:eastAsia="MS Mincho"/>
        </w:rPr>
        <w:t>In its decision 2020/12, the Executive Board requested “UNDP and UNFPA, in collaboration with UNICEF and UN-Women, to provide harmonized annual reporting on the progress of implementation of the cost recovery policy as an annex to their respective existing reporting, including the presentation of the financial impact of the harmonized differentiated rates and waivers granted, and to continue including, in line with the policy, inter alia an itemization of each waiver/discount listing the donor name, total contribution, programme name, cost-recovery rate and United States dollar value of the waiver/discount, as well as the resulting effective cost-recovery rates and cost-recovery amounts realized”.</w:t>
      </w:r>
    </w:p>
    <w:p w14:paraId="2EB875CE" w14:textId="77777777" w:rsidR="00826F18" w:rsidRPr="00445778" w:rsidRDefault="00826F18" w:rsidP="00445778">
      <w:pPr>
        <w:pStyle w:val="H1"/>
        <w:numPr>
          <w:ilvl w:val="0"/>
          <w:numId w:val="32"/>
        </w:numPr>
        <w:tabs>
          <w:tab w:val="clear" w:pos="1022"/>
          <w:tab w:val="clear" w:pos="1742"/>
          <w:tab w:val="right" w:pos="1440"/>
          <w:tab w:val="num" w:pos="1692"/>
          <w:tab w:val="left" w:pos="1800"/>
        </w:tabs>
        <w:spacing w:before="240" w:after="240" w:line="240" w:lineRule="auto"/>
        <w:ind w:left="1152" w:right="0" w:hanging="432"/>
        <w:outlineLvl w:val="1"/>
      </w:pPr>
      <w:r w:rsidRPr="00445778">
        <w:lastRenderedPageBreak/>
        <w:t>Cost recovery waivers</w:t>
      </w:r>
    </w:p>
    <w:p w14:paraId="758C2CC9" w14:textId="77777777" w:rsidR="00826F18" w:rsidRPr="00445778" w:rsidRDefault="00826F18" w:rsidP="00445778">
      <w:pPr>
        <w:pStyle w:val="SingleTxt"/>
        <w:numPr>
          <w:ilvl w:val="0"/>
          <w:numId w:val="30"/>
        </w:numPr>
        <w:tabs>
          <w:tab w:val="clear" w:pos="1742"/>
          <w:tab w:val="clear" w:pos="2218"/>
          <w:tab w:val="left" w:pos="1530"/>
        </w:tabs>
        <w:spacing w:before="240" w:after="240" w:line="240" w:lineRule="auto"/>
        <w:ind w:left="1343"/>
        <w:rPr>
          <w:rFonts w:eastAsia="MS Mincho"/>
        </w:rPr>
      </w:pPr>
      <w:r w:rsidRPr="00445778">
        <w:rPr>
          <w:rFonts w:eastAsia="MS Mincho"/>
        </w:rPr>
        <w:t>UNDP makes every effort to apply the Executive Board decisions regulating the General Management Services (GMS) cost recovery rate applied to non-core programme expenses, to recover the costs incurred by UNDP in managing programmes funded from non-core resources.  Whilst infrequent, GMS waivers continue to be demanded by funding partners. UNDP considers carefully all demands by funding partners for waivers, and has agreed to such demands only in exceptional cases where the project funding would otherwise be at risk, negatively impacting UNDP’s ability to help programme countries to achieve development results.</w:t>
      </w:r>
    </w:p>
    <w:p w14:paraId="794669A9" w14:textId="77777777" w:rsidR="00826F18" w:rsidRPr="00445778" w:rsidRDefault="00826F18" w:rsidP="00445778">
      <w:pPr>
        <w:pStyle w:val="SingleTxt"/>
        <w:numPr>
          <w:ilvl w:val="0"/>
          <w:numId w:val="30"/>
        </w:numPr>
        <w:tabs>
          <w:tab w:val="clear" w:pos="1742"/>
          <w:tab w:val="clear" w:pos="2218"/>
          <w:tab w:val="left" w:pos="1530"/>
        </w:tabs>
        <w:spacing w:before="240" w:after="240" w:line="240" w:lineRule="auto"/>
        <w:ind w:left="1343"/>
        <w:rPr>
          <w:rFonts w:eastAsia="MS Mincho"/>
        </w:rPr>
      </w:pPr>
      <w:r w:rsidRPr="00445778">
        <w:rPr>
          <w:rFonts w:eastAsia="MS Mincho"/>
        </w:rPr>
        <w:t xml:space="preserve">Accordingly, information on GMS waivers is presented here in two segments: </w:t>
      </w:r>
    </w:p>
    <w:p w14:paraId="2FA02067" w14:textId="77777777" w:rsidR="00826F18" w:rsidRPr="00445778" w:rsidRDefault="00826F18" w:rsidP="00FF308E">
      <w:pPr>
        <w:pStyle w:val="SingleTxt"/>
        <w:numPr>
          <w:ilvl w:val="2"/>
          <w:numId w:val="30"/>
        </w:numPr>
        <w:tabs>
          <w:tab w:val="clear" w:pos="1742"/>
          <w:tab w:val="clear" w:pos="2218"/>
          <w:tab w:val="left" w:pos="1530"/>
        </w:tabs>
        <w:spacing w:before="240" w:after="240" w:line="240" w:lineRule="auto"/>
        <w:ind w:left="1908"/>
        <w:rPr>
          <w:rFonts w:eastAsia="MS Mincho"/>
        </w:rPr>
      </w:pPr>
      <w:r w:rsidRPr="00445778">
        <w:rPr>
          <w:rFonts w:eastAsia="MS Mincho"/>
        </w:rPr>
        <w:t>GMS waiver issued in 2020; and</w:t>
      </w:r>
    </w:p>
    <w:p w14:paraId="2D07D268" w14:textId="77777777" w:rsidR="00826F18" w:rsidRPr="00445778" w:rsidRDefault="00826F18" w:rsidP="00FF308E">
      <w:pPr>
        <w:pStyle w:val="SingleTxt"/>
        <w:numPr>
          <w:ilvl w:val="2"/>
          <w:numId w:val="30"/>
        </w:numPr>
        <w:tabs>
          <w:tab w:val="clear" w:pos="1742"/>
          <w:tab w:val="clear" w:pos="2218"/>
          <w:tab w:val="left" w:pos="1530"/>
        </w:tabs>
        <w:spacing w:before="240" w:after="240" w:line="240" w:lineRule="auto"/>
        <w:ind w:left="1908"/>
        <w:rPr>
          <w:rFonts w:eastAsia="MS Mincho"/>
        </w:rPr>
      </w:pPr>
      <w:r w:rsidRPr="00445778">
        <w:rPr>
          <w:rFonts w:eastAsia="MS Mincho"/>
        </w:rPr>
        <w:t>GMS waivers issued prior to 2020 for activities on-going in 2020</w:t>
      </w:r>
    </w:p>
    <w:p w14:paraId="789A430A" w14:textId="77777777" w:rsidR="00826F18" w:rsidRPr="00445778" w:rsidRDefault="00826F18" w:rsidP="00445778">
      <w:pPr>
        <w:pStyle w:val="SingleTxt"/>
        <w:numPr>
          <w:ilvl w:val="0"/>
          <w:numId w:val="30"/>
        </w:numPr>
        <w:tabs>
          <w:tab w:val="clear" w:pos="1742"/>
          <w:tab w:val="clear" w:pos="2218"/>
          <w:tab w:val="left" w:pos="1530"/>
        </w:tabs>
        <w:spacing w:before="240" w:after="240" w:line="240" w:lineRule="auto"/>
        <w:ind w:left="1343"/>
        <w:rPr>
          <w:rFonts w:eastAsia="MS Mincho"/>
        </w:rPr>
      </w:pPr>
      <w:r w:rsidRPr="00445778">
        <w:rPr>
          <w:rFonts w:eastAsia="MS Mincho"/>
        </w:rPr>
        <w:t>Separate from the above referred GMS waivers, this note also sets out framework agreements with multilateral funding partners where GMS rates were agreed below the current 8% GMS rate.</w:t>
      </w:r>
    </w:p>
    <w:p w14:paraId="2642B41D" w14:textId="3D2E3155" w:rsidR="00826F18" w:rsidRPr="009204C6" w:rsidRDefault="009204C6" w:rsidP="009204C6">
      <w:pPr>
        <w:pStyle w:val="H4"/>
        <w:tabs>
          <w:tab w:val="clear" w:pos="1742"/>
          <w:tab w:val="left" w:pos="1440"/>
          <w:tab w:val="left" w:pos="1620"/>
        </w:tabs>
        <w:spacing w:before="240" w:after="240" w:line="240" w:lineRule="auto"/>
        <w:ind w:left="1008" w:firstLine="0"/>
        <w:outlineLvl w:val="2"/>
        <w:rPr>
          <w:b/>
          <w:bCs/>
          <w:i w:val="0"/>
          <w:iCs/>
          <w:sz w:val="24"/>
          <w:szCs w:val="24"/>
        </w:rPr>
      </w:pPr>
      <w:proofErr w:type="spellStart"/>
      <w:r w:rsidRPr="009204C6">
        <w:rPr>
          <w:b/>
          <w:bCs/>
          <w:i w:val="0"/>
          <w:iCs/>
          <w:sz w:val="24"/>
          <w:szCs w:val="24"/>
        </w:rPr>
        <w:t>i</w:t>
      </w:r>
      <w:proofErr w:type="spellEnd"/>
      <w:r w:rsidRPr="009204C6">
        <w:rPr>
          <w:b/>
          <w:bCs/>
          <w:i w:val="0"/>
          <w:iCs/>
          <w:sz w:val="24"/>
          <w:szCs w:val="24"/>
        </w:rPr>
        <w:t xml:space="preserve">. </w:t>
      </w:r>
      <w:r w:rsidR="00826F18" w:rsidRPr="009204C6">
        <w:rPr>
          <w:b/>
          <w:bCs/>
          <w:i w:val="0"/>
          <w:iCs/>
          <w:sz w:val="24"/>
          <w:szCs w:val="24"/>
        </w:rPr>
        <w:t>GMS waivers issued in 2020</w:t>
      </w:r>
    </w:p>
    <w:p w14:paraId="10F5EA7A" w14:textId="77777777" w:rsidR="00826F18" w:rsidRPr="00F76DC4" w:rsidRDefault="00826F18" w:rsidP="00F76DC4">
      <w:pPr>
        <w:pStyle w:val="SingleTxt"/>
        <w:numPr>
          <w:ilvl w:val="0"/>
          <w:numId w:val="30"/>
        </w:numPr>
        <w:tabs>
          <w:tab w:val="clear" w:pos="1742"/>
          <w:tab w:val="clear" w:pos="2218"/>
          <w:tab w:val="left" w:pos="1530"/>
        </w:tabs>
        <w:spacing w:before="240" w:after="240" w:line="240" w:lineRule="auto"/>
        <w:ind w:left="1343"/>
        <w:rPr>
          <w:rFonts w:eastAsia="MS Mincho"/>
        </w:rPr>
      </w:pPr>
      <w:r w:rsidRPr="00F76DC4">
        <w:rPr>
          <w:rFonts w:eastAsia="MS Mincho"/>
        </w:rPr>
        <w:t>During 2020, only one new waiver for a reduced 5 per cent fee was granted for a new project in Mexico, “</w:t>
      </w:r>
      <w:proofErr w:type="spellStart"/>
      <w:r w:rsidRPr="00F76DC4">
        <w:rPr>
          <w:rFonts w:eastAsia="MS Mincho"/>
        </w:rPr>
        <w:t>Apoyo</w:t>
      </w:r>
      <w:proofErr w:type="spellEnd"/>
      <w:r w:rsidRPr="00F76DC4">
        <w:rPr>
          <w:rFonts w:eastAsia="MS Mincho"/>
        </w:rPr>
        <w:t xml:space="preserve"> </w:t>
      </w:r>
      <w:proofErr w:type="spellStart"/>
      <w:r w:rsidRPr="00F76DC4">
        <w:rPr>
          <w:rFonts w:eastAsia="MS Mincho"/>
        </w:rPr>
        <w:t>Gobierno</w:t>
      </w:r>
      <w:proofErr w:type="spellEnd"/>
      <w:r w:rsidRPr="00F76DC4">
        <w:rPr>
          <w:rFonts w:eastAsia="MS Mincho"/>
        </w:rPr>
        <w:t xml:space="preserve"> de Mexico COVID-19”, for the contribution of $1,176,000 from “Fundación BBVA </w:t>
      </w:r>
      <w:proofErr w:type="spellStart"/>
      <w:r w:rsidRPr="00F76DC4">
        <w:rPr>
          <w:rFonts w:eastAsia="MS Mincho"/>
        </w:rPr>
        <w:t>Bancomer</w:t>
      </w:r>
      <w:proofErr w:type="spellEnd"/>
      <w:r w:rsidRPr="00F76DC4">
        <w:rPr>
          <w:rFonts w:eastAsia="MS Mincho"/>
        </w:rPr>
        <w:t>” with financial impact of $33,582  on 2020 delivery out of its total financial impact of  $38,110.</w:t>
      </w:r>
    </w:p>
    <w:p w14:paraId="16580FD0" w14:textId="151FAF03" w:rsidR="00826F18" w:rsidRPr="009204C6" w:rsidRDefault="00826F18" w:rsidP="009204C6">
      <w:pPr>
        <w:pStyle w:val="H4"/>
        <w:tabs>
          <w:tab w:val="clear" w:pos="1742"/>
          <w:tab w:val="left" w:pos="1440"/>
          <w:tab w:val="left" w:pos="1620"/>
        </w:tabs>
        <w:spacing w:before="240" w:after="240" w:line="240" w:lineRule="auto"/>
        <w:ind w:left="1008" w:firstLine="0"/>
        <w:outlineLvl w:val="2"/>
        <w:rPr>
          <w:b/>
          <w:bCs/>
          <w:i w:val="0"/>
          <w:iCs/>
          <w:sz w:val="24"/>
          <w:szCs w:val="24"/>
        </w:rPr>
      </w:pPr>
      <w:r w:rsidRPr="009204C6">
        <w:rPr>
          <w:b/>
          <w:bCs/>
          <w:i w:val="0"/>
          <w:iCs/>
          <w:sz w:val="24"/>
          <w:szCs w:val="24"/>
        </w:rPr>
        <w:t>ii.</w:t>
      </w:r>
      <w:r w:rsidR="00F76DC4" w:rsidRPr="009204C6">
        <w:rPr>
          <w:b/>
          <w:bCs/>
          <w:i w:val="0"/>
          <w:iCs/>
          <w:sz w:val="24"/>
          <w:szCs w:val="24"/>
        </w:rPr>
        <w:t xml:space="preserve"> </w:t>
      </w:r>
      <w:r w:rsidRPr="009204C6">
        <w:rPr>
          <w:b/>
          <w:bCs/>
          <w:i w:val="0"/>
          <w:iCs/>
          <w:sz w:val="24"/>
          <w:szCs w:val="24"/>
        </w:rPr>
        <w:t>GMS waivers issued prior to 2020 for activities on-going in 2020</w:t>
      </w:r>
    </w:p>
    <w:p w14:paraId="3C54F20D" w14:textId="77777777" w:rsidR="00826F18" w:rsidRPr="009204C6" w:rsidRDefault="00826F18" w:rsidP="009204C6">
      <w:pPr>
        <w:pStyle w:val="SingleTxt"/>
        <w:numPr>
          <w:ilvl w:val="0"/>
          <w:numId w:val="30"/>
        </w:numPr>
        <w:tabs>
          <w:tab w:val="clear" w:pos="1742"/>
          <w:tab w:val="clear" w:pos="2218"/>
          <w:tab w:val="left" w:pos="1530"/>
        </w:tabs>
        <w:spacing w:before="240" w:after="240" w:line="240" w:lineRule="auto"/>
        <w:ind w:left="1343"/>
        <w:rPr>
          <w:rFonts w:eastAsia="MS Mincho"/>
        </w:rPr>
      </w:pPr>
      <w:r w:rsidRPr="009204C6">
        <w:rPr>
          <w:rFonts w:eastAsia="MS Mincho"/>
        </w:rPr>
        <w:t>In addition to the above, four projects with reduced GMS rates were ongoing in 2020 where the donors have insisted on retaining the previously agreed GMS rates due to project size and scale:</w:t>
      </w:r>
    </w:p>
    <w:p w14:paraId="427D42A2" w14:textId="77777777" w:rsidR="00826F18" w:rsidRPr="00884C5E" w:rsidRDefault="00826F18" w:rsidP="000313F0">
      <w:pPr>
        <w:pStyle w:val="ListParagraph"/>
        <w:numPr>
          <w:ilvl w:val="0"/>
          <w:numId w:val="34"/>
        </w:numPr>
        <w:spacing w:before="120" w:after="120"/>
        <w:ind w:right="1267"/>
        <w:contextualSpacing w:val="0"/>
        <w:jc w:val="both"/>
        <w:rPr>
          <w:rFonts w:ascii="Times New Roman" w:hAnsi="Times New Roman"/>
          <w:bCs/>
          <w:sz w:val="20"/>
        </w:rPr>
      </w:pPr>
      <w:r w:rsidRPr="00884C5E">
        <w:rPr>
          <w:rFonts w:ascii="Times New Roman" w:hAnsi="Times New Roman"/>
          <w:bCs/>
          <w:sz w:val="20"/>
        </w:rPr>
        <w:t>A reduced (4 per cent) fee was applied for a contribution from Global Fund for "Commitment Towards Fast Tracking 90-90-90 Targets and Ending AIDS by 2030" in Zimbabwe, as previously reported in the annexes to the Annual review of the situation, 2017 (DP/2018/19); and</w:t>
      </w:r>
    </w:p>
    <w:p w14:paraId="5A722BD9" w14:textId="77777777" w:rsidR="00826F18" w:rsidRPr="00884C5E" w:rsidRDefault="00826F18" w:rsidP="000313F0">
      <w:pPr>
        <w:pStyle w:val="ListParagraph"/>
        <w:numPr>
          <w:ilvl w:val="0"/>
          <w:numId w:val="34"/>
        </w:numPr>
        <w:spacing w:before="120" w:after="120"/>
        <w:ind w:right="1267"/>
        <w:contextualSpacing w:val="0"/>
        <w:jc w:val="both"/>
        <w:rPr>
          <w:rFonts w:ascii="Times New Roman" w:hAnsi="Times New Roman"/>
          <w:bCs/>
          <w:sz w:val="20"/>
        </w:rPr>
      </w:pPr>
      <w:r w:rsidRPr="00884C5E">
        <w:rPr>
          <w:rFonts w:ascii="Times New Roman" w:hAnsi="Times New Roman"/>
          <w:bCs/>
          <w:sz w:val="20"/>
        </w:rPr>
        <w:t xml:space="preserve">A reduced (4 per cent) fee was applied for contributions to "Law &amp; Order Trust Fund for Afghanistan – MOIA (Ministry of Interior Affairs) Afghanistan Development Outcome – Capacities for reform and accountable and efficient MOIA management and oversight are improved with integrated civilian and uniformed leadership and management and Support to payroll management”, as previously reported in the annexes to the Annual review of the financial situation, 2015 (DP/2015/26); </w:t>
      </w:r>
    </w:p>
    <w:p w14:paraId="69090C5B" w14:textId="77777777" w:rsidR="00826F18" w:rsidRPr="00884C5E" w:rsidRDefault="00826F18" w:rsidP="000313F0">
      <w:pPr>
        <w:pStyle w:val="ListParagraph"/>
        <w:numPr>
          <w:ilvl w:val="0"/>
          <w:numId w:val="34"/>
        </w:numPr>
        <w:spacing w:before="120" w:after="120"/>
        <w:ind w:right="1267"/>
        <w:contextualSpacing w:val="0"/>
        <w:jc w:val="both"/>
        <w:rPr>
          <w:rFonts w:ascii="Times New Roman" w:hAnsi="Times New Roman"/>
          <w:bCs/>
          <w:sz w:val="20"/>
        </w:rPr>
      </w:pPr>
      <w:r w:rsidRPr="00884C5E">
        <w:rPr>
          <w:rFonts w:ascii="Times New Roman" w:hAnsi="Times New Roman"/>
          <w:bCs/>
          <w:sz w:val="20"/>
        </w:rPr>
        <w:t>A reduced (3 per cent) fee for contributions to the "Yemen Crisis Response III”, as reported in the annexes to the Midterm review of the UNDP integrated resources plan and integrated budget, 2018-</w:t>
      </w:r>
      <w:proofErr w:type="gramStart"/>
      <w:r w:rsidRPr="00884C5E">
        <w:rPr>
          <w:rFonts w:ascii="Times New Roman" w:hAnsi="Times New Roman"/>
          <w:bCs/>
          <w:sz w:val="20"/>
        </w:rPr>
        <w:t>2021  (</w:t>
      </w:r>
      <w:proofErr w:type="gramEnd"/>
      <w:r w:rsidRPr="00884C5E">
        <w:rPr>
          <w:rFonts w:ascii="Times New Roman" w:hAnsi="Times New Roman"/>
          <w:bCs/>
          <w:sz w:val="20"/>
        </w:rPr>
        <w:t>DP/2020/09);</w:t>
      </w:r>
    </w:p>
    <w:p w14:paraId="1B2BE7D0" w14:textId="77777777" w:rsidR="00826F18" w:rsidRPr="00884C5E" w:rsidRDefault="00826F18" w:rsidP="000313F0">
      <w:pPr>
        <w:pStyle w:val="ListParagraph"/>
        <w:numPr>
          <w:ilvl w:val="0"/>
          <w:numId w:val="34"/>
        </w:numPr>
        <w:spacing w:before="120" w:after="120"/>
        <w:ind w:right="1267"/>
        <w:contextualSpacing w:val="0"/>
        <w:jc w:val="both"/>
        <w:rPr>
          <w:rFonts w:ascii="Times New Roman" w:hAnsi="Times New Roman"/>
          <w:sz w:val="20"/>
        </w:rPr>
      </w:pPr>
      <w:r w:rsidRPr="00884C5E">
        <w:rPr>
          <w:rFonts w:ascii="Times New Roman" w:hAnsi="Times New Roman"/>
          <w:sz w:val="20"/>
        </w:rPr>
        <w:lastRenderedPageBreak/>
        <w:t>A reduced (5 per cent) fee for a contribution to the "UN Democratic Republic of the Congo Humanitarian Fund”, as reported in the annexes to the Midterm review of the UNDP integrated resources plan and integrated budget, 2018-2021 (DP/2020/09).</w:t>
      </w:r>
    </w:p>
    <w:p w14:paraId="14B9F7B4" w14:textId="77777777" w:rsidR="00826F18" w:rsidRPr="00884C5E" w:rsidRDefault="00826F18" w:rsidP="000313F0">
      <w:pPr>
        <w:spacing w:before="240" w:after="240"/>
        <w:ind w:firstLine="720"/>
        <w:jc w:val="both"/>
        <w:rPr>
          <w:rFonts w:ascii="Times New Roman" w:hAnsi="Times New Roman"/>
          <w:sz w:val="20"/>
        </w:rPr>
      </w:pPr>
      <w:r w:rsidRPr="00884C5E">
        <w:rPr>
          <w:rFonts w:ascii="Times New Roman" w:hAnsi="Times New Roman"/>
          <w:sz w:val="20"/>
        </w:rPr>
        <w:t>The financial impact of the above four projects in 2018-2020 is summarized below:</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20"/>
        <w:gridCol w:w="2376"/>
        <w:gridCol w:w="1277"/>
        <w:gridCol w:w="1278"/>
        <w:gridCol w:w="1278"/>
      </w:tblGrid>
      <w:tr w:rsidR="00826F18" w:rsidRPr="00884C5E" w14:paraId="4BFBC365" w14:textId="77777777" w:rsidTr="008F14F5">
        <w:trPr>
          <w:trHeight w:val="575"/>
        </w:trPr>
        <w:tc>
          <w:tcPr>
            <w:tcW w:w="2075" w:type="dxa"/>
            <w:shd w:val="clear" w:color="auto" w:fill="auto"/>
            <w:vAlign w:val="center"/>
            <w:hideMark/>
          </w:tcPr>
          <w:p w14:paraId="3A2C56E7" w14:textId="77777777" w:rsidR="00826F18" w:rsidRPr="008F14F5" w:rsidRDefault="00826F18" w:rsidP="00434984">
            <w:pPr>
              <w:ind w:firstLineChars="100" w:firstLine="181"/>
              <w:rPr>
                <w:rFonts w:ascii="Times New Roman" w:hAnsi="Times New Roman"/>
                <w:b/>
                <w:bCs/>
                <w:color w:val="000000"/>
                <w:sz w:val="18"/>
                <w:szCs w:val="18"/>
              </w:rPr>
            </w:pPr>
            <w:r w:rsidRPr="008F14F5">
              <w:rPr>
                <w:rFonts w:ascii="Times New Roman" w:hAnsi="Times New Roman"/>
                <w:b/>
                <w:bCs/>
                <w:color w:val="000000"/>
                <w:sz w:val="18"/>
                <w:szCs w:val="18"/>
              </w:rPr>
              <w:t>Projects</w:t>
            </w:r>
          </w:p>
        </w:tc>
        <w:tc>
          <w:tcPr>
            <w:tcW w:w="720" w:type="dxa"/>
            <w:shd w:val="clear" w:color="auto" w:fill="auto"/>
            <w:vAlign w:val="center"/>
            <w:hideMark/>
          </w:tcPr>
          <w:p w14:paraId="520EAC51" w14:textId="77777777" w:rsidR="00826F18" w:rsidRPr="008F14F5" w:rsidRDefault="00826F18" w:rsidP="00434984">
            <w:pPr>
              <w:rPr>
                <w:rFonts w:ascii="Times New Roman" w:hAnsi="Times New Roman"/>
                <w:b/>
                <w:bCs/>
                <w:color w:val="000000"/>
                <w:sz w:val="18"/>
                <w:szCs w:val="18"/>
              </w:rPr>
            </w:pPr>
            <w:r w:rsidRPr="008F14F5">
              <w:rPr>
                <w:rFonts w:ascii="Times New Roman" w:hAnsi="Times New Roman"/>
                <w:b/>
                <w:bCs/>
                <w:color w:val="000000"/>
                <w:sz w:val="18"/>
                <w:szCs w:val="18"/>
              </w:rPr>
              <w:t>GMS rate</w:t>
            </w:r>
          </w:p>
        </w:tc>
        <w:tc>
          <w:tcPr>
            <w:tcW w:w="2376" w:type="dxa"/>
            <w:tcBorders>
              <w:bottom w:val="single" w:sz="4" w:space="0" w:color="auto"/>
            </w:tcBorders>
            <w:shd w:val="clear" w:color="auto" w:fill="auto"/>
            <w:vAlign w:val="center"/>
            <w:hideMark/>
          </w:tcPr>
          <w:p w14:paraId="17F57572" w14:textId="77777777" w:rsidR="00826F18" w:rsidRPr="008F14F5" w:rsidRDefault="00826F18" w:rsidP="00434984">
            <w:pPr>
              <w:ind w:firstLineChars="100" w:firstLine="181"/>
              <w:jc w:val="center"/>
              <w:rPr>
                <w:rFonts w:ascii="Times New Roman" w:hAnsi="Times New Roman"/>
                <w:b/>
                <w:bCs/>
                <w:color w:val="000000"/>
                <w:sz w:val="18"/>
                <w:szCs w:val="18"/>
              </w:rPr>
            </w:pPr>
            <w:r w:rsidRPr="008F14F5">
              <w:rPr>
                <w:rFonts w:ascii="Times New Roman" w:hAnsi="Times New Roman"/>
                <w:b/>
                <w:bCs/>
                <w:color w:val="000000"/>
                <w:sz w:val="18"/>
                <w:szCs w:val="18"/>
              </w:rPr>
              <w:t>Funding partner</w:t>
            </w:r>
          </w:p>
        </w:tc>
        <w:tc>
          <w:tcPr>
            <w:tcW w:w="1277" w:type="dxa"/>
            <w:tcBorders>
              <w:bottom w:val="single" w:sz="4" w:space="0" w:color="auto"/>
            </w:tcBorders>
            <w:shd w:val="clear" w:color="auto" w:fill="auto"/>
            <w:vAlign w:val="center"/>
            <w:hideMark/>
          </w:tcPr>
          <w:p w14:paraId="3EA75DF9" w14:textId="77777777" w:rsidR="00826F18" w:rsidRPr="008F14F5" w:rsidRDefault="00826F18" w:rsidP="00434984">
            <w:pPr>
              <w:ind w:firstLineChars="100" w:firstLine="181"/>
              <w:jc w:val="center"/>
              <w:rPr>
                <w:rFonts w:ascii="Times New Roman" w:hAnsi="Times New Roman"/>
                <w:b/>
                <w:bCs/>
                <w:color w:val="000000"/>
                <w:sz w:val="18"/>
                <w:szCs w:val="18"/>
              </w:rPr>
            </w:pPr>
            <w:r w:rsidRPr="008F14F5">
              <w:rPr>
                <w:rFonts w:ascii="Times New Roman" w:hAnsi="Times New Roman"/>
                <w:b/>
                <w:bCs/>
                <w:color w:val="000000"/>
                <w:sz w:val="18"/>
                <w:szCs w:val="18"/>
              </w:rPr>
              <w:t>2018</w:t>
            </w:r>
          </w:p>
        </w:tc>
        <w:tc>
          <w:tcPr>
            <w:tcW w:w="1278" w:type="dxa"/>
            <w:tcBorders>
              <w:bottom w:val="single" w:sz="4" w:space="0" w:color="auto"/>
            </w:tcBorders>
            <w:shd w:val="clear" w:color="auto" w:fill="auto"/>
            <w:vAlign w:val="center"/>
            <w:hideMark/>
          </w:tcPr>
          <w:p w14:paraId="35CCDED7" w14:textId="77777777" w:rsidR="00826F18" w:rsidRPr="008F14F5" w:rsidRDefault="00826F18" w:rsidP="00434984">
            <w:pPr>
              <w:ind w:firstLineChars="100" w:firstLine="181"/>
              <w:jc w:val="center"/>
              <w:rPr>
                <w:rFonts w:ascii="Times New Roman" w:hAnsi="Times New Roman"/>
                <w:b/>
                <w:bCs/>
                <w:color w:val="000000"/>
                <w:sz w:val="18"/>
                <w:szCs w:val="18"/>
              </w:rPr>
            </w:pPr>
            <w:r w:rsidRPr="008F14F5">
              <w:rPr>
                <w:rFonts w:ascii="Times New Roman" w:hAnsi="Times New Roman"/>
                <w:b/>
                <w:bCs/>
                <w:color w:val="000000"/>
                <w:sz w:val="18"/>
                <w:szCs w:val="18"/>
              </w:rPr>
              <w:t>2019</w:t>
            </w:r>
          </w:p>
        </w:tc>
        <w:tc>
          <w:tcPr>
            <w:tcW w:w="1278" w:type="dxa"/>
            <w:tcBorders>
              <w:bottom w:val="single" w:sz="4" w:space="0" w:color="auto"/>
            </w:tcBorders>
            <w:shd w:val="clear" w:color="auto" w:fill="auto"/>
            <w:vAlign w:val="center"/>
            <w:hideMark/>
          </w:tcPr>
          <w:p w14:paraId="0F8DBF97" w14:textId="77777777" w:rsidR="00826F18" w:rsidRPr="008F14F5" w:rsidRDefault="00826F18" w:rsidP="00434984">
            <w:pPr>
              <w:ind w:firstLineChars="100" w:firstLine="181"/>
              <w:jc w:val="center"/>
              <w:rPr>
                <w:rFonts w:ascii="Times New Roman" w:hAnsi="Times New Roman"/>
                <w:b/>
                <w:bCs/>
                <w:color w:val="000000"/>
                <w:sz w:val="18"/>
                <w:szCs w:val="18"/>
              </w:rPr>
            </w:pPr>
            <w:r w:rsidRPr="008F14F5">
              <w:rPr>
                <w:rFonts w:ascii="Times New Roman" w:hAnsi="Times New Roman"/>
                <w:b/>
                <w:bCs/>
                <w:color w:val="000000"/>
                <w:sz w:val="18"/>
                <w:szCs w:val="18"/>
              </w:rPr>
              <w:t>2020</w:t>
            </w:r>
          </w:p>
        </w:tc>
      </w:tr>
      <w:tr w:rsidR="00826F18" w:rsidRPr="00884C5E" w14:paraId="3F853300" w14:textId="77777777" w:rsidTr="008F14F5">
        <w:trPr>
          <w:trHeight w:val="728"/>
        </w:trPr>
        <w:tc>
          <w:tcPr>
            <w:tcW w:w="2075" w:type="dxa"/>
            <w:shd w:val="clear" w:color="auto" w:fill="auto"/>
            <w:vAlign w:val="center"/>
            <w:hideMark/>
          </w:tcPr>
          <w:p w14:paraId="1483D4BB" w14:textId="77777777" w:rsidR="00826F18" w:rsidRPr="008F14F5" w:rsidRDefault="00826F18" w:rsidP="00434984">
            <w:pPr>
              <w:rPr>
                <w:rFonts w:ascii="Times New Roman" w:hAnsi="Times New Roman"/>
                <w:color w:val="000000"/>
                <w:sz w:val="16"/>
                <w:szCs w:val="16"/>
              </w:rPr>
            </w:pPr>
            <w:r w:rsidRPr="008F14F5">
              <w:rPr>
                <w:rFonts w:ascii="Times New Roman" w:hAnsi="Times New Roman"/>
                <w:color w:val="000000"/>
                <w:sz w:val="16"/>
                <w:szCs w:val="16"/>
              </w:rPr>
              <w:t xml:space="preserve">"Commitment Towards Fast Tracking 90-90-90 Targets and Ending AIDS by 2030" in Zimbabwe </w:t>
            </w:r>
          </w:p>
        </w:tc>
        <w:tc>
          <w:tcPr>
            <w:tcW w:w="720" w:type="dxa"/>
            <w:shd w:val="clear" w:color="auto" w:fill="auto"/>
            <w:vAlign w:val="center"/>
            <w:hideMark/>
          </w:tcPr>
          <w:p w14:paraId="2084D803" w14:textId="77777777" w:rsidR="00826F18" w:rsidRPr="008F14F5" w:rsidRDefault="00826F18" w:rsidP="00434984">
            <w:pPr>
              <w:ind w:firstLineChars="100" w:firstLine="160"/>
              <w:jc w:val="right"/>
              <w:rPr>
                <w:rFonts w:ascii="Times New Roman" w:hAnsi="Times New Roman"/>
                <w:color w:val="000000"/>
                <w:sz w:val="16"/>
                <w:szCs w:val="16"/>
              </w:rPr>
            </w:pPr>
            <w:r w:rsidRPr="008F14F5">
              <w:rPr>
                <w:rFonts w:ascii="Times New Roman" w:hAnsi="Times New Roman"/>
                <w:color w:val="000000"/>
                <w:sz w:val="16"/>
                <w:szCs w:val="16"/>
              </w:rPr>
              <w:t>4%</w:t>
            </w:r>
          </w:p>
        </w:tc>
        <w:tc>
          <w:tcPr>
            <w:tcW w:w="2376" w:type="dxa"/>
            <w:shd w:val="clear" w:color="auto" w:fill="auto"/>
            <w:vAlign w:val="center"/>
            <w:hideMark/>
          </w:tcPr>
          <w:p w14:paraId="235FA8E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GFATM</w:t>
            </w:r>
          </w:p>
        </w:tc>
        <w:tc>
          <w:tcPr>
            <w:tcW w:w="1277" w:type="dxa"/>
            <w:shd w:val="clear" w:color="auto" w:fill="auto"/>
            <w:vAlign w:val="center"/>
            <w:hideMark/>
          </w:tcPr>
          <w:p w14:paraId="27DFA081"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$3,518,566 </w:t>
            </w:r>
          </w:p>
        </w:tc>
        <w:tc>
          <w:tcPr>
            <w:tcW w:w="1278" w:type="dxa"/>
            <w:shd w:val="clear" w:color="auto" w:fill="auto"/>
            <w:vAlign w:val="center"/>
            <w:hideMark/>
          </w:tcPr>
          <w:p w14:paraId="491D2EA2"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$5,260,059 </w:t>
            </w:r>
          </w:p>
        </w:tc>
        <w:tc>
          <w:tcPr>
            <w:tcW w:w="1278" w:type="dxa"/>
            <w:shd w:val="clear" w:color="auto" w:fill="auto"/>
            <w:vAlign w:val="center"/>
            <w:hideMark/>
          </w:tcPr>
          <w:p w14:paraId="7F92D869"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$4,869,058 </w:t>
            </w:r>
          </w:p>
        </w:tc>
      </w:tr>
      <w:tr w:rsidR="00826F18" w:rsidRPr="00884C5E" w14:paraId="0E946A31" w14:textId="77777777" w:rsidTr="008F14F5">
        <w:trPr>
          <w:trHeight w:val="288"/>
        </w:trPr>
        <w:tc>
          <w:tcPr>
            <w:tcW w:w="2075" w:type="dxa"/>
            <w:vMerge w:val="restart"/>
            <w:shd w:val="clear" w:color="auto" w:fill="auto"/>
            <w:vAlign w:val="center"/>
            <w:hideMark/>
          </w:tcPr>
          <w:p w14:paraId="74024E67" w14:textId="77777777" w:rsidR="00826F18" w:rsidRPr="008F14F5" w:rsidRDefault="00826F18" w:rsidP="00434984">
            <w:pPr>
              <w:rPr>
                <w:rFonts w:ascii="Times New Roman" w:hAnsi="Times New Roman"/>
                <w:color w:val="000000"/>
                <w:sz w:val="16"/>
                <w:szCs w:val="16"/>
              </w:rPr>
            </w:pPr>
            <w:r w:rsidRPr="008F14F5">
              <w:rPr>
                <w:rFonts w:ascii="Times New Roman" w:hAnsi="Times New Roman"/>
                <w:color w:val="000000"/>
                <w:sz w:val="16"/>
                <w:szCs w:val="16"/>
              </w:rPr>
              <w:t xml:space="preserve">"Law &amp; Order Trust Fund for Afghanistan” </w:t>
            </w:r>
          </w:p>
          <w:p w14:paraId="040D7F69" w14:textId="02BEB909" w:rsidR="00826F18" w:rsidRPr="008F14F5" w:rsidRDefault="00826F18" w:rsidP="008F14F5">
            <w:pPr>
              <w:ind w:firstLineChars="100" w:firstLine="160"/>
              <w:rPr>
                <w:rFonts w:ascii="Times New Roman" w:hAnsi="Times New Roman"/>
                <w:color w:val="000000"/>
                <w:sz w:val="16"/>
                <w:szCs w:val="16"/>
              </w:rPr>
            </w:pPr>
            <w:r w:rsidRPr="008F14F5">
              <w:rPr>
                <w:rFonts w:ascii="Times New Roman" w:hAnsi="Times New Roman"/>
                <w:color w:val="000000"/>
                <w:sz w:val="16"/>
                <w:szCs w:val="16"/>
              </w:rPr>
              <w:t>  </w:t>
            </w:r>
          </w:p>
        </w:tc>
        <w:tc>
          <w:tcPr>
            <w:tcW w:w="720" w:type="dxa"/>
            <w:vMerge w:val="restart"/>
            <w:shd w:val="clear" w:color="auto" w:fill="auto"/>
            <w:vAlign w:val="center"/>
            <w:hideMark/>
          </w:tcPr>
          <w:p w14:paraId="6AA55390" w14:textId="0B46B173" w:rsidR="00826F18" w:rsidRPr="008F14F5" w:rsidRDefault="00826F18" w:rsidP="00434984">
            <w:pPr>
              <w:ind w:firstLineChars="100" w:firstLine="160"/>
              <w:jc w:val="right"/>
              <w:rPr>
                <w:rFonts w:ascii="Times New Roman" w:hAnsi="Times New Roman"/>
                <w:color w:val="000000"/>
                <w:sz w:val="16"/>
                <w:szCs w:val="16"/>
              </w:rPr>
            </w:pPr>
            <w:r w:rsidRPr="008F14F5">
              <w:rPr>
                <w:rFonts w:ascii="Times New Roman" w:hAnsi="Times New Roman"/>
                <w:color w:val="000000"/>
                <w:sz w:val="16"/>
                <w:szCs w:val="16"/>
              </w:rPr>
              <w:t>4%</w:t>
            </w:r>
          </w:p>
          <w:p w14:paraId="6383B60B" w14:textId="77777777" w:rsidR="00826F18" w:rsidRPr="008F14F5" w:rsidRDefault="00826F18" w:rsidP="00434984">
            <w:pPr>
              <w:ind w:firstLineChars="100" w:firstLine="160"/>
              <w:jc w:val="right"/>
              <w:rPr>
                <w:rFonts w:ascii="Times New Roman" w:hAnsi="Times New Roman"/>
                <w:color w:val="000000"/>
                <w:sz w:val="16"/>
                <w:szCs w:val="16"/>
              </w:rPr>
            </w:pPr>
            <w:r w:rsidRPr="008F14F5">
              <w:rPr>
                <w:rFonts w:ascii="Times New Roman" w:hAnsi="Times New Roman"/>
                <w:color w:val="000000"/>
                <w:sz w:val="16"/>
                <w:szCs w:val="16"/>
              </w:rPr>
              <w:t> </w:t>
            </w:r>
          </w:p>
        </w:tc>
        <w:tc>
          <w:tcPr>
            <w:tcW w:w="2376" w:type="dxa"/>
            <w:tcBorders>
              <w:bottom w:val="single" w:sz="4" w:space="0" w:color="auto"/>
            </w:tcBorders>
            <w:shd w:val="clear" w:color="auto" w:fill="auto"/>
            <w:vAlign w:val="center"/>
            <w:hideMark/>
          </w:tcPr>
          <w:p w14:paraId="4EEBB211"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Multiple donors, see details below:</w:t>
            </w:r>
          </w:p>
        </w:tc>
        <w:tc>
          <w:tcPr>
            <w:tcW w:w="1277" w:type="dxa"/>
            <w:tcBorders>
              <w:bottom w:val="single" w:sz="4" w:space="0" w:color="auto"/>
            </w:tcBorders>
            <w:shd w:val="clear" w:color="auto" w:fill="auto"/>
            <w:vAlign w:val="center"/>
            <w:hideMark/>
          </w:tcPr>
          <w:p w14:paraId="431B097F" w14:textId="77777777" w:rsidR="00826F18" w:rsidRPr="00884C5E" w:rsidRDefault="00826F18" w:rsidP="00434984">
            <w:pPr>
              <w:ind w:firstLineChars="100" w:firstLine="141"/>
              <w:jc w:val="right"/>
              <w:rPr>
                <w:rFonts w:ascii="Times New Roman" w:hAnsi="Times New Roman"/>
                <w:b/>
                <w:bCs/>
                <w:color w:val="000000"/>
                <w:sz w:val="14"/>
                <w:szCs w:val="14"/>
              </w:rPr>
            </w:pPr>
            <w:r w:rsidRPr="00884C5E">
              <w:rPr>
                <w:rFonts w:ascii="Times New Roman" w:hAnsi="Times New Roman"/>
                <w:b/>
                <w:bCs/>
                <w:color w:val="000000"/>
                <w:sz w:val="14"/>
                <w:szCs w:val="14"/>
              </w:rPr>
              <w:t>Total: $14,635,077</w:t>
            </w:r>
          </w:p>
        </w:tc>
        <w:tc>
          <w:tcPr>
            <w:tcW w:w="1278" w:type="dxa"/>
            <w:tcBorders>
              <w:bottom w:val="single" w:sz="4" w:space="0" w:color="auto"/>
            </w:tcBorders>
            <w:shd w:val="clear" w:color="auto" w:fill="auto"/>
            <w:vAlign w:val="center"/>
            <w:hideMark/>
          </w:tcPr>
          <w:p w14:paraId="7F48265F" w14:textId="77777777" w:rsidR="00826F18" w:rsidRPr="00884C5E" w:rsidRDefault="00826F18" w:rsidP="00434984">
            <w:pPr>
              <w:ind w:firstLineChars="100" w:firstLine="141"/>
              <w:jc w:val="right"/>
              <w:rPr>
                <w:rFonts w:ascii="Times New Roman" w:hAnsi="Times New Roman"/>
                <w:b/>
                <w:bCs/>
                <w:color w:val="000000"/>
                <w:sz w:val="14"/>
                <w:szCs w:val="14"/>
              </w:rPr>
            </w:pPr>
            <w:r w:rsidRPr="00884C5E">
              <w:rPr>
                <w:rFonts w:ascii="Times New Roman" w:hAnsi="Times New Roman"/>
                <w:b/>
                <w:bCs/>
                <w:color w:val="000000"/>
                <w:sz w:val="14"/>
                <w:szCs w:val="14"/>
              </w:rPr>
              <w:t>Total: $12,723,652</w:t>
            </w:r>
          </w:p>
        </w:tc>
        <w:tc>
          <w:tcPr>
            <w:tcW w:w="1278" w:type="dxa"/>
            <w:tcBorders>
              <w:bottom w:val="single" w:sz="4" w:space="0" w:color="auto"/>
            </w:tcBorders>
            <w:shd w:val="clear" w:color="auto" w:fill="auto"/>
            <w:vAlign w:val="center"/>
            <w:hideMark/>
          </w:tcPr>
          <w:p w14:paraId="0DF51788" w14:textId="77777777" w:rsidR="00826F18" w:rsidRPr="00884C5E" w:rsidRDefault="00826F18" w:rsidP="00434984">
            <w:pPr>
              <w:ind w:firstLineChars="100" w:firstLine="141"/>
              <w:jc w:val="right"/>
              <w:rPr>
                <w:rFonts w:ascii="Times New Roman" w:hAnsi="Times New Roman"/>
                <w:b/>
                <w:bCs/>
                <w:color w:val="000000"/>
                <w:sz w:val="14"/>
                <w:szCs w:val="14"/>
              </w:rPr>
            </w:pPr>
            <w:r w:rsidRPr="00884C5E">
              <w:rPr>
                <w:rFonts w:ascii="Times New Roman" w:hAnsi="Times New Roman"/>
                <w:b/>
                <w:bCs/>
                <w:color w:val="000000"/>
                <w:sz w:val="14"/>
                <w:szCs w:val="14"/>
              </w:rPr>
              <w:t>Total: $13,422,224</w:t>
            </w:r>
          </w:p>
        </w:tc>
      </w:tr>
      <w:tr w:rsidR="00826F18" w:rsidRPr="00884C5E" w14:paraId="3B9D9A29" w14:textId="77777777" w:rsidTr="008F14F5">
        <w:trPr>
          <w:trHeight w:val="288"/>
        </w:trPr>
        <w:tc>
          <w:tcPr>
            <w:tcW w:w="2075" w:type="dxa"/>
            <w:vMerge/>
            <w:shd w:val="clear" w:color="auto" w:fill="auto"/>
            <w:vAlign w:val="center"/>
            <w:hideMark/>
          </w:tcPr>
          <w:p w14:paraId="6EBA8C9A"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05B0CFA2"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tcBorders>
              <w:top w:val="single" w:sz="4" w:space="0" w:color="auto"/>
            </w:tcBorders>
            <w:shd w:val="clear" w:color="auto" w:fill="auto"/>
            <w:vAlign w:val="center"/>
            <w:hideMark/>
          </w:tcPr>
          <w:p w14:paraId="6B1A2BAD"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Thru Multi Donor Partnership Fund</w:t>
            </w:r>
          </w:p>
        </w:tc>
        <w:tc>
          <w:tcPr>
            <w:tcW w:w="1277" w:type="dxa"/>
            <w:tcBorders>
              <w:top w:val="single" w:sz="4" w:space="0" w:color="auto"/>
            </w:tcBorders>
            <w:shd w:val="clear" w:color="auto" w:fill="auto"/>
            <w:vAlign w:val="center"/>
            <w:hideMark/>
          </w:tcPr>
          <w:p w14:paraId="660A840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tcBorders>
              <w:top w:val="single" w:sz="4" w:space="0" w:color="auto"/>
            </w:tcBorders>
            <w:shd w:val="clear" w:color="auto" w:fill="auto"/>
            <w:vAlign w:val="center"/>
            <w:hideMark/>
          </w:tcPr>
          <w:p w14:paraId="3C780E3C"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tcBorders>
              <w:top w:val="single" w:sz="4" w:space="0" w:color="auto"/>
            </w:tcBorders>
            <w:shd w:val="clear" w:color="auto" w:fill="auto"/>
            <w:vAlign w:val="center"/>
            <w:hideMark/>
          </w:tcPr>
          <w:p w14:paraId="64C6D9C7"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                            $5,646,840 </w:t>
            </w:r>
          </w:p>
        </w:tc>
      </w:tr>
      <w:tr w:rsidR="00826F18" w:rsidRPr="00884C5E" w14:paraId="4A28DF83" w14:textId="77777777" w:rsidTr="008F14F5">
        <w:trPr>
          <w:trHeight w:val="288"/>
        </w:trPr>
        <w:tc>
          <w:tcPr>
            <w:tcW w:w="2075" w:type="dxa"/>
            <w:vMerge/>
            <w:shd w:val="clear" w:color="auto" w:fill="auto"/>
            <w:vAlign w:val="center"/>
            <w:hideMark/>
          </w:tcPr>
          <w:p w14:paraId="282FDBD5"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4F11320D"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61B9F4FD"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Japan</w:t>
            </w:r>
          </w:p>
        </w:tc>
        <w:tc>
          <w:tcPr>
            <w:tcW w:w="1277" w:type="dxa"/>
            <w:shd w:val="clear" w:color="auto" w:fill="auto"/>
            <w:vAlign w:val="center"/>
            <w:hideMark/>
          </w:tcPr>
          <w:p w14:paraId="35F866B3"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$4,673,636 </w:t>
            </w:r>
          </w:p>
        </w:tc>
        <w:tc>
          <w:tcPr>
            <w:tcW w:w="1278" w:type="dxa"/>
            <w:shd w:val="clear" w:color="auto" w:fill="auto"/>
            <w:vAlign w:val="center"/>
            <w:hideMark/>
          </w:tcPr>
          <w:p w14:paraId="1588C43C"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$3,115,152 </w:t>
            </w:r>
          </w:p>
        </w:tc>
        <w:tc>
          <w:tcPr>
            <w:tcW w:w="1278" w:type="dxa"/>
            <w:shd w:val="clear" w:color="auto" w:fill="auto"/>
            <w:vAlign w:val="center"/>
            <w:hideMark/>
          </w:tcPr>
          <w:p w14:paraId="3ADCF82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$2,633,123 </w:t>
            </w:r>
          </w:p>
        </w:tc>
      </w:tr>
      <w:tr w:rsidR="00826F18" w:rsidRPr="00884C5E" w14:paraId="5BC1EE3A" w14:textId="77777777" w:rsidTr="008F14F5">
        <w:trPr>
          <w:trHeight w:val="288"/>
        </w:trPr>
        <w:tc>
          <w:tcPr>
            <w:tcW w:w="2075" w:type="dxa"/>
            <w:vMerge/>
            <w:shd w:val="clear" w:color="auto" w:fill="auto"/>
            <w:vAlign w:val="center"/>
            <w:hideMark/>
          </w:tcPr>
          <w:p w14:paraId="1D137B49"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0F6D5911"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70FEA7D5"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European Commission</w:t>
            </w:r>
          </w:p>
        </w:tc>
        <w:tc>
          <w:tcPr>
            <w:tcW w:w="1277" w:type="dxa"/>
            <w:shd w:val="clear" w:color="auto" w:fill="auto"/>
            <w:vAlign w:val="center"/>
            <w:hideMark/>
          </w:tcPr>
          <w:p w14:paraId="74797B3B"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$1,643,704 </w:t>
            </w:r>
          </w:p>
        </w:tc>
        <w:tc>
          <w:tcPr>
            <w:tcW w:w="1278" w:type="dxa"/>
            <w:shd w:val="clear" w:color="auto" w:fill="auto"/>
            <w:vAlign w:val="center"/>
            <w:hideMark/>
          </w:tcPr>
          <w:p w14:paraId="73797327"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$2,470,943 </w:t>
            </w:r>
          </w:p>
        </w:tc>
        <w:tc>
          <w:tcPr>
            <w:tcW w:w="1278" w:type="dxa"/>
            <w:shd w:val="clear" w:color="auto" w:fill="auto"/>
            <w:vAlign w:val="center"/>
            <w:hideMark/>
          </w:tcPr>
          <w:p w14:paraId="15438E97"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$1,345,359 </w:t>
            </w:r>
          </w:p>
        </w:tc>
      </w:tr>
      <w:tr w:rsidR="00826F18" w:rsidRPr="00884C5E" w14:paraId="2D1E2B46" w14:textId="77777777" w:rsidTr="008F14F5">
        <w:trPr>
          <w:trHeight w:val="288"/>
        </w:trPr>
        <w:tc>
          <w:tcPr>
            <w:tcW w:w="2075" w:type="dxa"/>
            <w:vMerge/>
            <w:shd w:val="clear" w:color="auto" w:fill="auto"/>
            <w:vAlign w:val="center"/>
            <w:hideMark/>
          </w:tcPr>
          <w:p w14:paraId="39DD09D4"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6FCECCED"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6B9881CD"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Germany</w:t>
            </w:r>
          </w:p>
        </w:tc>
        <w:tc>
          <w:tcPr>
            <w:tcW w:w="1277" w:type="dxa"/>
            <w:shd w:val="clear" w:color="auto" w:fill="auto"/>
            <w:vAlign w:val="center"/>
            <w:hideMark/>
          </w:tcPr>
          <w:p w14:paraId="54B89047"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$2,969,172 </w:t>
            </w:r>
          </w:p>
        </w:tc>
        <w:tc>
          <w:tcPr>
            <w:tcW w:w="1278" w:type="dxa"/>
            <w:shd w:val="clear" w:color="auto" w:fill="auto"/>
            <w:vAlign w:val="center"/>
            <w:hideMark/>
          </w:tcPr>
          <w:p w14:paraId="4783E8E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$4,091,599 </w:t>
            </w:r>
          </w:p>
        </w:tc>
        <w:tc>
          <w:tcPr>
            <w:tcW w:w="1278" w:type="dxa"/>
            <w:shd w:val="clear" w:color="auto" w:fill="auto"/>
            <w:vAlign w:val="center"/>
            <w:hideMark/>
          </w:tcPr>
          <w:p w14:paraId="2A8AE273"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$2,057,266 </w:t>
            </w:r>
          </w:p>
        </w:tc>
      </w:tr>
      <w:tr w:rsidR="00826F18" w:rsidRPr="00884C5E" w14:paraId="002F8133" w14:textId="77777777" w:rsidTr="008F14F5">
        <w:trPr>
          <w:trHeight w:val="288"/>
        </w:trPr>
        <w:tc>
          <w:tcPr>
            <w:tcW w:w="2075" w:type="dxa"/>
            <w:vMerge/>
            <w:shd w:val="clear" w:color="auto" w:fill="auto"/>
            <w:vAlign w:val="center"/>
            <w:hideMark/>
          </w:tcPr>
          <w:p w14:paraId="796ED991"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2C9D9846"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34E76E00"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Italy</w:t>
            </w:r>
          </w:p>
        </w:tc>
        <w:tc>
          <w:tcPr>
            <w:tcW w:w="1277" w:type="dxa"/>
            <w:shd w:val="clear" w:color="auto" w:fill="auto"/>
            <w:vAlign w:val="center"/>
            <w:hideMark/>
          </w:tcPr>
          <w:p w14:paraId="2D73D529"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$2,373,257 </w:t>
            </w:r>
          </w:p>
        </w:tc>
        <w:tc>
          <w:tcPr>
            <w:tcW w:w="1278" w:type="dxa"/>
            <w:shd w:val="clear" w:color="auto" w:fill="auto"/>
            <w:vAlign w:val="center"/>
            <w:hideMark/>
          </w:tcPr>
          <w:p w14:paraId="4FC5539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$2,494,138 </w:t>
            </w:r>
          </w:p>
        </w:tc>
        <w:tc>
          <w:tcPr>
            <w:tcW w:w="1278" w:type="dxa"/>
            <w:shd w:val="clear" w:color="auto" w:fill="auto"/>
            <w:vAlign w:val="center"/>
            <w:hideMark/>
          </w:tcPr>
          <w:p w14:paraId="6024D5EB"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$1,319,722 </w:t>
            </w:r>
          </w:p>
        </w:tc>
      </w:tr>
      <w:tr w:rsidR="00826F18" w:rsidRPr="00884C5E" w14:paraId="5FF9951E" w14:textId="77777777" w:rsidTr="008F14F5">
        <w:trPr>
          <w:trHeight w:val="288"/>
        </w:trPr>
        <w:tc>
          <w:tcPr>
            <w:tcW w:w="2075" w:type="dxa"/>
            <w:vMerge/>
            <w:shd w:val="clear" w:color="auto" w:fill="auto"/>
            <w:vAlign w:val="center"/>
            <w:hideMark/>
          </w:tcPr>
          <w:p w14:paraId="397C396D"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6DB3D167"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26755D99"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the United Kingdom</w:t>
            </w:r>
          </w:p>
        </w:tc>
        <w:tc>
          <w:tcPr>
            <w:tcW w:w="1277" w:type="dxa"/>
            <w:shd w:val="clear" w:color="auto" w:fill="auto"/>
            <w:vAlign w:val="center"/>
            <w:hideMark/>
          </w:tcPr>
          <w:p w14:paraId="7F946FC0"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$1,775,929 </w:t>
            </w:r>
          </w:p>
        </w:tc>
        <w:tc>
          <w:tcPr>
            <w:tcW w:w="1278" w:type="dxa"/>
            <w:shd w:val="clear" w:color="auto" w:fill="auto"/>
            <w:vAlign w:val="center"/>
            <w:hideMark/>
          </w:tcPr>
          <w:p w14:paraId="7C90094A"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shd w:val="clear" w:color="auto" w:fill="auto"/>
            <w:vAlign w:val="center"/>
            <w:hideMark/>
          </w:tcPr>
          <w:p w14:paraId="3CC1557E"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r>
      <w:tr w:rsidR="00826F18" w:rsidRPr="00884C5E" w14:paraId="6224ACB7" w14:textId="77777777" w:rsidTr="008F14F5">
        <w:trPr>
          <w:trHeight w:val="288"/>
        </w:trPr>
        <w:tc>
          <w:tcPr>
            <w:tcW w:w="2075" w:type="dxa"/>
            <w:vMerge/>
            <w:shd w:val="clear" w:color="auto" w:fill="auto"/>
            <w:vAlign w:val="center"/>
            <w:hideMark/>
          </w:tcPr>
          <w:p w14:paraId="04DA91A5"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50121014"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5FFF9E63"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Australia</w:t>
            </w:r>
          </w:p>
        </w:tc>
        <w:tc>
          <w:tcPr>
            <w:tcW w:w="1277" w:type="dxa"/>
            <w:shd w:val="clear" w:color="auto" w:fill="auto"/>
            <w:vAlign w:val="center"/>
            <w:hideMark/>
          </w:tcPr>
          <w:p w14:paraId="6C6C34F9"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$546,695 </w:t>
            </w:r>
          </w:p>
        </w:tc>
        <w:tc>
          <w:tcPr>
            <w:tcW w:w="1278" w:type="dxa"/>
            <w:shd w:val="clear" w:color="auto" w:fill="auto"/>
            <w:vAlign w:val="center"/>
            <w:hideMark/>
          </w:tcPr>
          <w:p w14:paraId="0E391BB6"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shd w:val="clear" w:color="auto" w:fill="auto"/>
            <w:vAlign w:val="center"/>
            <w:hideMark/>
          </w:tcPr>
          <w:p w14:paraId="3FE8D44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r>
      <w:tr w:rsidR="00826F18" w:rsidRPr="00884C5E" w14:paraId="0625347C" w14:textId="77777777" w:rsidTr="008F14F5">
        <w:trPr>
          <w:trHeight w:val="288"/>
        </w:trPr>
        <w:tc>
          <w:tcPr>
            <w:tcW w:w="2075" w:type="dxa"/>
            <w:vMerge/>
            <w:shd w:val="clear" w:color="auto" w:fill="auto"/>
            <w:vAlign w:val="center"/>
            <w:hideMark/>
          </w:tcPr>
          <w:p w14:paraId="3402CB29"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6A38C633"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1F18785B"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Norway</w:t>
            </w:r>
          </w:p>
        </w:tc>
        <w:tc>
          <w:tcPr>
            <w:tcW w:w="1277" w:type="dxa"/>
            <w:shd w:val="clear" w:color="auto" w:fill="auto"/>
            <w:vAlign w:val="center"/>
            <w:hideMark/>
          </w:tcPr>
          <w:p w14:paraId="08CE0F22"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$222,696 </w:t>
            </w:r>
          </w:p>
        </w:tc>
        <w:tc>
          <w:tcPr>
            <w:tcW w:w="1278" w:type="dxa"/>
            <w:shd w:val="clear" w:color="auto" w:fill="auto"/>
            <w:vAlign w:val="center"/>
            <w:hideMark/>
          </w:tcPr>
          <w:p w14:paraId="6427372F"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$421,021 </w:t>
            </w:r>
          </w:p>
        </w:tc>
        <w:tc>
          <w:tcPr>
            <w:tcW w:w="1278" w:type="dxa"/>
            <w:shd w:val="clear" w:color="auto" w:fill="auto"/>
            <w:vAlign w:val="center"/>
            <w:hideMark/>
          </w:tcPr>
          <w:p w14:paraId="4F7CE9E1"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$301,782 </w:t>
            </w:r>
          </w:p>
        </w:tc>
      </w:tr>
      <w:tr w:rsidR="00826F18" w:rsidRPr="00884C5E" w14:paraId="1F1E69B4" w14:textId="77777777" w:rsidTr="008F14F5">
        <w:trPr>
          <w:trHeight w:val="288"/>
        </w:trPr>
        <w:tc>
          <w:tcPr>
            <w:tcW w:w="2075" w:type="dxa"/>
            <w:vMerge/>
            <w:shd w:val="clear" w:color="auto" w:fill="auto"/>
            <w:vAlign w:val="center"/>
            <w:hideMark/>
          </w:tcPr>
          <w:p w14:paraId="5C5B210F"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2F101624"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172E26D1"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Republic of Korea</w:t>
            </w:r>
          </w:p>
        </w:tc>
        <w:tc>
          <w:tcPr>
            <w:tcW w:w="1277" w:type="dxa"/>
            <w:shd w:val="clear" w:color="auto" w:fill="auto"/>
            <w:vAlign w:val="center"/>
            <w:hideMark/>
          </w:tcPr>
          <w:p w14:paraId="6093DB31"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$151,977 </w:t>
            </w:r>
          </w:p>
        </w:tc>
        <w:tc>
          <w:tcPr>
            <w:tcW w:w="1278" w:type="dxa"/>
            <w:shd w:val="clear" w:color="auto" w:fill="auto"/>
            <w:vAlign w:val="center"/>
            <w:hideMark/>
          </w:tcPr>
          <w:p w14:paraId="234CDAA4"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shd w:val="clear" w:color="auto" w:fill="auto"/>
            <w:vAlign w:val="center"/>
            <w:hideMark/>
          </w:tcPr>
          <w:p w14:paraId="566C985F"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$5,498</w:t>
            </w:r>
          </w:p>
        </w:tc>
      </w:tr>
      <w:tr w:rsidR="00826F18" w:rsidRPr="00884C5E" w14:paraId="6B359C75" w14:textId="77777777" w:rsidTr="008F14F5">
        <w:trPr>
          <w:trHeight w:val="288"/>
        </w:trPr>
        <w:tc>
          <w:tcPr>
            <w:tcW w:w="2075" w:type="dxa"/>
            <w:vMerge/>
            <w:shd w:val="clear" w:color="auto" w:fill="auto"/>
            <w:vAlign w:val="center"/>
            <w:hideMark/>
          </w:tcPr>
          <w:p w14:paraId="6CC9D529"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16037DA2"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1EF76D85"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New Zealand</w:t>
            </w:r>
          </w:p>
        </w:tc>
        <w:tc>
          <w:tcPr>
            <w:tcW w:w="1277" w:type="dxa"/>
            <w:shd w:val="clear" w:color="auto" w:fill="auto"/>
            <w:vAlign w:val="center"/>
            <w:hideMark/>
          </w:tcPr>
          <w:p w14:paraId="15314D9A"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$87,692 </w:t>
            </w:r>
          </w:p>
        </w:tc>
        <w:tc>
          <w:tcPr>
            <w:tcW w:w="1278" w:type="dxa"/>
            <w:shd w:val="clear" w:color="auto" w:fill="auto"/>
            <w:vAlign w:val="center"/>
            <w:hideMark/>
          </w:tcPr>
          <w:p w14:paraId="1F7ACEF6"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shd w:val="clear" w:color="auto" w:fill="auto"/>
            <w:vAlign w:val="center"/>
            <w:hideMark/>
          </w:tcPr>
          <w:p w14:paraId="456267D1"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r>
      <w:tr w:rsidR="00826F18" w:rsidRPr="00884C5E" w14:paraId="42D411B4" w14:textId="77777777" w:rsidTr="008F14F5">
        <w:trPr>
          <w:trHeight w:val="288"/>
        </w:trPr>
        <w:tc>
          <w:tcPr>
            <w:tcW w:w="2075" w:type="dxa"/>
            <w:vMerge/>
            <w:shd w:val="clear" w:color="auto" w:fill="auto"/>
            <w:vAlign w:val="center"/>
            <w:hideMark/>
          </w:tcPr>
          <w:p w14:paraId="02C0250D"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205A109B"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3A3BDC95"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United States of America</w:t>
            </w:r>
          </w:p>
        </w:tc>
        <w:tc>
          <w:tcPr>
            <w:tcW w:w="1277" w:type="dxa"/>
            <w:shd w:val="clear" w:color="auto" w:fill="auto"/>
            <w:vAlign w:val="center"/>
            <w:hideMark/>
          </w:tcPr>
          <w:p w14:paraId="258A1B8B"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$41,248 </w:t>
            </w:r>
          </w:p>
        </w:tc>
        <w:tc>
          <w:tcPr>
            <w:tcW w:w="1278" w:type="dxa"/>
            <w:shd w:val="clear" w:color="auto" w:fill="auto"/>
            <w:vAlign w:val="center"/>
            <w:hideMark/>
          </w:tcPr>
          <w:p w14:paraId="3E4F6E0D"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$54,274 </w:t>
            </w:r>
          </w:p>
        </w:tc>
        <w:tc>
          <w:tcPr>
            <w:tcW w:w="1278" w:type="dxa"/>
            <w:shd w:val="clear" w:color="auto" w:fill="auto"/>
            <w:vAlign w:val="center"/>
            <w:hideMark/>
          </w:tcPr>
          <w:p w14:paraId="083DB84D"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$112,468 </w:t>
            </w:r>
          </w:p>
        </w:tc>
      </w:tr>
      <w:tr w:rsidR="00826F18" w:rsidRPr="00884C5E" w14:paraId="4364A6AF" w14:textId="77777777" w:rsidTr="008F14F5">
        <w:trPr>
          <w:trHeight w:val="288"/>
        </w:trPr>
        <w:tc>
          <w:tcPr>
            <w:tcW w:w="2075" w:type="dxa"/>
            <w:vMerge/>
            <w:shd w:val="clear" w:color="auto" w:fill="auto"/>
            <w:vAlign w:val="center"/>
            <w:hideMark/>
          </w:tcPr>
          <w:p w14:paraId="5CB7F4EA"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183B9CA3"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41F4D4B5"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Croatia</w:t>
            </w:r>
          </w:p>
        </w:tc>
        <w:tc>
          <w:tcPr>
            <w:tcW w:w="1277" w:type="dxa"/>
            <w:shd w:val="clear" w:color="auto" w:fill="auto"/>
            <w:vAlign w:val="center"/>
            <w:hideMark/>
          </w:tcPr>
          <w:p w14:paraId="68910622"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$38,462 </w:t>
            </w:r>
          </w:p>
        </w:tc>
        <w:tc>
          <w:tcPr>
            <w:tcW w:w="1278" w:type="dxa"/>
            <w:shd w:val="clear" w:color="auto" w:fill="auto"/>
            <w:vAlign w:val="center"/>
            <w:hideMark/>
          </w:tcPr>
          <w:p w14:paraId="1EA53326"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$19,231 </w:t>
            </w:r>
          </w:p>
        </w:tc>
        <w:tc>
          <w:tcPr>
            <w:tcW w:w="1278" w:type="dxa"/>
            <w:shd w:val="clear" w:color="auto" w:fill="auto"/>
            <w:vAlign w:val="center"/>
            <w:hideMark/>
          </w:tcPr>
          <w:p w14:paraId="42A808C1"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r>
      <w:tr w:rsidR="00826F18" w:rsidRPr="00884C5E" w14:paraId="0FF038E2" w14:textId="77777777" w:rsidTr="008F14F5">
        <w:trPr>
          <w:trHeight w:val="288"/>
        </w:trPr>
        <w:tc>
          <w:tcPr>
            <w:tcW w:w="2075" w:type="dxa"/>
            <w:vMerge/>
            <w:shd w:val="clear" w:color="auto" w:fill="auto"/>
            <w:vAlign w:val="center"/>
            <w:hideMark/>
          </w:tcPr>
          <w:p w14:paraId="075B67DC"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58AC260E"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5F3CDDB2"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Switzerland</w:t>
            </w:r>
          </w:p>
        </w:tc>
        <w:tc>
          <w:tcPr>
            <w:tcW w:w="1277" w:type="dxa"/>
            <w:shd w:val="clear" w:color="auto" w:fill="auto"/>
            <w:vAlign w:val="center"/>
            <w:hideMark/>
          </w:tcPr>
          <w:p w14:paraId="3D11E41C"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$34,487 </w:t>
            </w:r>
          </w:p>
        </w:tc>
        <w:tc>
          <w:tcPr>
            <w:tcW w:w="1278" w:type="dxa"/>
            <w:shd w:val="clear" w:color="auto" w:fill="auto"/>
            <w:vAlign w:val="center"/>
            <w:hideMark/>
          </w:tcPr>
          <w:p w14:paraId="7268D5F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shd w:val="clear" w:color="auto" w:fill="auto"/>
            <w:vAlign w:val="center"/>
            <w:hideMark/>
          </w:tcPr>
          <w:p w14:paraId="3AE5761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r>
      <w:tr w:rsidR="00826F18" w:rsidRPr="00884C5E" w14:paraId="46EFE054" w14:textId="77777777" w:rsidTr="008F14F5">
        <w:trPr>
          <w:trHeight w:val="288"/>
        </w:trPr>
        <w:tc>
          <w:tcPr>
            <w:tcW w:w="2075" w:type="dxa"/>
            <w:vMerge/>
            <w:shd w:val="clear" w:color="auto" w:fill="auto"/>
            <w:vAlign w:val="center"/>
            <w:hideMark/>
          </w:tcPr>
          <w:p w14:paraId="0DC2F87E"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0BC3AAB5"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6C788651"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Netherlands</w:t>
            </w:r>
          </w:p>
        </w:tc>
        <w:tc>
          <w:tcPr>
            <w:tcW w:w="1277" w:type="dxa"/>
            <w:shd w:val="clear" w:color="auto" w:fill="auto"/>
            <w:vAlign w:val="center"/>
            <w:hideMark/>
          </w:tcPr>
          <w:p w14:paraId="66C5C3D7"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$29,372 </w:t>
            </w:r>
          </w:p>
        </w:tc>
        <w:tc>
          <w:tcPr>
            <w:tcW w:w="1278" w:type="dxa"/>
            <w:shd w:val="clear" w:color="auto" w:fill="auto"/>
            <w:vAlign w:val="center"/>
            <w:hideMark/>
          </w:tcPr>
          <w:p w14:paraId="4BF6F70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$35,482 </w:t>
            </w:r>
          </w:p>
        </w:tc>
        <w:tc>
          <w:tcPr>
            <w:tcW w:w="1278" w:type="dxa"/>
            <w:shd w:val="clear" w:color="auto" w:fill="auto"/>
            <w:vAlign w:val="center"/>
            <w:hideMark/>
          </w:tcPr>
          <w:p w14:paraId="5C6FC545"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$166 </w:t>
            </w:r>
          </w:p>
        </w:tc>
      </w:tr>
      <w:tr w:rsidR="00826F18" w:rsidRPr="00884C5E" w14:paraId="327E773D" w14:textId="77777777" w:rsidTr="008F14F5">
        <w:trPr>
          <w:trHeight w:val="288"/>
        </w:trPr>
        <w:tc>
          <w:tcPr>
            <w:tcW w:w="2075" w:type="dxa"/>
            <w:vMerge/>
            <w:shd w:val="clear" w:color="auto" w:fill="auto"/>
            <w:vAlign w:val="center"/>
            <w:hideMark/>
          </w:tcPr>
          <w:p w14:paraId="7B7DBE72"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220003A4"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75987787"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Estonia, Republic</w:t>
            </w:r>
          </w:p>
        </w:tc>
        <w:tc>
          <w:tcPr>
            <w:tcW w:w="1277" w:type="dxa"/>
            <w:shd w:val="clear" w:color="auto" w:fill="auto"/>
            <w:vAlign w:val="center"/>
            <w:hideMark/>
          </w:tcPr>
          <w:p w14:paraId="752E64C9"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$19,135 </w:t>
            </w:r>
          </w:p>
        </w:tc>
        <w:tc>
          <w:tcPr>
            <w:tcW w:w="1278" w:type="dxa"/>
            <w:shd w:val="clear" w:color="auto" w:fill="auto"/>
            <w:vAlign w:val="center"/>
            <w:hideMark/>
          </w:tcPr>
          <w:p w14:paraId="0FDD5ED8"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$11,752 </w:t>
            </w:r>
          </w:p>
        </w:tc>
        <w:tc>
          <w:tcPr>
            <w:tcW w:w="1278" w:type="dxa"/>
            <w:shd w:val="clear" w:color="auto" w:fill="auto"/>
            <w:vAlign w:val="center"/>
            <w:hideMark/>
          </w:tcPr>
          <w:p w14:paraId="3A8C46A2"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r>
      <w:tr w:rsidR="00826F18" w:rsidRPr="00884C5E" w14:paraId="16ECE218" w14:textId="77777777" w:rsidTr="008F14F5">
        <w:trPr>
          <w:trHeight w:val="288"/>
        </w:trPr>
        <w:tc>
          <w:tcPr>
            <w:tcW w:w="2075" w:type="dxa"/>
            <w:vMerge/>
            <w:shd w:val="clear" w:color="auto" w:fill="auto"/>
            <w:vAlign w:val="center"/>
            <w:hideMark/>
          </w:tcPr>
          <w:p w14:paraId="38B13674"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0182CB13"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11B53D98"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Afghanistan</w:t>
            </w:r>
          </w:p>
        </w:tc>
        <w:tc>
          <w:tcPr>
            <w:tcW w:w="1277" w:type="dxa"/>
            <w:shd w:val="clear" w:color="auto" w:fill="auto"/>
            <w:vAlign w:val="center"/>
            <w:hideMark/>
          </w:tcPr>
          <w:p w14:paraId="7108B1B4"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$14,282 </w:t>
            </w:r>
          </w:p>
        </w:tc>
        <w:tc>
          <w:tcPr>
            <w:tcW w:w="1278" w:type="dxa"/>
            <w:shd w:val="clear" w:color="auto" w:fill="auto"/>
            <w:vAlign w:val="center"/>
            <w:hideMark/>
          </w:tcPr>
          <w:p w14:paraId="759648A7"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shd w:val="clear" w:color="auto" w:fill="auto"/>
            <w:vAlign w:val="center"/>
            <w:hideMark/>
          </w:tcPr>
          <w:p w14:paraId="216E1373"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r>
      <w:tr w:rsidR="00826F18" w:rsidRPr="00884C5E" w14:paraId="1CEEF37B" w14:textId="77777777" w:rsidTr="008F14F5">
        <w:trPr>
          <w:trHeight w:val="288"/>
        </w:trPr>
        <w:tc>
          <w:tcPr>
            <w:tcW w:w="2075" w:type="dxa"/>
            <w:vMerge/>
            <w:shd w:val="clear" w:color="auto" w:fill="auto"/>
            <w:vAlign w:val="center"/>
            <w:hideMark/>
          </w:tcPr>
          <w:p w14:paraId="18AA78DB"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shd w:val="clear" w:color="auto" w:fill="auto"/>
            <w:vAlign w:val="center"/>
            <w:hideMark/>
          </w:tcPr>
          <w:p w14:paraId="5EEB1DA2"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shd w:val="clear" w:color="auto" w:fill="auto"/>
            <w:vAlign w:val="center"/>
            <w:hideMark/>
          </w:tcPr>
          <w:p w14:paraId="7CDCB2E7"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Poland</w:t>
            </w:r>
          </w:p>
        </w:tc>
        <w:tc>
          <w:tcPr>
            <w:tcW w:w="1277" w:type="dxa"/>
            <w:shd w:val="clear" w:color="auto" w:fill="auto"/>
            <w:vAlign w:val="center"/>
            <w:hideMark/>
          </w:tcPr>
          <w:p w14:paraId="39C84D11"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$11,108 </w:t>
            </w:r>
          </w:p>
        </w:tc>
        <w:tc>
          <w:tcPr>
            <w:tcW w:w="1278" w:type="dxa"/>
            <w:shd w:val="clear" w:color="auto" w:fill="auto"/>
            <w:vAlign w:val="center"/>
            <w:hideMark/>
          </w:tcPr>
          <w:p w14:paraId="54415679"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$10,060 </w:t>
            </w:r>
          </w:p>
        </w:tc>
        <w:tc>
          <w:tcPr>
            <w:tcW w:w="1278" w:type="dxa"/>
            <w:shd w:val="clear" w:color="auto" w:fill="auto"/>
            <w:vAlign w:val="center"/>
            <w:hideMark/>
          </w:tcPr>
          <w:p w14:paraId="699F3CDE"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r>
      <w:tr w:rsidR="00826F18" w:rsidRPr="00884C5E" w14:paraId="66BF0B6E" w14:textId="77777777" w:rsidTr="008F14F5">
        <w:trPr>
          <w:trHeight w:val="288"/>
        </w:trPr>
        <w:tc>
          <w:tcPr>
            <w:tcW w:w="2075" w:type="dxa"/>
            <w:vMerge/>
            <w:tcBorders>
              <w:bottom w:val="single" w:sz="4" w:space="0" w:color="auto"/>
            </w:tcBorders>
            <w:shd w:val="clear" w:color="auto" w:fill="auto"/>
            <w:vAlign w:val="center"/>
            <w:hideMark/>
          </w:tcPr>
          <w:p w14:paraId="15FF7F91" w14:textId="77777777" w:rsidR="00826F18" w:rsidRPr="008F14F5" w:rsidRDefault="00826F18" w:rsidP="00434984">
            <w:pPr>
              <w:ind w:firstLineChars="100" w:firstLine="160"/>
              <w:jc w:val="right"/>
              <w:rPr>
                <w:rFonts w:ascii="Times New Roman" w:hAnsi="Times New Roman"/>
                <w:color w:val="000000"/>
                <w:sz w:val="16"/>
                <w:szCs w:val="16"/>
              </w:rPr>
            </w:pPr>
          </w:p>
        </w:tc>
        <w:tc>
          <w:tcPr>
            <w:tcW w:w="720" w:type="dxa"/>
            <w:vMerge/>
            <w:tcBorders>
              <w:bottom w:val="single" w:sz="4" w:space="0" w:color="auto"/>
            </w:tcBorders>
            <w:shd w:val="clear" w:color="auto" w:fill="auto"/>
            <w:vAlign w:val="center"/>
            <w:hideMark/>
          </w:tcPr>
          <w:p w14:paraId="05CD94E7" w14:textId="77777777" w:rsidR="00826F18" w:rsidRPr="008F14F5" w:rsidRDefault="00826F18" w:rsidP="00434984">
            <w:pPr>
              <w:ind w:firstLineChars="100" w:firstLine="160"/>
              <w:jc w:val="right"/>
              <w:rPr>
                <w:rFonts w:ascii="Times New Roman" w:hAnsi="Times New Roman"/>
                <w:color w:val="000000"/>
                <w:sz w:val="16"/>
                <w:szCs w:val="16"/>
              </w:rPr>
            </w:pPr>
          </w:p>
        </w:tc>
        <w:tc>
          <w:tcPr>
            <w:tcW w:w="2376" w:type="dxa"/>
            <w:tcBorders>
              <w:bottom w:val="single" w:sz="4" w:space="0" w:color="auto"/>
            </w:tcBorders>
            <w:shd w:val="clear" w:color="auto" w:fill="auto"/>
            <w:vAlign w:val="center"/>
            <w:hideMark/>
          </w:tcPr>
          <w:p w14:paraId="3AD61060"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Government of Romania</w:t>
            </w:r>
          </w:p>
        </w:tc>
        <w:tc>
          <w:tcPr>
            <w:tcW w:w="1277" w:type="dxa"/>
            <w:tcBorders>
              <w:bottom w:val="single" w:sz="4" w:space="0" w:color="auto"/>
            </w:tcBorders>
            <w:shd w:val="clear" w:color="auto" w:fill="auto"/>
            <w:vAlign w:val="center"/>
            <w:hideMark/>
          </w:tcPr>
          <w:p w14:paraId="413EFE07"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$2,226 </w:t>
            </w:r>
          </w:p>
        </w:tc>
        <w:tc>
          <w:tcPr>
            <w:tcW w:w="1278" w:type="dxa"/>
            <w:tcBorders>
              <w:bottom w:val="single" w:sz="4" w:space="0" w:color="auto"/>
            </w:tcBorders>
            <w:shd w:val="clear" w:color="auto" w:fill="auto"/>
            <w:vAlign w:val="center"/>
            <w:hideMark/>
          </w:tcPr>
          <w:p w14:paraId="28A43380"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tcBorders>
              <w:bottom w:val="single" w:sz="4" w:space="0" w:color="auto"/>
            </w:tcBorders>
            <w:shd w:val="clear" w:color="auto" w:fill="auto"/>
            <w:vAlign w:val="center"/>
            <w:hideMark/>
          </w:tcPr>
          <w:p w14:paraId="3E5890FD"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r>
      <w:tr w:rsidR="00826F18" w:rsidRPr="00884C5E" w14:paraId="52E911B1" w14:textId="77777777" w:rsidTr="008F14F5">
        <w:trPr>
          <w:trHeight w:val="288"/>
        </w:trPr>
        <w:tc>
          <w:tcPr>
            <w:tcW w:w="2075" w:type="dxa"/>
            <w:tcBorders>
              <w:top w:val="single" w:sz="4" w:space="0" w:color="auto"/>
            </w:tcBorders>
            <w:shd w:val="clear" w:color="auto" w:fill="auto"/>
            <w:vAlign w:val="center"/>
            <w:hideMark/>
          </w:tcPr>
          <w:p w14:paraId="4A266CC7" w14:textId="77777777" w:rsidR="00826F18" w:rsidRPr="008F14F5" w:rsidRDefault="00826F18" w:rsidP="00434984">
            <w:pPr>
              <w:rPr>
                <w:rFonts w:ascii="Times New Roman" w:hAnsi="Times New Roman"/>
                <w:color w:val="000000"/>
                <w:sz w:val="16"/>
                <w:szCs w:val="16"/>
              </w:rPr>
            </w:pPr>
            <w:r w:rsidRPr="008F14F5">
              <w:rPr>
                <w:rFonts w:ascii="Times New Roman" w:hAnsi="Times New Roman"/>
                <w:color w:val="000000"/>
                <w:sz w:val="16"/>
                <w:szCs w:val="16"/>
              </w:rPr>
              <w:t xml:space="preserve">Yemen Crisis Response III </w:t>
            </w:r>
          </w:p>
        </w:tc>
        <w:tc>
          <w:tcPr>
            <w:tcW w:w="720" w:type="dxa"/>
            <w:tcBorders>
              <w:top w:val="single" w:sz="4" w:space="0" w:color="auto"/>
            </w:tcBorders>
            <w:shd w:val="clear" w:color="auto" w:fill="auto"/>
            <w:vAlign w:val="center"/>
            <w:hideMark/>
          </w:tcPr>
          <w:p w14:paraId="3F27E4C3" w14:textId="77777777" w:rsidR="00826F18" w:rsidRPr="008F14F5" w:rsidRDefault="00826F18" w:rsidP="00434984">
            <w:pPr>
              <w:ind w:firstLineChars="100" w:firstLine="160"/>
              <w:jc w:val="right"/>
              <w:rPr>
                <w:rFonts w:ascii="Times New Roman" w:hAnsi="Times New Roman"/>
                <w:color w:val="000000"/>
                <w:sz w:val="16"/>
                <w:szCs w:val="16"/>
              </w:rPr>
            </w:pPr>
            <w:r w:rsidRPr="008F14F5">
              <w:rPr>
                <w:rFonts w:ascii="Times New Roman" w:hAnsi="Times New Roman"/>
                <w:color w:val="000000"/>
                <w:sz w:val="16"/>
                <w:szCs w:val="16"/>
              </w:rPr>
              <w:t>3%</w:t>
            </w:r>
          </w:p>
        </w:tc>
        <w:tc>
          <w:tcPr>
            <w:tcW w:w="2376" w:type="dxa"/>
            <w:tcBorders>
              <w:top w:val="single" w:sz="4" w:space="0" w:color="auto"/>
            </w:tcBorders>
            <w:shd w:val="clear" w:color="auto" w:fill="auto"/>
            <w:vAlign w:val="center"/>
            <w:hideMark/>
          </w:tcPr>
          <w:p w14:paraId="787FD7D7"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World Bank</w:t>
            </w:r>
          </w:p>
        </w:tc>
        <w:tc>
          <w:tcPr>
            <w:tcW w:w="1277" w:type="dxa"/>
            <w:tcBorders>
              <w:top w:val="single" w:sz="4" w:space="0" w:color="auto"/>
            </w:tcBorders>
            <w:shd w:val="clear" w:color="auto" w:fill="auto"/>
            <w:vAlign w:val="center"/>
            <w:hideMark/>
          </w:tcPr>
          <w:p w14:paraId="5B884C7D"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tcBorders>
              <w:top w:val="single" w:sz="4" w:space="0" w:color="auto"/>
            </w:tcBorders>
            <w:shd w:val="clear" w:color="auto" w:fill="auto"/>
            <w:vAlign w:val="center"/>
            <w:hideMark/>
          </w:tcPr>
          <w:p w14:paraId="16EB3B24" w14:textId="77777777" w:rsidR="00826F18" w:rsidRPr="00884C5E" w:rsidRDefault="00826F18" w:rsidP="00434984">
            <w:pPr>
              <w:ind w:firstLineChars="100" w:firstLine="140"/>
              <w:jc w:val="center"/>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tcBorders>
              <w:top w:val="single" w:sz="4" w:space="0" w:color="auto"/>
            </w:tcBorders>
            <w:shd w:val="clear" w:color="auto" w:fill="auto"/>
            <w:vAlign w:val="center"/>
            <w:hideMark/>
          </w:tcPr>
          <w:p w14:paraId="5948A4D9"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$2,990,345 </w:t>
            </w:r>
          </w:p>
        </w:tc>
      </w:tr>
      <w:tr w:rsidR="00826F18" w:rsidRPr="00884C5E" w14:paraId="4F48CFAE" w14:textId="77777777" w:rsidTr="008F14F5">
        <w:trPr>
          <w:trHeight w:val="288"/>
        </w:trPr>
        <w:tc>
          <w:tcPr>
            <w:tcW w:w="2075" w:type="dxa"/>
            <w:shd w:val="clear" w:color="auto" w:fill="auto"/>
            <w:vAlign w:val="center"/>
            <w:hideMark/>
          </w:tcPr>
          <w:p w14:paraId="52588C9D" w14:textId="77777777" w:rsidR="00826F18" w:rsidRPr="008F14F5" w:rsidRDefault="00826F18" w:rsidP="00434984">
            <w:pPr>
              <w:rPr>
                <w:rFonts w:ascii="Times New Roman" w:hAnsi="Times New Roman"/>
                <w:color w:val="000000"/>
                <w:sz w:val="16"/>
                <w:szCs w:val="16"/>
              </w:rPr>
            </w:pPr>
            <w:r w:rsidRPr="008F14F5">
              <w:rPr>
                <w:rFonts w:ascii="Times New Roman" w:hAnsi="Times New Roman"/>
                <w:color w:val="000000"/>
                <w:sz w:val="16"/>
                <w:szCs w:val="16"/>
              </w:rPr>
              <w:t xml:space="preserve">UN DRC Humanitarian Fund in the Democratic Republic of the Congo </w:t>
            </w:r>
          </w:p>
        </w:tc>
        <w:tc>
          <w:tcPr>
            <w:tcW w:w="720" w:type="dxa"/>
            <w:shd w:val="clear" w:color="auto" w:fill="auto"/>
            <w:vAlign w:val="center"/>
            <w:hideMark/>
          </w:tcPr>
          <w:p w14:paraId="2A1750A8" w14:textId="77777777" w:rsidR="00826F18" w:rsidRPr="008F14F5" w:rsidRDefault="00826F18" w:rsidP="00434984">
            <w:pPr>
              <w:ind w:firstLineChars="100" w:firstLine="160"/>
              <w:jc w:val="right"/>
              <w:rPr>
                <w:rFonts w:ascii="Times New Roman" w:hAnsi="Times New Roman"/>
                <w:color w:val="000000"/>
                <w:sz w:val="16"/>
                <w:szCs w:val="16"/>
              </w:rPr>
            </w:pPr>
            <w:r w:rsidRPr="008F14F5">
              <w:rPr>
                <w:rFonts w:ascii="Times New Roman" w:hAnsi="Times New Roman"/>
                <w:color w:val="000000"/>
                <w:sz w:val="16"/>
                <w:szCs w:val="16"/>
              </w:rPr>
              <w:t>5%</w:t>
            </w:r>
          </w:p>
        </w:tc>
        <w:tc>
          <w:tcPr>
            <w:tcW w:w="2376" w:type="dxa"/>
            <w:shd w:val="clear" w:color="auto" w:fill="auto"/>
            <w:vAlign w:val="center"/>
            <w:hideMark/>
          </w:tcPr>
          <w:p w14:paraId="5B7E0CE7" w14:textId="77777777" w:rsidR="00826F18" w:rsidRPr="00884C5E" w:rsidRDefault="00826F18" w:rsidP="00434984">
            <w:pPr>
              <w:ind w:firstLineChars="100" w:firstLine="140"/>
              <w:rPr>
                <w:rFonts w:ascii="Times New Roman" w:hAnsi="Times New Roman"/>
                <w:color w:val="000000"/>
                <w:sz w:val="14"/>
                <w:szCs w:val="14"/>
              </w:rPr>
            </w:pPr>
            <w:r w:rsidRPr="00884C5E">
              <w:rPr>
                <w:rFonts w:ascii="Times New Roman" w:hAnsi="Times New Roman"/>
                <w:color w:val="000000"/>
                <w:sz w:val="14"/>
                <w:szCs w:val="14"/>
              </w:rPr>
              <w:t>UNOCHA</w:t>
            </w:r>
          </w:p>
        </w:tc>
        <w:tc>
          <w:tcPr>
            <w:tcW w:w="1277" w:type="dxa"/>
            <w:shd w:val="clear" w:color="auto" w:fill="auto"/>
            <w:vAlign w:val="center"/>
            <w:hideMark/>
          </w:tcPr>
          <w:p w14:paraId="0DC1EBE3"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shd w:val="clear" w:color="auto" w:fill="auto"/>
            <w:vAlign w:val="center"/>
            <w:hideMark/>
          </w:tcPr>
          <w:p w14:paraId="63832181"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w:t>
            </w:r>
          </w:p>
        </w:tc>
        <w:tc>
          <w:tcPr>
            <w:tcW w:w="1278" w:type="dxa"/>
            <w:shd w:val="clear" w:color="auto" w:fill="auto"/>
            <w:vAlign w:val="center"/>
            <w:hideMark/>
          </w:tcPr>
          <w:p w14:paraId="38A93AFD" w14:textId="77777777" w:rsidR="00826F18" w:rsidRPr="00884C5E" w:rsidRDefault="00826F18" w:rsidP="00434984">
            <w:pPr>
              <w:ind w:firstLineChars="100" w:firstLine="140"/>
              <w:jc w:val="right"/>
              <w:rPr>
                <w:rFonts w:ascii="Times New Roman" w:hAnsi="Times New Roman"/>
                <w:color w:val="000000"/>
                <w:sz w:val="14"/>
                <w:szCs w:val="14"/>
              </w:rPr>
            </w:pPr>
            <w:r w:rsidRPr="00884C5E">
              <w:rPr>
                <w:rFonts w:ascii="Times New Roman" w:hAnsi="Times New Roman"/>
                <w:color w:val="000000"/>
                <w:sz w:val="14"/>
                <w:szCs w:val="14"/>
              </w:rPr>
              <w:t xml:space="preserve">$916,778 </w:t>
            </w:r>
          </w:p>
        </w:tc>
      </w:tr>
      <w:tr w:rsidR="00826F18" w:rsidRPr="00884C5E" w14:paraId="60E7AC7B" w14:textId="77777777" w:rsidTr="008F14F5">
        <w:trPr>
          <w:trHeight w:val="322"/>
        </w:trPr>
        <w:tc>
          <w:tcPr>
            <w:tcW w:w="5171" w:type="dxa"/>
            <w:gridSpan w:val="3"/>
            <w:shd w:val="clear" w:color="auto" w:fill="auto"/>
            <w:vAlign w:val="center"/>
            <w:hideMark/>
          </w:tcPr>
          <w:p w14:paraId="375422E6" w14:textId="77777777" w:rsidR="00826F18" w:rsidRPr="008F14F5" w:rsidRDefault="00826F18" w:rsidP="00434984">
            <w:pPr>
              <w:ind w:firstLineChars="100" w:firstLine="161"/>
              <w:jc w:val="right"/>
              <w:rPr>
                <w:rFonts w:ascii="Times New Roman" w:hAnsi="Times New Roman"/>
                <w:b/>
                <w:bCs/>
                <w:color w:val="000000"/>
                <w:sz w:val="16"/>
                <w:szCs w:val="16"/>
              </w:rPr>
            </w:pPr>
            <w:r w:rsidRPr="008F14F5">
              <w:rPr>
                <w:rFonts w:ascii="Times New Roman" w:hAnsi="Times New Roman"/>
                <w:b/>
                <w:bCs/>
                <w:color w:val="000000"/>
                <w:sz w:val="16"/>
                <w:szCs w:val="16"/>
              </w:rPr>
              <w:t>Total Impact:</w:t>
            </w:r>
          </w:p>
        </w:tc>
        <w:tc>
          <w:tcPr>
            <w:tcW w:w="1277" w:type="dxa"/>
            <w:shd w:val="clear" w:color="auto" w:fill="auto"/>
            <w:vAlign w:val="center"/>
            <w:hideMark/>
          </w:tcPr>
          <w:p w14:paraId="31CB9F7B" w14:textId="77777777" w:rsidR="00826F18" w:rsidRPr="008F14F5" w:rsidRDefault="00826F18" w:rsidP="00434984">
            <w:pPr>
              <w:ind w:firstLineChars="100" w:firstLine="161"/>
              <w:jc w:val="right"/>
              <w:rPr>
                <w:rFonts w:ascii="Times New Roman" w:hAnsi="Times New Roman"/>
                <w:b/>
                <w:bCs/>
                <w:color w:val="000000"/>
                <w:sz w:val="16"/>
                <w:szCs w:val="16"/>
              </w:rPr>
            </w:pPr>
            <w:r w:rsidRPr="008F14F5">
              <w:rPr>
                <w:rFonts w:ascii="Times New Roman" w:hAnsi="Times New Roman"/>
                <w:b/>
                <w:bCs/>
                <w:color w:val="000000"/>
                <w:sz w:val="16"/>
                <w:szCs w:val="16"/>
              </w:rPr>
              <w:t xml:space="preserve">$18,153,643 </w:t>
            </w:r>
          </w:p>
        </w:tc>
        <w:tc>
          <w:tcPr>
            <w:tcW w:w="1278" w:type="dxa"/>
            <w:shd w:val="clear" w:color="auto" w:fill="auto"/>
            <w:vAlign w:val="center"/>
            <w:hideMark/>
          </w:tcPr>
          <w:p w14:paraId="6BB207EC" w14:textId="77777777" w:rsidR="00826F18" w:rsidRPr="008F14F5" w:rsidRDefault="00826F18" w:rsidP="00434984">
            <w:pPr>
              <w:ind w:firstLineChars="100" w:firstLine="161"/>
              <w:jc w:val="right"/>
              <w:rPr>
                <w:rFonts w:ascii="Times New Roman" w:hAnsi="Times New Roman"/>
                <w:b/>
                <w:bCs/>
                <w:color w:val="000000"/>
                <w:sz w:val="16"/>
                <w:szCs w:val="16"/>
              </w:rPr>
            </w:pPr>
            <w:r w:rsidRPr="008F14F5">
              <w:rPr>
                <w:rFonts w:ascii="Times New Roman" w:hAnsi="Times New Roman"/>
                <w:b/>
                <w:bCs/>
                <w:color w:val="000000"/>
                <w:sz w:val="16"/>
                <w:szCs w:val="16"/>
              </w:rPr>
              <w:t xml:space="preserve">$17,983,711 </w:t>
            </w:r>
          </w:p>
        </w:tc>
        <w:tc>
          <w:tcPr>
            <w:tcW w:w="1278" w:type="dxa"/>
            <w:shd w:val="clear" w:color="auto" w:fill="auto"/>
            <w:vAlign w:val="center"/>
            <w:hideMark/>
          </w:tcPr>
          <w:p w14:paraId="27E6EB90" w14:textId="77777777" w:rsidR="00826F18" w:rsidRPr="008F14F5" w:rsidRDefault="00826F18" w:rsidP="00434984">
            <w:pPr>
              <w:ind w:firstLineChars="100" w:firstLine="161"/>
              <w:jc w:val="right"/>
              <w:rPr>
                <w:rFonts w:ascii="Times New Roman" w:hAnsi="Times New Roman"/>
                <w:b/>
                <w:bCs/>
                <w:color w:val="000000"/>
                <w:sz w:val="16"/>
                <w:szCs w:val="16"/>
              </w:rPr>
            </w:pPr>
            <w:r w:rsidRPr="008F14F5">
              <w:rPr>
                <w:rFonts w:ascii="Times New Roman" w:hAnsi="Times New Roman"/>
                <w:b/>
                <w:bCs/>
                <w:color w:val="000000"/>
                <w:sz w:val="16"/>
                <w:szCs w:val="16"/>
              </w:rPr>
              <w:t xml:space="preserve">$22,198,406 </w:t>
            </w:r>
          </w:p>
        </w:tc>
      </w:tr>
    </w:tbl>
    <w:p w14:paraId="1177132B" w14:textId="77777777" w:rsidR="00826F18" w:rsidRPr="008F14F5" w:rsidRDefault="00826F18" w:rsidP="008F14F5">
      <w:pPr>
        <w:pStyle w:val="SingleTxt"/>
        <w:numPr>
          <w:ilvl w:val="0"/>
          <w:numId w:val="30"/>
        </w:numPr>
        <w:tabs>
          <w:tab w:val="clear" w:pos="1742"/>
          <w:tab w:val="clear" w:pos="2218"/>
          <w:tab w:val="left" w:pos="1530"/>
        </w:tabs>
        <w:spacing w:before="240" w:after="240" w:line="240" w:lineRule="auto"/>
        <w:ind w:left="1343"/>
        <w:rPr>
          <w:rFonts w:eastAsia="MS Mincho"/>
        </w:rPr>
      </w:pPr>
      <w:r w:rsidRPr="008F14F5">
        <w:rPr>
          <w:rFonts w:eastAsia="MS Mincho"/>
        </w:rPr>
        <w:t>A summary of the GMS waivers approved in 2016-2020 with the associated financial impact is set out in the below table.  It indicates that over the 2016-2020 period, the number of waivers granted has notably declined from 12 to 1.  The table also indicates that there has been a slight increase in the financial impact of GMS waivers granted in previous years from $17.0 million in 2016 to $22 million in 2020. The latter reflects donor reluctance to agree to higher cost recovery rates relating to previously signed contribution agreements, noting that the development activities are already in progress – in some cases over multiple years.</w:t>
      </w:r>
    </w:p>
    <w:p w14:paraId="20271CF5" w14:textId="77777777" w:rsidR="00826F18" w:rsidRPr="00884C5E" w:rsidRDefault="00826F18" w:rsidP="00826F18">
      <w:pPr>
        <w:pStyle w:val="ListParagraph"/>
        <w:jc w:val="both"/>
        <w:rPr>
          <w:rFonts w:ascii="Times New Roman" w:hAnsi="Times New Roman"/>
          <w:sz w:val="20"/>
        </w:rPr>
      </w:pPr>
    </w:p>
    <w:tbl>
      <w:tblPr>
        <w:tblW w:w="872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43" w:type="dxa"/>
          <w:right w:w="43" w:type="dxa"/>
        </w:tblCellMar>
        <w:tblLook w:val="04A0" w:firstRow="1" w:lastRow="0" w:firstColumn="1" w:lastColumn="0" w:noHBand="0" w:noVBand="1"/>
      </w:tblPr>
      <w:tblGrid>
        <w:gridCol w:w="2340"/>
        <w:gridCol w:w="1170"/>
        <w:gridCol w:w="1232"/>
        <w:gridCol w:w="1326"/>
        <w:gridCol w:w="1326"/>
        <w:gridCol w:w="1326"/>
      </w:tblGrid>
      <w:tr w:rsidR="00826F18" w:rsidRPr="00884C5E" w14:paraId="13995675" w14:textId="77777777" w:rsidTr="00F95BC2">
        <w:trPr>
          <w:trHeight w:val="250"/>
        </w:trPr>
        <w:tc>
          <w:tcPr>
            <w:tcW w:w="2340" w:type="dxa"/>
            <w:shd w:val="clear" w:color="auto" w:fill="auto"/>
            <w:noWrap/>
            <w:vAlign w:val="center"/>
            <w:hideMark/>
          </w:tcPr>
          <w:p w14:paraId="178EAFA9" w14:textId="77777777" w:rsidR="00826F18" w:rsidRPr="008F14F5" w:rsidRDefault="00826F18" w:rsidP="00434984">
            <w:pPr>
              <w:rPr>
                <w:rFonts w:ascii="Times New Roman" w:hAnsi="Times New Roman"/>
                <w:b/>
                <w:bCs/>
                <w:color w:val="000000"/>
                <w:sz w:val="18"/>
                <w:szCs w:val="18"/>
              </w:rPr>
            </w:pPr>
            <w:r w:rsidRPr="008F14F5">
              <w:rPr>
                <w:rFonts w:ascii="Times New Roman" w:hAnsi="Times New Roman"/>
                <w:b/>
                <w:bCs/>
                <w:color w:val="000000"/>
                <w:sz w:val="18"/>
                <w:szCs w:val="18"/>
              </w:rPr>
              <w:t> </w:t>
            </w:r>
          </w:p>
        </w:tc>
        <w:tc>
          <w:tcPr>
            <w:tcW w:w="1170" w:type="dxa"/>
            <w:shd w:val="clear" w:color="auto" w:fill="auto"/>
            <w:noWrap/>
            <w:vAlign w:val="center"/>
            <w:hideMark/>
          </w:tcPr>
          <w:p w14:paraId="57F592E7" w14:textId="77777777" w:rsidR="00826F18" w:rsidRPr="008F14F5" w:rsidRDefault="00826F18" w:rsidP="00434984">
            <w:pPr>
              <w:jc w:val="center"/>
              <w:rPr>
                <w:rFonts w:ascii="Times New Roman" w:hAnsi="Times New Roman"/>
                <w:b/>
                <w:bCs/>
                <w:color w:val="000000"/>
                <w:sz w:val="18"/>
                <w:szCs w:val="18"/>
              </w:rPr>
            </w:pPr>
            <w:r w:rsidRPr="008F14F5">
              <w:rPr>
                <w:rFonts w:ascii="Times New Roman" w:hAnsi="Times New Roman"/>
                <w:b/>
                <w:bCs/>
                <w:color w:val="000000"/>
                <w:sz w:val="18"/>
                <w:szCs w:val="18"/>
              </w:rPr>
              <w:t>2016</w:t>
            </w:r>
          </w:p>
        </w:tc>
        <w:tc>
          <w:tcPr>
            <w:tcW w:w="1232" w:type="dxa"/>
            <w:shd w:val="clear" w:color="auto" w:fill="auto"/>
            <w:noWrap/>
            <w:vAlign w:val="center"/>
            <w:hideMark/>
          </w:tcPr>
          <w:p w14:paraId="03117DB7" w14:textId="77777777" w:rsidR="00826F18" w:rsidRPr="008F14F5" w:rsidRDefault="00826F18" w:rsidP="00434984">
            <w:pPr>
              <w:jc w:val="center"/>
              <w:rPr>
                <w:rFonts w:ascii="Times New Roman" w:hAnsi="Times New Roman"/>
                <w:b/>
                <w:bCs/>
                <w:color w:val="000000"/>
                <w:sz w:val="18"/>
                <w:szCs w:val="18"/>
              </w:rPr>
            </w:pPr>
            <w:r w:rsidRPr="008F14F5">
              <w:rPr>
                <w:rFonts w:ascii="Times New Roman" w:hAnsi="Times New Roman"/>
                <w:b/>
                <w:bCs/>
                <w:color w:val="000000"/>
                <w:sz w:val="18"/>
                <w:szCs w:val="18"/>
              </w:rPr>
              <w:t>2017</w:t>
            </w:r>
          </w:p>
        </w:tc>
        <w:tc>
          <w:tcPr>
            <w:tcW w:w="1326" w:type="dxa"/>
            <w:shd w:val="clear" w:color="auto" w:fill="auto"/>
            <w:noWrap/>
            <w:vAlign w:val="center"/>
            <w:hideMark/>
          </w:tcPr>
          <w:p w14:paraId="51108822" w14:textId="77777777" w:rsidR="00826F18" w:rsidRPr="008F14F5" w:rsidRDefault="00826F18" w:rsidP="00434984">
            <w:pPr>
              <w:jc w:val="center"/>
              <w:rPr>
                <w:rFonts w:ascii="Times New Roman" w:hAnsi="Times New Roman"/>
                <w:b/>
                <w:bCs/>
                <w:color w:val="000000"/>
                <w:sz w:val="18"/>
                <w:szCs w:val="18"/>
              </w:rPr>
            </w:pPr>
            <w:r w:rsidRPr="008F14F5">
              <w:rPr>
                <w:rFonts w:ascii="Times New Roman" w:hAnsi="Times New Roman"/>
                <w:b/>
                <w:bCs/>
                <w:color w:val="000000"/>
                <w:sz w:val="18"/>
                <w:szCs w:val="18"/>
              </w:rPr>
              <w:t>2018</w:t>
            </w:r>
          </w:p>
        </w:tc>
        <w:tc>
          <w:tcPr>
            <w:tcW w:w="1326" w:type="dxa"/>
            <w:shd w:val="clear" w:color="auto" w:fill="auto"/>
            <w:vAlign w:val="center"/>
            <w:hideMark/>
          </w:tcPr>
          <w:p w14:paraId="0243521B" w14:textId="77777777" w:rsidR="00826F18" w:rsidRPr="008F14F5" w:rsidRDefault="00826F18" w:rsidP="00434984">
            <w:pPr>
              <w:jc w:val="center"/>
              <w:rPr>
                <w:rFonts w:ascii="Times New Roman" w:hAnsi="Times New Roman"/>
                <w:b/>
                <w:bCs/>
                <w:color w:val="000000"/>
                <w:sz w:val="18"/>
                <w:szCs w:val="18"/>
              </w:rPr>
            </w:pPr>
            <w:r w:rsidRPr="008F14F5">
              <w:rPr>
                <w:rFonts w:ascii="Times New Roman" w:hAnsi="Times New Roman"/>
                <w:b/>
                <w:bCs/>
                <w:color w:val="000000"/>
                <w:sz w:val="18"/>
                <w:szCs w:val="18"/>
              </w:rPr>
              <w:t>2019</w:t>
            </w:r>
          </w:p>
        </w:tc>
        <w:tc>
          <w:tcPr>
            <w:tcW w:w="1326" w:type="dxa"/>
            <w:shd w:val="clear" w:color="auto" w:fill="auto"/>
            <w:vAlign w:val="center"/>
            <w:hideMark/>
          </w:tcPr>
          <w:p w14:paraId="6BB18071" w14:textId="77777777" w:rsidR="00826F18" w:rsidRPr="008F14F5" w:rsidRDefault="00826F18" w:rsidP="00434984">
            <w:pPr>
              <w:jc w:val="center"/>
              <w:rPr>
                <w:rFonts w:ascii="Times New Roman" w:hAnsi="Times New Roman"/>
                <w:b/>
                <w:bCs/>
                <w:color w:val="000000"/>
                <w:sz w:val="18"/>
                <w:szCs w:val="18"/>
              </w:rPr>
            </w:pPr>
            <w:r w:rsidRPr="008F14F5">
              <w:rPr>
                <w:rFonts w:ascii="Times New Roman" w:hAnsi="Times New Roman"/>
                <w:b/>
                <w:bCs/>
                <w:color w:val="000000"/>
                <w:sz w:val="18"/>
                <w:szCs w:val="18"/>
              </w:rPr>
              <w:t>2020</w:t>
            </w:r>
          </w:p>
        </w:tc>
      </w:tr>
      <w:tr w:rsidR="00826F18" w:rsidRPr="00884C5E" w14:paraId="6D4FA580" w14:textId="77777777" w:rsidTr="00F95BC2">
        <w:trPr>
          <w:trHeight w:val="276"/>
        </w:trPr>
        <w:tc>
          <w:tcPr>
            <w:tcW w:w="2340" w:type="dxa"/>
            <w:vMerge w:val="restart"/>
            <w:shd w:val="clear" w:color="auto" w:fill="auto"/>
            <w:noWrap/>
            <w:vAlign w:val="center"/>
            <w:hideMark/>
          </w:tcPr>
          <w:p w14:paraId="7C96842B" w14:textId="77777777" w:rsidR="00826F18" w:rsidRPr="008F14F5" w:rsidRDefault="00826F18" w:rsidP="00434984">
            <w:pPr>
              <w:rPr>
                <w:rFonts w:ascii="Times New Roman" w:hAnsi="Times New Roman"/>
                <w:b/>
                <w:bCs/>
                <w:color w:val="000000"/>
                <w:sz w:val="18"/>
                <w:szCs w:val="18"/>
              </w:rPr>
            </w:pPr>
            <w:r w:rsidRPr="008F14F5">
              <w:rPr>
                <w:rFonts w:ascii="Times New Roman" w:hAnsi="Times New Roman"/>
                <w:b/>
                <w:bCs/>
                <w:color w:val="000000"/>
                <w:sz w:val="18"/>
                <w:szCs w:val="18"/>
              </w:rPr>
              <w:t>Number of GMS waivers granted:</w:t>
            </w:r>
          </w:p>
        </w:tc>
        <w:tc>
          <w:tcPr>
            <w:tcW w:w="1170" w:type="dxa"/>
            <w:vMerge w:val="restart"/>
            <w:shd w:val="clear" w:color="auto" w:fill="auto"/>
            <w:noWrap/>
            <w:vAlign w:val="center"/>
            <w:hideMark/>
          </w:tcPr>
          <w:p w14:paraId="35595245" w14:textId="77777777" w:rsidR="00826F18" w:rsidRPr="008F14F5" w:rsidRDefault="00826F18" w:rsidP="00434984">
            <w:pPr>
              <w:jc w:val="center"/>
              <w:rPr>
                <w:rFonts w:ascii="Times New Roman" w:hAnsi="Times New Roman"/>
                <w:color w:val="000000"/>
                <w:sz w:val="18"/>
                <w:szCs w:val="18"/>
              </w:rPr>
            </w:pPr>
            <w:r w:rsidRPr="008F14F5">
              <w:rPr>
                <w:rFonts w:ascii="Times New Roman" w:hAnsi="Times New Roman"/>
                <w:color w:val="000000"/>
                <w:sz w:val="18"/>
                <w:szCs w:val="18"/>
              </w:rPr>
              <w:t>12</w:t>
            </w:r>
          </w:p>
        </w:tc>
        <w:tc>
          <w:tcPr>
            <w:tcW w:w="1232" w:type="dxa"/>
            <w:vMerge w:val="restart"/>
            <w:shd w:val="clear" w:color="auto" w:fill="auto"/>
            <w:noWrap/>
            <w:vAlign w:val="center"/>
            <w:hideMark/>
          </w:tcPr>
          <w:p w14:paraId="3EB5E33A" w14:textId="77777777" w:rsidR="00826F18" w:rsidRPr="008F14F5" w:rsidRDefault="00826F18" w:rsidP="00434984">
            <w:pPr>
              <w:jc w:val="center"/>
              <w:rPr>
                <w:rFonts w:ascii="Times New Roman" w:hAnsi="Times New Roman"/>
                <w:color w:val="000000"/>
                <w:sz w:val="18"/>
                <w:szCs w:val="18"/>
              </w:rPr>
            </w:pPr>
            <w:r w:rsidRPr="008F14F5">
              <w:rPr>
                <w:rFonts w:ascii="Times New Roman" w:hAnsi="Times New Roman"/>
                <w:color w:val="000000"/>
                <w:sz w:val="18"/>
                <w:szCs w:val="18"/>
              </w:rPr>
              <w:t>6</w:t>
            </w:r>
          </w:p>
        </w:tc>
        <w:tc>
          <w:tcPr>
            <w:tcW w:w="1326" w:type="dxa"/>
            <w:vMerge w:val="restart"/>
            <w:shd w:val="clear" w:color="auto" w:fill="auto"/>
            <w:noWrap/>
            <w:vAlign w:val="center"/>
            <w:hideMark/>
          </w:tcPr>
          <w:p w14:paraId="62DB10D1" w14:textId="77777777" w:rsidR="00826F18" w:rsidRPr="008F14F5" w:rsidRDefault="00826F18" w:rsidP="00434984">
            <w:pPr>
              <w:jc w:val="center"/>
              <w:rPr>
                <w:rFonts w:ascii="Times New Roman" w:hAnsi="Times New Roman"/>
                <w:color w:val="000000"/>
                <w:sz w:val="18"/>
                <w:szCs w:val="18"/>
              </w:rPr>
            </w:pPr>
            <w:r w:rsidRPr="008F14F5">
              <w:rPr>
                <w:rFonts w:ascii="Times New Roman" w:hAnsi="Times New Roman"/>
                <w:color w:val="000000"/>
                <w:sz w:val="18"/>
                <w:szCs w:val="18"/>
              </w:rPr>
              <w:t>5</w:t>
            </w:r>
          </w:p>
        </w:tc>
        <w:tc>
          <w:tcPr>
            <w:tcW w:w="1326" w:type="dxa"/>
            <w:vMerge w:val="restart"/>
            <w:shd w:val="clear" w:color="auto" w:fill="auto"/>
            <w:vAlign w:val="center"/>
            <w:hideMark/>
          </w:tcPr>
          <w:p w14:paraId="09211F96" w14:textId="77777777" w:rsidR="00826F18" w:rsidRPr="008F14F5" w:rsidRDefault="00826F18" w:rsidP="00434984">
            <w:pPr>
              <w:jc w:val="center"/>
              <w:rPr>
                <w:rFonts w:ascii="Times New Roman" w:hAnsi="Times New Roman"/>
                <w:color w:val="000000"/>
                <w:sz w:val="18"/>
                <w:szCs w:val="18"/>
              </w:rPr>
            </w:pPr>
            <w:r w:rsidRPr="008F14F5">
              <w:rPr>
                <w:rFonts w:ascii="Times New Roman" w:hAnsi="Times New Roman"/>
                <w:color w:val="000000"/>
                <w:sz w:val="18"/>
                <w:szCs w:val="18"/>
              </w:rPr>
              <w:t>3</w:t>
            </w:r>
          </w:p>
        </w:tc>
        <w:tc>
          <w:tcPr>
            <w:tcW w:w="1326" w:type="dxa"/>
            <w:vMerge w:val="restart"/>
            <w:shd w:val="clear" w:color="auto" w:fill="auto"/>
            <w:vAlign w:val="center"/>
            <w:hideMark/>
          </w:tcPr>
          <w:p w14:paraId="56C5620E" w14:textId="77777777" w:rsidR="00826F18" w:rsidRPr="008F14F5" w:rsidRDefault="00826F18" w:rsidP="00434984">
            <w:pPr>
              <w:jc w:val="center"/>
              <w:rPr>
                <w:rFonts w:ascii="Times New Roman" w:hAnsi="Times New Roman"/>
                <w:color w:val="000000"/>
                <w:sz w:val="18"/>
                <w:szCs w:val="18"/>
              </w:rPr>
            </w:pPr>
            <w:r w:rsidRPr="008F14F5">
              <w:rPr>
                <w:rFonts w:ascii="Times New Roman" w:hAnsi="Times New Roman"/>
                <w:color w:val="000000"/>
                <w:sz w:val="18"/>
                <w:szCs w:val="18"/>
              </w:rPr>
              <w:t>1</w:t>
            </w:r>
          </w:p>
        </w:tc>
      </w:tr>
      <w:tr w:rsidR="00826F18" w:rsidRPr="00884C5E" w14:paraId="0CEE94D9" w14:textId="77777777" w:rsidTr="00F95BC2">
        <w:trPr>
          <w:trHeight w:val="276"/>
        </w:trPr>
        <w:tc>
          <w:tcPr>
            <w:tcW w:w="2340" w:type="dxa"/>
            <w:vMerge/>
            <w:vAlign w:val="center"/>
            <w:hideMark/>
          </w:tcPr>
          <w:p w14:paraId="238D075A" w14:textId="77777777" w:rsidR="00826F18" w:rsidRPr="00884C5E" w:rsidRDefault="00826F18" w:rsidP="00434984">
            <w:pPr>
              <w:rPr>
                <w:rFonts w:ascii="Times New Roman" w:hAnsi="Times New Roman"/>
                <w:b/>
                <w:bCs/>
                <w:color w:val="000000"/>
                <w:sz w:val="16"/>
                <w:szCs w:val="16"/>
              </w:rPr>
            </w:pPr>
          </w:p>
        </w:tc>
        <w:tc>
          <w:tcPr>
            <w:tcW w:w="1170" w:type="dxa"/>
            <w:vMerge/>
            <w:vAlign w:val="center"/>
            <w:hideMark/>
          </w:tcPr>
          <w:p w14:paraId="745FD83E" w14:textId="77777777" w:rsidR="00826F18" w:rsidRPr="00884C5E" w:rsidRDefault="00826F18" w:rsidP="00434984">
            <w:pPr>
              <w:rPr>
                <w:rFonts w:ascii="Times New Roman" w:hAnsi="Times New Roman"/>
                <w:color w:val="000000"/>
                <w:sz w:val="16"/>
                <w:szCs w:val="16"/>
              </w:rPr>
            </w:pPr>
          </w:p>
        </w:tc>
        <w:tc>
          <w:tcPr>
            <w:tcW w:w="1232" w:type="dxa"/>
            <w:vMerge/>
            <w:vAlign w:val="center"/>
            <w:hideMark/>
          </w:tcPr>
          <w:p w14:paraId="1BF7A67B" w14:textId="77777777" w:rsidR="00826F18" w:rsidRPr="00884C5E" w:rsidRDefault="00826F18" w:rsidP="00434984">
            <w:pPr>
              <w:rPr>
                <w:rFonts w:ascii="Times New Roman" w:hAnsi="Times New Roman"/>
                <w:color w:val="000000"/>
                <w:sz w:val="16"/>
                <w:szCs w:val="16"/>
              </w:rPr>
            </w:pPr>
          </w:p>
        </w:tc>
        <w:tc>
          <w:tcPr>
            <w:tcW w:w="1326" w:type="dxa"/>
            <w:vMerge/>
            <w:vAlign w:val="center"/>
            <w:hideMark/>
          </w:tcPr>
          <w:p w14:paraId="06BA7C27" w14:textId="77777777" w:rsidR="00826F18" w:rsidRPr="00884C5E" w:rsidRDefault="00826F18" w:rsidP="00434984">
            <w:pPr>
              <w:rPr>
                <w:rFonts w:ascii="Times New Roman" w:hAnsi="Times New Roman"/>
                <w:color w:val="000000"/>
                <w:sz w:val="16"/>
                <w:szCs w:val="16"/>
              </w:rPr>
            </w:pPr>
          </w:p>
        </w:tc>
        <w:tc>
          <w:tcPr>
            <w:tcW w:w="1326" w:type="dxa"/>
            <w:vMerge/>
            <w:vAlign w:val="center"/>
            <w:hideMark/>
          </w:tcPr>
          <w:p w14:paraId="3B3991E0" w14:textId="77777777" w:rsidR="00826F18" w:rsidRPr="00884C5E" w:rsidRDefault="00826F18" w:rsidP="00434984">
            <w:pPr>
              <w:rPr>
                <w:rFonts w:ascii="Times New Roman" w:hAnsi="Times New Roman"/>
                <w:color w:val="000000"/>
                <w:sz w:val="16"/>
                <w:szCs w:val="16"/>
              </w:rPr>
            </w:pPr>
          </w:p>
        </w:tc>
        <w:tc>
          <w:tcPr>
            <w:tcW w:w="1326" w:type="dxa"/>
            <w:vMerge/>
            <w:vAlign w:val="center"/>
            <w:hideMark/>
          </w:tcPr>
          <w:p w14:paraId="2A9E1093" w14:textId="77777777" w:rsidR="00826F18" w:rsidRPr="00884C5E" w:rsidRDefault="00826F18" w:rsidP="00434984">
            <w:pPr>
              <w:rPr>
                <w:rFonts w:ascii="Times New Roman" w:hAnsi="Times New Roman"/>
                <w:color w:val="000000"/>
                <w:sz w:val="16"/>
                <w:szCs w:val="16"/>
              </w:rPr>
            </w:pPr>
          </w:p>
        </w:tc>
      </w:tr>
      <w:tr w:rsidR="00826F18" w:rsidRPr="00884C5E" w14:paraId="671BB7FD" w14:textId="77777777" w:rsidTr="00F95BC2">
        <w:trPr>
          <w:trHeight w:val="133"/>
        </w:trPr>
        <w:tc>
          <w:tcPr>
            <w:tcW w:w="8720" w:type="dxa"/>
            <w:gridSpan w:val="6"/>
            <w:shd w:val="clear" w:color="auto" w:fill="auto"/>
            <w:noWrap/>
            <w:vAlign w:val="center"/>
          </w:tcPr>
          <w:p w14:paraId="37D0FA36" w14:textId="51901B0D" w:rsidR="00826F18" w:rsidRPr="00884C5E" w:rsidRDefault="00826F18" w:rsidP="00434984">
            <w:pPr>
              <w:rPr>
                <w:rFonts w:ascii="Times New Roman" w:hAnsi="Times New Roman"/>
                <w:color w:val="000000"/>
                <w:sz w:val="16"/>
                <w:szCs w:val="16"/>
              </w:rPr>
            </w:pPr>
            <w:r w:rsidRPr="00F95BC2">
              <w:rPr>
                <w:rFonts w:ascii="Times New Roman" w:hAnsi="Times New Roman"/>
                <w:b/>
                <w:bCs/>
                <w:color w:val="000000"/>
                <w:sz w:val="20"/>
              </w:rPr>
              <w:t>Financial impact of GMS waivers:</w:t>
            </w:r>
          </w:p>
        </w:tc>
      </w:tr>
      <w:tr w:rsidR="00826F18" w:rsidRPr="00884C5E" w14:paraId="7EF6480B" w14:textId="77777777" w:rsidTr="00F95BC2">
        <w:trPr>
          <w:trHeight w:val="276"/>
        </w:trPr>
        <w:tc>
          <w:tcPr>
            <w:tcW w:w="2340" w:type="dxa"/>
            <w:vMerge w:val="restart"/>
            <w:shd w:val="clear" w:color="auto" w:fill="auto"/>
            <w:noWrap/>
            <w:vAlign w:val="center"/>
            <w:hideMark/>
          </w:tcPr>
          <w:p w14:paraId="2D6E64F7" w14:textId="77777777" w:rsidR="00826F18" w:rsidRPr="008F14F5" w:rsidRDefault="00826F18" w:rsidP="00434984">
            <w:pPr>
              <w:rPr>
                <w:rFonts w:ascii="Times New Roman" w:hAnsi="Times New Roman"/>
                <w:i/>
                <w:iCs/>
                <w:color w:val="000000"/>
                <w:sz w:val="18"/>
                <w:szCs w:val="18"/>
              </w:rPr>
            </w:pPr>
            <w:r w:rsidRPr="008F14F5">
              <w:rPr>
                <w:rFonts w:ascii="Times New Roman" w:hAnsi="Times New Roman"/>
                <w:i/>
                <w:iCs/>
                <w:color w:val="000000"/>
                <w:sz w:val="18"/>
                <w:szCs w:val="18"/>
              </w:rPr>
              <w:t>Impact of GMS waivers which were granted in the year:</w:t>
            </w:r>
          </w:p>
        </w:tc>
        <w:tc>
          <w:tcPr>
            <w:tcW w:w="1170" w:type="dxa"/>
            <w:vMerge w:val="restart"/>
            <w:shd w:val="clear" w:color="auto" w:fill="auto"/>
            <w:noWrap/>
            <w:vAlign w:val="center"/>
            <w:hideMark/>
          </w:tcPr>
          <w:p w14:paraId="7F241B76"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$3,673,980 </w:t>
            </w:r>
          </w:p>
        </w:tc>
        <w:tc>
          <w:tcPr>
            <w:tcW w:w="1232" w:type="dxa"/>
            <w:vMerge w:val="restart"/>
            <w:shd w:val="clear" w:color="auto" w:fill="auto"/>
            <w:noWrap/>
            <w:vAlign w:val="center"/>
            <w:hideMark/>
          </w:tcPr>
          <w:p w14:paraId="273E85DD"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$12,075,664 </w:t>
            </w:r>
          </w:p>
        </w:tc>
        <w:tc>
          <w:tcPr>
            <w:tcW w:w="1326" w:type="dxa"/>
            <w:vMerge w:val="restart"/>
            <w:shd w:val="clear" w:color="auto" w:fill="auto"/>
            <w:noWrap/>
            <w:vAlign w:val="center"/>
            <w:hideMark/>
          </w:tcPr>
          <w:p w14:paraId="24A23CD7"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$1,226,516 </w:t>
            </w:r>
          </w:p>
        </w:tc>
        <w:tc>
          <w:tcPr>
            <w:tcW w:w="1326" w:type="dxa"/>
            <w:vMerge w:val="restart"/>
            <w:shd w:val="clear" w:color="auto" w:fill="auto"/>
            <w:vAlign w:val="center"/>
            <w:hideMark/>
          </w:tcPr>
          <w:p w14:paraId="7F04B781"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$5,496,935 </w:t>
            </w:r>
          </w:p>
        </w:tc>
        <w:tc>
          <w:tcPr>
            <w:tcW w:w="1326" w:type="dxa"/>
            <w:vMerge w:val="restart"/>
            <w:shd w:val="clear" w:color="auto" w:fill="auto"/>
            <w:vAlign w:val="center"/>
            <w:hideMark/>
          </w:tcPr>
          <w:p w14:paraId="7300C0ED"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$33,582 </w:t>
            </w:r>
          </w:p>
        </w:tc>
      </w:tr>
      <w:tr w:rsidR="00826F18" w:rsidRPr="00884C5E" w14:paraId="2B426AF1" w14:textId="77777777" w:rsidTr="00F95BC2">
        <w:trPr>
          <w:trHeight w:val="276"/>
        </w:trPr>
        <w:tc>
          <w:tcPr>
            <w:tcW w:w="2340" w:type="dxa"/>
            <w:vMerge/>
            <w:vAlign w:val="center"/>
            <w:hideMark/>
          </w:tcPr>
          <w:p w14:paraId="4936C941" w14:textId="77777777" w:rsidR="00826F18" w:rsidRPr="008F14F5" w:rsidRDefault="00826F18" w:rsidP="00434984">
            <w:pPr>
              <w:rPr>
                <w:rFonts w:ascii="Times New Roman" w:hAnsi="Times New Roman"/>
                <w:i/>
                <w:iCs/>
                <w:color w:val="000000"/>
                <w:sz w:val="18"/>
                <w:szCs w:val="18"/>
              </w:rPr>
            </w:pPr>
          </w:p>
        </w:tc>
        <w:tc>
          <w:tcPr>
            <w:tcW w:w="1170" w:type="dxa"/>
            <w:vMerge/>
            <w:vAlign w:val="center"/>
            <w:hideMark/>
          </w:tcPr>
          <w:p w14:paraId="55D394CF" w14:textId="77777777" w:rsidR="00826F18" w:rsidRPr="008F14F5" w:rsidRDefault="00826F18" w:rsidP="00434984">
            <w:pPr>
              <w:rPr>
                <w:rFonts w:ascii="Times New Roman" w:hAnsi="Times New Roman"/>
                <w:color w:val="000000"/>
                <w:sz w:val="18"/>
                <w:szCs w:val="18"/>
              </w:rPr>
            </w:pPr>
          </w:p>
        </w:tc>
        <w:tc>
          <w:tcPr>
            <w:tcW w:w="1232" w:type="dxa"/>
            <w:vMerge/>
            <w:vAlign w:val="center"/>
            <w:hideMark/>
          </w:tcPr>
          <w:p w14:paraId="3100AD01" w14:textId="77777777" w:rsidR="00826F18" w:rsidRPr="008F14F5" w:rsidRDefault="00826F18" w:rsidP="00434984">
            <w:pPr>
              <w:rPr>
                <w:rFonts w:ascii="Times New Roman" w:hAnsi="Times New Roman"/>
                <w:color w:val="000000"/>
                <w:sz w:val="18"/>
                <w:szCs w:val="18"/>
              </w:rPr>
            </w:pPr>
          </w:p>
        </w:tc>
        <w:tc>
          <w:tcPr>
            <w:tcW w:w="1326" w:type="dxa"/>
            <w:vMerge/>
            <w:vAlign w:val="center"/>
            <w:hideMark/>
          </w:tcPr>
          <w:p w14:paraId="01F9D71C" w14:textId="77777777" w:rsidR="00826F18" w:rsidRPr="008F14F5" w:rsidRDefault="00826F18" w:rsidP="00434984">
            <w:pPr>
              <w:rPr>
                <w:rFonts w:ascii="Times New Roman" w:hAnsi="Times New Roman"/>
                <w:color w:val="000000"/>
                <w:sz w:val="18"/>
                <w:szCs w:val="18"/>
              </w:rPr>
            </w:pPr>
          </w:p>
        </w:tc>
        <w:tc>
          <w:tcPr>
            <w:tcW w:w="1326" w:type="dxa"/>
            <w:vMerge/>
            <w:vAlign w:val="center"/>
            <w:hideMark/>
          </w:tcPr>
          <w:p w14:paraId="68BDF52E" w14:textId="77777777" w:rsidR="00826F18" w:rsidRPr="008F14F5" w:rsidRDefault="00826F18" w:rsidP="00434984">
            <w:pPr>
              <w:rPr>
                <w:rFonts w:ascii="Times New Roman" w:hAnsi="Times New Roman"/>
                <w:color w:val="000000"/>
                <w:sz w:val="18"/>
                <w:szCs w:val="18"/>
              </w:rPr>
            </w:pPr>
          </w:p>
        </w:tc>
        <w:tc>
          <w:tcPr>
            <w:tcW w:w="1326" w:type="dxa"/>
            <w:vMerge/>
            <w:vAlign w:val="center"/>
            <w:hideMark/>
          </w:tcPr>
          <w:p w14:paraId="5A73E5C4" w14:textId="77777777" w:rsidR="00826F18" w:rsidRPr="008F14F5" w:rsidRDefault="00826F18" w:rsidP="00434984">
            <w:pPr>
              <w:rPr>
                <w:rFonts w:ascii="Times New Roman" w:hAnsi="Times New Roman"/>
                <w:color w:val="000000"/>
                <w:sz w:val="18"/>
                <w:szCs w:val="18"/>
              </w:rPr>
            </w:pPr>
          </w:p>
        </w:tc>
      </w:tr>
      <w:tr w:rsidR="00826F18" w:rsidRPr="00884C5E" w14:paraId="32586076" w14:textId="77777777" w:rsidTr="00F95BC2">
        <w:trPr>
          <w:trHeight w:val="276"/>
        </w:trPr>
        <w:tc>
          <w:tcPr>
            <w:tcW w:w="2340" w:type="dxa"/>
            <w:vMerge/>
            <w:vAlign w:val="center"/>
            <w:hideMark/>
          </w:tcPr>
          <w:p w14:paraId="2E0D781E" w14:textId="77777777" w:rsidR="00826F18" w:rsidRPr="008F14F5" w:rsidRDefault="00826F18" w:rsidP="00434984">
            <w:pPr>
              <w:rPr>
                <w:rFonts w:ascii="Times New Roman" w:hAnsi="Times New Roman"/>
                <w:i/>
                <w:iCs/>
                <w:color w:val="000000"/>
                <w:sz w:val="18"/>
                <w:szCs w:val="18"/>
              </w:rPr>
            </w:pPr>
          </w:p>
        </w:tc>
        <w:tc>
          <w:tcPr>
            <w:tcW w:w="1170" w:type="dxa"/>
            <w:vMerge/>
            <w:vAlign w:val="center"/>
            <w:hideMark/>
          </w:tcPr>
          <w:p w14:paraId="55C5E533" w14:textId="77777777" w:rsidR="00826F18" w:rsidRPr="008F14F5" w:rsidRDefault="00826F18" w:rsidP="00434984">
            <w:pPr>
              <w:rPr>
                <w:rFonts w:ascii="Times New Roman" w:hAnsi="Times New Roman"/>
                <w:color w:val="000000"/>
                <w:sz w:val="18"/>
                <w:szCs w:val="18"/>
              </w:rPr>
            </w:pPr>
          </w:p>
        </w:tc>
        <w:tc>
          <w:tcPr>
            <w:tcW w:w="1232" w:type="dxa"/>
            <w:vMerge/>
            <w:vAlign w:val="center"/>
            <w:hideMark/>
          </w:tcPr>
          <w:p w14:paraId="23F6A840" w14:textId="77777777" w:rsidR="00826F18" w:rsidRPr="008F14F5" w:rsidRDefault="00826F18" w:rsidP="00434984">
            <w:pPr>
              <w:rPr>
                <w:rFonts w:ascii="Times New Roman" w:hAnsi="Times New Roman"/>
                <w:color w:val="000000"/>
                <w:sz w:val="18"/>
                <w:szCs w:val="18"/>
              </w:rPr>
            </w:pPr>
          </w:p>
        </w:tc>
        <w:tc>
          <w:tcPr>
            <w:tcW w:w="1326" w:type="dxa"/>
            <w:vMerge/>
            <w:vAlign w:val="center"/>
            <w:hideMark/>
          </w:tcPr>
          <w:p w14:paraId="48A1671B" w14:textId="77777777" w:rsidR="00826F18" w:rsidRPr="008F14F5" w:rsidRDefault="00826F18" w:rsidP="00434984">
            <w:pPr>
              <w:rPr>
                <w:rFonts w:ascii="Times New Roman" w:hAnsi="Times New Roman"/>
                <w:color w:val="000000"/>
                <w:sz w:val="18"/>
                <w:szCs w:val="18"/>
              </w:rPr>
            </w:pPr>
          </w:p>
        </w:tc>
        <w:tc>
          <w:tcPr>
            <w:tcW w:w="1326" w:type="dxa"/>
            <w:vMerge/>
            <w:vAlign w:val="center"/>
            <w:hideMark/>
          </w:tcPr>
          <w:p w14:paraId="72FD5810" w14:textId="77777777" w:rsidR="00826F18" w:rsidRPr="008F14F5" w:rsidRDefault="00826F18" w:rsidP="00434984">
            <w:pPr>
              <w:rPr>
                <w:rFonts w:ascii="Times New Roman" w:hAnsi="Times New Roman"/>
                <w:color w:val="000000"/>
                <w:sz w:val="18"/>
                <w:szCs w:val="18"/>
              </w:rPr>
            </w:pPr>
          </w:p>
        </w:tc>
        <w:tc>
          <w:tcPr>
            <w:tcW w:w="1326" w:type="dxa"/>
            <w:vMerge/>
            <w:vAlign w:val="center"/>
            <w:hideMark/>
          </w:tcPr>
          <w:p w14:paraId="7C28552C" w14:textId="77777777" w:rsidR="00826F18" w:rsidRPr="008F14F5" w:rsidRDefault="00826F18" w:rsidP="00434984">
            <w:pPr>
              <w:rPr>
                <w:rFonts w:ascii="Times New Roman" w:hAnsi="Times New Roman"/>
                <w:color w:val="000000"/>
                <w:sz w:val="18"/>
                <w:szCs w:val="18"/>
              </w:rPr>
            </w:pPr>
          </w:p>
        </w:tc>
      </w:tr>
      <w:tr w:rsidR="00826F18" w:rsidRPr="00884C5E" w14:paraId="4977C5E0" w14:textId="77777777" w:rsidTr="00F95BC2">
        <w:trPr>
          <w:trHeight w:val="276"/>
        </w:trPr>
        <w:tc>
          <w:tcPr>
            <w:tcW w:w="2340" w:type="dxa"/>
            <w:vMerge w:val="restart"/>
            <w:shd w:val="clear" w:color="auto" w:fill="auto"/>
            <w:noWrap/>
            <w:vAlign w:val="center"/>
            <w:hideMark/>
          </w:tcPr>
          <w:p w14:paraId="037962DE" w14:textId="77777777" w:rsidR="00826F18" w:rsidRPr="008F14F5" w:rsidRDefault="00826F18" w:rsidP="00434984">
            <w:pPr>
              <w:rPr>
                <w:rFonts w:ascii="Times New Roman" w:hAnsi="Times New Roman"/>
                <w:i/>
                <w:iCs/>
                <w:color w:val="000000"/>
                <w:sz w:val="18"/>
                <w:szCs w:val="18"/>
              </w:rPr>
            </w:pPr>
            <w:r w:rsidRPr="008F14F5">
              <w:rPr>
                <w:rFonts w:ascii="Times New Roman" w:hAnsi="Times New Roman"/>
                <w:i/>
                <w:iCs/>
                <w:color w:val="000000"/>
                <w:sz w:val="18"/>
                <w:szCs w:val="18"/>
              </w:rPr>
              <w:t>Impact of GMS waivers which were granted in previous years:</w:t>
            </w:r>
          </w:p>
        </w:tc>
        <w:tc>
          <w:tcPr>
            <w:tcW w:w="1170" w:type="dxa"/>
            <w:vMerge w:val="restart"/>
            <w:shd w:val="clear" w:color="auto" w:fill="auto"/>
            <w:noWrap/>
            <w:vAlign w:val="center"/>
            <w:hideMark/>
          </w:tcPr>
          <w:p w14:paraId="62D28383"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$16,974,697 </w:t>
            </w:r>
          </w:p>
        </w:tc>
        <w:tc>
          <w:tcPr>
            <w:tcW w:w="1232" w:type="dxa"/>
            <w:vMerge w:val="restart"/>
            <w:shd w:val="clear" w:color="auto" w:fill="auto"/>
            <w:noWrap/>
            <w:vAlign w:val="center"/>
            <w:hideMark/>
          </w:tcPr>
          <w:p w14:paraId="410C2084"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$17,127,497 </w:t>
            </w:r>
          </w:p>
        </w:tc>
        <w:tc>
          <w:tcPr>
            <w:tcW w:w="1326" w:type="dxa"/>
            <w:vMerge w:val="restart"/>
            <w:shd w:val="clear" w:color="auto" w:fill="auto"/>
            <w:noWrap/>
            <w:vAlign w:val="center"/>
            <w:hideMark/>
          </w:tcPr>
          <w:p w14:paraId="09483F53"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$18,153,643 </w:t>
            </w:r>
          </w:p>
        </w:tc>
        <w:tc>
          <w:tcPr>
            <w:tcW w:w="1326" w:type="dxa"/>
            <w:vMerge w:val="restart"/>
            <w:shd w:val="clear" w:color="auto" w:fill="auto"/>
            <w:vAlign w:val="center"/>
            <w:hideMark/>
          </w:tcPr>
          <w:p w14:paraId="33B1FEB0"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$17,983,711 </w:t>
            </w:r>
          </w:p>
        </w:tc>
        <w:tc>
          <w:tcPr>
            <w:tcW w:w="1326" w:type="dxa"/>
            <w:vMerge w:val="restart"/>
            <w:shd w:val="clear" w:color="auto" w:fill="auto"/>
            <w:vAlign w:val="center"/>
            <w:hideMark/>
          </w:tcPr>
          <w:p w14:paraId="4E846DDE" w14:textId="77777777" w:rsidR="00826F18" w:rsidRPr="008F14F5" w:rsidRDefault="00826F18" w:rsidP="00434984">
            <w:pPr>
              <w:ind w:firstLineChars="100" w:firstLine="180"/>
              <w:jc w:val="right"/>
              <w:rPr>
                <w:rFonts w:ascii="Times New Roman" w:hAnsi="Times New Roman"/>
                <w:color w:val="000000"/>
                <w:sz w:val="18"/>
                <w:szCs w:val="18"/>
              </w:rPr>
            </w:pPr>
            <w:r w:rsidRPr="008F14F5">
              <w:rPr>
                <w:rFonts w:ascii="Times New Roman" w:hAnsi="Times New Roman"/>
                <w:color w:val="000000"/>
                <w:sz w:val="18"/>
                <w:szCs w:val="18"/>
              </w:rPr>
              <w:t xml:space="preserve">$22,198,406 </w:t>
            </w:r>
          </w:p>
        </w:tc>
      </w:tr>
      <w:tr w:rsidR="00826F18" w:rsidRPr="00884C5E" w14:paraId="61A37EE5" w14:textId="77777777" w:rsidTr="00F95BC2">
        <w:trPr>
          <w:trHeight w:val="276"/>
        </w:trPr>
        <w:tc>
          <w:tcPr>
            <w:tcW w:w="2340" w:type="dxa"/>
            <w:vMerge/>
            <w:vAlign w:val="center"/>
            <w:hideMark/>
          </w:tcPr>
          <w:p w14:paraId="12EEEF41" w14:textId="77777777" w:rsidR="00826F18" w:rsidRPr="008F14F5" w:rsidRDefault="00826F18" w:rsidP="00434984">
            <w:pPr>
              <w:rPr>
                <w:rFonts w:ascii="Times New Roman" w:hAnsi="Times New Roman"/>
                <w:i/>
                <w:iCs/>
                <w:color w:val="000000"/>
                <w:sz w:val="18"/>
                <w:szCs w:val="18"/>
              </w:rPr>
            </w:pPr>
          </w:p>
        </w:tc>
        <w:tc>
          <w:tcPr>
            <w:tcW w:w="1170" w:type="dxa"/>
            <w:vMerge/>
            <w:vAlign w:val="center"/>
            <w:hideMark/>
          </w:tcPr>
          <w:p w14:paraId="735D5206" w14:textId="77777777" w:rsidR="00826F18" w:rsidRPr="008F14F5" w:rsidRDefault="00826F18" w:rsidP="00434984">
            <w:pPr>
              <w:rPr>
                <w:rFonts w:ascii="Times New Roman" w:hAnsi="Times New Roman"/>
                <w:color w:val="000000"/>
                <w:sz w:val="18"/>
                <w:szCs w:val="18"/>
              </w:rPr>
            </w:pPr>
          </w:p>
        </w:tc>
        <w:tc>
          <w:tcPr>
            <w:tcW w:w="1232" w:type="dxa"/>
            <w:vMerge/>
            <w:vAlign w:val="center"/>
            <w:hideMark/>
          </w:tcPr>
          <w:p w14:paraId="5E209FF9" w14:textId="77777777" w:rsidR="00826F18" w:rsidRPr="008F14F5" w:rsidRDefault="00826F18" w:rsidP="00434984">
            <w:pPr>
              <w:rPr>
                <w:rFonts w:ascii="Times New Roman" w:hAnsi="Times New Roman"/>
                <w:color w:val="000000"/>
                <w:sz w:val="18"/>
                <w:szCs w:val="18"/>
              </w:rPr>
            </w:pPr>
          </w:p>
        </w:tc>
        <w:tc>
          <w:tcPr>
            <w:tcW w:w="1326" w:type="dxa"/>
            <w:vMerge/>
            <w:vAlign w:val="center"/>
            <w:hideMark/>
          </w:tcPr>
          <w:p w14:paraId="24A5ED99" w14:textId="77777777" w:rsidR="00826F18" w:rsidRPr="008F14F5" w:rsidRDefault="00826F18" w:rsidP="00434984">
            <w:pPr>
              <w:rPr>
                <w:rFonts w:ascii="Times New Roman" w:hAnsi="Times New Roman"/>
                <w:color w:val="000000"/>
                <w:sz w:val="18"/>
                <w:szCs w:val="18"/>
              </w:rPr>
            </w:pPr>
          </w:p>
        </w:tc>
        <w:tc>
          <w:tcPr>
            <w:tcW w:w="1326" w:type="dxa"/>
            <w:vMerge/>
            <w:vAlign w:val="center"/>
            <w:hideMark/>
          </w:tcPr>
          <w:p w14:paraId="0C98CDC4" w14:textId="77777777" w:rsidR="00826F18" w:rsidRPr="008F14F5" w:rsidRDefault="00826F18" w:rsidP="00434984">
            <w:pPr>
              <w:rPr>
                <w:rFonts w:ascii="Times New Roman" w:hAnsi="Times New Roman"/>
                <w:color w:val="000000"/>
                <w:sz w:val="18"/>
                <w:szCs w:val="18"/>
              </w:rPr>
            </w:pPr>
          </w:p>
        </w:tc>
        <w:tc>
          <w:tcPr>
            <w:tcW w:w="1326" w:type="dxa"/>
            <w:vMerge/>
            <w:vAlign w:val="center"/>
            <w:hideMark/>
          </w:tcPr>
          <w:p w14:paraId="5D1AA11B" w14:textId="77777777" w:rsidR="00826F18" w:rsidRPr="008F14F5" w:rsidRDefault="00826F18" w:rsidP="00434984">
            <w:pPr>
              <w:rPr>
                <w:rFonts w:ascii="Times New Roman" w:hAnsi="Times New Roman"/>
                <w:color w:val="000000"/>
                <w:sz w:val="18"/>
                <w:szCs w:val="18"/>
              </w:rPr>
            </w:pPr>
          </w:p>
        </w:tc>
      </w:tr>
      <w:tr w:rsidR="00826F18" w:rsidRPr="00884C5E" w14:paraId="3ADE2709" w14:textId="77777777" w:rsidTr="00F95BC2">
        <w:trPr>
          <w:trHeight w:val="276"/>
        </w:trPr>
        <w:tc>
          <w:tcPr>
            <w:tcW w:w="2340" w:type="dxa"/>
            <w:vMerge w:val="restart"/>
            <w:shd w:val="clear" w:color="auto" w:fill="auto"/>
            <w:noWrap/>
            <w:vAlign w:val="center"/>
            <w:hideMark/>
          </w:tcPr>
          <w:p w14:paraId="5847FB38" w14:textId="77777777" w:rsidR="00826F18" w:rsidRPr="008F14F5" w:rsidRDefault="00826F18" w:rsidP="00434984">
            <w:pPr>
              <w:rPr>
                <w:rFonts w:ascii="Times New Roman" w:hAnsi="Times New Roman"/>
                <w:b/>
                <w:bCs/>
                <w:color w:val="000000"/>
                <w:sz w:val="18"/>
                <w:szCs w:val="18"/>
              </w:rPr>
            </w:pPr>
            <w:r w:rsidRPr="008F14F5">
              <w:rPr>
                <w:rFonts w:ascii="Times New Roman" w:hAnsi="Times New Roman"/>
                <w:b/>
                <w:bCs/>
                <w:color w:val="000000"/>
                <w:sz w:val="18"/>
                <w:szCs w:val="18"/>
              </w:rPr>
              <w:t>Total financial impact</w:t>
            </w:r>
          </w:p>
        </w:tc>
        <w:tc>
          <w:tcPr>
            <w:tcW w:w="1170" w:type="dxa"/>
            <w:vMerge w:val="restart"/>
            <w:shd w:val="clear" w:color="auto" w:fill="auto"/>
            <w:noWrap/>
            <w:vAlign w:val="center"/>
            <w:hideMark/>
          </w:tcPr>
          <w:p w14:paraId="5C7D7FFD" w14:textId="77777777" w:rsidR="00826F18" w:rsidRPr="008F14F5" w:rsidRDefault="00826F18" w:rsidP="00434984">
            <w:pPr>
              <w:ind w:firstLineChars="100" w:firstLine="181"/>
              <w:jc w:val="right"/>
              <w:rPr>
                <w:rFonts w:ascii="Times New Roman" w:hAnsi="Times New Roman"/>
                <w:b/>
                <w:bCs/>
                <w:color w:val="000000"/>
                <w:sz w:val="18"/>
                <w:szCs w:val="18"/>
              </w:rPr>
            </w:pPr>
            <w:r w:rsidRPr="008F14F5">
              <w:rPr>
                <w:rFonts w:ascii="Times New Roman" w:hAnsi="Times New Roman"/>
                <w:b/>
                <w:bCs/>
                <w:color w:val="000000"/>
                <w:sz w:val="18"/>
                <w:szCs w:val="18"/>
              </w:rPr>
              <w:t xml:space="preserve">$20,648,677 </w:t>
            </w:r>
          </w:p>
        </w:tc>
        <w:tc>
          <w:tcPr>
            <w:tcW w:w="1232" w:type="dxa"/>
            <w:vMerge w:val="restart"/>
            <w:shd w:val="clear" w:color="auto" w:fill="auto"/>
            <w:noWrap/>
            <w:vAlign w:val="center"/>
            <w:hideMark/>
          </w:tcPr>
          <w:p w14:paraId="55A3F549" w14:textId="77777777" w:rsidR="00826F18" w:rsidRPr="008F14F5" w:rsidRDefault="00826F18" w:rsidP="00434984">
            <w:pPr>
              <w:ind w:firstLineChars="100" w:firstLine="181"/>
              <w:jc w:val="right"/>
              <w:rPr>
                <w:rFonts w:ascii="Times New Roman" w:hAnsi="Times New Roman"/>
                <w:b/>
                <w:bCs/>
                <w:color w:val="000000"/>
                <w:sz w:val="18"/>
                <w:szCs w:val="18"/>
              </w:rPr>
            </w:pPr>
            <w:r w:rsidRPr="008F14F5">
              <w:rPr>
                <w:rFonts w:ascii="Times New Roman" w:hAnsi="Times New Roman"/>
                <w:b/>
                <w:bCs/>
                <w:color w:val="000000"/>
                <w:sz w:val="18"/>
                <w:szCs w:val="18"/>
              </w:rPr>
              <w:t xml:space="preserve">$29,203,161 </w:t>
            </w:r>
          </w:p>
        </w:tc>
        <w:tc>
          <w:tcPr>
            <w:tcW w:w="1326" w:type="dxa"/>
            <w:vMerge w:val="restart"/>
            <w:shd w:val="clear" w:color="auto" w:fill="auto"/>
            <w:noWrap/>
            <w:vAlign w:val="center"/>
            <w:hideMark/>
          </w:tcPr>
          <w:p w14:paraId="0E05CC56" w14:textId="77777777" w:rsidR="00826F18" w:rsidRPr="008F14F5" w:rsidRDefault="00826F18" w:rsidP="00434984">
            <w:pPr>
              <w:ind w:firstLineChars="100" w:firstLine="181"/>
              <w:jc w:val="right"/>
              <w:rPr>
                <w:rFonts w:ascii="Times New Roman" w:hAnsi="Times New Roman"/>
                <w:b/>
                <w:bCs/>
                <w:color w:val="000000"/>
                <w:sz w:val="18"/>
                <w:szCs w:val="18"/>
              </w:rPr>
            </w:pPr>
            <w:r w:rsidRPr="008F14F5">
              <w:rPr>
                <w:rFonts w:ascii="Times New Roman" w:hAnsi="Times New Roman"/>
                <w:b/>
                <w:bCs/>
                <w:color w:val="000000"/>
                <w:sz w:val="18"/>
                <w:szCs w:val="18"/>
              </w:rPr>
              <w:t xml:space="preserve">$19,380,159 </w:t>
            </w:r>
          </w:p>
        </w:tc>
        <w:tc>
          <w:tcPr>
            <w:tcW w:w="1326" w:type="dxa"/>
            <w:vMerge w:val="restart"/>
            <w:shd w:val="clear" w:color="auto" w:fill="auto"/>
            <w:vAlign w:val="center"/>
            <w:hideMark/>
          </w:tcPr>
          <w:p w14:paraId="0F7CB86A" w14:textId="77777777" w:rsidR="00826F18" w:rsidRPr="008F14F5" w:rsidRDefault="00826F18" w:rsidP="00434984">
            <w:pPr>
              <w:ind w:firstLineChars="100" w:firstLine="181"/>
              <w:jc w:val="right"/>
              <w:rPr>
                <w:rFonts w:ascii="Times New Roman" w:hAnsi="Times New Roman"/>
                <w:b/>
                <w:bCs/>
                <w:color w:val="000000"/>
                <w:sz w:val="18"/>
                <w:szCs w:val="18"/>
              </w:rPr>
            </w:pPr>
            <w:r w:rsidRPr="008F14F5">
              <w:rPr>
                <w:rFonts w:ascii="Times New Roman" w:hAnsi="Times New Roman"/>
                <w:b/>
                <w:bCs/>
                <w:color w:val="000000"/>
                <w:sz w:val="18"/>
                <w:szCs w:val="18"/>
              </w:rPr>
              <w:t xml:space="preserve">$23,480,646 </w:t>
            </w:r>
          </w:p>
        </w:tc>
        <w:tc>
          <w:tcPr>
            <w:tcW w:w="1326" w:type="dxa"/>
            <w:vMerge w:val="restart"/>
            <w:shd w:val="clear" w:color="auto" w:fill="auto"/>
            <w:vAlign w:val="center"/>
            <w:hideMark/>
          </w:tcPr>
          <w:p w14:paraId="3EBB84B0" w14:textId="77777777" w:rsidR="00826F18" w:rsidRPr="008F14F5" w:rsidRDefault="00826F18" w:rsidP="00434984">
            <w:pPr>
              <w:ind w:firstLineChars="100" w:firstLine="181"/>
              <w:jc w:val="right"/>
              <w:rPr>
                <w:rFonts w:ascii="Times New Roman" w:hAnsi="Times New Roman"/>
                <w:b/>
                <w:bCs/>
                <w:color w:val="000000"/>
                <w:sz w:val="18"/>
                <w:szCs w:val="18"/>
              </w:rPr>
            </w:pPr>
            <w:r w:rsidRPr="008F14F5">
              <w:rPr>
                <w:rFonts w:ascii="Times New Roman" w:hAnsi="Times New Roman"/>
                <w:b/>
                <w:bCs/>
                <w:color w:val="000000"/>
                <w:sz w:val="18"/>
                <w:szCs w:val="18"/>
              </w:rPr>
              <w:t xml:space="preserve">$22,231,988 </w:t>
            </w:r>
          </w:p>
        </w:tc>
      </w:tr>
      <w:tr w:rsidR="00826F18" w:rsidRPr="00884C5E" w14:paraId="007537CE" w14:textId="77777777" w:rsidTr="00F95BC2">
        <w:trPr>
          <w:trHeight w:val="276"/>
        </w:trPr>
        <w:tc>
          <w:tcPr>
            <w:tcW w:w="2340" w:type="dxa"/>
            <w:vMerge/>
            <w:vAlign w:val="center"/>
            <w:hideMark/>
          </w:tcPr>
          <w:p w14:paraId="778C489A" w14:textId="77777777" w:rsidR="00826F18" w:rsidRPr="00884C5E" w:rsidRDefault="00826F18" w:rsidP="00434984">
            <w:pPr>
              <w:rPr>
                <w:rFonts w:ascii="Times New Roman" w:hAnsi="Times New Roman"/>
                <w:b/>
                <w:bCs/>
                <w:color w:val="000000"/>
                <w:sz w:val="16"/>
                <w:szCs w:val="16"/>
              </w:rPr>
            </w:pPr>
          </w:p>
        </w:tc>
        <w:tc>
          <w:tcPr>
            <w:tcW w:w="1170" w:type="dxa"/>
            <w:vMerge/>
            <w:vAlign w:val="center"/>
            <w:hideMark/>
          </w:tcPr>
          <w:p w14:paraId="5BCA2EF5" w14:textId="77777777" w:rsidR="00826F18" w:rsidRPr="00884C5E" w:rsidRDefault="00826F18" w:rsidP="00434984">
            <w:pPr>
              <w:rPr>
                <w:rFonts w:ascii="Times New Roman" w:hAnsi="Times New Roman"/>
                <w:b/>
                <w:bCs/>
                <w:color w:val="000000"/>
                <w:sz w:val="16"/>
                <w:szCs w:val="16"/>
              </w:rPr>
            </w:pPr>
          </w:p>
        </w:tc>
        <w:tc>
          <w:tcPr>
            <w:tcW w:w="1232" w:type="dxa"/>
            <w:vMerge/>
            <w:vAlign w:val="center"/>
            <w:hideMark/>
          </w:tcPr>
          <w:p w14:paraId="7678664F" w14:textId="77777777" w:rsidR="00826F18" w:rsidRPr="00884C5E" w:rsidRDefault="00826F18" w:rsidP="00434984">
            <w:pPr>
              <w:rPr>
                <w:rFonts w:ascii="Times New Roman" w:hAnsi="Times New Roman"/>
                <w:b/>
                <w:bCs/>
                <w:color w:val="000000"/>
                <w:sz w:val="16"/>
                <w:szCs w:val="16"/>
              </w:rPr>
            </w:pPr>
          </w:p>
        </w:tc>
        <w:tc>
          <w:tcPr>
            <w:tcW w:w="1326" w:type="dxa"/>
            <w:vMerge/>
            <w:vAlign w:val="center"/>
            <w:hideMark/>
          </w:tcPr>
          <w:p w14:paraId="03F9E7D4" w14:textId="77777777" w:rsidR="00826F18" w:rsidRPr="00884C5E" w:rsidRDefault="00826F18" w:rsidP="00434984">
            <w:pPr>
              <w:rPr>
                <w:rFonts w:ascii="Times New Roman" w:hAnsi="Times New Roman"/>
                <w:b/>
                <w:bCs/>
                <w:color w:val="000000"/>
                <w:sz w:val="16"/>
                <w:szCs w:val="16"/>
              </w:rPr>
            </w:pPr>
          </w:p>
        </w:tc>
        <w:tc>
          <w:tcPr>
            <w:tcW w:w="1326" w:type="dxa"/>
            <w:vMerge/>
            <w:vAlign w:val="center"/>
            <w:hideMark/>
          </w:tcPr>
          <w:p w14:paraId="253F5EB3" w14:textId="77777777" w:rsidR="00826F18" w:rsidRPr="00884C5E" w:rsidRDefault="00826F18" w:rsidP="00434984">
            <w:pPr>
              <w:rPr>
                <w:rFonts w:ascii="Times New Roman" w:hAnsi="Times New Roman"/>
                <w:b/>
                <w:bCs/>
                <w:color w:val="000000"/>
                <w:sz w:val="16"/>
                <w:szCs w:val="16"/>
              </w:rPr>
            </w:pPr>
          </w:p>
        </w:tc>
        <w:tc>
          <w:tcPr>
            <w:tcW w:w="1326" w:type="dxa"/>
            <w:vMerge/>
            <w:vAlign w:val="center"/>
            <w:hideMark/>
          </w:tcPr>
          <w:p w14:paraId="0B20B2BA" w14:textId="77777777" w:rsidR="00826F18" w:rsidRPr="00884C5E" w:rsidRDefault="00826F18" w:rsidP="00434984">
            <w:pPr>
              <w:rPr>
                <w:rFonts w:ascii="Times New Roman" w:hAnsi="Times New Roman"/>
                <w:b/>
                <w:bCs/>
                <w:color w:val="000000"/>
                <w:sz w:val="16"/>
                <w:szCs w:val="16"/>
              </w:rPr>
            </w:pPr>
          </w:p>
        </w:tc>
      </w:tr>
    </w:tbl>
    <w:p w14:paraId="2BEA9016" w14:textId="77777777" w:rsidR="00826F18" w:rsidRPr="00884C5E" w:rsidRDefault="00826F18" w:rsidP="00826F18">
      <w:pPr>
        <w:pStyle w:val="Header"/>
        <w:rPr>
          <w:rFonts w:ascii="Times New Roman" w:hAnsi="Times New Roman"/>
          <w:b/>
          <w:bCs/>
          <w:color w:val="000000"/>
          <w:sz w:val="20"/>
        </w:rPr>
      </w:pPr>
    </w:p>
    <w:p w14:paraId="6A2EEA24" w14:textId="77777777" w:rsidR="00826F18" w:rsidRPr="00771555" w:rsidRDefault="00826F18" w:rsidP="00771555">
      <w:pPr>
        <w:pStyle w:val="H4"/>
        <w:tabs>
          <w:tab w:val="clear" w:pos="1742"/>
          <w:tab w:val="left" w:pos="1440"/>
          <w:tab w:val="left" w:pos="1620"/>
        </w:tabs>
        <w:spacing w:before="240" w:after="240" w:line="240" w:lineRule="auto"/>
        <w:ind w:left="1008" w:firstLine="0"/>
        <w:outlineLvl w:val="2"/>
        <w:rPr>
          <w:b/>
          <w:bCs/>
          <w:i w:val="0"/>
          <w:iCs/>
          <w:sz w:val="24"/>
          <w:szCs w:val="24"/>
        </w:rPr>
      </w:pPr>
      <w:r w:rsidRPr="00771555">
        <w:rPr>
          <w:b/>
          <w:bCs/>
          <w:i w:val="0"/>
          <w:iCs/>
          <w:sz w:val="24"/>
          <w:szCs w:val="24"/>
        </w:rPr>
        <w:t xml:space="preserve">Framework agreement with multilateral funding partners </w:t>
      </w:r>
    </w:p>
    <w:p w14:paraId="40230BF2" w14:textId="77777777" w:rsidR="00826F18" w:rsidRPr="00771555" w:rsidRDefault="00826F18" w:rsidP="00771555">
      <w:pPr>
        <w:pStyle w:val="SingleTxt"/>
        <w:numPr>
          <w:ilvl w:val="0"/>
          <w:numId w:val="30"/>
        </w:numPr>
        <w:tabs>
          <w:tab w:val="clear" w:pos="1742"/>
          <w:tab w:val="clear" w:pos="2218"/>
          <w:tab w:val="left" w:pos="1530"/>
        </w:tabs>
        <w:spacing w:before="240" w:after="240" w:line="240" w:lineRule="auto"/>
        <w:ind w:left="1343"/>
        <w:rPr>
          <w:rFonts w:eastAsia="MS Mincho"/>
        </w:rPr>
      </w:pPr>
      <w:r w:rsidRPr="00771555">
        <w:rPr>
          <w:rFonts w:eastAsia="MS Mincho"/>
        </w:rPr>
        <w:t>In addition to the GMS waivers as explained above, there are a number of framework agreements with multilateral funding where GMS rates have been agreed below the 8% rate. In 2020, contributions from the European Commission, UNOCHA/CERF, the UN Trust Fund for Human Security (UNTFHS), Global Fund to Fight AIDS, Tuberculosis and Malaria (GFATM), Global Environmental Fund’s small grant programme, Montreal Protocol, and other UN entities were received at GMS rate below the 8% rate.  As per the policy on fee structures for accredited entities of the Green Climate Fund (GCF), all projects/programmes except micro-size projects will be subject to the cost recovery rate below 8%. The financial impact of the framework agreements with reduced cost recovery rates is summarized below:</w:t>
      </w:r>
    </w:p>
    <w:tbl>
      <w:tblPr>
        <w:tblW w:w="8820" w:type="dxa"/>
        <w:tblInd w:w="620" w:type="dxa"/>
        <w:tblCellMar>
          <w:left w:w="43" w:type="dxa"/>
          <w:right w:w="43" w:type="dxa"/>
        </w:tblCellMar>
        <w:tblLook w:val="04A0" w:firstRow="1" w:lastRow="0" w:firstColumn="1" w:lastColumn="0" w:noHBand="0" w:noVBand="1"/>
      </w:tblPr>
      <w:tblGrid>
        <w:gridCol w:w="3157"/>
        <w:gridCol w:w="1429"/>
        <w:gridCol w:w="1474"/>
        <w:gridCol w:w="1410"/>
        <w:gridCol w:w="1350"/>
      </w:tblGrid>
      <w:tr w:rsidR="00826F18" w:rsidRPr="00884C5E" w14:paraId="59D1988B" w14:textId="77777777" w:rsidTr="00344112">
        <w:trPr>
          <w:trHeight w:val="430"/>
        </w:trPr>
        <w:tc>
          <w:tcPr>
            <w:tcW w:w="31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4E695D0" w14:textId="77777777" w:rsidR="00826F18" w:rsidRPr="00842046" w:rsidRDefault="00826F18" w:rsidP="00434984">
            <w:pPr>
              <w:jc w:val="center"/>
              <w:rPr>
                <w:rFonts w:ascii="Times New Roman" w:hAnsi="Times New Roman"/>
                <w:i/>
                <w:iCs/>
                <w:color w:val="000000"/>
                <w:sz w:val="16"/>
                <w:szCs w:val="16"/>
                <w:lang w:val="en-GB"/>
              </w:rPr>
            </w:pPr>
            <w:r w:rsidRPr="00842046">
              <w:rPr>
                <w:rFonts w:ascii="Times New Roman" w:hAnsi="Times New Roman"/>
                <w:i/>
                <w:iCs/>
                <w:color w:val="000000"/>
                <w:sz w:val="16"/>
                <w:szCs w:val="16"/>
                <w:lang w:val="en-GB"/>
              </w:rPr>
              <w:t>Funding Partners</w:t>
            </w:r>
          </w:p>
        </w:tc>
        <w:tc>
          <w:tcPr>
            <w:tcW w:w="1429" w:type="dxa"/>
            <w:tcBorders>
              <w:top w:val="single" w:sz="8" w:space="0" w:color="auto"/>
              <w:left w:val="nil"/>
              <w:bottom w:val="single" w:sz="8" w:space="0" w:color="auto"/>
              <w:right w:val="single" w:sz="4" w:space="0" w:color="auto"/>
            </w:tcBorders>
            <w:shd w:val="clear" w:color="auto" w:fill="auto"/>
            <w:vAlign w:val="center"/>
            <w:hideMark/>
          </w:tcPr>
          <w:p w14:paraId="0D0E2595" w14:textId="77777777" w:rsidR="00826F18" w:rsidRPr="00842046" w:rsidRDefault="00826F18" w:rsidP="00434984">
            <w:pPr>
              <w:jc w:val="right"/>
              <w:rPr>
                <w:rFonts w:ascii="Times New Roman" w:hAnsi="Times New Roman"/>
                <w:i/>
                <w:iCs/>
                <w:color w:val="000000"/>
                <w:sz w:val="16"/>
                <w:szCs w:val="16"/>
                <w:lang w:val="en-GB"/>
              </w:rPr>
            </w:pPr>
            <w:r w:rsidRPr="00842046">
              <w:rPr>
                <w:rFonts w:ascii="Times New Roman" w:hAnsi="Times New Roman"/>
                <w:i/>
                <w:iCs/>
                <w:color w:val="000000"/>
                <w:sz w:val="16"/>
                <w:szCs w:val="16"/>
                <w:lang w:val="en-GB"/>
              </w:rPr>
              <w:t>GMS Rate applied</w:t>
            </w:r>
          </w:p>
        </w:tc>
        <w:tc>
          <w:tcPr>
            <w:tcW w:w="1474" w:type="dxa"/>
            <w:tcBorders>
              <w:top w:val="single" w:sz="8" w:space="0" w:color="auto"/>
              <w:left w:val="nil"/>
              <w:bottom w:val="single" w:sz="8" w:space="0" w:color="auto"/>
              <w:right w:val="single" w:sz="4" w:space="0" w:color="auto"/>
            </w:tcBorders>
            <w:shd w:val="clear" w:color="auto" w:fill="auto"/>
            <w:vAlign w:val="center"/>
            <w:hideMark/>
          </w:tcPr>
          <w:p w14:paraId="72C47082" w14:textId="77777777" w:rsidR="00826F18" w:rsidRPr="00842046" w:rsidRDefault="00826F18" w:rsidP="00434984">
            <w:pPr>
              <w:jc w:val="right"/>
              <w:rPr>
                <w:rFonts w:ascii="Times New Roman" w:hAnsi="Times New Roman"/>
                <w:i/>
                <w:iCs/>
                <w:color w:val="000000"/>
                <w:sz w:val="16"/>
                <w:szCs w:val="16"/>
                <w:lang w:val="en-GB"/>
              </w:rPr>
            </w:pPr>
            <w:r w:rsidRPr="00842046">
              <w:rPr>
                <w:rFonts w:ascii="Times New Roman" w:hAnsi="Times New Roman"/>
                <w:i/>
                <w:iCs/>
                <w:color w:val="000000"/>
                <w:sz w:val="16"/>
                <w:szCs w:val="16"/>
                <w:lang w:val="en-GB"/>
              </w:rPr>
              <w:t>2018</w:t>
            </w:r>
          </w:p>
        </w:tc>
        <w:tc>
          <w:tcPr>
            <w:tcW w:w="1410" w:type="dxa"/>
            <w:tcBorders>
              <w:top w:val="single" w:sz="8" w:space="0" w:color="auto"/>
              <w:left w:val="nil"/>
              <w:bottom w:val="single" w:sz="8" w:space="0" w:color="auto"/>
              <w:right w:val="single" w:sz="4" w:space="0" w:color="auto"/>
            </w:tcBorders>
            <w:shd w:val="clear" w:color="auto" w:fill="auto"/>
            <w:vAlign w:val="center"/>
            <w:hideMark/>
          </w:tcPr>
          <w:p w14:paraId="751D31F2" w14:textId="77777777" w:rsidR="00826F18" w:rsidRPr="00842046" w:rsidRDefault="00826F18" w:rsidP="00434984">
            <w:pPr>
              <w:jc w:val="right"/>
              <w:rPr>
                <w:rFonts w:ascii="Times New Roman" w:hAnsi="Times New Roman"/>
                <w:i/>
                <w:iCs/>
                <w:color w:val="000000"/>
                <w:sz w:val="16"/>
                <w:szCs w:val="16"/>
                <w:lang w:val="en-GB"/>
              </w:rPr>
            </w:pPr>
            <w:r w:rsidRPr="00842046">
              <w:rPr>
                <w:rFonts w:ascii="Times New Roman" w:hAnsi="Times New Roman"/>
                <w:i/>
                <w:iCs/>
                <w:color w:val="000000"/>
                <w:sz w:val="16"/>
                <w:szCs w:val="16"/>
                <w:lang w:val="en-GB"/>
              </w:rPr>
              <w:t>2019</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C120187" w14:textId="77777777" w:rsidR="00826F18" w:rsidRPr="00842046" w:rsidRDefault="00826F18" w:rsidP="00434984">
            <w:pPr>
              <w:jc w:val="right"/>
              <w:rPr>
                <w:rFonts w:ascii="Times New Roman" w:hAnsi="Times New Roman"/>
                <w:i/>
                <w:iCs/>
                <w:color w:val="000000"/>
                <w:sz w:val="16"/>
                <w:szCs w:val="16"/>
                <w:lang w:val="en-GB"/>
              </w:rPr>
            </w:pPr>
            <w:r w:rsidRPr="00842046">
              <w:rPr>
                <w:rFonts w:ascii="Times New Roman" w:hAnsi="Times New Roman"/>
                <w:i/>
                <w:iCs/>
                <w:color w:val="000000"/>
                <w:sz w:val="16"/>
                <w:szCs w:val="16"/>
                <w:lang w:val="en-GB"/>
              </w:rPr>
              <w:t>2020</w:t>
            </w:r>
          </w:p>
        </w:tc>
      </w:tr>
      <w:tr w:rsidR="00826F18" w:rsidRPr="00884C5E" w14:paraId="3E7259FF"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58D5FA1D" w14:textId="77777777" w:rsidR="00826F18" w:rsidRPr="00344112" w:rsidRDefault="00826F18" w:rsidP="00434984">
            <w:pPr>
              <w:rPr>
                <w:rFonts w:ascii="Times New Roman" w:hAnsi="Times New Roman"/>
                <w:color w:val="000000"/>
                <w:sz w:val="16"/>
                <w:szCs w:val="16"/>
              </w:rPr>
            </w:pPr>
            <w:r w:rsidRPr="00344112">
              <w:rPr>
                <w:rFonts w:ascii="Times New Roman" w:hAnsi="Times New Roman"/>
                <w:color w:val="000000"/>
                <w:sz w:val="16"/>
                <w:szCs w:val="16"/>
              </w:rPr>
              <w:t>European Commission</w:t>
            </w:r>
          </w:p>
        </w:tc>
        <w:tc>
          <w:tcPr>
            <w:tcW w:w="1429" w:type="dxa"/>
            <w:tcBorders>
              <w:top w:val="nil"/>
              <w:left w:val="nil"/>
              <w:bottom w:val="single" w:sz="4" w:space="0" w:color="auto"/>
              <w:right w:val="single" w:sz="4" w:space="0" w:color="auto"/>
            </w:tcBorders>
            <w:shd w:val="clear" w:color="auto" w:fill="auto"/>
            <w:vAlign w:val="center"/>
            <w:hideMark/>
          </w:tcPr>
          <w:p w14:paraId="23E920C6"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w:t>
            </w:r>
          </w:p>
        </w:tc>
        <w:tc>
          <w:tcPr>
            <w:tcW w:w="1474" w:type="dxa"/>
            <w:tcBorders>
              <w:top w:val="nil"/>
              <w:left w:val="nil"/>
              <w:bottom w:val="single" w:sz="4" w:space="0" w:color="auto"/>
              <w:right w:val="single" w:sz="4" w:space="0" w:color="auto"/>
            </w:tcBorders>
            <w:shd w:val="clear" w:color="auto" w:fill="auto"/>
            <w:vAlign w:val="center"/>
            <w:hideMark/>
          </w:tcPr>
          <w:p w14:paraId="419B1788"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2,174,735 </w:t>
            </w:r>
          </w:p>
        </w:tc>
        <w:tc>
          <w:tcPr>
            <w:tcW w:w="1410" w:type="dxa"/>
            <w:tcBorders>
              <w:top w:val="nil"/>
              <w:left w:val="nil"/>
              <w:bottom w:val="single" w:sz="4" w:space="0" w:color="auto"/>
              <w:right w:val="single" w:sz="4" w:space="0" w:color="auto"/>
            </w:tcBorders>
            <w:shd w:val="clear" w:color="auto" w:fill="auto"/>
            <w:vAlign w:val="center"/>
            <w:hideMark/>
          </w:tcPr>
          <w:p w14:paraId="75E2A0CF"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1,914,951 </w:t>
            </w:r>
          </w:p>
        </w:tc>
        <w:tc>
          <w:tcPr>
            <w:tcW w:w="1350" w:type="dxa"/>
            <w:tcBorders>
              <w:top w:val="nil"/>
              <w:left w:val="nil"/>
              <w:bottom w:val="single" w:sz="4" w:space="0" w:color="auto"/>
              <w:right w:val="single" w:sz="8" w:space="0" w:color="auto"/>
            </w:tcBorders>
            <w:shd w:val="clear" w:color="auto" w:fill="auto"/>
            <w:vAlign w:val="center"/>
            <w:hideMark/>
          </w:tcPr>
          <w:p w14:paraId="12400E54"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2,463,953 </w:t>
            </w:r>
          </w:p>
        </w:tc>
      </w:tr>
      <w:tr w:rsidR="00826F18" w:rsidRPr="00884C5E" w14:paraId="0376BBB3"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43F36F4B" w14:textId="77777777" w:rsidR="00826F18" w:rsidRPr="00344112" w:rsidRDefault="00826F18" w:rsidP="00434984">
            <w:pPr>
              <w:rPr>
                <w:rFonts w:ascii="Times New Roman" w:hAnsi="Times New Roman"/>
                <w:color w:val="000000"/>
                <w:sz w:val="16"/>
                <w:szCs w:val="16"/>
              </w:rPr>
            </w:pPr>
            <w:r w:rsidRPr="00344112">
              <w:rPr>
                <w:rFonts w:ascii="Times New Roman" w:hAnsi="Times New Roman"/>
                <w:color w:val="000000"/>
                <w:sz w:val="16"/>
                <w:szCs w:val="16"/>
              </w:rPr>
              <w:t>Global Fund to Fight AIDS, Tuberculosis and Malaria (GFATM)</w:t>
            </w:r>
          </w:p>
        </w:tc>
        <w:tc>
          <w:tcPr>
            <w:tcW w:w="1429" w:type="dxa"/>
            <w:tcBorders>
              <w:top w:val="nil"/>
              <w:left w:val="nil"/>
              <w:bottom w:val="single" w:sz="4" w:space="0" w:color="auto"/>
              <w:right w:val="single" w:sz="4" w:space="0" w:color="auto"/>
            </w:tcBorders>
            <w:shd w:val="clear" w:color="auto" w:fill="auto"/>
            <w:vAlign w:val="center"/>
            <w:hideMark/>
          </w:tcPr>
          <w:p w14:paraId="6D015A0C"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w:t>
            </w:r>
          </w:p>
        </w:tc>
        <w:tc>
          <w:tcPr>
            <w:tcW w:w="1474" w:type="dxa"/>
            <w:tcBorders>
              <w:top w:val="nil"/>
              <w:left w:val="nil"/>
              <w:bottom w:val="single" w:sz="4" w:space="0" w:color="auto"/>
              <w:right w:val="single" w:sz="4" w:space="0" w:color="auto"/>
            </w:tcBorders>
            <w:shd w:val="clear" w:color="auto" w:fill="auto"/>
            <w:vAlign w:val="center"/>
            <w:hideMark/>
          </w:tcPr>
          <w:p w14:paraId="67E87B56"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1,977,110 </w:t>
            </w:r>
          </w:p>
        </w:tc>
        <w:tc>
          <w:tcPr>
            <w:tcW w:w="1410" w:type="dxa"/>
            <w:tcBorders>
              <w:top w:val="nil"/>
              <w:left w:val="nil"/>
              <w:bottom w:val="single" w:sz="4" w:space="0" w:color="auto"/>
              <w:right w:val="single" w:sz="4" w:space="0" w:color="auto"/>
            </w:tcBorders>
            <w:shd w:val="clear" w:color="auto" w:fill="auto"/>
            <w:vAlign w:val="center"/>
            <w:hideMark/>
          </w:tcPr>
          <w:p w14:paraId="5CD0918B"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1,657,720 </w:t>
            </w:r>
          </w:p>
        </w:tc>
        <w:tc>
          <w:tcPr>
            <w:tcW w:w="1350" w:type="dxa"/>
            <w:tcBorders>
              <w:top w:val="nil"/>
              <w:left w:val="nil"/>
              <w:bottom w:val="single" w:sz="4" w:space="0" w:color="auto"/>
              <w:right w:val="single" w:sz="8" w:space="0" w:color="auto"/>
            </w:tcBorders>
            <w:shd w:val="clear" w:color="auto" w:fill="auto"/>
            <w:vAlign w:val="center"/>
            <w:hideMark/>
          </w:tcPr>
          <w:p w14:paraId="486C72A3"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1,580,788 </w:t>
            </w:r>
          </w:p>
        </w:tc>
      </w:tr>
      <w:tr w:rsidR="00826F18" w:rsidRPr="00884C5E" w14:paraId="5F5A98BF"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7D0B6564" w14:textId="77777777" w:rsidR="00826F18" w:rsidRPr="00344112" w:rsidRDefault="00826F18" w:rsidP="00434984">
            <w:pPr>
              <w:jc w:val="both"/>
              <w:rPr>
                <w:rFonts w:ascii="Times New Roman" w:hAnsi="Times New Roman"/>
                <w:color w:val="000000"/>
                <w:sz w:val="16"/>
                <w:szCs w:val="16"/>
              </w:rPr>
            </w:pPr>
            <w:r w:rsidRPr="00344112">
              <w:rPr>
                <w:rFonts w:ascii="Times New Roman" w:hAnsi="Times New Roman"/>
                <w:color w:val="000000"/>
                <w:sz w:val="16"/>
                <w:szCs w:val="16"/>
              </w:rPr>
              <w:t xml:space="preserve">Montreal Protocol </w:t>
            </w:r>
          </w:p>
        </w:tc>
        <w:tc>
          <w:tcPr>
            <w:tcW w:w="1429" w:type="dxa"/>
            <w:tcBorders>
              <w:top w:val="nil"/>
              <w:left w:val="nil"/>
              <w:bottom w:val="single" w:sz="4" w:space="0" w:color="auto"/>
              <w:right w:val="single" w:sz="4" w:space="0" w:color="auto"/>
            </w:tcBorders>
            <w:shd w:val="clear" w:color="auto" w:fill="auto"/>
            <w:vAlign w:val="center"/>
            <w:hideMark/>
          </w:tcPr>
          <w:p w14:paraId="393DA357"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w:t>
            </w:r>
          </w:p>
        </w:tc>
        <w:tc>
          <w:tcPr>
            <w:tcW w:w="1474" w:type="dxa"/>
            <w:tcBorders>
              <w:top w:val="nil"/>
              <w:left w:val="nil"/>
              <w:bottom w:val="single" w:sz="4" w:space="0" w:color="auto"/>
              <w:right w:val="single" w:sz="4" w:space="0" w:color="auto"/>
            </w:tcBorders>
            <w:shd w:val="clear" w:color="auto" w:fill="auto"/>
            <w:vAlign w:val="center"/>
            <w:hideMark/>
          </w:tcPr>
          <w:p w14:paraId="0CB01DBF"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431,015 </w:t>
            </w:r>
          </w:p>
        </w:tc>
        <w:tc>
          <w:tcPr>
            <w:tcW w:w="1410" w:type="dxa"/>
            <w:tcBorders>
              <w:top w:val="nil"/>
              <w:left w:val="nil"/>
              <w:bottom w:val="single" w:sz="4" w:space="0" w:color="auto"/>
              <w:right w:val="single" w:sz="4" w:space="0" w:color="auto"/>
            </w:tcBorders>
            <w:shd w:val="clear" w:color="auto" w:fill="auto"/>
            <w:vAlign w:val="center"/>
            <w:hideMark/>
          </w:tcPr>
          <w:p w14:paraId="5B71D365"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258,078 </w:t>
            </w:r>
          </w:p>
        </w:tc>
        <w:tc>
          <w:tcPr>
            <w:tcW w:w="1350" w:type="dxa"/>
            <w:tcBorders>
              <w:top w:val="nil"/>
              <w:left w:val="nil"/>
              <w:bottom w:val="single" w:sz="4" w:space="0" w:color="auto"/>
              <w:right w:val="single" w:sz="8" w:space="0" w:color="auto"/>
            </w:tcBorders>
            <w:shd w:val="clear" w:color="auto" w:fill="auto"/>
            <w:vAlign w:val="center"/>
            <w:hideMark/>
          </w:tcPr>
          <w:p w14:paraId="38C7AD92"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293,146 </w:t>
            </w:r>
          </w:p>
        </w:tc>
      </w:tr>
      <w:tr w:rsidR="00826F18" w:rsidRPr="00884C5E" w14:paraId="73FC1341"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31A2C801" w14:textId="77777777" w:rsidR="00826F18" w:rsidRPr="00344112" w:rsidRDefault="00826F18" w:rsidP="00434984">
            <w:pPr>
              <w:jc w:val="both"/>
              <w:rPr>
                <w:rFonts w:ascii="Times New Roman" w:hAnsi="Times New Roman"/>
                <w:color w:val="000000"/>
                <w:sz w:val="16"/>
                <w:szCs w:val="16"/>
              </w:rPr>
            </w:pPr>
            <w:r w:rsidRPr="00344112">
              <w:rPr>
                <w:rFonts w:ascii="Times New Roman" w:hAnsi="Times New Roman"/>
                <w:color w:val="000000"/>
                <w:sz w:val="16"/>
                <w:szCs w:val="16"/>
              </w:rPr>
              <w:t>UNOCHA/CERF</w:t>
            </w:r>
          </w:p>
        </w:tc>
        <w:tc>
          <w:tcPr>
            <w:tcW w:w="1429" w:type="dxa"/>
            <w:tcBorders>
              <w:top w:val="nil"/>
              <w:left w:val="nil"/>
              <w:bottom w:val="single" w:sz="4" w:space="0" w:color="auto"/>
              <w:right w:val="single" w:sz="4" w:space="0" w:color="auto"/>
            </w:tcBorders>
            <w:shd w:val="clear" w:color="auto" w:fill="auto"/>
            <w:vAlign w:val="center"/>
            <w:hideMark/>
          </w:tcPr>
          <w:p w14:paraId="4CDFA86D"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w:t>
            </w:r>
          </w:p>
        </w:tc>
        <w:tc>
          <w:tcPr>
            <w:tcW w:w="1474" w:type="dxa"/>
            <w:tcBorders>
              <w:top w:val="nil"/>
              <w:left w:val="nil"/>
              <w:bottom w:val="single" w:sz="4" w:space="0" w:color="auto"/>
              <w:right w:val="single" w:sz="4" w:space="0" w:color="auto"/>
            </w:tcBorders>
            <w:shd w:val="clear" w:color="auto" w:fill="auto"/>
            <w:vAlign w:val="center"/>
            <w:hideMark/>
          </w:tcPr>
          <w:p w14:paraId="3B4D442D"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66,847 </w:t>
            </w:r>
          </w:p>
        </w:tc>
        <w:tc>
          <w:tcPr>
            <w:tcW w:w="1410" w:type="dxa"/>
            <w:tcBorders>
              <w:top w:val="nil"/>
              <w:left w:val="nil"/>
              <w:bottom w:val="single" w:sz="4" w:space="0" w:color="auto"/>
              <w:right w:val="single" w:sz="4" w:space="0" w:color="auto"/>
            </w:tcBorders>
            <w:shd w:val="clear" w:color="auto" w:fill="auto"/>
            <w:vAlign w:val="center"/>
            <w:hideMark/>
          </w:tcPr>
          <w:p w14:paraId="1E3D3F60"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37,871 </w:t>
            </w:r>
          </w:p>
        </w:tc>
        <w:tc>
          <w:tcPr>
            <w:tcW w:w="1350" w:type="dxa"/>
            <w:tcBorders>
              <w:top w:val="nil"/>
              <w:left w:val="nil"/>
              <w:bottom w:val="single" w:sz="4" w:space="0" w:color="auto"/>
              <w:right w:val="single" w:sz="8" w:space="0" w:color="auto"/>
            </w:tcBorders>
            <w:shd w:val="clear" w:color="auto" w:fill="auto"/>
            <w:vAlign w:val="center"/>
            <w:hideMark/>
          </w:tcPr>
          <w:p w14:paraId="2EB5153A"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65,997 </w:t>
            </w:r>
          </w:p>
        </w:tc>
      </w:tr>
      <w:tr w:rsidR="00826F18" w:rsidRPr="00884C5E" w14:paraId="38266680"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287BA5DE" w14:textId="77777777" w:rsidR="00826F18" w:rsidRPr="00344112" w:rsidRDefault="00826F18" w:rsidP="00434984">
            <w:pPr>
              <w:jc w:val="both"/>
              <w:rPr>
                <w:rFonts w:ascii="Times New Roman" w:hAnsi="Times New Roman"/>
                <w:color w:val="000000"/>
                <w:sz w:val="16"/>
                <w:szCs w:val="16"/>
              </w:rPr>
            </w:pPr>
            <w:r w:rsidRPr="00344112">
              <w:rPr>
                <w:rFonts w:ascii="Times New Roman" w:hAnsi="Times New Roman"/>
                <w:color w:val="000000"/>
                <w:sz w:val="16"/>
                <w:szCs w:val="16"/>
              </w:rPr>
              <w:t>UN Trust Fund for Human Security (UNTFHS)</w:t>
            </w:r>
          </w:p>
        </w:tc>
        <w:tc>
          <w:tcPr>
            <w:tcW w:w="1429" w:type="dxa"/>
            <w:tcBorders>
              <w:top w:val="nil"/>
              <w:left w:val="nil"/>
              <w:bottom w:val="single" w:sz="4" w:space="0" w:color="auto"/>
              <w:right w:val="single" w:sz="4" w:space="0" w:color="auto"/>
            </w:tcBorders>
            <w:shd w:val="clear" w:color="auto" w:fill="auto"/>
            <w:vAlign w:val="center"/>
            <w:hideMark/>
          </w:tcPr>
          <w:p w14:paraId="2A96F5DD"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w:t>
            </w:r>
          </w:p>
        </w:tc>
        <w:tc>
          <w:tcPr>
            <w:tcW w:w="1474" w:type="dxa"/>
            <w:tcBorders>
              <w:top w:val="nil"/>
              <w:left w:val="nil"/>
              <w:bottom w:val="single" w:sz="4" w:space="0" w:color="auto"/>
              <w:right w:val="single" w:sz="4" w:space="0" w:color="auto"/>
            </w:tcBorders>
            <w:shd w:val="clear" w:color="auto" w:fill="auto"/>
            <w:vAlign w:val="center"/>
            <w:hideMark/>
          </w:tcPr>
          <w:p w14:paraId="7C62EC4F"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23,099 </w:t>
            </w:r>
          </w:p>
        </w:tc>
        <w:tc>
          <w:tcPr>
            <w:tcW w:w="1410" w:type="dxa"/>
            <w:tcBorders>
              <w:top w:val="nil"/>
              <w:left w:val="nil"/>
              <w:bottom w:val="single" w:sz="4" w:space="0" w:color="auto"/>
              <w:right w:val="single" w:sz="4" w:space="0" w:color="auto"/>
            </w:tcBorders>
            <w:shd w:val="clear" w:color="auto" w:fill="auto"/>
            <w:vAlign w:val="center"/>
            <w:hideMark/>
          </w:tcPr>
          <w:p w14:paraId="7A108869"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25,733 </w:t>
            </w:r>
          </w:p>
        </w:tc>
        <w:tc>
          <w:tcPr>
            <w:tcW w:w="1350" w:type="dxa"/>
            <w:tcBorders>
              <w:top w:val="nil"/>
              <w:left w:val="nil"/>
              <w:bottom w:val="single" w:sz="4" w:space="0" w:color="auto"/>
              <w:right w:val="single" w:sz="8" w:space="0" w:color="auto"/>
            </w:tcBorders>
            <w:shd w:val="clear" w:color="auto" w:fill="auto"/>
            <w:vAlign w:val="center"/>
            <w:hideMark/>
          </w:tcPr>
          <w:p w14:paraId="674E0BC5"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27,979 </w:t>
            </w:r>
          </w:p>
        </w:tc>
      </w:tr>
      <w:tr w:rsidR="00826F18" w:rsidRPr="00884C5E" w14:paraId="2D12B108"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3436FF7D" w14:textId="77777777" w:rsidR="00826F18" w:rsidRPr="00344112" w:rsidRDefault="00826F18" w:rsidP="00434984">
            <w:pPr>
              <w:jc w:val="both"/>
              <w:rPr>
                <w:rFonts w:ascii="Times New Roman" w:hAnsi="Times New Roman"/>
                <w:color w:val="000000"/>
                <w:sz w:val="16"/>
                <w:szCs w:val="16"/>
              </w:rPr>
            </w:pPr>
            <w:r w:rsidRPr="00344112">
              <w:rPr>
                <w:rFonts w:ascii="Times New Roman" w:hAnsi="Times New Roman"/>
                <w:color w:val="000000"/>
                <w:sz w:val="16"/>
                <w:szCs w:val="16"/>
              </w:rPr>
              <w:t>Green Climate fund (Small, Medium or Large size projects)</w:t>
            </w:r>
          </w:p>
        </w:tc>
        <w:tc>
          <w:tcPr>
            <w:tcW w:w="1429" w:type="dxa"/>
            <w:tcBorders>
              <w:top w:val="nil"/>
              <w:left w:val="nil"/>
              <w:bottom w:val="single" w:sz="4" w:space="0" w:color="auto"/>
              <w:right w:val="single" w:sz="4" w:space="0" w:color="auto"/>
            </w:tcBorders>
            <w:shd w:val="clear" w:color="auto" w:fill="auto"/>
            <w:vAlign w:val="center"/>
            <w:hideMark/>
          </w:tcPr>
          <w:p w14:paraId="3CF420B9"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4%-7%</w:t>
            </w:r>
          </w:p>
        </w:tc>
        <w:tc>
          <w:tcPr>
            <w:tcW w:w="1474" w:type="dxa"/>
            <w:tcBorders>
              <w:top w:val="nil"/>
              <w:left w:val="nil"/>
              <w:bottom w:val="single" w:sz="4" w:space="0" w:color="auto"/>
              <w:right w:val="single" w:sz="4" w:space="0" w:color="auto"/>
            </w:tcBorders>
            <w:shd w:val="clear" w:color="auto" w:fill="auto"/>
            <w:vAlign w:val="center"/>
            <w:hideMark/>
          </w:tcPr>
          <w:p w14:paraId="7C982987"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 </w:t>
            </w:r>
          </w:p>
        </w:tc>
        <w:tc>
          <w:tcPr>
            <w:tcW w:w="1410" w:type="dxa"/>
            <w:tcBorders>
              <w:top w:val="nil"/>
              <w:left w:val="nil"/>
              <w:bottom w:val="single" w:sz="4" w:space="0" w:color="auto"/>
              <w:right w:val="single" w:sz="4" w:space="0" w:color="auto"/>
            </w:tcBorders>
            <w:shd w:val="clear" w:color="auto" w:fill="auto"/>
            <w:vAlign w:val="center"/>
            <w:hideMark/>
          </w:tcPr>
          <w:p w14:paraId="747E1574"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1,712 </w:t>
            </w:r>
          </w:p>
        </w:tc>
        <w:tc>
          <w:tcPr>
            <w:tcW w:w="1350" w:type="dxa"/>
            <w:tcBorders>
              <w:top w:val="nil"/>
              <w:left w:val="nil"/>
              <w:bottom w:val="single" w:sz="4" w:space="0" w:color="auto"/>
              <w:right w:val="single" w:sz="8" w:space="0" w:color="auto"/>
            </w:tcBorders>
            <w:shd w:val="clear" w:color="auto" w:fill="auto"/>
            <w:vAlign w:val="center"/>
            <w:hideMark/>
          </w:tcPr>
          <w:p w14:paraId="2409F542"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94,676 </w:t>
            </w:r>
          </w:p>
        </w:tc>
      </w:tr>
      <w:tr w:rsidR="00826F18" w:rsidRPr="00884C5E" w14:paraId="055C5E3D"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411E4165" w14:textId="77777777" w:rsidR="00826F18" w:rsidRPr="00344112" w:rsidRDefault="00826F18" w:rsidP="00434984">
            <w:pPr>
              <w:jc w:val="both"/>
              <w:rPr>
                <w:rFonts w:ascii="Times New Roman" w:hAnsi="Times New Roman"/>
                <w:color w:val="000000"/>
                <w:sz w:val="16"/>
                <w:szCs w:val="16"/>
              </w:rPr>
            </w:pPr>
            <w:r w:rsidRPr="00344112">
              <w:rPr>
                <w:rFonts w:ascii="Times New Roman" w:hAnsi="Times New Roman"/>
                <w:color w:val="000000"/>
                <w:sz w:val="16"/>
                <w:szCs w:val="16"/>
              </w:rPr>
              <w:t>Global Environmental Programme - Small Grant Programme</w:t>
            </w:r>
          </w:p>
        </w:tc>
        <w:tc>
          <w:tcPr>
            <w:tcW w:w="1429" w:type="dxa"/>
            <w:tcBorders>
              <w:top w:val="nil"/>
              <w:left w:val="nil"/>
              <w:bottom w:val="single" w:sz="4" w:space="0" w:color="auto"/>
              <w:right w:val="single" w:sz="4" w:space="0" w:color="auto"/>
            </w:tcBorders>
            <w:shd w:val="clear" w:color="auto" w:fill="auto"/>
            <w:vAlign w:val="center"/>
            <w:hideMark/>
          </w:tcPr>
          <w:p w14:paraId="40BF9017"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4%</w:t>
            </w:r>
          </w:p>
        </w:tc>
        <w:tc>
          <w:tcPr>
            <w:tcW w:w="1474" w:type="dxa"/>
            <w:tcBorders>
              <w:top w:val="nil"/>
              <w:left w:val="nil"/>
              <w:bottom w:val="single" w:sz="4" w:space="0" w:color="auto"/>
              <w:right w:val="single" w:sz="4" w:space="0" w:color="auto"/>
            </w:tcBorders>
            <w:shd w:val="clear" w:color="auto" w:fill="auto"/>
            <w:vAlign w:val="center"/>
            <w:hideMark/>
          </w:tcPr>
          <w:p w14:paraId="10079860"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1,816,037 </w:t>
            </w:r>
          </w:p>
        </w:tc>
        <w:tc>
          <w:tcPr>
            <w:tcW w:w="1410" w:type="dxa"/>
            <w:tcBorders>
              <w:top w:val="nil"/>
              <w:left w:val="nil"/>
              <w:bottom w:val="single" w:sz="4" w:space="0" w:color="auto"/>
              <w:right w:val="single" w:sz="4" w:space="0" w:color="auto"/>
            </w:tcBorders>
            <w:shd w:val="clear" w:color="auto" w:fill="auto"/>
            <w:vAlign w:val="center"/>
            <w:hideMark/>
          </w:tcPr>
          <w:p w14:paraId="0E6D626F"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1,859,195 </w:t>
            </w:r>
          </w:p>
        </w:tc>
        <w:tc>
          <w:tcPr>
            <w:tcW w:w="1350" w:type="dxa"/>
            <w:tcBorders>
              <w:top w:val="nil"/>
              <w:left w:val="nil"/>
              <w:bottom w:val="single" w:sz="4" w:space="0" w:color="auto"/>
              <w:right w:val="single" w:sz="8" w:space="0" w:color="auto"/>
            </w:tcBorders>
            <w:shd w:val="clear" w:color="auto" w:fill="auto"/>
            <w:vAlign w:val="center"/>
            <w:hideMark/>
          </w:tcPr>
          <w:p w14:paraId="156601B6"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1,433,679 </w:t>
            </w:r>
          </w:p>
        </w:tc>
      </w:tr>
      <w:tr w:rsidR="00826F18" w:rsidRPr="00884C5E" w14:paraId="5F6F8CD8"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439809B3" w14:textId="77777777" w:rsidR="00826F18" w:rsidRPr="00344112" w:rsidRDefault="00826F18" w:rsidP="00434984">
            <w:pPr>
              <w:jc w:val="both"/>
              <w:rPr>
                <w:rFonts w:ascii="Times New Roman" w:hAnsi="Times New Roman"/>
                <w:color w:val="000000"/>
                <w:sz w:val="16"/>
                <w:szCs w:val="16"/>
              </w:rPr>
            </w:pPr>
            <w:r w:rsidRPr="00344112">
              <w:rPr>
                <w:rFonts w:ascii="Times New Roman" w:hAnsi="Times New Roman"/>
                <w:color w:val="000000"/>
                <w:sz w:val="16"/>
                <w:szCs w:val="16"/>
              </w:rPr>
              <w:t>Funds received from other UN Agencies with lower than 8% GMS:</w:t>
            </w:r>
          </w:p>
        </w:tc>
        <w:tc>
          <w:tcPr>
            <w:tcW w:w="1429" w:type="dxa"/>
            <w:tcBorders>
              <w:top w:val="nil"/>
              <w:left w:val="nil"/>
              <w:bottom w:val="single" w:sz="4" w:space="0" w:color="auto"/>
              <w:right w:val="single" w:sz="4" w:space="0" w:color="auto"/>
            </w:tcBorders>
            <w:shd w:val="clear" w:color="auto" w:fill="auto"/>
            <w:vAlign w:val="center"/>
            <w:hideMark/>
          </w:tcPr>
          <w:p w14:paraId="3AB8F311"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 </w:t>
            </w:r>
          </w:p>
        </w:tc>
        <w:tc>
          <w:tcPr>
            <w:tcW w:w="1474" w:type="dxa"/>
            <w:tcBorders>
              <w:top w:val="nil"/>
              <w:left w:val="nil"/>
              <w:bottom w:val="single" w:sz="4" w:space="0" w:color="auto"/>
              <w:right w:val="single" w:sz="4" w:space="0" w:color="auto"/>
            </w:tcBorders>
            <w:shd w:val="clear" w:color="auto" w:fill="auto"/>
            <w:vAlign w:val="center"/>
            <w:hideMark/>
          </w:tcPr>
          <w:p w14:paraId="6451A140"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2AA3F86E"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350" w:type="dxa"/>
            <w:tcBorders>
              <w:top w:val="nil"/>
              <w:left w:val="nil"/>
              <w:bottom w:val="single" w:sz="4" w:space="0" w:color="auto"/>
              <w:right w:val="single" w:sz="8" w:space="0" w:color="auto"/>
            </w:tcBorders>
            <w:shd w:val="clear" w:color="auto" w:fill="auto"/>
            <w:vAlign w:val="center"/>
            <w:hideMark/>
          </w:tcPr>
          <w:p w14:paraId="6F7E682E"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r>
      <w:tr w:rsidR="00826F18" w:rsidRPr="00884C5E" w14:paraId="77C675C9"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557B161B" w14:textId="77777777" w:rsidR="00826F18" w:rsidRPr="00344112" w:rsidRDefault="00826F18" w:rsidP="00434984">
            <w:pPr>
              <w:ind w:firstLineChars="500" w:firstLine="800"/>
              <w:rPr>
                <w:rFonts w:ascii="Times New Roman" w:hAnsi="Times New Roman"/>
                <w:color w:val="000000"/>
                <w:sz w:val="16"/>
                <w:szCs w:val="16"/>
              </w:rPr>
            </w:pPr>
            <w:r w:rsidRPr="00344112">
              <w:rPr>
                <w:rFonts w:ascii="Times New Roman" w:hAnsi="Times New Roman"/>
                <w:color w:val="000000"/>
                <w:sz w:val="16"/>
                <w:szCs w:val="16"/>
              </w:rPr>
              <w:t xml:space="preserve">UN </w:t>
            </w:r>
          </w:p>
        </w:tc>
        <w:tc>
          <w:tcPr>
            <w:tcW w:w="1429" w:type="dxa"/>
            <w:tcBorders>
              <w:top w:val="nil"/>
              <w:left w:val="nil"/>
              <w:bottom w:val="single" w:sz="4" w:space="0" w:color="auto"/>
              <w:right w:val="single" w:sz="4" w:space="0" w:color="auto"/>
            </w:tcBorders>
            <w:shd w:val="clear" w:color="auto" w:fill="auto"/>
            <w:vAlign w:val="center"/>
            <w:hideMark/>
          </w:tcPr>
          <w:p w14:paraId="6E0BE944"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 or below</w:t>
            </w:r>
          </w:p>
        </w:tc>
        <w:tc>
          <w:tcPr>
            <w:tcW w:w="1474" w:type="dxa"/>
            <w:tcBorders>
              <w:top w:val="nil"/>
              <w:left w:val="nil"/>
              <w:bottom w:val="single" w:sz="4" w:space="0" w:color="auto"/>
              <w:right w:val="single" w:sz="4" w:space="0" w:color="auto"/>
            </w:tcBorders>
            <w:shd w:val="clear" w:color="auto" w:fill="auto"/>
            <w:vAlign w:val="center"/>
            <w:hideMark/>
          </w:tcPr>
          <w:p w14:paraId="5A00BF47"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6,901 </w:t>
            </w:r>
          </w:p>
        </w:tc>
        <w:tc>
          <w:tcPr>
            <w:tcW w:w="1410" w:type="dxa"/>
            <w:tcBorders>
              <w:top w:val="nil"/>
              <w:left w:val="nil"/>
              <w:bottom w:val="single" w:sz="4" w:space="0" w:color="auto"/>
              <w:right w:val="single" w:sz="4" w:space="0" w:color="auto"/>
            </w:tcBorders>
            <w:shd w:val="clear" w:color="auto" w:fill="auto"/>
            <w:vAlign w:val="center"/>
            <w:hideMark/>
          </w:tcPr>
          <w:p w14:paraId="69B6DE15"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908,220 </w:t>
            </w:r>
          </w:p>
        </w:tc>
        <w:tc>
          <w:tcPr>
            <w:tcW w:w="1350" w:type="dxa"/>
            <w:tcBorders>
              <w:top w:val="nil"/>
              <w:left w:val="nil"/>
              <w:bottom w:val="single" w:sz="4" w:space="0" w:color="auto"/>
              <w:right w:val="single" w:sz="8" w:space="0" w:color="auto"/>
            </w:tcBorders>
            <w:shd w:val="clear" w:color="auto" w:fill="auto"/>
            <w:vAlign w:val="center"/>
            <w:hideMark/>
          </w:tcPr>
          <w:p w14:paraId="2772BCEC"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924,015 </w:t>
            </w:r>
          </w:p>
        </w:tc>
      </w:tr>
      <w:tr w:rsidR="00826F18" w:rsidRPr="00884C5E" w14:paraId="3ED3E3EB"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13A187E0" w14:textId="77777777" w:rsidR="00826F18" w:rsidRPr="00344112" w:rsidRDefault="00826F18" w:rsidP="00434984">
            <w:pPr>
              <w:ind w:firstLineChars="500" w:firstLine="800"/>
              <w:rPr>
                <w:rFonts w:ascii="Times New Roman" w:hAnsi="Times New Roman"/>
                <w:color w:val="000000"/>
                <w:sz w:val="16"/>
                <w:szCs w:val="16"/>
              </w:rPr>
            </w:pPr>
            <w:r w:rsidRPr="00344112">
              <w:rPr>
                <w:rFonts w:ascii="Times New Roman" w:hAnsi="Times New Roman"/>
                <w:color w:val="000000"/>
                <w:sz w:val="16"/>
                <w:szCs w:val="16"/>
              </w:rPr>
              <w:t>UNICEF</w:t>
            </w:r>
          </w:p>
        </w:tc>
        <w:tc>
          <w:tcPr>
            <w:tcW w:w="1429" w:type="dxa"/>
            <w:tcBorders>
              <w:top w:val="nil"/>
              <w:left w:val="nil"/>
              <w:bottom w:val="single" w:sz="4" w:space="0" w:color="auto"/>
              <w:right w:val="single" w:sz="4" w:space="0" w:color="auto"/>
            </w:tcBorders>
            <w:shd w:val="clear" w:color="auto" w:fill="auto"/>
            <w:vAlign w:val="center"/>
            <w:hideMark/>
          </w:tcPr>
          <w:p w14:paraId="36E6468F"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 or below </w:t>
            </w:r>
          </w:p>
        </w:tc>
        <w:tc>
          <w:tcPr>
            <w:tcW w:w="1474" w:type="dxa"/>
            <w:tcBorders>
              <w:top w:val="nil"/>
              <w:left w:val="nil"/>
              <w:bottom w:val="single" w:sz="4" w:space="0" w:color="auto"/>
              <w:right w:val="single" w:sz="4" w:space="0" w:color="auto"/>
            </w:tcBorders>
            <w:shd w:val="clear" w:color="auto" w:fill="auto"/>
            <w:vAlign w:val="center"/>
            <w:hideMark/>
          </w:tcPr>
          <w:p w14:paraId="3B2DBFE7"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7,949 </w:t>
            </w:r>
          </w:p>
        </w:tc>
        <w:tc>
          <w:tcPr>
            <w:tcW w:w="1410" w:type="dxa"/>
            <w:tcBorders>
              <w:top w:val="nil"/>
              <w:left w:val="nil"/>
              <w:bottom w:val="single" w:sz="4" w:space="0" w:color="auto"/>
              <w:right w:val="single" w:sz="4" w:space="0" w:color="auto"/>
            </w:tcBorders>
            <w:shd w:val="clear" w:color="auto" w:fill="auto"/>
            <w:vAlign w:val="center"/>
            <w:hideMark/>
          </w:tcPr>
          <w:p w14:paraId="6527E698"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838 </w:t>
            </w:r>
          </w:p>
        </w:tc>
        <w:tc>
          <w:tcPr>
            <w:tcW w:w="1350" w:type="dxa"/>
            <w:tcBorders>
              <w:top w:val="nil"/>
              <w:left w:val="nil"/>
              <w:bottom w:val="single" w:sz="4" w:space="0" w:color="auto"/>
              <w:right w:val="single" w:sz="8" w:space="0" w:color="auto"/>
            </w:tcBorders>
            <w:shd w:val="clear" w:color="auto" w:fill="auto"/>
            <w:vAlign w:val="center"/>
            <w:hideMark/>
          </w:tcPr>
          <w:p w14:paraId="46C641B7"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r>
      <w:tr w:rsidR="00826F18" w:rsidRPr="00884C5E" w14:paraId="4176DC7D"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61DB916D" w14:textId="77777777" w:rsidR="00826F18" w:rsidRPr="00344112" w:rsidRDefault="00826F18" w:rsidP="00434984">
            <w:pPr>
              <w:ind w:firstLineChars="500" w:firstLine="800"/>
              <w:rPr>
                <w:rFonts w:ascii="Times New Roman" w:hAnsi="Times New Roman"/>
                <w:color w:val="000000"/>
                <w:sz w:val="16"/>
                <w:szCs w:val="16"/>
              </w:rPr>
            </w:pPr>
            <w:r w:rsidRPr="00344112">
              <w:rPr>
                <w:rFonts w:ascii="Times New Roman" w:hAnsi="Times New Roman"/>
                <w:color w:val="000000"/>
                <w:sz w:val="16"/>
                <w:szCs w:val="16"/>
              </w:rPr>
              <w:t>UNFPA</w:t>
            </w:r>
          </w:p>
        </w:tc>
        <w:tc>
          <w:tcPr>
            <w:tcW w:w="1429" w:type="dxa"/>
            <w:tcBorders>
              <w:top w:val="nil"/>
              <w:left w:val="nil"/>
              <w:bottom w:val="single" w:sz="4" w:space="0" w:color="auto"/>
              <w:right w:val="single" w:sz="4" w:space="0" w:color="auto"/>
            </w:tcBorders>
            <w:shd w:val="clear" w:color="auto" w:fill="auto"/>
            <w:vAlign w:val="center"/>
            <w:hideMark/>
          </w:tcPr>
          <w:p w14:paraId="3F66E162"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 or below </w:t>
            </w:r>
          </w:p>
        </w:tc>
        <w:tc>
          <w:tcPr>
            <w:tcW w:w="1474" w:type="dxa"/>
            <w:tcBorders>
              <w:top w:val="nil"/>
              <w:left w:val="nil"/>
              <w:bottom w:val="single" w:sz="4" w:space="0" w:color="auto"/>
              <w:right w:val="single" w:sz="4" w:space="0" w:color="auto"/>
            </w:tcBorders>
            <w:shd w:val="clear" w:color="auto" w:fill="auto"/>
            <w:vAlign w:val="center"/>
            <w:hideMark/>
          </w:tcPr>
          <w:p w14:paraId="68E13DD2"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2,228 </w:t>
            </w:r>
          </w:p>
        </w:tc>
        <w:tc>
          <w:tcPr>
            <w:tcW w:w="1410" w:type="dxa"/>
            <w:tcBorders>
              <w:top w:val="nil"/>
              <w:left w:val="nil"/>
              <w:bottom w:val="single" w:sz="4" w:space="0" w:color="auto"/>
              <w:right w:val="single" w:sz="4" w:space="0" w:color="auto"/>
            </w:tcBorders>
            <w:shd w:val="clear" w:color="auto" w:fill="auto"/>
            <w:vAlign w:val="center"/>
            <w:hideMark/>
          </w:tcPr>
          <w:p w14:paraId="240D9D99"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 </w:t>
            </w:r>
          </w:p>
        </w:tc>
        <w:tc>
          <w:tcPr>
            <w:tcW w:w="1350" w:type="dxa"/>
            <w:tcBorders>
              <w:top w:val="nil"/>
              <w:left w:val="nil"/>
              <w:bottom w:val="single" w:sz="4" w:space="0" w:color="auto"/>
              <w:right w:val="single" w:sz="8" w:space="0" w:color="auto"/>
            </w:tcBorders>
            <w:shd w:val="clear" w:color="auto" w:fill="auto"/>
            <w:vAlign w:val="center"/>
            <w:hideMark/>
          </w:tcPr>
          <w:p w14:paraId="3963B72C"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r>
      <w:tr w:rsidR="00826F18" w:rsidRPr="00884C5E" w14:paraId="6B5BCAF5"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07F58885" w14:textId="77777777" w:rsidR="00826F18" w:rsidRPr="00344112" w:rsidRDefault="00826F18" w:rsidP="00434984">
            <w:pPr>
              <w:ind w:firstLineChars="500" w:firstLine="800"/>
              <w:rPr>
                <w:rFonts w:ascii="Times New Roman" w:hAnsi="Times New Roman"/>
                <w:color w:val="000000"/>
                <w:sz w:val="16"/>
                <w:szCs w:val="16"/>
              </w:rPr>
            </w:pPr>
            <w:r w:rsidRPr="00344112">
              <w:rPr>
                <w:rFonts w:ascii="Times New Roman" w:hAnsi="Times New Roman"/>
                <w:color w:val="000000"/>
                <w:sz w:val="16"/>
                <w:szCs w:val="16"/>
              </w:rPr>
              <w:t>UNHABITAT</w:t>
            </w:r>
          </w:p>
        </w:tc>
        <w:tc>
          <w:tcPr>
            <w:tcW w:w="1429" w:type="dxa"/>
            <w:tcBorders>
              <w:top w:val="nil"/>
              <w:left w:val="nil"/>
              <w:bottom w:val="single" w:sz="4" w:space="0" w:color="auto"/>
              <w:right w:val="single" w:sz="4" w:space="0" w:color="auto"/>
            </w:tcBorders>
            <w:shd w:val="clear" w:color="auto" w:fill="auto"/>
            <w:vAlign w:val="center"/>
            <w:hideMark/>
          </w:tcPr>
          <w:p w14:paraId="71831960"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 or below </w:t>
            </w:r>
          </w:p>
        </w:tc>
        <w:tc>
          <w:tcPr>
            <w:tcW w:w="1474" w:type="dxa"/>
            <w:tcBorders>
              <w:top w:val="nil"/>
              <w:left w:val="nil"/>
              <w:bottom w:val="single" w:sz="4" w:space="0" w:color="auto"/>
              <w:right w:val="single" w:sz="4" w:space="0" w:color="auto"/>
            </w:tcBorders>
            <w:shd w:val="clear" w:color="auto" w:fill="auto"/>
            <w:vAlign w:val="center"/>
            <w:hideMark/>
          </w:tcPr>
          <w:p w14:paraId="4D716785"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129D25AC"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350" w:type="dxa"/>
            <w:tcBorders>
              <w:top w:val="nil"/>
              <w:left w:val="nil"/>
              <w:bottom w:val="single" w:sz="4" w:space="0" w:color="auto"/>
              <w:right w:val="single" w:sz="8" w:space="0" w:color="auto"/>
            </w:tcBorders>
            <w:shd w:val="clear" w:color="auto" w:fill="auto"/>
            <w:vAlign w:val="center"/>
            <w:hideMark/>
          </w:tcPr>
          <w:p w14:paraId="31BAEE7C"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15,253 </w:t>
            </w:r>
          </w:p>
        </w:tc>
      </w:tr>
      <w:tr w:rsidR="00826F18" w:rsidRPr="00884C5E" w14:paraId="45A81CF9"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3B8616E2" w14:textId="77777777" w:rsidR="00826F18" w:rsidRPr="00344112" w:rsidRDefault="00826F18" w:rsidP="00434984">
            <w:pPr>
              <w:ind w:firstLineChars="500" w:firstLine="800"/>
              <w:rPr>
                <w:rFonts w:ascii="Times New Roman" w:hAnsi="Times New Roman"/>
                <w:color w:val="000000"/>
                <w:sz w:val="16"/>
                <w:szCs w:val="16"/>
              </w:rPr>
            </w:pPr>
            <w:r w:rsidRPr="00344112">
              <w:rPr>
                <w:rFonts w:ascii="Times New Roman" w:hAnsi="Times New Roman"/>
                <w:color w:val="000000"/>
                <w:sz w:val="16"/>
                <w:szCs w:val="16"/>
              </w:rPr>
              <w:t>UNOPS</w:t>
            </w:r>
          </w:p>
        </w:tc>
        <w:tc>
          <w:tcPr>
            <w:tcW w:w="1429" w:type="dxa"/>
            <w:tcBorders>
              <w:top w:val="nil"/>
              <w:left w:val="nil"/>
              <w:bottom w:val="single" w:sz="4" w:space="0" w:color="auto"/>
              <w:right w:val="single" w:sz="4" w:space="0" w:color="auto"/>
            </w:tcBorders>
            <w:shd w:val="clear" w:color="auto" w:fill="auto"/>
            <w:vAlign w:val="center"/>
            <w:hideMark/>
          </w:tcPr>
          <w:p w14:paraId="2228BBF0"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 or below </w:t>
            </w:r>
          </w:p>
        </w:tc>
        <w:tc>
          <w:tcPr>
            <w:tcW w:w="1474" w:type="dxa"/>
            <w:tcBorders>
              <w:top w:val="nil"/>
              <w:left w:val="nil"/>
              <w:bottom w:val="single" w:sz="4" w:space="0" w:color="auto"/>
              <w:right w:val="single" w:sz="4" w:space="0" w:color="auto"/>
            </w:tcBorders>
            <w:shd w:val="clear" w:color="auto" w:fill="auto"/>
            <w:vAlign w:val="center"/>
            <w:hideMark/>
          </w:tcPr>
          <w:p w14:paraId="0FBEA5E1"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1FEE6B5A"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17,944 </w:t>
            </w:r>
          </w:p>
        </w:tc>
        <w:tc>
          <w:tcPr>
            <w:tcW w:w="1350" w:type="dxa"/>
            <w:tcBorders>
              <w:top w:val="nil"/>
              <w:left w:val="nil"/>
              <w:bottom w:val="single" w:sz="4" w:space="0" w:color="auto"/>
              <w:right w:val="single" w:sz="8" w:space="0" w:color="auto"/>
            </w:tcBorders>
            <w:shd w:val="clear" w:color="auto" w:fill="auto"/>
            <w:vAlign w:val="center"/>
            <w:hideMark/>
          </w:tcPr>
          <w:p w14:paraId="18992188"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r>
      <w:tr w:rsidR="00826F18" w:rsidRPr="00884C5E" w14:paraId="122D7E2E"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5D6C49A2" w14:textId="77777777" w:rsidR="00826F18" w:rsidRPr="00344112" w:rsidRDefault="00826F18" w:rsidP="00434984">
            <w:pPr>
              <w:ind w:firstLineChars="500" w:firstLine="800"/>
              <w:rPr>
                <w:rFonts w:ascii="Times New Roman" w:hAnsi="Times New Roman"/>
                <w:color w:val="000000"/>
                <w:sz w:val="16"/>
                <w:szCs w:val="16"/>
              </w:rPr>
            </w:pPr>
            <w:r w:rsidRPr="00344112">
              <w:rPr>
                <w:rFonts w:ascii="Times New Roman" w:hAnsi="Times New Roman"/>
                <w:color w:val="000000"/>
                <w:sz w:val="16"/>
                <w:szCs w:val="16"/>
              </w:rPr>
              <w:lastRenderedPageBreak/>
              <w:t>UNODC</w:t>
            </w:r>
          </w:p>
        </w:tc>
        <w:tc>
          <w:tcPr>
            <w:tcW w:w="1429" w:type="dxa"/>
            <w:tcBorders>
              <w:top w:val="nil"/>
              <w:left w:val="nil"/>
              <w:bottom w:val="single" w:sz="4" w:space="0" w:color="auto"/>
              <w:right w:val="single" w:sz="4" w:space="0" w:color="auto"/>
            </w:tcBorders>
            <w:shd w:val="clear" w:color="auto" w:fill="auto"/>
            <w:vAlign w:val="center"/>
            <w:hideMark/>
          </w:tcPr>
          <w:p w14:paraId="1E51A924"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 or below </w:t>
            </w:r>
          </w:p>
        </w:tc>
        <w:tc>
          <w:tcPr>
            <w:tcW w:w="1474" w:type="dxa"/>
            <w:tcBorders>
              <w:top w:val="nil"/>
              <w:left w:val="nil"/>
              <w:bottom w:val="single" w:sz="4" w:space="0" w:color="auto"/>
              <w:right w:val="single" w:sz="4" w:space="0" w:color="auto"/>
            </w:tcBorders>
            <w:shd w:val="clear" w:color="auto" w:fill="auto"/>
            <w:vAlign w:val="center"/>
            <w:hideMark/>
          </w:tcPr>
          <w:p w14:paraId="3DD28306"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FF958D1"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350" w:type="dxa"/>
            <w:tcBorders>
              <w:top w:val="nil"/>
              <w:left w:val="nil"/>
              <w:bottom w:val="single" w:sz="4" w:space="0" w:color="auto"/>
              <w:right w:val="single" w:sz="8" w:space="0" w:color="auto"/>
            </w:tcBorders>
            <w:shd w:val="clear" w:color="auto" w:fill="auto"/>
            <w:vAlign w:val="center"/>
            <w:hideMark/>
          </w:tcPr>
          <w:p w14:paraId="2BD12963"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4,266 </w:t>
            </w:r>
          </w:p>
        </w:tc>
      </w:tr>
      <w:tr w:rsidR="00826F18" w:rsidRPr="00884C5E" w14:paraId="430591EB"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764E5B90" w14:textId="77777777" w:rsidR="00826F18" w:rsidRPr="00344112" w:rsidRDefault="00826F18" w:rsidP="00434984">
            <w:pPr>
              <w:ind w:firstLineChars="500" w:firstLine="800"/>
              <w:rPr>
                <w:rFonts w:ascii="Times New Roman" w:hAnsi="Times New Roman"/>
                <w:color w:val="000000"/>
                <w:sz w:val="16"/>
                <w:szCs w:val="16"/>
              </w:rPr>
            </w:pPr>
            <w:r w:rsidRPr="00344112">
              <w:rPr>
                <w:rFonts w:ascii="Times New Roman" w:hAnsi="Times New Roman"/>
                <w:color w:val="000000"/>
                <w:sz w:val="16"/>
                <w:szCs w:val="16"/>
              </w:rPr>
              <w:t>UNWOMEN</w:t>
            </w:r>
          </w:p>
        </w:tc>
        <w:tc>
          <w:tcPr>
            <w:tcW w:w="1429" w:type="dxa"/>
            <w:tcBorders>
              <w:top w:val="nil"/>
              <w:left w:val="nil"/>
              <w:bottom w:val="single" w:sz="4" w:space="0" w:color="auto"/>
              <w:right w:val="single" w:sz="4" w:space="0" w:color="auto"/>
            </w:tcBorders>
            <w:shd w:val="clear" w:color="auto" w:fill="auto"/>
            <w:vAlign w:val="center"/>
            <w:hideMark/>
          </w:tcPr>
          <w:p w14:paraId="371B8DA3"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 or below </w:t>
            </w:r>
          </w:p>
        </w:tc>
        <w:tc>
          <w:tcPr>
            <w:tcW w:w="1474" w:type="dxa"/>
            <w:tcBorders>
              <w:top w:val="nil"/>
              <w:left w:val="nil"/>
              <w:bottom w:val="single" w:sz="4" w:space="0" w:color="auto"/>
              <w:right w:val="single" w:sz="4" w:space="0" w:color="auto"/>
            </w:tcBorders>
            <w:shd w:val="clear" w:color="auto" w:fill="auto"/>
            <w:vAlign w:val="center"/>
            <w:hideMark/>
          </w:tcPr>
          <w:p w14:paraId="37157677"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D6E7B50"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5,106 </w:t>
            </w:r>
          </w:p>
        </w:tc>
        <w:tc>
          <w:tcPr>
            <w:tcW w:w="1350" w:type="dxa"/>
            <w:tcBorders>
              <w:top w:val="nil"/>
              <w:left w:val="nil"/>
              <w:bottom w:val="single" w:sz="4" w:space="0" w:color="auto"/>
              <w:right w:val="single" w:sz="8" w:space="0" w:color="auto"/>
            </w:tcBorders>
            <w:shd w:val="clear" w:color="auto" w:fill="auto"/>
            <w:vAlign w:val="center"/>
            <w:hideMark/>
          </w:tcPr>
          <w:p w14:paraId="227D7BDD"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1,523 </w:t>
            </w:r>
          </w:p>
        </w:tc>
      </w:tr>
      <w:tr w:rsidR="00826F18" w:rsidRPr="00884C5E" w14:paraId="12D9EEAA" w14:textId="77777777" w:rsidTr="00344112">
        <w:trPr>
          <w:trHeight w:val="287"/>
        </w:trPr>
        <w:tc>
          <w:tcPr>
            <w:tcW w:w="3157" w:type="dxa"/>
            <w:tcBorders>
              <w:top w:val="nil"/>
              <w:left w:val="single" w:sz="8" w:space="0" w:color="auto"/>
              <w:bottom w:val="single" w:sz="4" w:space="0" w:color="auto"/>
              <w:right w:val="single" w:sz="4" w:space="0" w:color="auto"/>
            </w:tcBorders>
            <w:shd w:val="clear" w:color="auto" w:fill="auto"/>
            <w:vAlign w:val="center"/>
            <w:hideMark/>
          </w:tcPr>
          <w:p w14:paraId="47BBCCE5" w14:textId="77777777" w:rsidR="00826F18" w:rsidRPr="00344112" w:rsidRDefault="00826F18" w:rsidP="00434984">
            <w:pPr>
              <w:ind w:firstLineChars="500" w:firstLine="800"/>
              <w:rPr>
                <w:rFonts w:ascii="Times New Roman" w:hAnsi="Times New Roman"/>
                <w:color w:val="000000"/>
                <w:sz w:val="16"/>
                <w:szCs w:val="16"/>
              </w:rPr>
            </w:pPr>
            <w:r w:rsidRPr="00344112">
              <w:rPr>
                <w:rFonts w:ascii="Times New Roman" w:hAnsi="Times New Roman"/>
                <w:color w:val="000000"/>
                <w:sz w:val="16"/>
                <w:szCs w:val="16"/>
              </w:rPr>
              <w:t>WHO</w:t>
            </w:r>
          </w:p>
        </w:tc>
        <w:tc>
          <w:tcPr>
            <w:tcW w:w="1429" w:type="dxa"/>
            <w:tcBorders>
              <w:top w:val="nil"/>
              <w:left w:val="nil"/>
              <w:bottom w:val="single" w:sz="4" w:space="0" w:color="auto"/>
              <w:right w:val="single" w:sz="4" w:space="0" w:color="auto"/>
            </w:tcBorders>
            <w:shd w:val="clear" w:color="auto" w:fill="auto"/>
            <w:vAlign w:val="center"/>
            <w:hideMark/>
          </w:tcPr>
          <w:p w14:paraId="0AB055F2"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 or below </w:t>
            </w:r>
          </w:p>
        </w:tc>
        <w:tc>
          <w:tcPr>
            <w:tcW w:w="1474" w:type="dxa"/>
            <w:tcBorders>
              <w:top w:val="nil"/>
              <w:left w:val="nil"/>
              <w:bottom w:val="single" w:sz="4" w:space="0" w:color="auto"/>
              <w:right w:val="single" w:sz="4" w:space="0" w:color="auto"/>
            </w:tcBorders>
            <w:shd w:val="clear" w:color="auto" w:fill="auto"/>
            <w:vAlign w:val="center"/>
            <w:hideMark/>
          </w:tcPr>
          <w:p w14:paraId="29DDD5D8"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3E618A66"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350" w:type="dxa"/>
            <w:tcBorders>
              <w:top w:val="nil"/>
              <w:left w:val="nil"/>
              <w:bottom w:val="single" w:sz="4" w:space="0" w:color="auto"/>
              <w:right w:val="single" w:sz="8" w:space="0" w:color="auto"/>
            </w:tcBorders>
            <w:shd w:val="clear" w:color="auto" w:fill="auto"/>
            <w:vAlign w:val="center"/>
            <w:hideMark/>
          </w:tcPr>
          <w:p w14:paraId="3F07371B"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16,523 </w:t>
            </w:r>
          </w:p>
        </w:tc>
      </w:tr>
      <w:tr w:rsidR="00826F18" w:rsidRPr="00884C5E" w14:paraId="7007356A" w14:textId="77777777" w:rsidTr="00344112">
        <w:trPr>
          <w:trHeight w:val="287"/>
        </w:trPr>
        <w:tc>
          <w:tcPr>
            <w:tcW w:w="3157" w:type="dxa"/>
            <w:tcBorders>
              <w:top w:val="nil"/>
              <w:left w:val="single" w:sz="8" w:space="0" w:color="auto"/>
              <w:bottom w:val="nil"/>
              <w:right w:val="single" w:sz="4" w:space="0" w:color="auto"/>
            </w:tcBorders>
            <w:shd w:val="clear" w:color="auto" w:fill="auto"/>
            <w:vAlign w:val="center"/>
            <w:hideMark/>
          </w:tcPr>
          <w:p w14:paraId="4DA599CB" w14:textId="77777777" w:rsidR="00826F18" w:rsidRPr="00344112" w:rsidRDefault="00826F18" w:rsidP="00434984">
            <w:pPr>
              <w:ind w:firstLineChars="500" w:firstLine="800"/>
              <w:rPr>
                <w:rFonts w:ascii="Times New Roman" w:hAnsi="Times New Roman"/>
                <w:color w:val="000000"/>
                <w:sz w:val="16"/>
                <w:szCs w:val="16"/>
              </w:rPr>
            </w:pPr>
            <w:r w:rsidRPr="00344112">
              <w:rPr>
                <w:rFonts w:ascii="Times New Roman" w:hAnsi="Times New Roman"/>
                <w:color w:val="000000"/>
                <w:sz w:val="16"/>
                <w:szCs w:val="16"/>
              </w:rPr>
              <w:t>WFP</w:t>
            </w:r>
          </w:p>
        </w:tc>
        <w:tc>
          <w:tcPr>
            <w:tcW w:w="1429" w:type="dxa"/>
            <w:tcBorders>
              <w:top w:val="nil"/>
              <w:left w:val="nil"/>
              <w:bottom w:val="nil"/>
              <w:right w:val="single" w:sz="4" w:space="0" w:color="auto"/>
            </w:tcBorders>
            <w:shd w:val="clear" w:color="auto" w:fill="auto"/>
            <w:vAlign w:val="center"/>
            <w:hideMark/>
          </w:tcPr>
          <w:p w14:paraId="6509D6C3" w14:textId="77777777" w:rsidR="00826F18" w:rsidRPr="00344112" w:rsidRDefault="00826F18" w:rsidP="00434984">
            <w:pPr>
              <w:jc w:val="center"/>
              <w:rPr>
                <w:rFonts w:ascii="Times New Roman" w:hAnsi="Times New Roman"/>
                <w:color w:val="000000"/>
                <w:sz w:val="16"/>
                <w:szCs w:val="16"/>
              </w:rPr>
            </w:pPr>
            <w:r w:rsidRPr="00344112">
              <w:rPr>
                <w:rFonts w:ascii="Times New Roman" w:hAnsi="Times New Roman"/>
                <w:color w:val="000000"/>
                <w:sz w:val="16"/>
                <w:szCs w:val="16"/>
              </w:rPr>
              <w:t>7% or below </w:t>
            </w:r>
          </w:p>
        </w:tc>
        <w:tc>
          <w:tcPr>
            <w:tcW w:w="1474" w:type="dxa"/>
            <w:tcBorders>
              <w:top w:val="nil"/>
              <w:left w:val="nil"/>
              <w:bottom w:val="nil"/>
              <w:right w:val="single" w:sz="4" w:space="0" w:color="auto"/>
            </w:tcBorders>
            <w:shd w:val="clear" w:color="auto" w:fill="auto"/>
            <w:vAlign w:val="center"/>
            <w:hideMark/>
          </w:tcPr>
          <w:p w14:paraId="4580E4C2"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w:t>
            </w:r>
          </w:p>
        </w:tc>
        <w:tc>
          <w:tcPr>
            <w:tcW w:w="1410" w:type="dxa"/>
            <w:tcBorders>
              <w:top w:val="nil"/>
              <w:left w:val="nil"/>
              <w:bottom w:val="nil"/>
              <w:right w:val="single" w:sz="4" w:space="0" w:color="auto"/>
            </w:tcBorders>
            <w:shd w:val="clear" w:color="auto" w:fill="auto"/>
            <w:vAlign w:val="center"/>
            <w:hideMark/>
          </w:tcPr>
          <w:p w14:paraId="7CD4D238"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1,135 </w:t>
            </w:r>
          </w:p>
        </w:tc>
        <w:tc>
          <w:tcPr>
            <w:tcW w:w="1350" w:type="dxa"/>
            <w:tcBorders>
              <w:top w:val="nil"/>
              <w:left w:val="nil"/>
              <w:bottom w:val="nil"/>
              <w:right w:val="single" w:sz="8" w:space="0" w:color="auto"/>
            </w:tcBorders>
            <w:shd w:val="clear" w:color="auto" w:fill="auto"/>
            <w:vAlign w:val="center"/>
            <w:hideMark/>
          </w:tcPr>
          <w:p w14:paraId="0B91B631" w14:textId="77777777" w:rsidR="00826F18" w:rsidRPr="00344112" w:rsidRDefault="00826F18" w:rsidP="00434984">
            <w:pPr>
              <w:jc w:val="right"/>
              <w:rPr>
                <w:rFonts w:ascii="Times New Roman" w:hAnsi="Times New Roman"/>
                <w:color w:val="000000"/>
                <w:sz w:val="16"/>
                <w:szCs w:val="16"/>
              </w:rPr>
            </w:pPr>
            <w:r w:rsidRPr="00344112">
              <w:rPr>
                <w:rFonts w:ascii="Times New Roman" w:hAnsi="Times New Roman"/>
                <w:color w:val="000000"/>
                <w:sz w:val="16"/>
                <w:szCs w:val="16"/>
              </w:rPr>
              <w:t xml:space="preserve"> $                 7,741 </w:t>
            </w:r>
          </w:p>
        </w:tc>
      </w:tr>
      <w:tr w:rsidR="00826F18" w:rsidRPr="00884C5E" w14:paraId="57145933" w14:textId="77777777" w:rsidTr="00344112">
        <w:trPr>
          <w:trHeight w:val="287"/>
        </w:trPr>
        <w:tc>
          <w:tcPr>
            <w:tcW w:w="31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F990583" w14:textId="77777777" w:rsidR="00826F18" w:rsidRPr="00344112" w:rsidRDefault="00826F18" w:rsidP="00434984">
            <w:pPr>
              <w:jc w:val="both"/>
              <w:rPr>
                <w:rFonts w:ascii="Times New Roman" w:hAnsi="Times New Roman"/>
                <w:b/>
                <w:bCs/>
                <w:color w:val="000000"/>
                <w:sz w:val="18"/>
                <w:szCs w:val="18"/>
              </w:rPr>
            </w:pPr>
            <w:r w:rsidRPr="00344112">
              <w:rPr>
                <w:rFonts w:ascii="Times New Roman" w:hAnsi="Times New Roman"/>
                <w:b/>
                <w:bCs/>
                <w:color w:val="000000"/>
                <w:sz w:val="18"/>
                <w:szCs w:val="18"/>
              </w:rPr>
              <w:t>Total financial impact</w:t>
            </w:r>
          </w:p>
        </w:tc>
        <w:tc>
          <w:tcPr>
            <w:tcW w:w="1429" w:type="dxa"/>
            <w:tcBorders>
              <w:top w:val="single" w:sz="8" w:space="0" w:color="auto"/>
              <w:left w:val="nil"/>
              <w:bottom w:val="single" w:sz="8" w:space="0" w:color="auto"/>
              <w:right w:val="single" w:sz="4" w:space="0" w:color="auto"/>
            </w:tcBorders>
            <w:shd w:val="clear" w:color="auto" w:fill="auto"/>
            <w:vAlign w:val="center"/>
            <w:hideMark/>
          </w:tcPr>
          <w:p w14:paraId="0C7562E9" w14:textId="77777777" w:rsidR="00826F18" w:rsidRPr="00344112" w:rsidRDefault="00826F18" w:rsidP="00434984">
            <w:pPr>
              <w:jc w:val="center"/>
              <w:rPr>
                <w:rFonts w:ascii="Times New Roman" w:hAnsi="Times New Roman"/>
                <w:b/>
                <w:bCs/>
                <w:color w:val="000000"/>
                <w:sz w:val="18"/>
                <w:szCs w:val="18"/>
              </w:rPr>
            </w:pPr>
            <w:r w:rsidRPr="00344112">
              <w:rPr>
                <w:rFonts w:ascii="Times New Roman" w:hAnsi="Times New Roman"/>
                <w:b/>
                <w:bCs/>
                <w:color w:val="000000"/>
                <w:sz w:val="18"/>
                <w:szCs w:val="18"/>
              </w:rPr>
              <w:t> </w:t>
            </w:r>
          </w:p>
        </w:tc>
        <w:tc>
          <w:tcPr>
            <w:tcW w:w="1474" w:type="dxa"/>
            <w:tcBorders>
              <w:top w:val="single" w:sz="8" w:space="0" w:color="auto"/>
              <w:left w:val="nil"/>
              <w:bottom w:val="single" w:sz="8" w:space="0" w:color="auto"/>
              <w:right w:val="single" w:sz="4" w:space="0" w:color="auto"/>
            </w:tcBorders>
            <w:shd w:val="clear" w:color="auto" w:fill="auto"/>
            <w:vAlign w:val="center"/>
            <w:hideMark/>
          </w:tcPr>
          <w:p w14:paraId="0E6042D7" w14:textId="77777777" w:rsidR="00826F18" w:rsidRPr="00344112" w:rsidRDefault="00826F18" w:rsidP="00434984">
            <w:pPr>
              <w:jc w:val="right"/>
              <w:rPr>
                <w:rFonts w:ascii="Times New Roman" w:hAnsi="Times New Roman"/>
                <w:b/>
                <w:bCs/>
                <w:color w:val="000000"/>
                <w:sz w:val="18"/>
                <w:szCs w:val="18"/>
              </w:rPr>
            </w:pPr>
            <w:r w:rsidRPr="00344112">
              <w:rPr>
                <w:rFonts w:ascii="Times New Roman" w:hAnsi="Times New Roman"/>
                <w:b/>
                <w:bCs/>
                <w:color w:val="000000"/>
                <w:sz w:val="18"/>
                <w:szCs w:val="18"/>
              </w:rPr>
              <w:t xml:space="preserve"> $       6,505,921 </w:t>
            </w:r>
          </w:p>
        </w:tc>
        <w:tc>
          <w:tcPr>
            <w:tcW w:w="1410" w:type="dxa"/>
            <w:tcBorders>
              <w:top w:val="single" w:sz="8" w:space="0" w:color="auto"/>
              <w:left w:val="nil"/>
              <w:bottom w:val="single" w:sz="8" w:space="0" w:color="auto"/>
              <w:right w:val="single" w:sz="4" w:space="0" w:color="auto"/>
            </w:tcBorders>
            <w:shd w:val="clear" w:color="auto" w:fill="auto"/>
            <w:vAlign w:val="center"/>
            <w:hideMark/>
          </w:tcPr>
          <w:p w14:paraId="1DF0DC71" w14:textId="2D7FA618" w:rsidR="00826F18" w:rsidRPr="00344112" w:rsidRDefault="00826F18" w:rsidP="00344112">
            <w:pPr>
              <w:ind w:right="90"/>
              <w:jc w:val="right"/>
              <w:rPr>
                <w:rFonts w:ascii="Times New Roman" w:hAnsi="Times New Roman"/>
                <w:b/>
                <w:bCs/>
                <w:color w:val="000000"/>
                <w:sz w:val="18"/>
                <w:szCs w:val="18"/>
              </w:rPr>
            </w:pPr>
            <w:r w:rsidRPr="00344112">
              <w:rPr>
                <w:rFonts w:ascii="Times New Roman" w:hAnsi="Times New Roman"/>
                <w:b/>
                <w:bCs/>
                <w:color w:val="000000"/>
                <w:sz w:val="18"/>
                <w:szCs w:val="18"/>
              </w:rPr>
              <w:t xml:space="preserve">$         6,688,503 </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C45A694" w14:textId="77777777" w:rsidR="00826F18" w:rsidRPr="00344112" w:rsidRDefault="00826F18" w:rsidP="00434984">
            <w:pPr>
              <w:jc w:val="right"/>
              <w:rPr>
                <w:rFonts w:ascii="Times New Roman" w:hAnsi="Times New Roman"/>
                <w:b/>
                <w:bCs/>
                <w:color w:val="000000"/>
                <w:sz w:val="18"/>
                <w:szCs w:val="18"/>
              </w:rPr>
            </w:pPr>
            <w:r w:rsidRPr="00344112">
              <w:rPr>
                <w:rFonts w:ascii="Times New Roman" w:hAnsi="Times New Roman"/>
                <w:b/>
                <w:bCs/>
                <w:color w:val="000000"/>
                <w:sz w:val="18"/>
                <w:szCs w:val="18"/>
              </w:rPr>
              <w:t xml:space="preserve"> $       6,929,540 </w:t>
            </w:r>
          </w:p>
        </w:tc>
      </w:tr>
    </w:tbl>
    <w:p w14:paraId="42AEE6C6" w14:textId="77777777" w:rsidR="00826F18" w:rsidRPr="00884C5E" w:rsidRDefault="00826F18" w:rsidP="00826F18">
      <w:pPr>
        <w:jc w:val="both"/>
        <w:rPr>
          <w:rFonts w:ascii="Times New Roman" w:hAnsi="Times New Roman"/>
          <w:sz w:val="20"/>
        </w:rPr>
      </w:pPr>
    </w:p>
    <w:p w14:paraId="4AD80D53" w14:textId="77777777" w:rsidR="00826F18" w:rsidRPr="00771555" w:rsidRDefault="00826F18" w:rsidP="00771555">
      <w:pPr>
        <w:pStyle w:val="H1"/>
        <w:numPr>
          <w:ilvl w:val="0"/>
          <w:numId w:val="32"/>
        </w:numPr>
        <w:tabs>
          <w:tab w:val="clear" w:pos="1022"/>
          <w:tab w:val="clear" w:pos="1742"/>
          <w:tab w:val="right" w:pos="1440"/>
          <w:tab w:val="num" w:pos="1692"/>
          <w:tab w:val="left" w:pos="1800"/>
        </w:tabs>
        <w:spacing w:before="240" w:after="240" w:line="240" w:lineRule="auto"/>
        <w:ind w:left="1152" w:right="0" w:hanging="432"/>
        <w:outlineLvl w:val="1"/>
      </w:pPr>
      <w:r w:rsidRPr="00771555">
        <w:t xml:space="preserve">Cost recovery effective rate </w:t>
      </w:r>
    </w:p>
    <w:p w14:paraId="2D67F0F4" w14:textId="639E4ABF" w:rsidR="00826F18" w:rsidRDefault="00826F18" w:rsidP="00771555">
      <w:pPr>
        <w:pStyle w:val="SingleTxt"/>
        <w:numPr>
          <w:ilvl w:val="0"/>
          <w:numId w:val="30"/>
        </w:numPr>
        <w:tabs>
          <w:tab w:val="clear" w:pos="1742"/>
          <w:tab w:val="clear" w:pos="2218"/>
          <w:tab w:val="left" w:pos="1530"/>
        </w:tabs>
        <w:spacing w:before="240" w:after="240" w:line="240" w:lineRule="auto"/>
        <w:ind w:left="1343"/>
        <w:rPr>
          <w:rFonts w:eastAsia="MS Mincho"/>
        </w:rPr>
      </w:pPr>
      <w:r w:rsidRPr="00771555">
        <w:rPr>
          <w:rFonts w:eastAsia="MS Mincho"/>
        </w:rPr>
        <w:t>In 2020, UNDP remained compliant with the relevant Executive Board decisions on cost recovery. The table below summarizes actual financial performance for 2018–2020 and covers the current Strategic Plan. The effective rate represents the actual cost-recovery rate realized after taking into account the effect of differentiated rates and waivers granted each year.</w:t>
      </w:r>
    </w:p>
    <w:p w14:paraId="66B2BECB" w14:textId="77777777" w:rsidR="00771555" w:rsidRPr="00884C5E" w:rsidRDefault="00771555" w:rsidP="00771555">
      <w:pPr>
        <w:pStyle w:val="ListParagraph"/>
        <w:spacing w:before="240" w:after="240"/>
        <w:contextualSpacing w:val="0"/>
        <w:rPr>
          <w:rFonts w:ascii="Times New Roman" w:hAnsi="Times New Roman"/>
          <w:b/>
          <w:bCs/>
          <w:sz w:val="20"/>
          <w:lang w:val="en-GB"/>
        </w:rPr>
      </w:pPr>
      <w:r w:rsidRPr="00884C5E">
        <w:rPr>
          <w:rFonts w:ascii="Times New Roman" w:hAnsi="Times New Roman"/>
          <w:b/>
          <w:bCs/>
          <w:sz w:val="20"/>
          <w:lang w:val="en-GB"/>
        </w:rPr>
        <w:t>Effective average indirect cost-recovery rate, 2018–2020</w:t>
      </w:r>
    </w:p>
    <w:tbl>
      <w:tblPr>
        <w:tblW w:w="8888" w:type="dxa"/>
        <w:tblInd w:w="483" w:type="dxa"/>
        <w:tblLayout w:type="fixed"/>
        <w:tblLook w:val="04A0" w:firstRow="1" w:lastRow="0" w:firstColumn="1" w:lastColumn="0" w:noHBand="0" w:noVBand="1"/>
      </w:tblPr>
      <w:tblGrid>
        <w:gridCol w:w="4061"/>
        <w:gridCol w:w="1097"/>
        <w:gridCol w:w="1079"/>
        <w:gridCol w:w="1097"/>
        <w:gridCol w:w="1554"/>
      </w:tblGrid>
      <w:tr w:rsidR="00771555" w:rsidRPr="00884C5E" w14:paraId="4C1CFD38" w14:textId="77777777" w:rsidTr="00434984">
        <w:trPr>
          <w:trHeight w:val="430"/>
        </w:trPr>
        <w:tc>
          <w:tcPr>
            <w:tcW w:w="4061" w:type="dxa"/>
            <w:tcBorders>
              <w:top w:val="single" w:sz="8" w:space="0" w:color="auto"/>
              <w:left w:val="nil"/>
              <w:bottom w:val="single" w:sz="8" w:space="0" w:color="auto"/>
              <w:right w:val="nil"/>
            </w:tcBorders>
            <w:vAlign w:val="center"/>
          </w:tcPr>
          <w:p w14:paraId="724E5925" w14:textId="77777777" w:rsidR="00771555" w:rsidRPr="00771555" w:rsidRDefault="00771555" w:rsidP="00434984">
            <w:pPr>
              <w:rPr>
                <w:rFonts w:ascii="Times New Roman" w:hAnsi="Times New Roman"/>
                <w:i/>
                <w:iCs/>
                <w:color w:val="000000"/>
                <w:sz w:val="16"/>
                <w:szCs w:val="16"/>
                <w:lang w:val="en-GB"/>
              </w:rPr>
            </w:pPr>
            <w:r w:rsidRPr="00771555">
              <w:rPr>
                <w:rFonts w:ascii="Times New Roman" w:hAnsi="Times New Roman"/>
                <w:i/>
                <w:iCs/>
                <w:color w:val="000000"/>
                <w:sz w:val="16"/>
                <w:szCs w:val="16"/>
                <w:lang w:val="en-GB"/>
              </w:rPr>
              <w:t>Effective average indirect cost-recovery rates</w:t>
            </w:r>
          </w:p>
        </w:tc>
        <w:tc>
          <w:tcPr>
            <w:tcW w:w="1097" w:type="dxa"/>
            <w:tcBorders>
              <w:top w:val="single" w:sz="8" w:space="0" w:color="auto"/>
              <w:left w:val="nil"/>
              <w:bottom w:val="single" w:sz="8" w:space="0" w:color="auto"/>
              <w:right w:val="nil"/>
            </w:tcBorders>
            <w:vAlign w:val="center"/>
          </w:tcPr>
          <w:p w14:paraId="42BED3C2" w14:textId="77777777" w:rsidR="00771555" w:rsidRPr="00771555" w:rsidRDefault="00771555" w:rsidP="00434984">
            <w:pPr>
              <w:jc w:val="right"/>
              <w:rPr>
                <w:rFonts w:ascii="Times New Roman" w:hAnsi="Times New Roman"/>
                <w:i/>
                <w:iCs/>
                <w:color w:val="000000"/>
                <w:sz w:val="16"/>
                <w:szCs w:val="16"/>
                <w:lang w:val="en-GB"/>
              </w:rPr>
            </w:pPr>
            <w:r w:rsidRPr="00771555">
              <w:rPr>
                <w:rFonts w:ascii="Times New Roman" w:hAnsi="Times New Roman"/>
                <w:i/>
                <w:iCs/>
                <w:color w:val="000000"/>
                <w:sz w:val="16"/>
                <w:szCs w:val="16"/>
                <w:lang w:val="en-GB"/>
              </w:rPr>
              <w:t>2018</w:t>
            </w:r>
          </w:p>
        </w:tc>
        <w:tc>
          <w:tcPr>
            <w:tcW w:w="1079" w:type="dxa"/>
            <w:tcBorders>
              <w:top w:val="single" w:sz="8" w:space="0" w:color="auto"/>
              <w:left w:val="nil"/>
              <w:bottom w:val="single" w:sz="8" w:space="0" w:color="auto"/>
              <w:right w:val="nil"/>
            </w:tcBorders>
            <w:vAlign w:val="center"/>
          </w:tcPr>
          <w:p w14:paraId="2DCE81EF" w14:textId="77777777" w:rsidR="00771555" w:rsidRPr="00771555" w:rsidRDefault="00771555" w:rsidP="00434984">
            <w:pPr>
              <w:jc w:val="right"/>
              <w:rPr>
                <w:rFonts w:ascii="Times New Roman" w:hAnsi="Times New Roman"/>
                <w:i/>
                <w:iCs/>
                <w:color w:val="000000"/>
                <w:sz w:val="16"/>
                <w:szCs w:val="16"/>
                <w:lang w:val="en-GB"/>
              </w:rPr>
            </w:pPr>
            <w:r w:rsidRPr="00771555">
              <w:rPr>
                <w:rFonts w:ascii="Times New Roman" w:hAnsi="Times New Roman"/>
                <w:i/>
                <w:iCs/>
                <w:color w:val="000000"/>
                <w:sz w:val="16"/>
                <w:szCs w:val="16"/>
                <w:lang w:val="en-GB"/>
              </w:rPr>
              <w:t>2019</w:t>
            </w:r>
          </w:p>
        </w:tc>
        <w:tc>
          <w:tcPr>
            <w:tcW w:w="1097" w:type="dxa"/>
            <w:tcBorders>
              <w:top w:val="single" w:sz="8" w:space="0" w:color="auto"/>
              <w:left w:val="nil"/>
              <w:bottom w:val="single" w:sz="8" w:space="0" w:color="auto"/>
              <w:right w:val="nil"/>
            </w:tcBorders>
            <w:vAlign w:val="center"/>
          </w:tcPr>
          <w:p w14:paraId="665B7A19" w14:textId="77777777" w:rsidR="00771555" w:rsidRPr="00771555" w:rsidRDefault="00771555" w:rsidP="00434984">
            <w:pPr>
              <w:jc w:val="right"/>
              <w:rPr>
                <w:rFonts w:ascii="Times New Roman" w:hAnsi="Times New Roman"/>
                <w:i/>
                <w:iCs/>
                <w:color w:val="000000"/>
                <w:sz w:val="16"/>
                <w:szCs w:val="16"/>
                <w:lang w:val="en-GB"/>
              </w:rPr>
            </w:pPr>
            <w:r w:rsidRPr="00771555">
              <w:rPr>
                <w:rFonts w:ascii="Times New Roman" w:hAnsi="Times New Roman"/>
                <w:i/>
                <w:iCs/>
                <w:color w:val="000000"/>
                <w:sz w:val="16"/>
                <w:szCs w:val="16"/>
                <w:lang w:val="en-GB"/>
              </w:rPr>
              <w:t>2020</w:t>
            </w:r>
          </w:p>
        </w:tc>
        <w:tc>
          <w:tcPr>
            <w:tcW w:w="1554" w:type="dxa"/>
            <w:tcBorders>
              <w:top w:val="single" w:sz="8" w:space="0" w:color="auto"/>
              <w:left w:val="nil"/>
              <w:bottom w:val="single" w:sz="8" w:space="0" w:color="auto"/>
              <w:right w:val="nil"/>
            </w:tcBorders>
            <w:vAlign w:val="center"/>
          </w:tcPr>
          <w:p w14:paraId="5E680DD6" w14:textId="77777777" w:rsidR="00771555" w:rsidRPr="00771555" w:rsidRDefault="00771555" w:rsidP="00434984">
            <w:pPr>
              <w:jc w:val="right"/>
              <w:rPr>
                <w:rFonts w:ascii="Times New Roman" w:hAnsi="Times New Roman"/>
                <w:i/>
                <w:iCs/>
                <w:color w:val="000000"/>
                <w:sz w:val="16"/>
                <w:szCs w:val="16"/>
                <w:lang w:val="en-GB"/>
              </w:rPr>
            </w:pPr>
            <w:r w:rsidRPr="00771555">
              <w:rPr>
                <w:rFonts w:ascii="Times New Roman" w:hAnsi="Times New Roman"/>
                <w:i/>
                <w:iCs/>
                <w:color w:val="000000"/>
                <w:sz w:val="16"/>
                <w:szCs w:val="16"/>
                <w:lang w:val="en-GB"/>
              </w:rPr>
              <w:t>2018–2020</w:t>
            </w:r>
          </w:p>
          <w:p w14:paraId="58E7B524" w14:textId="77777777" w:rsidR="00771555" w:rsidRPr="00771555" w:rsidRDefault="00771555" w:rsidP="00434984">
            <w:pPr>
              <w:jc w:val="right"/>
              <w:rPr>
                <w:rFonts w:ascii="Times New Roman" w:hAnsi="Times New Roman"/>
                <w:i/>
                <w:iCs/>
                <w:color w:val="000000"/>
                <w:sz w:val="16"/>
                <w:szCs w:val="16"/>
                <w:lang w:val="en-GB"/>
              </w:rPr>
            </w:pPr>
            <w:r w:rsidRPr="00771555">
              <w:rPr>
                <w:rFonts w:ascii="Times New Roman" w:hAnsi="Times New Roman"/>
                <w:i/>
                <w:iCs/>
                <w:color w:val="000000"/>
                <w:sz w:val="16"/>
                <w:szCs w:val="16"/>
                <w:lang w:val="en-GB"/>
              </w:rPr>
              <w:t>(weighted average)</w:t>
            </w:r>
          </w:p>
        </w:tc>
      </w:tr>
      <w:tr w:rsidR="00771555" w:rsidRPr="00884C5E" w14:paraId="14C5D095" w14:textId="77777777" w:rsidTr="00434984">
        <w:trPr>
          <w:trHeight w:val="340"/>
        </w:trPr>
        <w:tc>
          <w:tcPr>
            <w:tcW w:w="4061" w:type="dxa"/>
            <w:tcBorders>
              <w:top w:val="single" w:sz="8" w:space="0" w:color="auto"/>
              <w:left w:val="nil"/>
              <w:bottom w:val="single" w:sz="8" w:space="0" w:color="auto"/>
              <w:right w:val="nil"/>
            </w:tcBorders>
            <w:vAlign w:val="center"/>
          </w:tcPr>
          <w:p w14:paraId="0F2B30B4" w14:textId="77777777" w:rsidR="00771555" w:rsidRPr="00771555" w:rsidRDefault="00771555" w:rsidP="00434984">
            <w:pPr>
              <w:rPr>
                <w:rFonts w:ascii="Times New Roman" w:hAnsi="Times New Roman"/>
                <w:sz w:val="16"/>
                <w:szCs w:val="16"/>
              </w:rPr>
            </w:pPr>
            <w:r w:rsidRPr="00771555">
              <w:rPr>
                <w:rFonts w:ascii="Times New Roman" w:hAnsi="Times New Roman"/>
                <w:sz w:val="16"/>
                <w:szCs w:val="16"/>
                <w:lang w:val="en-GB"/>
              </w:rPr>
              <w:t>UNDP</w:t>
            </w:r>
          </w:p>
        </w:tc>
        <w:tc>
          <w:tcPr>
            <w:tcW w:w="1097" w:type="dxa"/>
            <w:tcBorders>
              <w:top w:val="single" w:sz="8" w:space="0" w:color="auto"/>
              <w:left w:val="nil"/>
              <w:bottom w:val="single" w:sz="8" w:space="0" w:color="auto"/>
              <w:right w:val="nil"/>
            </w:tcBorders>
            <w:vAlign w:val="center"/>
          </w:tcPr>
          <w:p w14:paraId="06F81753" w14:textId="77777777" w:rsidR="00771555" w:rsidRPr="00771555" w:rsidRDefault="00771555" w:rsidP="00434984">
            <w:pPr>
              <w:jc w:val="right"/>
              <w:rPr>
                <w:rFonts w:ascii="Times New Roman" w:hAnsi="Times New Roman"/>
                <w:sz w:val="16"/>
                <w:szCs w:val="16"/>
              </w:rPr>
            </w:pPr>
            <w:r w:rsidRPr="00771555">
              <w:rPr>
                <w:rFonts w:ascii="Times New Roman" w:hAnsi="Times New Roman"/>
                <w:sz w:val="16"/>
                <w:szCs w:val="16"/>
              </w:rPr>
              <w:t>6.16%</w:t>
            </w:r>
          </w:p>
        </w:tc>
        <w:tc>
          <w:tcPr>
            <w:tcW w:w="1079" w:type="dxa"/>
            <w:tcBorders>
              <w:top w:val="single" w:sz="8" w:space="0" w:color="auto"/>
              <w:left w:val="nil"/>
              <w:bottom w:val="single" w:sz="8" w:space="0" w:color="auto"/>
              <w:right w:val="nil"/>
            </w:tcBorders>
            <w:vAlign w:val="center"/>
          </w:tcPr>
          <w:p w14:paraId="76A38BE3" w14:textId="77777777" w:rsidR="00771555" w:rsidRPr="00771555" w:rsidRDefault="00771555" w:rsidP="00434984">
            <w:pPr>
              <w:jc w:val="right"/>
              <w:rPr>
                <w:rFonts w:ascii="Times New Roman" w:hAnsi="Times New Roman"/>
                <w:sz w:val="16"/>
                <w:szCs w:val="16"/>
              </w:rPr>
            </w:pPr>
            <w:r w:rsidRPr="00771555">
              <w:rPr>
                <w:rFonts w:ascii="Times New Roman" w:hAnsi="Times New Roman"/>
                <w:sz w:val="16"/>
                <w:szCs w:val="16"/>
              </w:rPr>
              <w:t>6.38%</w:t>
            </w:r>
          </w:p>
        </w:tc>
        <w:tc>
          <w:tcPr>
            <w:tcW w:w="1097" w:type="dxa"/>
            <w:tcBorders>
              <w:top w:val="single" w:sz="8" w:space="0" w:color="auto"/>
              <w:left w:val="nil"/>
              <w:bottom w:val="single" w:sz="8" w:space="0" w:color="auto"/>
              <w:right w:val="nil"/>
            </w:tcBorders>
            <w:vAlign w:val="center"/>
          </w:tcPr>
          <w:p w14:paraId="7B3A8144" w14:textId="77777777" w:rsidR="00771555" w:rsidRPr="00771555" w:rsidRDefault="00771555" w:rsidP="00434984">
            <w:pPr>
              <w:jc w:val="right"/>
              <w:rPr>
                <w:rFonts w:ascii="Times New Roman" w:hAnsi="Times New Roman"/>
                <w:sz w:val="16"/>
                <w:szCs w:val="16"/>
              </w:rPr>
            </w:pPr>
            <w:r w:rsidRPr="00771555">
              <w:rPr>
                <w:rFonts w:ascii="Times New Roman" w:hAnsi="Times New Roman"/>
                <w:sz w:val="16"/>
                <w:szCs w:val="16"/>
              </w:rPr>
              <w:t>6.17%</w:t>
            </w:r>
          </w:p>
        </w:tc>
        <w:tc>
          <w:tcPr>
            <w:tcW w:w="1554" w:type="dxa"/>
            <w:tcBorders>
              <w:top w:val="single" w:sz="8" w:space="0" w:color="auto"/>
              <w:left w:val="nil"/>
              <w:bottom w:val="single" w:sz="8" w:space="0" w:color="auto"/>
              <w:right w:val="nil"/>
            </w:tcBorders>
            <w:vAlign w:val="center"/>
          </w:tcPr>
          <w:p w14:paraId="0E7E0D02" w14:textId="77777777" w:rsidR="00771555" w:rsidRPr="00771555" w:rsidRDefault="00771555" w:rsidP="00434984">
            <w:pPr>
              <w:jc w:val="right"/>
              <w:rPr>
                <w:rFonts w:ascii="Times New Roman" w:hAnsi="Times New Roman"/>
                <w:sz w:val="16"/>
                <w:szCs w:val="16"/>
              </w:rPr>
            </w:pPr>
            <w:r w:rsidRPr="00771555">
              <w:rPr>
                <w:rFonts w:ascii="Times New Roman" w:hAnsi="Times New Roman"/>
                <w:sz w:val="16"/>
                <w:szCs w:val="16"/>
              </w:rPr>
              <w:t>6.22%</w:t>
            </w:r>
          </w:p>
        </w:tc>
      </w:tr>
    </w:tbl>
    <w:p w14:paraId="4861B03C" w14:textId="77777777" w:rsidR="00771555" w:rsidRPr="00771555" w:rsidRDefault="00771555" w:rsidP="00771555">
      <w:pPr>
        <w:pStyle w:val="SingleTxt"/>
        <w:tabs>
          <w:tab w:val="clear" w:pos="1742"/>
          <w:tab w:val="clear" w:pos="2218"/>
          <w:tab w:val="left" w:pos="1530"/>
        </w:tabs>
        <w:spacing w:before="240" w:after="240" w:line="240" w:lineRule="auto"/>
        <w:ind w:left="0"/>
        <w:rPr>
          <w:rFonts w:eastAsia="MS Mincho"/>
        </w:rPr>
      </w:pPr>
    </w:p>
    <w:p w14:paraId="5B6F6310" w14:textId="0E7253E8" w:rsidR="00826F18" w:rsidRPr="00771555" w:rsidRDefault="00826F18" w:rsidP="00771555">
      <w:pPr>
        <w:pStyle w:val="H1"/>
        <w:numPr>
          <w:ilvl w:val="0"/>
          <w:numId w:val="32"/>
        </w:numPr>
        <w:tabs>
          <w:tab w:val="clear" w:pos="1022"/>
          <w:tab w:val="clear" w:pos="1742"/>
          <w:tab w:val="right" w:pos="1440"/>
          <w:tab w:val="num" w:pos="1692"/>
          <w:tab w:val="left" w:pos="1800"/>
        </w:tabs>
        <w:spacing w:before="240" w:after="240" w:line="240" w:lineRule="auto"/>
        <w:ind w:left="1152" w:right="0" w:hanging="432"/>
        <w:outlineLvl w:val="1"/>
      </w:pPr>
      <w:r w:rsidRPr="00771555">
        <w:t>Financial impact of the differentiated cost-recovery rates</w:t>
      </w:r>
    </w:p>
    <w:p w14:paraId="1A3E8C2F" w14:textId="77777777" w:rsidR="00826F18" w:rsidRPr="00771555" w:rsidRDefault="00826F18" w:rsidP="00771555">
      <w:pPr>
        <w:pStyle w:val="SingleTxt"/>
        <w:numPr>
          <w:ilvl w:val="0"/>
          <w:numId w:val="30"/>
        </w:numPr>
        <w:tabs>
          <w:tab w:val="clear" w:pos="1742"/>
          <w:tab w:val="clear" w:pos="2218"/>
          <w:tab w:val="left" w:pos="1530"/>
        </w:tabs>
        <w:spacing w:before="240" w:after="240" w:line="240" w:lineRule="auto"/>
        <w:ind w:left="1343"/>
        <w:rPr>
          <w:rFonts w:eastAsia="MS Mincho"/>
        </w:rPr>
      </w:pPr>
      <w:r w:rsidRPr="00771555">
        <w:rPr>
          <w:rFonts w:eastAsia="MS Mincho"/>
        </w:rPr>
        <w:t xml:space="preserve">The following table indicates the financial impact of differentiated rates compared to the 8 per cent rate, broken down by financial impact in the following categories, where applicable: (a) thematic funding; (b) framework/umbrella agreements; and (c) programme Government preferential rates. In addition, the financial impact of the waivers is presented. </w:t>
      </w:r>
    </w:p>
    <w:tbl>
      <w:tblPr>
        <w:tblW w:w="9015" w:type="dxa"/>
        <w:tblInd w:w="571" w:type="dxa"/>
        <w:tblLook w:val="04A0" w:firstRow="1" w:lastRow="0" w:firstColumn="1" w:lastColumn="0" w:noHBand="0" w:noVBand="1"/>
      </w:tblPr>
      <w:tblGrid>
        <w:gridCol w:w="4760"/>
        <w:gridCol w:w="1037"/>
        <w:gridCol w:w="1037"/>
        <w:gridCol w:w="1037"/>
        <w:gridCol w:w="1144"/>
      </w:tblGrid>
      <w:tr w:rsidR="00771555" w:rsidRPr="00771555" w14:paraId="63AC3010" w14:textId="77777777" w:rsidTr="00434984">
        <w:trPr>
          <w:trHeight w:val="261"/>
        </w:trPr>
        <w:tc>
          <w:tcPr>
            <w:tcW w:w="9015" w:type="dxa"/>
            <w:gridSpan w:val="5"/>
            <w:tcBorders>
              <w:top w:val="nil"/>
              <w:left w:val="nil"/>
              <w:bottom w:val="nil"/>
            </w:tcBorders>
            <w:shd w:val="clear" w:color="auto" w:fill="auto"/>
            <w:noWrap/>
            <w:vAlign w:val="center"/>
            <w:hideMark/>
          </w:tcPr>
          <w:p w14:paraId="5D7EC72F" w14:textId="3BA66CD5" w:rsidR="00771555" w:rsidRPr="00771555" w:rsidRDefault="00771555" w:rsidP="00434984">
            <w:pPr>
              <w:rPr>
                <w:rFonts w:ascii="Times New Roman" w:hAnsi="Times New Roman"/>
                <w:sz w:val="20"/>
              </w:rPr>
            </w:pPr>
            <w:r w:rsidRPr="00771555">
              <w:rPr>
                <w:rFonts w:ascii="Times New Roman" w:hAnsi="Times New Roman"/>
                <w:b/>
                <w:bCs/>
                <w:color w:val="000000"/>
                <w:sz w:val="20"/>
                <w:lang w:val="en-GB"/>
              </w:rPr>
              <w:t>Financial impact of the differentiated cost-recovery rates, 2018–2020</w:t>
            </w:r>
          </w:p>
        </w:tc>
      </w:tr>
      <w:tr w:rsidR="00826F18" w:rsidRPr="00771555" w14:paraId="214D5669" w14:textId="77777777" w:rsidTr="00434984">
        <w:trPr>
          <w:trHeight w:val="274"/>
        </w:trPr>
        <w:tc>
          <w:tcPr>
            <w:tcW w:w="4760" w:type="dxa"/>
            <w:tcBorders>
              <w:top w:val="nil"/>
              <w:left w:val="nil"/>
              <w:bottom w:val="nil"/>
              <w:right w:val="nil"/>
            </w:tcBorders>
            <w:shd w:val="clear" w:color="auto" w:fill="auto"/>
            <w:noWrap/>
            <w:vAlign w:val="center"/>
            <w:hideMark/>
          </w:tcPr>
          <w:p w14:paraId="5FBCB56B" w14:textId="77777777" w:rsidR="00826F18" w:rsidRPr="00771555" w:rsidRDefault="00826F18" w:rsidP="00434984">
            <w:pPr>
              <w:rPr>
                <w:rFonts w:ascii="Times New Roman" w:hAnsi="Times New Roman"/>
                <w:color w:val="000000"/>
                <w:sz w:val="14"/>
                <w:szCs w:val="14"/>
              </w:rPr>
            </w:pPr>
            <w:r w:rsidRPr="00771555">
              <w:rPr>
                <w:rFonts w:ascii="Times New Roman" w:hAnsi="Times New Roman"/>
                <w:color w:val="000000"/>
                <w:sz w:val="14"/>
                <w:szCs w:val="14"/>
                <w:lang w:val="en-GB"/>
              </w:rPr>
              <w:t>(In millions of United States dollars)</w:t>
            </w:r>
          </w:p>
        </w:tc>
        <w:tc>
          <w:tcPr>
            <w:tcW w:w="1037" w:type="dxa"/>
            <w:tcBorders>
              <w:top w:val="nil"/>
              <w:left w:val="nil"/>
              <w:bottom w:val="nil"/>
              <w:right w:val="nil"/>
            </w:tcBorders>
            <w:shd w:val="clear" w:color="auto" w:fill="auto"/>
            <w:noWrap/>
            <w:vAlign w:val="bottom"/>
            <w:hideMark/>
          </w:tcPr>
          <w:p w14:paraId="6588C161" w14:textId="77777777" w:rsidR="00826F18" w:rsidRPr="00771555" w:rsidRDefault="00826F18" w:rsidP="00434984">
            <w:pPr>
              <w:rPr>
                <w:rFonts w:ascii="Times New Roman" w:hAnsi="Times New Roman"/>
                <w:color w:val="000000"/>
                <w:sz w:val="14"/>
                <w:szCs w:val="14"/>
              </w:rPr>
            </w:pPr>
          </w:p>
        </w:tc>
        <w:tc>
          <w:tcPr>
            <w:tcW w:w="1037" w:type="dxa"/>
            <w:tcBorders>
              <w:top w:val="nil"/>
              <w:left w:val="nil"/>
              <w:bottom w:val="nil"/>
              <w:right w:val="nil"/>
            </w:tcBorders>
            <w:shd w:val="clear" w:color="auto" w:fill="auto"/>
            <w:noWrap/>
            <w:vAlign w:val="bottom"/>
            <w:hideMark/>
          </w:tcPr>
          <w:p w14:paraId="4A6F9B93" w14:textId="77777777" w:rsidR="00826F18" w:rsidRPr="00771555" w:rsidRDefault="00826F18" w:rsidP="00434984">
            <w:pPr>
              <w:rPr>
                <w:rFonts w:ascii="Times New Roman" w:hAnsi="Times New Roman"/>
                <w:sz w:val="20"/>
              </w:rPr>
            </w:pPr>
          </w:p>
        </w:tc>
        <w:tc>
          <w:tcPr>
            <w:tcW w:w="1037" w:type="dxa"/>
            <w:tcBorders>
              <w:top w:val="nil"/>
              <w:left w:val="nil"/>
              <w:bottom w:val="nil"/>
              <w:right w:val="nil"/>
            </w:tcBorders>
            <w:shd w:val="clear" w:color="auto" w:fill="auto"/>
            <w:noWrap/>
            <w:vAlign w:val="bottom"/>
            <w:hideMark/>
          </w:tcPr>
          <w:p w14:paraId="36B0417A" w14:textId="77777777" w:rsidR="00826F18" w:rsidRPr="00771555" w:rsidRDefault="00826F18" w:rsidP="00434984">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22CCAE74" w14:textId="77777777" w:rsidR="00826F18" w:rsidRPr="00771555" w:rsidRDefault="00826F18" w:rsidP="00434984">
            <w:pPr>
              <w:rPr>
                <w:rFonts w:ascii="Times New Roman" w:hAnsi="Times New Roman"/>
                <w:sz w:val="20"/>
              </w:rPr>
            </w:pPr>
          </w:p>
        </w:tc>
      </w:tr>
      <w:tr w:rsidR="00826F18" w:rsidRPr="00771555" w14:paraId="2694C0CA" w14:textId="77777777" w:rsidTr="00434984">
        <w:trPr>
          <w:trHeight w:val="274"/>
        </w:trPr>
        <w:tc>
          <w:tcPr>
            <w:tcW w:w="4760" w:type="dxa"/>
            <w:tcBorders>
              <w:top w:val="single" w:sz="8" w:space="0" w:color="auto"/>
              <w:left w:val="nil"/>
              <w:bottom w:val="single" w:sz="8" w:space="0" w:color="auto"/>
              <w:right w:val="nil"/>
            </w:tcBorders>
            <w:shd w:val="clear" w:color="auto" w:fill="auto"/>
            <w:vAlign w:val="center"/>
            <w:hideMark/>
          </w:tcPr>
          <w:p w14:paraId="2EF8AB73" w14:textId="77777777" w:rsidR="00826F18" w:rsidRPr="00771555" w:rsidRDefault="00826F18" w:rsidP="00434984">
            <w:pPr>
              <w:rPr>
                <w:rFonts w:ascii="Times New Roman" w:hAnsi="Times New Roman"/>
                <w:i/>
                <w:iCs/>
                <w:color w:val="000000"/>
                <w:sz w:val="16"/>
                <w:szCs w:val="16"/>
              </w:rPr>
            </w:pPr>
            <w:r w:rsidRPr="00771555">
              <w:rPr>
                <w:rFonts w:ascii="Times New Roman" w:hAnsi="Times New Roman"/>
                <w:i/>
                <w:iCs/>
                <w:color w:val="000000"/>
                <w:sz w:val="16"/>
                <w:szCs w:val="16"/>
                <w:lang w:val="en-GB"/>
              </w:rPr>
              <w:t>Financial impact by agency and category</w:t>
            </w:r>
          </w:p>
        </w:tc>
        <w:tc>
          <w:tcPr>
            <w:tcW w:w="1037" w:type="dxa"/>
            <w:tcBorders>
              <w:top w:val="single" w:sz="8" w:space="0" w:color="auto"/>
              <w:left w:val="nil"/>
              <w:bottom w:val="single" w:sz="8" w:space="0" w:color="auto"/>
              <w:right w:val="nil"/>
            </w:tcBorders>
            <w:shd w:val="clear" w:color="auto" w:fill="auto"/>
            <w:vAlign w:val="center"/>
            <w:hideMark/>
          </w:tcPr>
          <w:p w14:paraId="14D62230" w14:textId="77777777" w:rsidR="00826F18" w:rsidRPr="00771555" w:rsidRDefault="00826F18" w:rsidP="00434984">
            <w:pPr>
              <w:jc w:val="right"/>
              <w:rPr>
                <w:rFonts w:ascii="Times New Roman" w:hAnsi="Times New Roman"/>
                <w:i/>
                <w:iCs/>
                <w:color w:val="000000"/>
                <w:sz w:val="16"/>
                <w:szCs w:val="16"/>
              </w:rPr>
            </w:pPr>
            <w:r w:rsidRPr="00771555">
              <w:rPr>
                <w:rFonts w:ascii="Times New Roman" w:hAnsi="Times New Roman"/>
                <w:i/>
                <w:iCs/>
                <w:color w:val="000000"/>
                <w:sz w:val="16"/>
                <w:szCs w:val="16"/>
                <w:lang w:val="en-GB"/>
              </w:rPr>
              <w:t>2018</w:t>
            </w:r>
          </w:p>
        </w:tc>
        <w:tc>
          <w:tcPr>
            <w:tcW w:w="1037" w:type="dxa"/>
            <w:tcBorders>
              <w:top w:val="single" w:sz="8" w:space="0" w:color="auto"/>
              <w:left w:val="nil"/>
              <w:bottom w:val="single" w:sz="8" w:space="0" w:color="auto"/>
              <w:right w:val="nil"/>
            </w:tcBorders>
            <w:shd w:val="clear" w:color="auto" w:fill="auto"/>
            <w:vAlign w:val="center"/>
            <w:hideMark/>
          </w:tcPr>
          <w:p w14:paraId="75EA42E2" w14:textId="77777777" w:rsidR="00826F18" w:rsidRPr="00771555" w:rsidRDefault="00826F18" w:rsidP="00434984">
            <w:pPr>
              <w:jc w:val="right"/>
              <w:rPr>
                <w:rFonts w:ascii="Times New Roman" w:hAnsi="Times New Roman"/>
                <w:i/>
                <w:iCs/>
                <w:color w:val="000000"/>
                <w:sz w:val="16"/>
                <w:szCs w:val="16"/>
              </w:rPr>
            </w:pPr>
            <w:r w:rsidRPr="00771555">
              <w:rPr>
                <w:rFonts w:ascii="Times New Roman" w:hAnsi="Times New Roman"/>
                <w:i/>
                <w:iCs/>
                <w:color w:val="000000"/>
                <w:sz w:val="16"/>
                <w:szCs w:val="16"/>
                <w:lang w:val="en-GB"/>
              </w:rPr>
              <w:t>2019</w:t>
            </w:r>
          </w:p>
        </w:tc>
        <w:tc>
          <w:tcPr>
            <w:tcW w:w="1037" w:type="dxa"/>
            <w:tcBorders>
              <w:top w:val="single" w:sz="8" w:space="0" w:color="auto"/>
              <w:left w:val="nil"/>
              <w:bottom w:val="single" w:sz="8" w:space="0" w:color="auto"/>
              <w:right w:val="nil"/>
            </w:tcBorders>
            <w:shd w:val="clear" w:color="auto" w:fill="auto"/>
            <w:vAlign w:val="center"/>
            <w:hideMark/>
          </w:tcPr>
          <w:p w14:paraId="3714C1D4" w14:textId="77777777" w:rsidR="00826F18" w:rsidRPr="00771555" w:rsidRDefault="00826F18" w:rsidP="00434984">
            <w:pPr>
              <w:jc w:val="right"/>
              <w:rPr>
                <w:rFonts w:ascii="Times New Roman" w:hAnsi="Times New Roman"/>
                <w:i/>
                <w:iCs/>
                <w:color w:val="000000"/>
                <w:sz w:val="16"/>
                <w:szCs w:val="16"/>
              </w:rPr>
            </w:pPr>
            <w:r w:rsidRPr="00771555">
              <w:rPr>
                <w:rFonts w:ascii="Times New Roman" w:hAnsi="Times New Roman"/>
                <w:i/>
                <w:iCs/>
                <w:color w:val="000000"/>
                <w:sz w:val="16"/>
                <w:szCs w:val="16"/>
                <w:lang w:val="en-GB"/>
              </w:rPr>
              <w:t>2020</w:t>
            </w:r>
          </w:p>
        </w:tc>
        <w:tc>
          <w:tcPr>
            <w:tcW w:w="1144" w:type="dxa"/>
            <w:tcBorders>
              <w:top w:val="single" w:sz="8" w:space="0" w:color="auto"/>
              <w:left w:val="nil"/>
              <w:bottom w:val="single" w:sz="8" w:space="0" w:color="auto"/>
              <w:right w:val="nil"/>
            </w:tcBorders>
            <w:shd w:val="clear" w:color="auto" w:fill="auto"/>
            <w:vAlign w:val="center"/>
            <w:hideMark/>
          </w:tcPr>
          <w:p w14:paraId="325CA0E2" w14:textId="77777777" w:rsidR="00826F18" w:rsidRPr="00771555" w:rsidRDefault="00826F18" w:rsidP="00434984">
            <w:pPr>
              <w:jc w:val="right"/>
              <w:rPr>
                <w:rFonts w:ascii="Times New Roman" w:hAnsi="Times New Roman"/>
                <w:i/>
                <w:iCs/>
                <w:color w:val="000000"/>
                <w:sz w:val="16"/>
                <w:szCs w:val="16"/>
              </w:rPr>
            </w:pPr>
            <w:r w:rsidRPr="00771555">
              <w:rPr>
                <w:rFonts w:ascii="Times New Roman" w:hAnsi="Times New Roman"/>
                <w:i/>
                <w:iCs/>
                <w:color w:val="000000"/>
                <w:sz w:val="16"/>
                <w:szCs w:val="16"/>
                <w:lang w:val="en-GB"/>
              </w:rPr>
              <w:t>2018–2020 (average)</w:t>
            </w:r>
          </w:p>
        </w:tc>
      </w:tr>
      <w:tr w:rsidR="00826F18" w:rsidRPr="00771555" w14:paraId="0BF8FF0F" w14:textId="77777777" w:rsidTr="00434984">
        <w:trPr>
          <w:trHeight w:val="261"/>
        </w:trPr>
        <w:tc>
          <w:tcPr>
            <w:tcW w:w="4760" w:type="dxa"/>
            <w:tcBorders>
              <w:top w:val="nil"/>
              <w:left w:val="nil"/>
              <w:bottom w:val="nil"/>
              <w:right w:val="nil"/>
            </w:tcBorders>
            <w:shd w:val="clear" w:color="auto" w:fill="auto"/>
            <w:vAlign w:val="center"/>
            <w:hideMark/>
          </w:tcPr>
          <w:p w14:paraId="33B4D22F" w14:textId="77777777" w:rsidR="00826F18" w:rsidRPr="00771555" w:rsidRDefault="00826F18" w:rsidP="00434984">
            <w:pPr>
              <w:rPr>
                <w:rFonts w:ascii="Times New Roman" w:hAnsi="Times New Roman"/>
                <w:color w:val="000000"/>
                <w:sz w:val="16"/>
                <w:szCs w:val="16"/>
              </w:rPr>
            </w:pPr>
            <w:r w:rsidRPr="00771555">
              <w:rPr>
                <w:rFonts w:ascii="Times New Roman" w:hAnsi="Times New Roman"/>
                <w:color w:val="000000"/>
                <w:sz w:val="16"/>
                <w:szCs w:val="16"/>
                <w:lang w:val="en-GB"/>
              </w:rPr>
              <w:t>Thematic funding</w:t>
            </w:r>
          </w:p>
        </w:tc>
        <w:tc>
          <w:tcPr>
            <w:tcW w:w="1037" w:type="dxa"/>
            <w:tcBorders>
              <w:top w:val="nil"/>
              <w:left w:val="nil"/>
              <w:bottom w:val="nil"/>
              <w:right w:val="nil"/>
            </w:tcBorders>
            <w:shd w:val="clear" w:color="auto" w:fill="auto"/>
            <w:vAlign w:val="center"/>
            <w:hideMark/>
          </w:tcPr>
          <w:p w14:paraId="3AF035E2"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lang w:val="en-GB"/>
              </w:rPr>
              <w:t>0.4</w:t>
            </w:r>
          </w:p>
        </w:tc>
        <w:tc>
          <w:tcPr>
            <w:tcW w:w="1037" w:type="dxa"/>
            <w:tcBorders>
              <w:top w:val="nil"/>
              <w:left w:val="nil"/>
              <w:bottom w:val="nil"/>
              <w:right w:val="nil"/>
            </w:tcBorders>
            <w:shd w:val="clear" w:color="auto" w:fill="auto"/>
            <w:vAlign w:val="center"/>
            <w:hideMark/>
          </w:tcPr>
          <w:p w14:paraId="2C4FECA7"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0.3</w:t>
            </w:r>
          </w:p>
        </w:tc>
        <w:tc>
          <w:tcPr>
            <w:tcW w:w="1037" w:type="dxa"/>
            <w:tcBorders>
              <w:top w:val="nil"/>
              <w:left w:val="nil"/>
              <w:bottom w:val="nil"/>
              <w:right w:val="nil"/>
            </w:tcBorders>
            <w:shd w:val="clear" w:color="auto" w:fill="auto"/>
            <w:vAlign w:val="center"/>
            <w:hideMark/>
          </w:tcPr>
          <w:p w14:paraId="11369C6F"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0.8</w:t>
            </w:r>
          </w:p>
        </w:tc>
        <w:tc>
          <w:tcPr>
            <w:tcW w:w="1144" w:type="dxa"/>
            <w:tcBorders>
              <w:top w:val="nil"/>
              <w:left w:val="nil"/>
              <w:bottom w:val="nil"/>
              <w:right w:val="nil"/>
            </w:tcBorders>
            <w:shd w:val="clear" w:color="auto" w:fill="auto"/>
            <w:vAlign w:val="center"/>
            <w:hideMark/>
          </w:tcPr>
          <w:p w14:paraId="771C1906"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0.5</w:t>
            </w:r>
          </w:p>
        </w:tc>
      </w:tr>
      <w:tr w:rsidR="00826F18" w:rsidRPr="00771555" w14:paraId="64461363" w14:textId="77777777" w:rsidTr="00434984">
        <w:trPr>
          <w:trHeight w:val="261"/>
        </w:trPr>
        <w:tc>
          <w:tcPr>
            <w:tcW w:w="4760" w:type="dxa"/>
            <w:tcBorders>
              <w:top w:val="nil"/>
              <w:left w:val="nil"/>
              <w:bottom w:val="nil"/>
              <w:right w:val="nil"/>
            </w:tcBorders>
            <w:shd w:val="clear" w:color="auto" w:fill="auto"/>
            <w:vAlign w:val="center"/>
            <w:hideMark/>
          </w:tcPr>
          <w:p w14:paraId="6A5D89EF" w14:textId="77777777" w:rsidR="00826F18" w:rsidRPr="00771555" w:rsidRDefault="00826F18" w:rsidP="00434984">
            <w:pPr>
              <w:rPr>
                <w:rFonts w:ascii="Times New Roman" w:hAnsi="Times New Roman"/>
                <w:color w:val="000000"/>
                <w:sz w:val="16"/>
                <w:szCs w:val="16"/>
              </w:rPr>
            </w:pPr>
            <w:r w:rsidRPr="00771555">
              <w:rPr>
                <w:rFonts w:ascii="Times New Roman" w:hAnsi="Times New Roman"/>
                <w:color w:val="000000"/>
                <w:sz w:val="16"/>
                <w:szCs w:val="16"/>
                <w:lang w:val="en-GB"/>
              </w:rPr>
              <w:t xml:space="preserve">Umbrella agreements </w:t>
            </w:r>
          </w:p>
        </w:tc>
        <w:tc>
          <w:tcPr>
            <w:tcW w:w="1037" w:type="dxa"/>
            <w:tcBorders>
              <w:top w:val="nil"/>
              <w:left w:val="nil"/>
              <w:bottom w:val="nil"/>
              <w:right w:val="nil"/>
            </w:tcBorders>
            <w:shd w:val="clear" w:color="auto" w:fill="auto"/>
            <w:vAlign w:val="center"/>
            <w:hideMark/>
          </w:tcPr>
          <w:p w14:paraId="21818B77"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6.5</w:t>
            </w:r>
          </w:p>
        </w:tc>
        <w:tc>
          <w:tcPr>
            <w:tcW w:w="1037" w:type="dxa"/>
            <w:tcBorders>
              <w:top w:val="nil"/>
              <w:left w:val="nil"/>
              <w:bottom w:val="nil"/>
              <w:right w:val="nil"/>
            </w:tcBorders>
            <w:shd w:val="clear" w:color="auto" w:fill="auto"/>
            <w:vAlign w:val="center"/>
            <w:hideMark/>
          </w:tcPr>
          <w:p w14:paraId="01D00E74"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lang w:val="en-GB"/>
              </w:rPr>
              <w:t>6.7</w:t>
            </w:r>
          </w:p>
        </w:tc>
        <w:tc>
          <w:tcPr>
            <w:tcW w:w="1037" w:type="dxa"/>
            <w:tcBorders>
              <w:top w:val="nil"/>
              <w:left w:val="nil"/>
              <w:bottom w:val="nil"/>
              <w:right w:val="nil"/>
            </w:tcBorders>
            <w:shd w:val="clear" w:color="auto" w:fill="auto"/>
            <w:vAlign w:val="center"/>
            <w:hideMark/>
          </w:tcPr>
          <w:p w14:paraId="25C730CA"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6.9</w:t>
            </w:r>
          </w:p>
        </w:tc>
        <w:tc>
          <w:tcPr>
            <w:tcW w:w="1144" w:type="dxa"/>
            <w:tcBorders>
              <w:top w:val="nil"/>
              <w:left w:val="nil"/>
              <w:bottom w:val="nil"/>
              <w:right w:val="nil"/>
            </w:tcBorders>
            <w:shd w:val="clear" w:color="auto" w:fill="auto"/>
            <w:vAlign w:val="center"/>
            <w:hideMark/>
          </w:tcPr>
          <w:p w14:paraId="65A77526"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6.7</w:t>
            </w:r>
          </w:p>
        </w:tc>
      </w:tr>
      <w:tr w:rsidR="00826F18" w:rsidRPr="00771555" w14:paraId="37413277" w14:textId="77777777" w:rsidTr="00434984">
        <w:trPr>
          <w:trHeight w:val="261"/>
        </w:trPr>
        <w:tc>
          <w:tcPr>
            <w:tcW w:w="4760" w:type="dxa"/>
            <w:tcBorders>
              <w:top w:val="nil"/>
              <w:left w:val="nil"/>
              <w:bottom w:val="nil"/>
              <w:right w:val="nil"/>
            </w:tcBorders>
            <w:shd w:val="clear" w:color="auto" w:fill="auto"/>
            <w:vAlign w:val="center"/>
            <w:hideMark/>
          </w:tcPr>
          <w:p w14:paraId="6F629BF9" w14:textId="77777777" w:rsidR="00826F18" w:rsidRPr="00771555" w:rsidRDefault="00826F18" w:rsidP="00434984">
            <w:pPr>
              <w:rPr>
                <w:rFonts w:ascii="Times New Roman" w:hAnsi="Times New Roman"/>
                <w:color w:val="000000"/>
                <w:sz w:val="16"/>
                <w:szCs w:val="16"/>
              </w:rPr>
            </w:pPr>
            <w:r w:rsidRPr="00771555">
              <w:rPr>
                <w:rFonts w:ascii="Times New Roman" w:hAnsi="Times New Roman"/>
                <w:color w:val="000000"/>
                <w:sz w:val="16"/>
                <w:szCs w:val="16"/>
                <w:lang w:val="en-GB"/>
              </w:rPr>
              <w:t>Preferential rates (programme Government and South-South contributions)</w:t>
            </w:r>
          </w:p>
        </w:tc>
        <w:tc>
          <w:tcPr>
            <w:tcW w:w="1037" w:type="dxa"/>
            <w:tcBorders>
              <w:top w:val="nil"/>
              <w:left w:val="nil"/>
              <w:bottom w:val="nil"/>
              <w:right w:val="nil"/>
            </w:tcBorders>
            <w:shd w:val="clear" w:color="auto" w:fill="auto"/>
            <w:vAlign w:val="center"/>
            <w:hideMark/>
          </w:tcPr>
          <w:p w14:paraId="35068596"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lang w:val="en-GB"/>
              </w:rPr>
              <w:t>40.2</w:t>
            </w:r>
          </w:p>
        </w:tc>
        <w:tc>
          <w:tcPr>
            <w:tcW w:w="1037" w:type="dxa"/>
            <w:tcBorders>
              <w:top w:val="nil"/>
              <w:left w:val="nil"/>
              <w:bottom w:val="nil"/>
              <w:right w:val="nil"/>
            </w:tcBorders>
            <w:shd w:val="clear" w:color="auto" w:fill="auto"/>
            <w:vAlign w:val="center"/>
            <w:hideMark/>
          </w:tcPr>
          <w:p w14:paraId="563F9525"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lang w:val="en-GB"/>
              </w:rPr>
              <w:t>32.7</w:t>
            </w:r>
          </w:p>
        </w:tc>
        <w:tc>
          <w:tcPr>
            <w:tcW w:w="1037" w:type="dxa"/>
            <w:tcBorders>
              <w:top w:val="nil"/>
              <w:left w:val="nil"/>
              <w:bottom w:val="nil"/>
              <w:right w:val="nil"/>
            </w:tcBorders>
            <w:shd w:val="clear" w:color="auto" w:fill="auto"/>
            <w:vAlign w:val="center"/>
            <w:hideMark/>
          </w:tcPr>
          <w:p w14:paraId="60499B7C"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38.7</w:t>
            </w:r>
          </w:p>
        </w:tc>
        <w:tc>
          <w:tcPr>
            <w:tcW w:w="1144" w:type="dxa"/>
            <w:tcBorders>
              <w:top w:val="nil"/>
              <w:left w:val="nil"/>
              <w:bottom w:val="nil"/>
              <w:right w:val="nil"/>
            </w:tcBorders>
            <w:shd w:val="clear" w:color="auto" w:fill="auto"/>
            <w:vAlign w:val="center"/>
            <w:hideMark/>
          </w:tcPr>
          <w:p w14:paraId="02DEC53C"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37.2</w:t>
            </w:r>
          </w:p>
        </w:tc>
      </w:tr>
      <w:tr w:rsidR="00826F18" w:rsidRPr="00771555" w14:paraId="4E3146C6" w14:textId="77777777" w:rsidTr="00434984">
        <w:trPr>
          <w:trHeight w:val="274"/>
        </w:trPr>
        <w:tc>
          <w:tcPr>
            <w:tcW w:w="4760" w:type="dxa"/>
            <w:tcBorders>
              <w:top w:val="nil"/>
              <w:left w:val="nil"/>
              <w:bottom w:val="single" w:sz="8" w:space="0" w:color="auto"/>
              <w:right w:val="nil"/>
            </w:tcBorders>
            <w:shd w:val="clear" w:color="auto" w:fill="auto"/>
            <w:vAlign w:val="center"/>
            <w:hideMark/>
          </w:tcPr>
          <w:p w14:paraId="5B39C464" w14:textId="77777777" w:rsidR="00826F18" w:rsidRPr="00771555" w:rsidRDefault="00826F18" w:rsidP="00434984">
            <w:pPr>
              <w:rPr>
                <w:rFonts w:ascii="Times New Roman" w:hAnsi="Times New Roman"/>
                <w:color w:val="000000"/>
                <w:sz w:val="16"/>
                <w:szCs w:val="16"/>
              </w:rPr>
            </w:pPr>
            <w:r w:rsidRPr="00771555">
              <w:rPr>
                <w:rFonts w:ascii="Times New Roman" w:hAnsi="Times New Roman"/>
                <w:color w:val="000000"/>
                <w:sz w:val="16"/>
                <w:szCs w:val="16"/>
                <w:lang w:val="en-GB"/>
              </w:rPr>
              <w:t>Waivers</w:t>
            </w:r>
          </w:p>
        </w:tc>
        <w:tc>
          <w:tcPr>
            <w:tcW w:w="1037" w:type="dxa"/>
            <w:tcBorders>
              <w:top w:val="nil"/>
              <w:left w:val="nil"/>
              <w:bottom w:val="single" w:sz="8" w:space="0" w:color="auto"/>
              <w:right w:val="nil"/>
            </w:tcBorders>
            <w:shd w:val="clear" w:color="auto" w:fill="auto"/>
            <w:vAlign w:val="center"/>
            <w:hideMark/>
          </w:tcPr>
          <w:p w14:paraId="523013E8"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lang w:val="en-GB"/>
              </w:rPr>
              <w:t>19.4</w:t>
            </w:r>
          </w:p>
        </w:tc>
        <w:tc>
          <w:tcPr>
            <w:tcW w:w="1037" w:type="dxa"/>
            <w:tcBorders>
              <w:top w:val="nil"/>
              <w:left w:val="nil"/>
              <w:bottom w:val="single" w:sz="8" w:space="0" w:color="auto"/>
              <w:right w:val="nil"/>
            </w:tcBorders>
            <w:shd w:val="clear" w:color="auto" w:fill="auto"/>
            <w:vAlign w:val="center"/>
            <w:hideMark/>
          </w:tcPr>
          <w:p w14:paraId="1978947C"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lang w:val="en-GB"/>
              </w:rPr>
              <w:t>23.5</w:t>
            </w:r>
          </w:p>
        </w:tc>
        <w:tc>
          <w:tcPr>
            <w:tcW w:w="1037" w:type="dxa"/>
            <w:tcBorders>
              <w:top w:val="nil"/>
              <w:left w:val="nil"/>
              <w:bottom w:val="single" w:sz="8" w:space="0" w:color="auto"/>
              <w:right w:val="nil"/>
            </w:tcBorders>
            <w:shd w:val="clear" w:color="auto" w:fill="auto"/>
            <w:vAlign w:val="center"/>
            <w:hideMark/>
          </w:tcPr>
          <w:p w14:paraId="41E50D6C"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22.2</w:t>
            </w:r>
          </w:p>
        </w:tc>
        <w:tc>
          <w:tcPr>
            <w:tcW w:w="1144" w:type="dxa"/>
            <w:tcBorders>
              <w:top w:val="nil"/>
              <w:left w:val="nil"/>
              <w:bottom w:val="single" w:sz="8" w:space="0" w:color="auto"/>
              <w:right w:val="nil"/>
            </w:tcBorders>
            <w:shd w:val="clear" w:color="auto" w:fill="auto"/>
            <w:vAlign w:val="center"/>
            <w:hideMark/>
          </w:tcPr>
          <w:p w14:paraId="0B40C0CE" w14:textId="77777777" w:rsidR="00826F18" w:rsidRPr="00771555" w:rsidRDefault="00826F18" w:rsidP="00434984">
            <w:pPr>
              <w:jc w:val="right"/>
              <w:rPr>
                <w:rFonts w:ascii="Times New Roman" w:hAnsi="Times New Roman"/>
                <w:color w:val="000000"/>
                <w:sz w:val="16"/>
                <w:szCs w:val="16"/>
              </w:rPr>
            </w:pPr>
            <w:r w:rsidRPr="00771555">
              <w:rPr>
                <w:rFonts w:ascii="Times New Roman" w:hAnsi="Times New Roman"/>
                <w:color w:val="000000"/>
                <w:sz w:val="16"/>
                <w:szCs w:val="16"/>
              </w:rPr>
              <w:t>21.7</w:t>
            </w:r>
          </w:p>
        </w:tc>
      </w:tr>
      <w:tr w:rsidR="00826F18" w:rsidRPr="00771555" w14:paraId="5A9985BC" w14:textId="77777777" w:rsidTr="00434984">
        <w:trPr>
          <w:trHeight w:val="274"/>
        </w:trPr>
        <w:tc>
          <w:tcPr>
            <w:tcW w:w="4760" w:type="dxa"/>
            <w:tcBorders>
              <w:top w:val="nil"/>
              <w:left w:val="nil"/>
              <w:bottom w:val="single" w:sz="8" w:space="0" w:color="auto"/>
              <w:right w:val="nil"/>
            </w:tcBorders>
            <w:shd w:val="clear" w:color="auto" w:fill="auto"/>
            <w:vAlign w:val="center"/>
            <w:hideMark/>
          </w:tcPr>
          <w:p w14:paraId="5374ECA6" w14:textId="77777777" w:rsidR="00826F18" w:rsidRPr="00771555" w:rsidRDefault="00826F18" w:rsidP="00434984">
            <w:pPr>
              <w:rPr>
                <w:rFonts w:ascii="Times New Roman" w:hAnsi="Times New Roman"/>
                <w:b/>
                <w:bCs/>
                <w:color w:val="000000"/>
                <w:sz w:val="16"/>
                <w:szCs w:val="16"/>
              </w:rPr>
            </w:pPr>
            <w:r w:rsidRPr="00771555">
              <w:rPr>
                <w:rFonts w:ascii="Times New Roman" w:hAnsi="Times New Roman"/>
                <w:b/>
                <w:bCs/>
                <w:color w:val="000000"/>
                <w:sz w:val="16"/>
                <w:szCs w:val="16"/>
                <w:lang w:val="en-GB"/>
              </w:rPr>
              <w:t>Total impact</w:t>
            </w:r>
          </w:p>
        </w:tc>
        <w:tc>
          <w:tcPr>
            <w:tcW w:w="1037" w:type="dxa"/>
            <w:tcBorders>
              <w:top w:val="nil"/>
              <w:left w:val="nil"/>
              <w:bottom w:val="single" w:sz="8" w:space="0" w:color="auto"/>
              <w:right w:val="nil"/>
            </w:tcBorders>
            <w:shd w:val="clear" w:color="auto" w:fill="auto"/>
            <w:vAlign w:val="center"/>
            <w:hideMark/>
          </w:tcPr>
          <w:p w14:paraId="47A78A86" w14:textId="77777777" w:rsidR="00826F18" w:rsidRPr="00771555" w:rsidRDefault="00826F18" w:rsidP="00434984">
            <w:pPr>
              <w:jc w:val="right"/>
              <w:rPr>
                <w:rFonts w:ascii="Times New Roman" w:hAnsi="Times New Roman"/>
                <w:b/>
                <w:bCs/>
                <w:color w:val="000000"/>
                <w:sz w:val="16"/>
                <w:szCs w:val="16"/>
              </w:rPr>
            </w:pPr>
            <w:r w:rsidRPr="00771555">
              <w:rPr>
                <w:rFonts w:ascii="Times New Roman" w:hAnsi="Times New Roman"/>
                <w:b/>
                <w:bCs/>
                <w:color w:val="000000"/>
                <w:sz w:val="16"/>
                <w:szCs w:val="16"/>
                <w:lang w:val="en-GB"/>
              </w:rPr>
              <w:t>66.5</w:t>
            </w:r>
          </w:p>
        </w:tc>
        <w:tc>
          <w:tcPr>
            <w:tcW w:w="1037" w:type="dxa"/>
            <w:tcBorders>
              <w:top w:val="nil"/>
              <w:left w:val="nil"/>
              <w:bottom w:val="single" w:sz="8" w:space="0" w:color="auto"/>
              <w:right w:val="nil"/>
            </w:tcBorders>
            <w:shd w:val="clear" w:color="auto" w:fill="auto"/>
            <w:vAlign w:val="center"/>
            <w:hideMark/>
          </w:tcPr>
          <w:p w14:paraId="017A17F1" w14:textId="77777777" w:rsidR="00826F18" w:rsidRPr="00771555" w:rsidRDefault="00826F18" w:rsidP="00434984">
            <w:pPr>
              <w:jc w:val="right"/>
              <w:rPr>
                <w:rFonts w:ascii="Times New Roman" w:hAnsi="Times New Roman"/>
                <w:b/>
                <w:bCs/>
                <w:color w:val="000000"/>
                <w:sz w:val="16"/>
                <w:szCs w:val="16"/>
              </w:rPr>
            </w:pPr>
            <w:r w:rsidRPr="00771555">
              <w:rPr>
                <w:rFonts w:ascii="Times New Roman" w:hAnsi="Times New Roman"/>
                <w:b/>
                <w:bCs/>
                <w:color w:val="000000"/>
                <w:sz w:val="16"/>
                <w:szCs w:val="16"/>
                <w:lang w:val="en-GB"/>
              </w:rPr>
              <w:t>63.2</w:t>
            </w:r>
          </w:p>
        </w:tc>
        <w:tc>
          <w:tcPr>
            <w:tcW w:w="1037" w:type="dxa"/>
            <w:tcBorders>
              <w:top w:val="nil"/>
              <w:left w:val="nil"/>
              <w:bottom w:val="single" w:sz="8" w:space="0" w:color="auto"/>
              <w:right w:val="nil"/>
            </w:tcBorders>
            <w:shd w:val="clear" w:color="auto" w:fill="auto"/>
            <w:vAlign w:val="center"/>
            <w:hideMark/>
          </w:tcPr>
          <w:p w14:paraId="43F5232F" w14:textId="77777777" w:rsidR="00826F18" w:rsidRPr="00771555" w:rsidRDefault="00826F18" w:rsidP="00434984">
            <w:pPr>
              <w:jc w:val="right"/>
              <w:rPr>
                <w:rFonts w:ascii="Times New Roman" w:hAnsi="Times New Roman"/>
                <w:b/>
                <w:bCs/>
                <w:color w:val="000000"/>
                <w:sz w:val="16"/>
                <w:szCs w:val="16"/>
              </w:rPr>
            </w:pPr>
            <w:r w:rsidRPr="00771555">
              <w:rPr>
                <w:rFonts w:ascii="Times New Roman" w:hAnsi="Times New Roman"/>
                <w:b/>
                <w:bCs/>
                <w:color w:val="000000"/>
                <w:sz w:val="16"/>
                <w:szCs w:val="16"/>
                <w:lang w:val="en-GB"/>
              </w:rPr>
              <w:t>68.6</w:t>
            </w:r>
          </w:p>
        </w:tc>
        <w:tc>
          <w:tcPr>
            <w:tcW w:w="1144" w:type="dxa"/>
            <w:tcBorders>
              <w:top w:val="nil"/>
              <w:left w:val="nil"/>
              <w:bottom w:val="single" w:sz="8" w:space="0" w:color="auto"/>
              <w:right w:val="nil"/>
            </w:tcBorders>
            <w:shd w:val="clear" w:color="auto" w:fill="auto"/>
            <w:vAlign w:val="center"/>
            <w:hideMark/>
          </w:tcPr>
          <w:p w14:paraId="2E53A97A" w14:textId="77777777" w:rsidR="00826F18" w:rsidRPr="00771555" w:rsidRDefault="00826F18" w:rsidP="00434984">
            <w:pPr>
              <w:jc w:val="right"/>
              <w:rPr>
                <w:rFonts w:ascii="Times New Roman" w:hAnsi="Times New Roman"/>
                <w:b/>
                <w:bCs/>
                <w:color w:val="000000"/>
                <w:sz w:val="16"/>
                <w:szCs w:val="16"/>
              </w:rPr>
            </w:pPr>
            <w:r w:rsidRPr="00771555">
              <w:rPr>
                <w:rFonts w:ascii="Times New Roman" w:hAnsi="Times New Roman"/>
                <w:b/>
                <w:bCs/>
                <w:color w:val="000000"/>
                <w:sz w:val="16"/>
                <w:szCs w:val="16"/>
                <w:lang w:val="en-GB"/>
              </w:rPr>
              <w:t>66.1</w:t>
            </w:r>
          </w:p>
        </w:tc>
      </w:tr>
    </w:tbl>
    <w:p w14:paraId="60F1E130" w14:textId="77777777" w:rsidR="002E1244" w:rsidRPr="00771555" w:rsidRDefault="002E1244" w:rsidP="00826F18">
      <w:pPr>
        <w:pStyle w:val="ListParagraph"/>
        <w:rPr>
          <w:rFonts w:ascii="Times New Roman" w:eastAsiaTheme="minorEastAsia" w:hAnsi="Times New Roman"/>
          <w:sz w:val="20"/>
        </w:rPr>
      </w:pPr>
    </w:p>
    <w:p w14:paraId="5688421E" w14:textId="605CBE00" w:rsidR="00826F18" w:rsidRPr="00771555" w:rsidRDefault="00826F18" w:rsidP="00826F18">
      <w:pPr>
        <w:pStyle w:val="ListParagraph"/>
        <w:rPr>
          <w:rFonts w:ascii="Times New Roman" w:eastAsiaTheme="minorEastAsia" w:hAnsi="Times New Roman"/>
          <w:sz w:val="20"/>
        </w:rPr>
      </w:pPr>
      <w:r w:rsidRPr="00771555">
        <w:rPr>
          <w:rFonts w:ascii="Times New Roman" w:eastAsiaTheme="minorEastAsia" w:hAnsi="Times New Roman"/>
          <w:sz w:val="20"/>
        </w:rPr>
        <w:br w:type="page"/>
      </w:r>
    </w:p>
    <w:p w14:paraId="6FA4FCE6" w14:textId="4CAB8225" w:rsidR="00C14DEE" w:rsidRPr="00DB6747" w:rsidRDefault="000B77E5" w:rsidP="00DB6747">
      <w:pPr>
        <w:pStyle w:val="HCh"/>
        <w:spacing w:before="240" w:after="240" w:line="240" w:lineRule="auto"/>
        <w:ind w:left="720" w:right="1267" w:hanging="720"/>
        <w:rPr>
          <w:b w:val="0"/>
        </w:rPr>
      </w:pPr>
      <w:r>
        <w:lastRenderedPageBreak/>
        <w:t xml:space="preserve">Appendix </w:t>
      </w:r>
      <w:r w:rsidR="00C14DEE" w:rsidRPr="00DB6747">
        <w:t>V</w:t>
      </w:r>
      <w:r w:rsidR="008C20BE">
        <w:t>I</w:t>
      </w:r>
      <w:r w:rsidR="00FD7B87" w:rsidRPr="00DB6747">
        <w:t>.</w:t>
      </w:r>
    </w:p>
    <w:p w14:paraId="6FA4FCE7" w14:textId="67821896" w:rsidR="00634F26" w:rsidRPr="00D86669" w:rsidRDefault="00634F26" w:rsidP="008D356C">
      <w:pPr>
        <w:pStyle w:val="HCh"/>
        <w:spacing w:before="120" w:line="240" w:lineRule="auto"/>
        <w:ind w:left="720" w:right="1267" w:hanging="720"/>
        <w:rPr>
          <w:sz w:val="26"/>
          <w:szCs w:val="26"/>
        </w:rPr>
      </w:pPr>
      <w:r w:rsidRPr="00D86669">
        <w:rPr>
          <w:sz w:val="26"/>
          <w:szCs w:val="26"/>
        </w:rPr>
        <w:t xml:space="preserve">Explanations of terms used in </w:t>
      </w:r>
      <w:r w:rsidR="00D86669" w:rsidRPr="00D86669">
        <w:rPr>
          <w:sz w:val="26"/>
          <w:szCs w:val="26"/>
        </w:rPr>
        <w:t xml:space="preserve">Annex </w:t>
      </w:r>
      <w:r w:rsidR="000B77E5">
        <w:rPr>
          <w:sz w:val="26"/>
          <w:szCs w:val="26"/>
        </w:rPr>
        <w:t>I</w:t>
      </w:r>
      <w:r w:rsidR="00D86669" w:rsidRPr="00D86669">
        <w:rPr>
          <w:sz w:val="26"/>
          <w:szCs w:val="26"/>
        </w:rPr>
        <w:t xml:space="preserve"> to </w:t>
      </w:r>
      <w:r w:rsidRPr="00D86669">
        <w:rPr>
          <w:sz w:val="26"/>
          <w:szCs w:val="26"/>
        </w:rPr>
        <w:t>DP/20</w:t>
      </w:r>
      <w:r w:rsidR="00D71A5F">
        <w:rPr>
          <w:sz w:val="26"/>
          <w:szCs w:val="26"/>
        </w:rPr>
        <w:t>21</w:t>
      </w:r>
      <w:r w:rsidRPr="00D86669">
        <w:rPr>
          <w:sz w:val="26"/>
          <w:szCs w:val="26"/>
        </w:rPr>
        <w:t>/</w:t>
      </w:r>
      <w:r w:rsidR="00D71A5F">
        <w:rPr>
          <w:sz w:val="26"/>
          <w:szCs w:val="26"/>
        </w:rPr>
        <w:t>3</w:t>
      </w:r>
      <w:r w:rsidR="00AE3429">
        <w:rPr>
          <w:sz w:val="26"/>
          <w:szCs w:val="26"/>
        </w:rPr>
        <w:t>1</w:t>
      </w:r>
    </w:p>
    <w:p w14:paraId="087975C7" w14:textId="77777777" w:rsidR="005C1E04" w:rsidRPr="00C52DDE" w:rsidRDefault="005C1E04" w:rsidP="005C1E04">
      <w:pPr>
        <w:pStyle w:val="ListParagraph"/>
        <w:numPr>
          <w:ilvl w:val="0"/>
          <w:numId w:val="28"/>
        </w:numPr>
        <w:tabs>
          <w:tab w:val="left" w:pos="1260"/>
        </w:tabs>
        <w:suppressAutoHyphens/>
        <w:spacing w:before="360" w:after="120"/>
        <w:ind w:left="360" w:right="1267"/>
        <w:contextualSpacing w:val="0"/>
        <w:jc w:val="both"/>
        <w:rPr>
          <w:rFonts w:ascii="Times New Roman" w:hAnsi="Times New Roman"/>
          <w:spacing w:val="4"/>
          <w:w w:val="103"/>
          <w:kern w:val="14"/>
          <w:sz w:val="20"/>
        </w:rPr>
      </w:pPr>
      <w:r w:rsidRPr="00BC0466">
        <w:rPr>
          <w:rFonts w:ascii="Times New Roman" w:hAnsi="Times New Roman"/>
          <w:b/>
          <w:bCs/>
          <w:i/>
          <w:spacing w:val="4"/>
          <w:w w:val="103"/>
          <w:kern w:val="14"/>
          <w:sz w:val="20"/>
        </w:rPr>
        <w:t>Accumulated surplus:</w:t>
      </w:r>
      <w:r w:rsidRPr="00C52DDE">
        <w:rPr>
          <w:rFonts w:ascii="Times New Roman" w:hAnsi="Times New Roman"/>
          <w:i/>
          <w:spacing w:val="4"/>
          <w:w w:val="103"/>
          <w:kern w:val="14"/>
          <w:sz w:val="20"/>
        </w:rPr>
        <w:t xml:space="preserve"> </w:t>
      </w:r>
      <w:r w:rsidRPr="00C52DDE">
        <w:rPr>
          <w:rFonts w:ascii="Times New Roman" w:hAnsi="Times New Roman"/>
          <w:spacing w:val="4"/>
          <w:w w:val="103"/>
          <w:kern w:val="14"/>
          <w:sz w:val="20"/>
        </w:rPr>
        <w:t>Formerly referred to as ‘unexpended resources or unspent balance’. It represents accumulated funds at the end of the reporting period</w:t>
      </w:r>
      <w:r>
        <w:rPr>
          <w:rFonts w:ascii="Times New Roman" w:hAnsi="Times New Roman"/>
          <w:spacing w:val="4"/>
          <w:w w:val="103"/>
          <w:kern w:val="14"/>
          <w:sz w:val="20"/>
        </w:rPr>
        <w:t>, noting that not all of the amount is available for spending</w:t>
      </w:r>
      <w:r w:rsidRPr="00C52DDE">
        <w:rPr>
          <w:rFonts w:ascii="Times New Roman" w:hAnsi="Times New Roman"/>
          <w:spacing w:val="4"/>
          <w:w w:val="103"/>
          <w:kern w:val="14"/>
          <w:sz w:val="20"/>
        </w:rPr>
        <w:t xml:space="preserve">. </w:t>
      </w:r>
    </w:p>
    <w:p w14:paraId="36A81A8D" w14:textId="77777777" w:rsidR="005C1E04" w:rsidRPr="00C52DDE"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
          <w:spacing w:val="4"/>
          <w:w w:val="103"/>
          <w:kern w:val="14"/>
          <w:sz w:val="20"/>
        </w:rPr>
      </w:pPr>
      <w:r w:rsidRPr="00BC0466">
        <w:rPr>
          <w:rFonts w:ascii="Times New Roman" w:hAnsi="Times New Roman"/>
          <w:b/>
          <w:bCs/>
          <w:i/>
          <w:spacing w:val="4"/>
          <w:w w:val="103"/>
          <w:kern w:val="14"/>
          <w:sz w:val="20"/>
        </w:rPr>
        <w:t>Bilateral governments:</w:t>
      </w:r>
      <w:r w:rsidRPr="00BC0466">
        <w:rPr>
          <w:rFonts w:ascii="Times New Roman" w:hAnsi="Times New Roman"/>
          <w:iCs/>
          <w:spacing w:val="4"/>
          <w:w w:val="103"/>
          <w:kern w:val="14"/>
          <w:sz w:val="20"/>
        </w:rPr>
        <w:t xml:space="preserve"> Governments of the Member States that contribute to UNDP regular resources and other resources, comprising the Development Assistance Committee of the Organisation for Economic Co-operation and Development (OECD/DAC) members, and non-members of OECD/DAC including programme countries.</w:t>
      </w:r>
    </w:p>
    <w:p w14:paraId="6A0F6318"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Certified Emission Reductions (CER)s</w:t>
      </w:r>
      <w:r w:rsidRPr="00BC0466">
        <w:rPr>
          <w:rFonts w:ascii="Times New Roman" w:hAnsi="Times New Roman"/>
          <w:b/>
          <w:bCs/>
          <w:iCs/>
          <w:spacing w:val="4"/>
          <w:w w:val="103"/>
          <w:kern w:val="14"/>
          <w:sz w:val="20"/>
        </w:rPr>
        <w:t>:</w:t>
      </w:r>
      <w:r w:rsidRPr="00BC0466">
        <w:rPr>
          <w:rFonts w:ascii="Times New Roman" w:hAnsi="Times New Roman"/>
          <w:iCs/>
          <w:spacing w:val="4"/>
          <w:w w:val="103"/>
          <w:kern w:val="14"/>
          <w:sz w:val="20"/>
        </w:rPr>
        <w:t xml:space="preserve">  Under the Kyoto Protocol industrialized countries are offered the opportunity to offset greenhouse gas (GHG) emissions by procuring credits from Clean Development Mechanism (CDM) projects located in developing countries. A CER basically allows an entity to pay for the reduction of GHG emissions elsewhere and is often more cost-effective than reducing the GHG emissions from their own operations or is used where GHG emissions cannot be avoided. UNDP is committed to buying only very credible, UNFCCC-issued credits (“Gold Standard”) which also deliver tangible sustainable development benefits. For details please refer to the EG-approved HQ Emission Reduction Strategy (</w:t>
      </w:r>
      <w:hyperlink r:id="rId25" w:history="1">
        <w:r w:rsidRPr="00BC0466">
          <w:rPr>
            <w:rFonts w:ascii="Times New Roman" w:hAnsi="Times New Roman"/>
            <w:iCs/>
            <w:spacing w:val="4"/>
            <w:w w:val="103"/>
            <w:kern w:val="14"/>
            <w:sz w:val="20"/>
          </w:rPr>
          <w:t>https://undp.unteamworks.org/node/369936</w:t>
        </w:r>
      </w:hyperlink>
      <w:r w:rsidRPr="00BC0466">
        <w:rPr>
          <w:rFonts w:ascii="Times New Roman" w:hAnsi="Times New Roman"/>
          <w:iCs/>
          <w:spacing w:val="4"/>
          <w:w w:val="103"/>
          <w:kern w:val="14"/>
          <w:sz w:val="20"/>
        </w:rPr>
        <w:t xml:space="preserve">). </w:t>
      </w:r>
    </w:p>
    <w:p w14:paraId="6B5981AF" w14:textId="04F62776" w:rsidR="005C1E04" w:rsidRPr="00C52DDE"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
          <w:spacing w:val="4"/>
          <w:w w:val="103"/>
          <w:kern w:val="14"/>
          <w:sz w:val="20"/>
        </w:rPr>
      </w:pPr>
      <w:r w:rsidRPr="00BC0466">
        <w:rPr>
          <w:rFonts w:ascii="Times New Roman" w:hAnsi="Times New Roman"/>
          <w:b/>
          <w:bCs/>
          <w:i/>
          <w:spacing w:val="4"/>
          <w:w w:val="103"/>
          <w:kern w:val="14"/>
          <w:sz w:val="20"/>
        </w:rPr>
        <w:t>Cost classification:</w:t>
      </w:r>
      <w:r w:rsidRPr="00C52DDE">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Set of criteria and the process of determining programme implementation vs. administration costs</w:t>
      </w:r>
      <w:r>
        <w:rPr>
          <w:rFonts w:ascii="Times New Roman" w:hAnsi="Times New Roman"/>
          <w:iCs/>
          <w:spacing w:val="4"/>
          <w:w w:val="103"/>
          <w:kern w:val="14"/>
          <w:sz w:val="20"/>
        </w:rPr>
        <w:t>.</w:t>
      </w:r>
    </w:p>
    <w:p w14:paraId="63D0FAFA"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Development activities:</w:t>
      </w:r>
      <w:r w:rsidRPr="00C52DDE">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Activities associated with ‘programmes’ and ‘development effectiveness,’ activities essential for achieving development results.</w:t>
      </w:r>
    </w:p>
    <w:p w14:paraId="633931F1" w14:textId="77777777" w:rsidR="005C1E04" w:rsidRPr="00AD7765" w:rsidRDefault="005C1E04" w:rsidP="005C1E04">
      <w:pPr>
        <w:numPr>
          <w:ilvl w:val="0"/>
          <w:numId w:val="2"/>
        </w:numPr>
        <w:suppressAutoHyphens/>
        <w:autoSpaceDE w:val="0"/>
        <w:autoSpaceDN w:val="0"/>
        <w:adjustRightInd w:val="0"/>
        <w:spacing w:before="120" w:after="120"/>
        <w:ind w:left="1080" w:right="1267" w:hanging="450"/>
        <w:jc w:val="both"/>
        <w:rPr>
          <w:rFonts w:ascii="Times New Roman" w:eastAsia="Calibri" w:hAnsi="Times New Roman"/>
          <w:bCs/>
          <w:i/>
          <w:spacing w:val="4"/>
          <w:w w:val="103"/>
          <w:kern w:val="14"/>
          <w:sz w:val="20"/>
          <w:lang w:val="en-GB"/>
        </w:rPr>
      </w:pPr>
      <w:r w:rsidRPr="00BC0466">
        <w:rPr>
          <w:rFonts w:ascii="Times New Roman" w:eastAsia="Calibri" w:hAnsi="Times New Roman"/>
          <w:b/>
          <w:i/>
          <w:spacing w:val="4"/>
          <w:w w:val="103"/>
          <w:kern w:val="14"/>
          <w:sz w:val="20"/>
          <w:lang w:val="en-GB"/>
        </w:rPr>
        <w:t>Programmes:</w:t>
      </w:r>
      <w:r w:rsidRPr="00AD7765">
        <w:rPr>
          <w:rFonts w:ascii="Times New Roman" w:eastAsia="Calibri" w:hAnsi="Times New Roman"/>
          <w:bCs/>
          <w:i/>
          <w:spacing w:val="4"/>
          <w:w w:val="103"/>
          <w:kern w:val="14"/>
          <w:sz w:val="20"/>
          <w:lang w:val="en-GB"/>
        </w:rPr>
        <w:t xml:space="preserve"> </w:t>
      </w:r>
      <w:r w:rsidRPr="00AD7765">
        <w:rPr>
          <w:rFonts w:ascii="Times New Roman" w:eastAsia="Calibri" w:hAnsi="Times New Roman"/>
          <w:bCs/>
          <w:spacing w:val="4"/>
          <w:w w:val="103"/>
          <w:kern w:val="14"/>
          <w:sz w:val="20"/>
          <w:lang w:val="en-GB"/>
        </w:rPr>
        <w:t xml:space="preserve">Activities </w:t>
      </w:r>
      <w:r>
        <w:rPr>
          <w:rFonts w:ascii="Times New Roman" w:eastAsia="Calibri" w:hAnsi="Times New Roman"/>
          <w:bCs/>
          <w:spacing w:val="4"/>
          <w:w w:val="103"/>
          <w:kern w:val="14"/>
          <w:sz w:val="20"/>
          <w:lang w:val="en-GB"/>
        </w:rPr>
        <w:t xml:space="preserve">traced to </w:t>
      </w:r>
      <w:r w:rsidRPr="00AD7765">
        <w:rPr>
          <w:rFonts w:ascii="Times New Roman" w:eastAsia="Calibri" w:hAnsi="Times New Roman"/>
          <w:bCs/>
          <w:spacing w:val="4"/>
          <w:w w:val="103"/>
          <w:kern w:val="14"/>
          <w:sz w:val="20"/>
          <w:lang w:val="en-GB"/>
        </w:rPr>
        <w:t>specific programme components or projects</w:t>
      </w:r>
      <w:r>
        <w:rPr>
          <w:rFonts w:ascii="Times New Roman" w:eastAsia="Calibri" w:hAnsi="Times New Roman"/>
          <w:bCs/>
          <w:spacing w:val="4"/>
          <w:w w:val="103"/>
          <w:kern w:val="14"/>
          <w:sz w:val="20"/>
          <w:lang w:val="en-GB"/>
        </w:rPr>
        <w:t xml:space="preserve">, which </w:t>
      </w:r>
      <w:r w:rsidRPr="00AD7765">
        <w:rPr>
          <w:rFonts w:ascii="Times New Roman" w:eastAsia="Calibri" w:hAnsi="Times New Roman"/>
          <w:bCs/>
          <w:spacing w:val="4"/>
          <w:w w:val="103"/>
          <w:kern w:val="14"/>
          <w:sz w:val="20"/>
          <w:lang w:val="en-GB"/>
        </w:rPr>
        <w:t>contribute to deliver</w:t>
      </w:r>
      <w:r>
        <w:rPr>
          <w:rFonts w:ascii="Times New Roman" w:eastAsia="Calibri" w:hAnsi="Times New Roman"/>
          <w:bCs/>
          <w:spacing w:val="4"/>
          <w:w w:val="103"/>
          <w:kern w:val="14"/>
          <w:sz w:val="20"/>
          <w:lang w:val="en-GB"/>
        </w:rPr>
        <w:t>ing</w:t>
      </w:r>
      <w:r w:rsidRPr="00AD7765">
        <w:rPr>
          <w:rFonts w:ascii="Times New Roman" w:eastAsia="Calibri" w:hAnsi="Times New Roman"/>
          <w:bCs/>
          <w:spacing w:val="4"/>
          <w:w w:val="103"/>
          <w:kern w:val="14"/>
          <w:sz w:val="20"/>
          <w:lang w:val="en-GB"/>
        </w:rPr>
        <w:t xml:space="preserve"> development results </w:t>
      </w:r>
      <w:r>
        <w:rPr>
          <w:rFonts w:ascii="Times New Roman" w:eastAsia="Calibri" w:hAnsi="Times New Roman"/>
          <w:bCs/>
          <w:spacing w:val="4"/>
          <w:w w:val="103"/>
          <w:kern w:val="14"/>
          <w:sz w:val="20"/>
          <w:lang w:val="en-GB"/>
        </w:rPr>
        <w:t>contained i</w:t>
      </w:r>
      <w:r w:rsidRPr="00AD7765">
        <w:rPr>
          <w:rFonts w:ascii="Times New Roman" w:eastAsia="Calibri" w:hAnsi="Times New Roman"/>
          <w:bCs/>
          <w:spacing w:val="4"/>
          <w:w w:val="103"/>
          <w:kern w:val="14"/>
          <w:sz w:val="20"/>
          <w:lang w:val="en-GB"/>
        </w:rPr>
        <w:t>n country/regional/global programme documents or other programming arrangements.</w:t>
      </w:r>
    </w:p>
    <w:p w14:paraId="243DE4B0" w14:textId="77777777" w:rsidR="005C1E04" w:rsidRPr="00AD7765" w:rsidRDefault="005C1E04" w:rsidP="005C1E04">
      <w:pPr>
        <w:numPr>
          <w:ilvl w:val="0"/>
          <w:numId w:val="2"/>
        </w:numPr>
        <w:suppressAutoHyphens/>
        <w:autoSpaceDE w:val="0"/>
        <w:autoSpaceDN w:val="0"/>
        <w:adjustRightInd w:val="0"/>
        <w:spacing w:before="120" w:after="120"/>
        <w:ind w:left="1080" w:right="1267" w:hanging="450"/>
        <w:jc w:val="both"/>
        <w:rPr>
          <w:rFonts w:ascii="Times New Roman" w:eastAsia="Calibri" w:hAnsi="Times New Roman"/>
          <w:bCs/>
          <w:spacing w:val="4"/>
          <w:w w:val="103"/>
          <w:kern w:val="14"/>
          <w:sz w:val="20"/>
          <w:lang w:val="en-GB"/>
        </w:rPr>
      </w:pPr>
      <w:r w:rsidRPr="00BC0466">
        <w:rPr>
          <w:rFonts w:ascii="Times New Roman" w:eastAsia="Calibri" w:hAnsi="Times New Roman"/>
          <w:b/>
          <w:i/>
          <w:spacing w:val="4"/>
          <w:w w:val="103"/>
          <w:kern w:val="14"/>
          <w:sz w:val="20"/>
          <w:lang w:val="en-GB"/>
        </w:rPr>
        <w:t>Development effectiveness activities:</w:t>
      </w:r>
      <w:r w:rsidRPr="00AD7765">
        <w:rPr>
          <w:rFonts w:ascii="Times New Roman" w:eastAsia="Calibri" w:hAnsi="Times New Roman"/>
          <w:bCs/>
          <w:i/>
          <w:spacing w:val="4"/>
          <w:w w:val="103"/>
          <w:kern w:val="14"/>
          <w:sz w:val="20"/>
          <w:lang w:val="en-GB"/>
        </w:rPr>
        <w:t xml:space="preserve"> </w:t>
      </w:r>
      <w:r w:rsidRPr="00AD7765">
        <w:rPr>
          <w:rFonts w:ascii="Times New Roman" w:eastAsia="Calibri" w:hAnsi="Times New Roman"/>
          <w:bCs/>
          <w:spacing w:val="4"/>
          <w:w w:val="103"/>
          <w:kern w:val="14"/>
          <w:sz w:val="20"/>
          <w:lang w:val="en-GB"/>
        </w:rPr>
        <w:t>Activities of a policy-advisory, technical and implementation nature needed to achieve the objectives of programmes and projects in UNDP’s areas of focus. While essential to the delivery of development results, they are not included in specific programme components or projects in country, regional, or global programme documents.</w:t>
      </w:r>
    </w:p>
    <w:p w14:paraId="757AEA42" w14:textId="72547BBB"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Elimination:</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Represents </w:t>
      </w:r>
      <w:r>
        <w:rPr>
          <w:rFonts w:ascii="Times New Roman" w:hAnsi="Times New Roman"/>
          <w:iCs/>
          <w:spacing w:val="4"/>
          <w:w w:val="103"/>
          <w:kern w:val="14"/>
          <w:sz w:val="20"/>
        </w:rPr>
        <w:t>an IPSAS-compliant</w:t>
      </w:r>
      <w:r w:rsidRPr="00BC0466">
        <w:rPr>
          <w:rFonts w:ascii="Times New Roman" w:hAnsi="Times New Roman"/>
          <w:iCs/>
          <w:spacing w:val="4"/>
          <w:w w:val="103"/>
          <w:kern w:val="14"/>
          <w:sz w:val="20"/>
        </w:rPr>
        <w:t xml:space="preserve"> accounting adjustment to remove the effect of internal UNDP cost-recovery revenue and general management support expense from total UNDP amounts.</w:t>
      </w:r>
    </w:p>
    <w:p w14:paraId="0779DA45" w14:textId="2E1BB909"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Expenditure</w:t>
      </w:r>
      <w:r w:rsidRPr="00BC0466">
        <w:rPr>
          <w:rFonts w:ascii="Times New Roman" w:hAnsi="Times New Roman"/>
          <w:iCs/>
          <w:spacing w:val="4"/>
          <w:w w:val="103"/>
          <w:kern w:val="14"/>
          <w:sz w:val="20"/>
        </w:rPr>
        <w:t>: Utilization of available financial resources, across harmonized cost classification categories</w:t>
      </w:r>
      <w:r>
        <w:rPr>
          <w:rFonts w:ascii="Times New Roman" w:hAnsi="Times New Roman"/>
          <w:iCs/>
          <w:spacing w:val="4"/>
          <w:w w:val="103"/>
          <w:kern w:val="14"/>
          <w:sz w:val="20"/>
        </w:rPr>
        <w:t xml:space="preserve">. Excludes accruals for goods received and services rendered. </w:t>
      </w:r>
    </w:p>
    <w:p w14:paraId="68B738F2"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Expenses:</w:t>
      </w:r>
      <w:r w:rsidRPr="00BC0466">
        <w:rPr>
          <w:rFonts w:ascii="Times New Roman" w:hAnsi="Times New Roman"/>
          <w:i/>
          <w:spacing w:val="4"/>
          <w:w w:val="103"/>
          <w:kern w:val="14"/>
          <w:sz w:val="20"/>
        </w:rPr>
        <w:tab/>
      </w:r>
      <w:r w:rsidRPr="00BC0466">
        <w:rPr>
          <w:rFonts w:ascii="Times New Roman" w:hAnsi="Times New Roman"/>
          <w:iCs/>
          <w:spacing w:val="4"/>
          <w:w w:val="103"/>
          <w:kern w:val="14"/>
          <w:sz w:val="20"/>
        </w:rPr>
        <w:t>Expenses include disbursements and accruals for goods received and services rendered, and the use or impairment of assets, dependent on the implementation arrangement.</w:t>
      </w:r>
    </w:p>
    <w:p w14:paraId="58107860"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Government contributions towards local office costs (GLOC):</w:t>
      </w:r>
      <w:r w:rsidRPr="00AD7765">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Contributions in the form of cash, or by provision in-kind of specific goods, services</w:t>
      </w:r>
      <w:r>
        <w:rPr>
          <w:rFonts w:ascii="Times New Roman" w:hAnsi="Times New Roman"/>
          <w:iCs/>
          <w:spacing w:val="4"/>
          <w:w w:val="103"/>
          <w:kern w:val="14"/>
          <w:sz w:val="20"/>
        </w:rPr>
        <w:t>,</w:t>
      </w:r>
      <w:r w:rsidRPr="00BC0466">
        <w:rPr>
          <w:rFonts w:ascii="Times New Roman" w:hAnsi="Times New Roman"/>
          <w:iCs/>
          <w:spacing w:val="4"/>
          <w:w w:val="103"/>
          <w:kern w:val="14"/>
          <w:sz w:val="20"/>
        </w:rPr>
        <w:t xml:space="preserve"> and facilities that a host Government makes towards meeting the expenses of maintaining a UNDP country office.</w:t>
      </w:r>
    </w:p>
    <w:p w14:paraId="0AE6DA43"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Institutional budget:</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The institutional component of the integrated budget covering activities over a period based on a set of defined results from the strategic plan.</w:t>
      </w:r>
    </w:p>
    <w:p w14:paraId="554FF895"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lastRenderedPageBreak/>
        <w:t>IPSAS: International Public Sector Accounting Standards: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Independently developed accounting standards which have been considered the best accounting practice by public sector organisations. </w:t>
      </w:r>
    </w:p>
    <w:p w14:paraId="78004777"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Joint programmes: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Collective efforts through which United Nations organisations and national partners work together to prepare, implement, monitor and evaluate the activities aimed at effectively and efficiently achieving the Millennium Development Goals and other international commitments arising from United Nations conferences, summits, conventions and human rights instruments.</w:t>
      </w:r>
    </w:p>
    <w:p w14:paraId="3DC28A2E" w14:textId="78964ABC" w:rsidR="005C1E04" w:rsidRPr="007772BE"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EC005C">
        <w:rPr>
          <w:rFonts w:ascii="Times New Roman" w:hAnsi="Times New Roman"/>
          <w:b/>
          <w:bCs/>
          <w:i/>
          <w:spacing w:val="4"/>
          <w:w w:val="103"/>
          <w:kern w:val="14"/>
          <w:sz w:val="20"/>
        </w:rPr>
        <w:t>Low-income countries (LICs), Middle-income countries (MICs):</w:t>
      </w:r>
      <w:r w:rsidRPr="007772BE">
        <w:rPr>
          <w:rFonts w:ascii="Times New Roman" w:hAnsi="Times New Roman"/>
          <w:i/>
          <w:spacing w:val="4"/>
          <w:w w:val="103"/>
          <w:kern w:val="14"/>
          <w:sz w:val="20"/>
        </w:rPr>
        <w:t xml:space="preserve"> </w:t>
      </w:r>
      <w:r w:rsidRPr="007772BE">
        <w:rPr>
          <w:rFonts w:ascii="Times New Roman" w:hAnsi="Times New Roman"/>
          <w:iCs/>
          <w:spacing w:val="4"/>
          <w:w w:val="103"/>
          <w:kern w:val="14"/>
          <w:sz w:val="20"/>
        </w:rPr>
        <w:t xml:space="preserve">On the basis of their GNI per capita, countries are grouped into the following categories: </w:t>
      </w:r>
      <w:bookmarkStart w:id="1" w:name="_Hlk517887335"/>
      <w:r w:rsidRPr="007772BE">
        <w:rPr>
          <w:rFonts w:ascii="Times New Roman" w:hAnsi="Times New Roman"/>
          <w:iCs/>
          <w:spacing w:val="4"/>
          <w:w w:val="103"/>
          <w:kern w:val="14"/>
          <w:sz w:val="20"/>
        </w:rPr>
        <w:t>low-income countries (LICs), middle income countries (MICs),</w:t>
      </w:r>
      <w:bookmarkEnd w:id="1"/>
      <w:r w:rsidRPr="007772BE">
        <w:rPr>
          <w:rFonts w:ascii="Times New Roman" w:hAnsi="Times New Roman"/>
          <w:iCs/>
          <w:spacing w:val="4"/>
          <w:w w:val="103"/>
          <w:kern w:val="14"/>
          <w:sz w:val="20"/>
        </w:rPr>
        <w:t xml:space="preserve"> transitional net-contributing countries and net-contributing countries (NCCs). </w:t>
      </w:r>
    </w:p>
    <w:p w14:paraId="6B3BDA8E" w14:textId="77777777" w:rsidR="005C1E04" w:rsidRPr="007772BE" w:rsidRDefault="005C1E04" w:rsidP="005C1E04">
      <w:pPr>
        <w:suppressAutoHyphens/>
        <w:spacing w:before="120" w:after="120"/>
        <w:ind w:left="1260" w:right="1267" w:hanging="540"/>
        <w:jc w:val="both"/>
        <w:rPr>
          <w:rFonts w:ascii="Times New Roman" w:hAnsi="Times New Roman"/>
          <w:bCs/>
          <w:spacing w:val="4"/>
          <w:w w:val="103"/>
          <w:kern w:val="14"/>
          <w:sz w:val="20"/>
        </w:rPr>
      </w:pPr>
      <w:r w:rsidRPr="007772BE">
        <w:rPr>
          <w:rFonts w:ascii="Times New Roman" w:hAnsi="Times New Roman"/>
          <w:bCs/>
          <w:spacing w:val="4"/>
          <w:w w:val="103"/>
          <w:kern w:val="14"/>
          <w:sz w:val="20"/>
        </w:rPr>
        <w:t>(a)</w:t>
      </w:r>
      <w:r w:rsidRPr="007772BE">
        <w:rPr>
          <w:rFonts w:ascii="Times New Roman" w:hAnsi="Times New Roman"/>
          <w:bCs/>
          <w:spacing w:val="4"/>
          <w:w w:val="103"/>
          <w:kern w:val="14"/>
          <w:sz w:val="20"/>
        </w:rPr>
        <w:tab/>
        <w:t xml:space="preserve">LICs are defined as countries with 2012-2015 an average GNI per capita of less than $1,280. </w:t>
      </w:r>
    </w:p>
    <w:p w14:paraId="723C5D3D" w14:textId="77777777" w:rsidR="005C1E04" w:rsidRPr="007772BE" w:rsidRDefault="005C1E04" w:rsidP="005C1E04">
      <w:pPr>
        <w:suppressAutoHyphens/>
        <w:spacing w:before="120" w:after="120"/>
        <w:ind w:left="1260" w:right="1267" w:hanging="540"/>
        <w:jc w:val="both"/>
        <w:rPr>
          <w:rFonts w:ascii="Times New Roman" w:hAnsi="Times New Roman"/>
          <w:bCs/>
          <w:spacing w:val="4"/>
          <w:w w:val="103"/>
          <w:kern w:val="14"/>
          <w:sz w:val="20"/>
        </w:rPr>
      </w:pPr>
      <w:r w:rsidRPr="007772BE">
        <w:rPr>
          <w:rFonts w:ascii="Times New Roman" w:hAnsi="Times New Roman"/>
          <w:bCs/>
          <w:spacing w:val="4"/>
          <w:w w:val="103"/>
          <w:kern w:val="14"/>
          <w:sz w:val="20"/>
        </w:rPr>
        <w:t>(b)</w:t>
      </w:r>
      <w:r w:rsidRPr="007772BE">
        <w:rPr>
          <w:rFonts w:ascii="Times New Roman" w:hAnsi="Times New Roman"/>
          <w:bCs/>
          <w:spacing w:val="4"/>
          <w:w w:val="103"/>
          <w:kern w:val="14"/>
          <w:sz w:val="20"/>
        </w:rPr>
        <w:tab/>
        <w:t xml:space="preserve">MICs are defined as countries with 2012-2015 an average GNI per capita of between $1,281 and $12,475. There are two groups of MICs: </w:t>
      </w:r>
    </w:p>
    <w:p w14:paraId="10D1DD7B" w14:textId="77777777" w:rsidR="005C1E04" w:rsidRPr="007772BE" w:rsidRDefault="005C1E04" w:rsidP="005C1E04">
      <w:pPr>
        <w:pStyle w:val="ListParagraph"/>
        <w:numPr>
          <w:ilvl w:val="1"/>
          <w:numId w:val="24"/>
        </w:numPr>
        <w:suppressAutoHyphens/>
        <w:spacing w:before="120" w:after="120"/>
        <w:ind w:left="1710" w:right="1267" w:hanging="450"/>
        <w:contextualSpacing w:val="0"/>
        <w:jc w:val="both"/>
        <w:rPr>
          <w:rFonts w:ascii="Times New Roman" w:hAnsi="Times New Roman"/>
          <w:bCs/>
          <w:spacing w:val="4"/>
          <w:w w:val="103"/>
          <w:kern w:val="14"/>
          <w:sz w:val="20"/>
        </w:rPr>
      </w:pPr>
      <w:r w:rsidRPr="007772BE">
        <w:rPr>
          <w:rFonts w:ascii="Times New Roman" w:hAnsi="Times New Roman"/>
          <w:bCs/>
          <w:spacing w:val="4"/>
          <w:w w:val="103"/>
          <w:kern w:val="14"/>
          <w:sz w:val="20"/>
        </w:rPr>
        <w:t>MICs with levels of GNI per capita of between $1,281 and $6,660.</w:t>
      </w:r>
    </w:p>
    <w:p w14:paraId="5E2A75F3" w14:textId="77777777" w:rsidR="005C1E04" w:rsidRPr="007772BE" w:rsidRDefault="005C1E04" w:rsidP="005C1E04">
      <w:pPr>
        <w:pStyle w:val="ListParagraph"/>
        <w:numPr>
          <w:ilvl w:val="1"/>
          <w:numId w:val="24"/>
        </w:numPr>
        <w:suppressAutoHyphens/>
        <w:spacing w:before="120" w:after="120"/>
        <w:ind w:left="1710" w:right="1267" w:hanging="450"/>
        <w:contextualSpacing w:val="0"/>
        <w:jc w:val="both"/>
        <w:rPr>
          <w:rFonts w:ascii="Times New Roman" w:hAnsi="Times New Roman"/>
          <w:bCs/>
          <w:spacing w:val="4"/>
          <w:w w:val="103"/>
          <w:kern w:val="14"/>
          <w:sz w:val="20"/>
        </w:rPr>
      </w:pPr>
      <w:r w:rsidRPr="007772BE">
        <w:rPr>
          <w:rFonts w:ascii="Times New Roman" w:hAnsi="Times New Roman"/>
          <w:bCs/>
          <w:spacing w:val="4"/>
          <w:w w:val="103"/>
          <w:kern w:val="14"/>
          <w:sz w:val="20"/>
        </w:rPr>
        <w:t>MICs with high levels of GNI per capita of between $6,660 and $12,475 per capita;</w:t>
      </w:r>
    </w:p>
    <w:p w14:paraId="1DFBC2F2" w14:textId="77777777" w:rsidR="005C1E04" w:rsidRPr="007772BE" w:rsidRDefault="005C1E04" w:rsidP="005C1E04">
      <w:pPr>
        <w:suppressAutoHyphens/>
        <w:spacing w:before="120" w:after="120"/>
        <w:ind w:left="1260" w:right="1267" w:hanging="540"/>
        <w:jc w:val="both"/>
        <w:rPr>
          <w:rFonts w:ascii="Times New Roman" w:hAnsi="Times New Roman"/>
          <w:bCs/>
          <w:spacing w:val="4"/>
          <w:w w:val="103"/>
          <w:kern w:val="14"/>
          <w:sz w:val="20"/>
        </w:rPr>
      </w:pPr>
      <w:r w:rsidRPr="007772BE">
        <w:rPr>
          <w:rFonts w:ascii="Times New Roman" w:hAnsi="Times New Roman"/>
          <w:bCs/>
          <w:spacing w:val="4"/>
          <w:w w:val="103"/>
          <w:kern w:val="14"/>
          <w:sz w:val="20"/>
        </w:rPr>
        <w:t>(c)</w:t>
      </w:r>
      <w:r w:rsidRPr="007772BE">
        <w:rPr>
          <w:rFonts w:ascii="Times New Roman" w:hAnsi="Times New Roman"/>
          <w:bCs/>
          <w:spacing w:val="4"/>
          <w:w w:val="103"/>
          <w:kern w:val="14"/>
          <w:sz w:val="20"/>
        </w:rPr>
        <w:tab/>
        <w:t xml:space="preserve">Transitional NCCs are defined as countries with 2012-2015 average GNI per capita greater than $12,475 for the first time </w:t>
      </w:r>
      <w:r w:rsidRPr="008332E9">
        <w:rPr>
          <w:rFonts w:ascii="Times New Roman" w:hAnsi="Times New Roman"/>
          <w:spacing w:val="4"/>
          <w:w w:val="103"/>
          <w:kern w:val="14"/>
          <w:sz w:val="20"/>
        </w:rPr>
        <w:t>in 2018-2019</w:t>
      </w:r>
      <w:r w:rsidRPr="007772BE">
        <w:rPr>
          <w:rFonts w:ascii="Times New Roman" w:hAnsi="Times New Roman"/>
          <w:bCs/>
          <w:spacing w:val="4"/>
          <w:w w:val="103"/>
          <w:kern w:val="14"/>
          <w:sz w:val="20"/>
        </w:rPr>
        <w:t xml:space="preserve"> (as compared to the previous biennial budget period 2016-2017). </w:t>
      </w:r>
    </w:p>
    <w:p w14:paraId="5E728552" w14:textId="77777777" w:rsidR="005C1E04" w:rsidRPr="007772BE" w:rsidRDefault="005C1E04" w:rsidP="005C1E04">
      <w:pPr>
        <w:suppressAutoHyphens/>
        <w:spacing w:before="120" w:after="120"/>
        <w:ind w:left="1260" w:right="1267" w:hanging="540"/>
        <w:jc w:val="both"/>
        <w:rPr>
          <w:rFonts w:ascii="Times New Roman" w:hAnsi="Times New Roman"/>
          <w:bCs/>
          <w:spacing w:val="4"/>
          <w:w w:val="103"/>
          <w:kern w:val="14"/>
          <w:sz w:val="20"/>
        </w:rPr>
      </w:pPr>
      <w:r w:rsidRPr="007772BE">
        <w:rPr>
          <w:rFonts w:ascii="Times New Roman" w:hAnsi="Times New Roman"/>
          <w:bCs/>
          <w:spacing w:val="4"/>
          <w:w w:val="103"/>
          <w:kern w:val="14"/>
          <w:sz w:val="20"/>
        </w:rPr>
        <w:t>(d)</w:t>
      </w:r>
      <w:r w:rsidRPr="007772BE">
        <w:rPr>
          <w:rFonts w:ascii="Times New Roman" w:hAnsi="Times New Roman"/>
          <w:bCs/>
          <w:spacing w:val="4"/>
          <w:w w:val="103"/>
          <w:kern w:val="14"/>
          <w:sz w:val="20"/>
        </w:rPr>
        <w:tab/>
        <w:t>NCCs are defined as countries with 2012-2015 average GNI per capita greater than $12,475 for the second consecutive Integrated Budget period (i.e.</w:t>
      </w:r>
      <w:r>
        <w:rPr>
          <w:rFonts w:ascii="Times New Roman" w:hAnsi="Times New Roman"/>
          <w:bCs/>
          <w:spacing w:val="4"/>
          <w:w w:val="103"/>
          <w:kern w:val="14"/>
          <w:sz w:val="20"/>
        </w:rPr>
        <w:t>,</w:t>
      </w:r>
      <w:r w:rsidRPr="007772BE">
        <w:rPr>
          <w:rFonts w:ascii="Times New Roman" w:hAnsi="Times New Roman"/>
          <w:bCs/>
          <w:spacing w:val="4"/>
          <w:w w:val="103"/>
          <w:kern w:val="14"/>
          <w:sz w:val="20"/>
        </w:rPr>
        <w:t xml:space="preserve"> </w:t>
      </w:r>
      <w:r w:rsidRPr="008332E9">
        <w:rPr>
          <w:rFonts w:ascii="Times New Roman" w:hAnsi="Times New Roman"/>
          <w:spacing w:val="4"/>
          <w:w w:val="103"/>
          <w:kern w:val="14"/>
          <w:sz w:val="20"/>
        </w:rPr>
        <w:t>in 2018-2019</w:t>
      </w:r>
      <w:r w:rsidRPr="007772BE">
        <w:rPr>
          <w:rFonts w:ascii="Times New Roman" w:hAnsi="Times New Roman"/>
          <w:bCs/>
          <w:spacing w:val="4"/>
          <w:w w:val="103"/>
          <w:kern w:val="14"/>
          <w:sz w:val="20"/>
        </w:rPr>
        <w:t xml:space="preserve"> as well as 2016-17).</w:t>
      </w:r>
    </w:p>
    <w:p w14:paraId="6A717899" w14:textId="77777777" w:rsidR="005C1E04" w:rsidRPr="00B8440D" w:rsidRDefault="005C1E04" w:rsidP="005C1E04">
      <w:pPr>
        <w:suppressAutoHyphens/>
        <w:spacing w:before="120" w:after="120"/>
        <w:ind w:left="720" w:right="1267"/>
        <w:jc w:val="both"/>
        <w:rPr>
          <w:rFonts w:ascii="Times New Roman" w:hAnsi="Times New Roman"/>
          <w:bCs/>
          <w:spacing w:val="4"/>
          <w:w w:val="103"/>
          <w:kern w:val="14"/>
          <w:sz w:val="20"/>
        </w:rPr>
      </w:pPr>
      <w:r w:rsidRPr="007772BE">
        <w:rPr>
          <w:rFonts w:ascii="Times New Roman" w:hAnsi="Times New Roman"/>
          <w:bCs/>
          <w:spacing w:val="4"/>
          <w:w w:val="103"/>
          <w:kern w:val="14"/>
          <w:sz w:val="20"/>
        </w:rPr>
        <w:t xml:space="preserve">The Executive Board decided in decision 2012/28 that there would be a system of biennial updates. In this regard, a four-year approach for GNI per capita averaging are applied, with the average GNI per capita of the years 2012-2015 applied to the first two years of the Integrated Budget, 2018-2019, and the average GNI per capita of the years 2014-2017 </w:t>
      </w:r>
      <w:r w:rsidRPr="00DD6B0D">
        <w:rPr>
          <w:rFonts w:ascii="Times New Roman" w:hAnsi="Times New Roman"/>
          <w:spacing w:val="4"/>
          <w:w w:val="103"/>
          <w:kern w:val="14"/>
          <w:sz w:val="20"/>
        </w:rPr>
        <w:t>will be applied</w:t>
      </w:r>
      <w:r w:rsidRPr="007772BE">
        <w:rPr>
          <w:rFonts w:ascii="Times New Roman" w:hAnsi="Times New Roman"/>
          <w:bCs/>
          <w:spacing w:val="4"/>
          <w:w w:val="103"/>
          <w:kern w:val="14"/>
          <w:sz w:val="20"/>
        </w:rPr>
        <w:t xml:space="preserve"> to the last two years of the Integrated Budget, 2020-2021.</w:t>
      </w:r>
    </w:p>
    <w:p w14:paraId="1E2C6F4F"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Management activities: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Activities whose primary function is the promotion of the identity, direction and well-being of an organisation. These include executive direction, representation, external relations and partnerships, corporate communications, legal, oversight, audit, corporate evaluation, information technology, finance, administration, security and human resources.</w:t>
      </w:r>
    </w:p>
    <w:p w14:paraId="29B6E87E"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Management service agreements (MSAs):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Management service agreement (MSA) signed with a donor to prepare for receiving contributions to deliver management and other support services to recipient governments under a specific programme or project.</w:t>
      </w:r>
    </w:p>
    <w:p w14:paraId="6901E57D"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Multilateral sources: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Multilateral partners, such as regional development banks, international financial institutions, United Nations organisations, foundations and the private sector, which contribute to other resources.</w:t>
      </w:r>
    </w:p>
    <w:p w14:paraId="08CDE3B3"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Other expenses: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Expenses on activities other than those covered under the four broad cost classifications (i.e., development, management, United Nations development coordination and special purpose). </w:t>
      </w:r>
    </w:p>
    <w:p w14:paraId="5DA50418"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Other resources:</w:t>
      </w:r>
      <w:r>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Resources of a voluntarily funded organisation that are received for a specific theme, programme purpose and for the provision of specific services to third parties. Resources </w:t>
      </w:r>
      <w:r w:rsidRPr="00BC0466">
        <w:rPr>
          <w:rFonts w:ascii="Times New Roman" w:hAnsi="Times New Roman"/>
          <w:iCs/>
          <w:spacing w:val="4"/>
          <w:w w:val="103"/>
          <w:kern w:val="14"/>
          <w:sz w:val="20"/>
        </w:rPr>
        <w:lastRenderedPageBreak/>
        <w:t xml:space="preserve">that fall under this category </w:t>
      </w:r>
      <w:proofErr w:type="gramStart"/>
      <w:r w:rsidRPr="00BC0466">
        <w:rPr>
          <w:rFonts w:ascii="Times New Roman" w:hAnsi="Times New Roman"/>
          <w:iCs/>
          <w:spacing w:val="4"/>
          <w:w w:val="103"/>
          <w:kern w:val="14"/>
          <w:sz w:val="20"/>
        </w:rPr>
        <w:t>are:</w:t>
      </w:r>
      <w:proofErr w:type="gramEnd"/>
      <w:r w:rsidRPr="00BC0466">
        <w:rPr>
          <w:rFonts w:ascii="Times New Roman" w:hAnsi="Times New Roman"/>
          <w:iCs/>
          <w:spacing w:val="4"/>
          <w:w w:val="103"/>
          <w:kern w:val="14"/>
          <w:sz w:val="20"/>
        </w:rPr>
        <w:t xml:space="preserve"> cost-sharing, trust funds established by the Administrator, reimbursable support services and miscellaneous activities.</w:t>
      </w:r>
    </w:p>
    <w:p w14:paraId="1E9B0428"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Overall UNDP contributions: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Contributions to UNDP regular resources and other resources.</w:t>
      </w:r>
    </w:p>
    <w:p w14:paraId="3BFB3A8A"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Operational reserve:</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A reserve established in 1979 by the Governing Council (now the Executive Board) of UNDP to ensure adequate liquidity of UNDP by funding such reserve through a defined formula that is calculated yearly.</w:t>
      </w:r>
    </w:p>
    <w:p w14:paraId="300188F7" w14:textId="77777777" w:rsidR="005C1E04" w:rsidRPr="00BC0466"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bookmarkStart w:id="2" w:name="_Hlk517888035"/>
      <w:r w:rsidRPr="00BC0466">
        <w:rPr>
          <w:rFonts w:ascii="Times New Roman" w:hAnsi="Times New Roman"/>
          <w:b/>
          <w:bCs/>
          <w:i/>
          <w:spacing w:val="4"/>
          <w:w w:val="103"/>
          <w:kern w:val="14"/>
          <w:sz w:val="20"/>
        </w:rPr>
        <w:t>Regular resources:</w:t>
      </w:r>
      <w:r w:rsidRPr="00BC0466">
        <w:rPr>
          <w:rFonts w:ascii="Times New Roman" w:hAnsi="Times New Roman"/>
          <w:i/>
          <w:spacing w:val="4"/>
          <w:w w:val="103"/>
          <w:kern w:val="14"/>
          <w:sz w:val="20"/>
        </w:rPr>
        <w:t xml:space="preserve"> </w:t>
      </w:r>
      <w:bookmarkEnd w:id="2"/>
      <w:r w:rsidRPr="00BC0466">
        <w:rPr>
          <w:rFonts w:ascii="Times New Roman" w:hAnsi="Times New Roman"/>
          <w:iCs/>
          <w:spacing w:val="4"/>
          <w:w w:val="103"/>
          <w:kern w:val="14"/>
          <w:sz w:val="20"/>
        </w:rPr>
        <w:t>Resources of UNDP which are commingled and untied. They include voluntary contributions, contributions from governmental, intergovernmental or non-governmental sources, and related interest earnings and miscellaneous income.</w:t>
      </w:r>
    </w:p>
    <w:p w14:paraId="45F0347C" w14:textId="77777777" w:rsidR="005C1E04" w:rsidRPr="00FB6A40"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
          <w:spacing w:val="4"/>
          <w:w w:val="103"/>
          <w:kern w:val="14"/>
          <w:sz w:val="20"/>
        </w:rPr>
      </w:pPr>
      <w:r w:rsidRPr="00BC0466">
        <w:rPr>
          <w:rFonts w:ascii="Times New Roman" w:hAnsi="Times New Roman"/>
          <w:b/>
          <w:bCs/>
          <w:i/>
          <w:spacing w:val="4"/>
          <w:w w:val="103"/>
          <w:kern w:val="14"/>
          <w:sz w:val="20"/>
        </w:rPr>
        <w:t>Reimbursable support services and miscellaneous activities: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Resources of UNDP other resources (other than cost-sharing and trust funds). Such funds are received for the provision of management and other support services to third parties. It comprises the following activities: management services agreements; the Junior Professional Officer programme, reimbursable support services; the United Nations Volunteers programme, programme support to Resident Coordinators, and </w:t>
      </w:r>
      <w:r w:rsidRPr="00FB6A40">
        <w:rPr>
          <w:rFonts w:ascii="Times New Roman" w:hAnsi="Times New Roman"/>
          <w:iCs/>
          <w:spacing w:val="4"/>
          <w:w w:val="103"/>
          <w:kern w:val="14"/>
          <w:sz w:val="20"/>
        </w:rPr>
        <w:t>special purpose activities.</w:t>
      </w:r>
    </w:p>
    <w:p w14:paraId="2B1A6133" w14:textId="77777777" w:rsidR="005C1E04" w:rsidRPr="00FB6A40"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
          <w:spacing w:val="4"/>
          <w:w w:val="103"/>
          <w:kern w:val="14"/>
          <w:sz w:val="20"/>
        </w:rPr>
      </w:pPr>
      <w:r w:rsidRPr="00FB6A40">
        <w:rPr>
          <w:rFonts w:ascii="Times New Roman" w:hAnsi="Times New Roman"/>
          <w:b/>
          <w:bCs/>
          <w:i/>
          <w:spacing w:val="4"/>
          <w:w w:val="103"/>
          <w:kern w:val="14"/>
          <w:sz w:val="20"/>
        </w:rPr>
        <w:t>Revenue:</w:t>
      </w:r>
      <w:r w:rsidRPr="00FB6A40">
        <w:rPr>
          <w:rFonts w:ascii="Times New Roman" w:hAnsi="Times New Roman"/>
          <w:i/>
          <w:spacing w:val="4"/>
          <w:w w:val="103"/>
          <w:kern w:val="14"/>
          <w:sz w:val="20"/>
        </w:rPr>
        <w:t xml:space="preserve"> </w:t>
      </w:r>
      <w:r w:rsidRPr="00FB6A40">
        <w:rPr>
          <w:rFonts w:ascii="Times New Roman" w:hAnsi="Times New Roman"/>
          <w:iCs/>
          <w:spacing w:val="4"/>
          <w:w w:val="103"/>
          <w:kern w:val="14"/>
          <w:sz w:val="20"/>
        </w:rPr>
        <w:t xml:space="preserve">Consists of: (a) voluntary contributions; (b) investment revenue; and (c) other revenue (see below). </w:t>
      </w:r>
    </w:p>
    <w:p w14:paraId="2E0FA770" w14:textId="59D177E1" w:rsidR="005C1E04" w:rsidRPr="002E6121" w:rsidRDefault="005C1E04" w:rsidP="005C1E04">
      <w:pPr>
        <w:pStyle w:val="ListParagraph"/>
        <w:numPr>
          <w:ilvl w:val="0"/>
          <w:numId w:val="13"/>
        </w:numPr>
        <w:suppressAutoHyphens/>
        <w:spacing w:before="120" w:after="120"/>
        <w:ind w:left="1260" w:right="1267" w:hanging="630"/>
        <w:contextualSpacing w:val="0"/>
        <w:jc w:val="both"/>
        <w:rPr>
          <w:rFonts w:ascii="Times New Roman" w:hAnsi="Times New Roman"/>
          <w:bCs/>
          <w:spacing w:val="4"/>
          <w:w w:val="103"/>
          <w:kern w:val="14"/>
          <w:sz w:val="20"/>
        </w:rPr>
      </w:pPr>
      <w:r>
        <w:rPr>
          <w:rFonts w:ascii="Times New Roman" w:hAnsi="Times New Roman"/>
          <w:b/>
          <w:i/>
          <w:spacing w:val="4"/>
          <w:w w:val="103"/>
          <w:kern w:val="14"/>
          <w:sz w:val="20"/>
        </w:rPr>
        <w:t>Voluntary c</w:t>
      </w:r>
      <w:r w:rsidRPr="008014E4">
        <w:rPr>
          <w:rFonts w:ascii="Times New Roman" w:hAnsi="Times New Roman"/>
          <w:b/>
          <w:i/>
          <w:spacing w:val="4"/>
          <w:w w:val="103"/>
          <w:kern w:val="14"/>
          <w:sz w:val="20"/>
        </w:rPr>
        <w:t>ontributions:</w:t>
      </w:r>
      <w:r w:rsidRPr="003831E9">
        <w:rPr>
          <w:rFonts w:ascii="Times New Roman" w:hAnsi="Times New Roman"/>
          <w:bCs/>
          <w:spacing w:val="4"/>
          <w:w w:val="103"/>
          <w:kern w:val="14"/>
          <w:sz w:val="20"/>
        </w:rPr>
        <w:t xml:space="preserve"> </w:t>
      </w:r>
      <w:r>
        <w:rPr>
          <w:rFonts w:ascii="Times New Roman" w:hAnsi="Times New Roman"/>
          <w:bCs/>
          <w:spacing w:val="4"/>
          <w:w w:val="103"/>
          <w:kern w:val="14"/>
          <w:sz w:val="20"/>
        </w:rPr>
        <w:t>Effective i</w:t>
      </w:r>
      <w:r w:rsidRPr="00D565F7">
        <w:rPr>
          <w:rFonts w:ascii="Times New Roman" w:hAnsi="Times New Roman"/>
          <w:bCs/>
          <w:spacing w:val="4"/>
          <w:w w:val="103"/>
          <w:kern w:val="14"/>
          <w:sz w:val="20"/>
        </w:rPr>
        <w:t>n 2019, UNDP refined its accounting policy for recognizing revenue from voluntary contributions (non-exchange transactions); and as a result of the change, the full value of the contributions agreements signed (including multi-year agreements) is recognized as revenue in the year an agreement is signed. The amounts shown include returns to donors, and transfers to other funds of unused contributions. Contributions may also include in-kind contributions and GLOC cash contributions provided by programme country governments.</w:t>
      </w:r>
    </w:p>
    <w:p w14:paraId="29973939" w14:textId="77777777" w:rsidR="005C1E04" w:rsidRPr="002E6121" w:rsidRDefault="005C1E04" w:rsidP="005C1E04">
      <w:pPr>
        <w:pStyle w:val="ListParagraph"/>
        <w:numPr>
          <w:ilvl w:val="1"/>
          <w:numId w:val="13"/>
        </w:numPr>
        <w:suppressAutoHyphens/>
        <w:spacing w:before="120" w:after="120"/>
        <w:ind w:left="1800" w:right="1267"/>
        <w:contextualSpacing w:val="0"/>
        <w:jc w:val="both"/>
        <w:rPr>
          <w:rFonts w:ascii="Times New Roman" w:hAnsi="Times New Roman"/>
          <w:b/>
          <w:i/>
          <w:spacing w:val="4"/>
          <w:w w:val="103"/>
          <w:kern w:val="14"/>
          <w:sz w:val="20"/>
        </w:rPr>
      </w:pPr>
      <w:r w:rsidRPr="00281305">
        <w:rPr>
          <w:rFonts w:ascii="Times New Roman" w:hAnsi="Times New Roman"/>
          <w:b/>
          <w:i/>
          <w:spacing w:val="4"/>
          <w:w w:val="103"/>
          <w:kern w:val="14"/>
          <w:sz w:val="20"/>
        </w:rPr>
        <w:t xml:space="preserve">Annual </w:t>
      </w:r>
      <w:r>
        <w:rPr>
          <w:rFonts w:ascii="Times New Roman" w:hAnsi="Times New Roman"/>
          <w:b/>
          <w:i/>
          <w:spacing w:val="4"/>
          <w:w w:val="103"/>
          <w:kern w:val="14"/>
          <w:sz w:val="20"/>
        </w:rPr>
        <w:t>c</w:t>
      </w:r>
      <w:r w:rsidRPr="00281305">
        <w:rPr>
          <w:rFonts w:ascii="Times New Roman" w:hAnsi="Times New Roman"/>
          <w:b/>
          <w:i/>
          <w:spacing w:val="4"/>
          <w:w w:val="103"/>
          <w:kern w:val="14"/>
          <w:sz w:val="20"/>
        </w:rPr>
        <w:t xml:space="preserve">ontributions: </w:t>
      </w:r>
      <w:r w:rsidRPr="006C3E9F">
        <w:rPr>
          <w:rFonts w:ascii="Times New Roman" w:hAnsi="Times New Roman"/>
          <w:bCs/>
          <w:iCs/>
          <w:spacing w:val="4"/>
          <w:w w:val="103"/>
          <w:kern w:val="14"/>
          <w:sz w:val="20"/>
        </w:rPr>
        <w:t xml:space="preserve">Annual </w:t>
      </w:r>
      <w:r>
        <w:rPr>
          <w:rFonts w:ascii="Times New Roman" w:hAnsi="Times New Roman"/>
          <w:bCs/>
          <w:iCs/>
          <w:spacing w:val="4"/>
          <w:w w:val="103"/>
          <w:kern w:val="14"/>
          <w:sz w:val="20"/>
        </w:rPr>
        <w:t>c</w:t>
      </w:r>
      <w:r w:rsidRPr="006C3E9F">
        <w:rPr>
          <w:rFonts w:ascii="Times New Roman" w:hAnsi="Times New Roman"/>
          <w:bCs/>
          <w:iCs/>
          <w:spacing w:val="4"/>
          <w:w w:val="103"/>
          <w:kern w:val="14"/>
          <w:sz w:val="20"/>
        </w:rPr>
        <w:t>ontributions are calculated to provide additional information in order to align with previous revenue recognition policies for contributions (i.e., cash received in a reporting year, plus receivables due in a reporting year).</w:t>
      </w:r>
    </w:p>
    <w:p w14:paraId="297B08C4" w14:textId="477766B3" w:rsidR="005C1E04" w:rsidRPr="000B7F6F" w:rsidRDefault="005C1E04" w:rsidP="005C1E04">
      <w:pPr>
        <w:pStyle w:val="ListParagraph"/>
        <w:numPr>
          <w:ilvl w:val="1"/>
          <w:numId w:val="13"/>
        </w:numPr>
        <w:suppressAutoHyphens/>
        <w:spacing w:before="120" w:after="120"/>
        <w:ind w:left="1800" w:right="1267"/>
        <w:contextualSpacing w:val="0"/>
        <w:jc w:val="both"/>
        <w:rPr>
          <w:rFonts w:ascii="Times New Roman" w:hAnsi="Times New Roman"/>
          <w:b/>
          <w:i/>
          <w:spacing w:val="4"/>
          <w:w w:val="103"/>
          <w:kern w:val="14"/>
          <w:sz w:val="20"/>
        </w:rPr>
      </w:pPr>
      <w:r w:rsidRPr="000B7F6F">
        <w:rPr>
          <w:rFonts w:ascii="Times New Roman" w:hAnsi="Times New Roman"/>
          <w:b/>
          <w:i/>
          <w:spacing w:val="4"/>
          <w:w w:val="103"/>
          <w:kern w:val="14"/>
          <w:sz w:val="20"/>
        </w:rPr>
        <w:t xml:space="preserve">Net movement of future due contributions: </w:t>
      </w:r>
      <w:r w:rsidRPr="000B7F6F">
        <w:rPr>
          <w:rFonts w:ascii="Times New Roman" w:hAnsi="Times New Roman"/>
          <w:bCs/>
          <w:iCs/>
          <w:spacing w:val="4"/>
          <w:w w:val="103"/>
          <w:kern w:val="14"/>
          <w:sz w:val="20"/>
        </w:rPr>
        <w:t>Net movement of future due contributions are calculated to show the net impact of (</w:t>
      </w:r>
      <w:proofErr w:type="spellStart"/>
      <w:r w:rsidRPr="000B7F6F">
        <w:rPr>
          <w:rFonts w:ascii="Times New Roman" w:hAnsi="Times New Roman"/>
          <w:bCs/>
          <w:iCs/>
          <w:spacing w:val="4"/>
          <w:w w:val="103"/>
          <w:kern w:val="14"/>
          <w:sz w:val="20"/>
        </w:rPr>
        <w:t>i</w:t>
      </w:r>
      <w:proofErr w:type="spellEnd"/>
      <w:r w:rsidRPr="000B7F6F">
        <w:rPr>
          <w:rFonts w:ascii="Times New Roman" w:hAnsi="Times New Roman"/>
          <w:bCs/>
          <w:iCs/>
          <w:spacing w:val="4"/>
          <w:w w:val="103"/>
          <w:kern w:val="14"/>
          <w:sz w:val="20"/>
        </w:rPr>
        <w:t xml:space="preserve">) cash to be received after the reporting year based on the multi-year agreement signed in a reporting year and (ii) cash received in a reporting year based on agreements signed prior years. This also includes </w:t>
      </w:r>
      <w:r>
        <w:rPr>
          <w:rFonts w:ascii="Times New Roman" w:hAnsi="Times New Roman"/>
          <w:bCs/>
          <w:iCs/>
          <w:spacing w:val="4"/>
          <w:w w:val="103"/>
          <w:kern w:val="14"/>
          <w:sz w:val="20"/>
        </w:rPr>
        <w:t>accounting</w:t>
      </w:r>
      <w:r w:rsidRPr="000B7F6F">
        <w:rPr>
          <w:rFonts w:ascii="Times New Roman" w:hAnsi="Times New Roman"/>
          <w:bCs/>
          <w:iCs/>
          <w:spacing w:val="4"/>
          <w:w w:val="103"/>
          <w:kern w:val="14"/>
          <w:sz w:val="20"/>
        </w:rPr>
        <w:t xml:space="preserve"> adjustments</w:t>
      </w:r>
      <w:r>
        <w:rPr>
          <w:rFonts w:ascii="Times New Roman" w:hAnsi="Times New Roman"/>
          <w:bCs/>
          <w:iCs/>
          <w:spacing w:val="4"/>
          <w:w w:val="103"/>
          <w:kern w:val="14"/>
          <w:sz w:val="20"/>
        </w:rPr>
        <w:t xml:space="preserve"> for the policy change as referred to above</w:t>
      </w:r>
      <w:r w:rsidRPr="000B7F6F">
        <w:rPr>
          <w:rFonts w:ascii="Times New Roman" w:hAnsi="Times New Roman"/>
          <w:b/>
          <w:iCs/>
          <w:spacing w:val="4"/>
          <w:w w:val="103"/>
          <w:kern w:val="14"/>
          <w:sz w:val="20"/>
        </w:rPr>
        <w:t xml:space="preserve"> </w:t>
      </w:r>
      <w:r w:rsidRPr="000B7F6F">
        <w:rPr>
          <w:rFonts w:ascii="Times New Roman" w:hAnsi="Times New Roman"/>
          <w:bCs/>
          <w:iCs/>
          <w:spacing w:val="4"/>
          <w:w w:val="103"/>
          <w:kern w:val="14"/>
          <w:sz w:val="20"/>
        </w:rPr>
        <w:t>which were made in 2019 for agreements signed prior to 2019 for all contributions not received by the end of 2018, based on the change in revenue recognition policy in 2019.</w:t>
      </w:r>
    </w:p>
    <w:p w14:paraId="700BFE7F" w14:textId="77777777" w:rsidR="005C1E04" w:rsidRPr="00281305" w:rsidRDefault="005C1E04" w:rsidP="005C1E04">
      <w:pPr>
        <w:pStyle w:val="ListParagraph"/>
        <w:numPr>
          <w:ilvl w:val="0"/>
          <w:numId w:val="13"/>
        </w:numPr>
        <w:suppressAutoHyphens/>
        <w:autoSpaceDE w:val="0"/>
        <w:autoSpaceDN w:val="0"/>
        <w:adjustRightInd w:val="0"/>
        <w:spacing w:before="120" w:after="120"/>
        <w:ind w:left="1260" w:right="1267" w:hanging="630"/>
        <w:contextualSpacing w:val="0"/>
        <w:jc w:val="both"/>
        <w:rPr>
          <w:rFonts w:ascii="Times New Roman" w:eastAsia="Calibri" w:hAnsi="Times New Roman"/>
          <w:spacing w:val="4"/>
          <w:w w:val="103"/>
          <w:kern w:val="14"/>
          <w:sz w:val="20"/>
        </w:rPr>
      </w:pPr>
      <w:bookmarkStart w:id="3" w:name="_Hlk517443473"/>
      <w:r>
        <w:rPr>
          <w:rFonts w:ascii="Times New Roman" w:hAnsi="Times New Roman"/>
          <w:b/>
          <w:i/>
          <w:spacing w:val="4"/>
          <w:w w:val="103"/>
          <w:kern w:val="14"/>
          <w:sz w:val="20"/>
        </w:rPr>
        <w:t xml:space="preserve">Voluntary </w:t>
      </w:r>
      <w:r w:rsidRPr="00281305">
        <w:rPr>
          <w:rFonts w:ascii="Times New Roman" w:hAnsi="Times New Roman"/>
          <w:b/>
          <w:i/>
          <w:spacing w:val="4"/>
          <w:w w:val="103"/>
          <w:kern w:val="14"/>
          <w:sz w:val="20"/>
        </w:rPr>
        <w:t>Contributions</w:t>
      </w:r>
      <w:bookmarkEnd w:id="3"/>
      <w:r w:rsidRPr="00281305">
        <w:rPr>
          <w:rFonts w:ascii="Times New Roman" w:hAnsi="Times New Roman"/>
          <w:b/>
          <w:i/>
          <w:spacing w:val="4"/>
          <w:w w:val="103"/>
          <w:kern w:val="14"/>
          <w:sz w:val="20"/>
        </w:rPr>
        <w:t>, net:</w:t>
      </w:r>
      <w:r w:rsidRPr="00281305">
        <w:rPr>
          <w:rFonts w:ascii="Times New Roman" w:hAnsi="Times New Roman"/>
          <w:bCs/>
          <w:i/>
          <w:spacing w:val="4"/>
          <w:w w:val="103"/>
          <w:kern w:val="14"/>
          <w:sz w:val="20"/>
        </w:rPr>
        <w:t xml:space="preserve"> </w:t>
      </w:r>
      <w:r w:rsidRPr="00281305">
        <w:rPr>
          <w:rFonts w:ascii="Times New Roman" w:hAnsi="Times New Roman"/>
          <w:bCs/>
          <w:iCs/>
          <w:spacing w:val="4"/>
          <w:w w:val="103"/>
          <w:kern w:val="14"/>
          <w:sz w:val="20"/>
        </w:rPr>
        <w:t xml:space="preserve">Net Contributions after returns of unused contributions to donors, and transfers of funds have been deducted. </w:t>
      </w:r>
    </w:p>
    <w:p w14:paraId="172F504A" w14:textId="77777777" w:rsidR="005C1E04" w:rsidRPr="00281305" w:rsidRDefault="005C1E04" w:rsidP="005C1E04">
      <w:pPr>
        <w:pStyle w:val="ListParagraph"/>
        <w:numPr>
          <w:ilvl w:val="0"/>
          <w:numId w:val="13"/>
        </w:numPr>
        <w:suppressAutoHyphens/>
        <w:spacing w:before="120" w:after="120"/>
        <w:ind w:left="1260" w:right="1267" w:hanging="630"/>
        <w:contextualSpacing w:val="0"/>
        <w:jc w:val="both"/>
        <w:rPr>
          <w:rFonts w:ascii="Times New Roman" w:hAnsi="Times New Roman"/>
          <w:b/>
          <w:i/>
          <w:spacing w:val="4"/>
          <w:w w:val="103"/>
          <w:kern w:val="14"/>
          <w:sz w:val="20"/>
        </w:rPr>
      </w:pPr>
      <w:r w:rsidRPr="00281305">
        <w:rPr>
          <w:rFonts w:ascii="Times New Roman" w:hAnsi="Times New Roman"/>
          <w:b/>
          <w:i/>
          <w:spacing w:val="4"/>
          <w:w w:val="103"/>
          <w:kern w:val="14"/>
          <w:sz w:val="20"/>
        </w:rPr>
        <w:t>Investment revenue</w:t>
      </w:r>
      <w:r w:rsidRPr="0052437D">
        <w:rPr>
          <w:rFonts w:ascii="Times New Roman" w:hAnsi="Times New Roman"/>
          <w:bCs/>
          <w:iCs/>
          <w:spacing w:val="4"/>
          <w:w w:val="103"/>
          <w:kern w:val="14"/>
          <w:sz w:val="20"/>
        </w:rPr>
        <w:t xml:space="preserve">: </w:t>
      </w:r>
      <w:r>
        <w:rPr>
          <w:rFonts w:ascii="Times New Roman" w:hAnsi="Times New Roman"/>
          <w:bCs/>
          <w:iCs/>
          <w:spacing w:val="4"/>
          <w:w w:val="103"/>
          <w:kern w:val="14"/>
          <w:sz w:val="20"/>
        </w:rPr>
        <w:t>I</w:t>
      </w:r>
      <w:r w:rsidRPr="0052437D">
        <w:rPr>
          <w:rFonts w:ascii="Times New Roman" w:hAnsi="Times New Roman"/>
          <w:bCs/>
          <w:iCs/>
          <w:spacing w:val="4"/>
          <w:w w:val="103"/>
          <w:kern w:val="14"/>
          <w:sz w:val="20"/>
        </w:rPr>
        <w:t>nterest inflows from UNDP investments</w:t>
      </w:r>
      <w:r w:rsidRPr="00281305">
        <w:rPr>
          <w:rFonts w:ascii="Times New Roman" w:hAnsi="Times New Roman"/>
          <w:b/>
          <w:i/>
          <w:spacing w:val="4"/>
          <w:w w:val="103"/>
          <w:kern w:val="14"/>
          <w:sz w:val="20"/>
        </w:rPr>
        <w:t xml:space="preserve"> </w:t>
      </w:r>
    </w:p>
    <w:p w14:paraId="0D27EDFE" w14:textId="77777777" w:rsidR="005C1E04" w:rsidRPr="00281305" w:rsidRDefault="005C1E04" w:rsidP="005C1E04">
      <w:pPr>
        <w:pStyle w:val="ListParagraph"/>
        <w:numPr>
          <w:ilvl w:val="0"/>
          <w:numId w:val="13"/>
        </w:numPr>
        <w:suppressAutoHyphens/>
        <w:spacing w:before="120" w:after="120"/>
        <w:ind w:left="1260" w:right="1267" w:hanging="630"/>
        <w:contextualSpacing w:val="0"/>
        <w:jc w:val="both"/>
        <w:rPr>
          <w:rFonts w:ascii="Times New Roman" w:hAnsi="Times New Roman"/>
          <w:b/>
          <w:i/>
          <w:spacing w:val="4"/>
          <w:w w:val="103"/>
          <w:kern w:val="14"/>
          <w:sz w:val="20"/>
        </w:rPr>
      </w:pPr>
      <w:r w:rsidRPr="00281305">
        <w:rPr>
          <w:rFonts w:ascii="Times New Roman" w:hAnsi="Times New Roman"/>
          <w:b/>
          <w:i/>
          <w:spacing w:val="4"/>
          <w:w w:val="103"/>
          <w:kern w:val="14"/>
          <w:sz w:val="20"/>
        </w:rPr>
        <w:t xml:space="preserve">Other revenue: </w:t>
      </w:r>
      <w:r w:rsidRPr="0052437D">
        <w:rPr>
          <w:rFonts w:ascii="Times New Roman" w:hAnsi="Times New Roman"/>
          <w:bCs/>
          <w:iCs/>
          <w:spacing w:val="4"/>
          <w:w w:val="103"/>
          <w:kern w:val="14"/>
          <w:sz w:val="20"/>
        </w:rPr>
        <w:t>Revenue from sources other than contributions and investments, for example, revenue from sale of goods and provision of services, such as procurement, training, and other services to governments, UN agencies and other parties, foreign exchange gains, common services and miscellaneous revenue, and cost recovery revenue.</w:t>
      </w:r>
    </w:p>
    <w:p w14:paraId="4FE1EB36" w14:textId="77777777" w:rsidR="005C1E04" w:rsidRPr="008014E4"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8014E4">
        <w:rPr>
          <w:rFonts w:ascii="Times New Roman" w:hAnsi="Times New Roman"/>
          <w:b/>
          <w:bCs/>
          <w:i/>
          <w:spacing w:val="4"/>
          <w:w w:val="103"/>
          <w:kern w:val="14"/>
          <w:sz w:val="20"/>
        </w:rPr>
        <w:t>Special purpose activities:</w:t>
      </w:r>
      <w:r w:rsidRPr="00BC0466">
        <w:rPr>
          <w:rFonts w:ascii="Times New Roman" w:hAnsi="Times New Roman"/>
          <w:i/>
          <w:spacing w:val="4"/>
          <w:w w:val="103"/>
          <w:kern w:val="14"/>
          <w:sz w:val="20"/>
        </w:rPr>
        <w:t xml:space="preserve">  </w:t>
      </w:r>
      <w:r w:rsidRPr="008014E4">
        <w:rPr>
          <w:rFonts w:ascii="Times New Roman" w:hAnsi="Times New Roman"/>
          <w:iCs/>
          <w:spacing w:val="4"/>
          <w:w w:val="103"/>
          <w:kern w:val="14"/>
          <w:sz w:val="20"/>
        </w:rPr>
        <w:t>Activities and associated costs of (a) capital investments; and (b) non-UNDP operations administered by UNDP.</w:t>
      </w:r>
    </w:p>
    <w:p w14:paraId="6FA4FD07" w14:textId="29094A77" w:rsidR="00634F26" w:rsidRPr="008014E4" w:rsidRDefault="005C1E04" w:rsidP="005C1E04">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8014E4">
        <w:rPr>
          <w:rFonts w:ascii="Times New Roman" w:hAnsi="Times New Roman"/>
          <w:b/>
          <w:bCs/>
          <w:i/>
          <w:spacing w:val="4"/>
          <w:w w:val="103"/>
          <w:kern w:val="14"/>
          <w:sz w:val="20"/>
        </w:rPr>
        <w:lastRenderedPageBreak/>
        <w:t>United Nations development coordination activities:</w:t>
      </w:r>
      <w:r w:rsidRPr="00BC0466">
        <w:rPr>
          <w:rFonts w:ascii="Times New Roman" w:hAnsi="Times New Roman"/>
          <w:i/>
          <w:spacing w:val="4"/>
          <w:w w:val="103"/>
          <w:kern w:val="14"/>
          <w:sz w:val="20"/>
        </w:rPr>
        <w:t xml:space="preserve"> </w:t>
      </w:r>
      <w:r w:rsidRPr="008014E4">
        <w:rPr>
          <w:rFonts w:ascii="Times New Roman" w:hAnsi="Times New Roman"/>
          <w:iCs/>
          <w:spacing w:val="4"/>
          <w:w w:val="103"/>
          <w:kern w:val="14"/>
          <w:sz w:val="20"/>
        </w:rPr>
        <w:t>Activities and associated costs supporting the coordination of development activities of the United Nations system.</w:t>
      </w:r>
    </w:p>
    <w:p w14:paraId="6FA4FD09" w14:textId="77777777" w:rsidR="00634F26" w:rsidRPr="00634F26" w:rsidRDefault="00634F26" w:rsidP="00634F26">
      <w:pPr>
        <w:suppressAutoHyphens/>
        <w:spacing w:line="240" w:lineRule="exact"/>
        <w:rPr>
          <w:rFonts w:ascii="Times New Roman" w:hAnsi="Times New Roman"/>
          <w:spacing w:val="4"/>
          <w:w w:val="103"/>
          <w:kern w:val="14"/>
          <w:sz w:val="20"/>
          <w:lang w:val="en-GB"/>
        </w:rPr>
      </w:pPr>
    </w:p>
    <w:p w14:paraId="6FA4FD0A" w14:textId="4CCD2182" w:rsidR="00C61BB2" w:rsidRDefault="006D3023" w:rsidP="00EB0DA9">
      <w:pPr>
        <w:pStyle w:val="GCHEADER"/>
        <w:tabs>
          <w:tab w:val="clear" w:pos="10440"/>
          <w:tab w:val="left" w:pos="-720"/>
        </w:tabs>
        <w:spacing w:line="283" w:lineRule="auto"/>
        <w:ind w:right="720"/>
        <w:outlineLvl w:val="0"/>
        <w:rPr>
          <w:rFonts w:ascii="Courier" w:hAnsi="Courier"/>
          <w:b w:val="0"/>
          <w:spacing w:val="-2"/>
          <w:sz w:val="20"/>
        </w:rPr>
      </w:pP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t>_____________</w:t>
      </w:r>
    </w:p>
    <w:sectPr w:rsidR="00C61BB2" w:rsidSect="00DA706F">
      <w:endnotePr>
        <w:numFmt w:val="decimal"/>
      </w:endnotePr>
      <w:pgSz w:w="12240" w:h="15840"/>
      <w:pgMar w:top="1710" w:right="720" w:bottom="2074" w:left="152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23103" w14:textId="77777777" w:rsidR="003D45BB" w:rsidRDefault="003D45BB">
      <w:pPr>
        <w:spacing w:line="20" w:lineRule="exact"/>
      </w:pPr>
    </w:p>
  </w:endnote>
  <w:endnote w:type="continuationSeparator" w:id="0">
    <w:p w14:paraId="60F2B864" w14:textId="77777777" w:rsidR="003D45BB" w:rsidRDefault="003D45BB">
      <w:pPr>
        <w:pStyle w:val="GCHEADER"/>
      </w:pPr>
      <w:r>
        <w:rPr>
          <w:rFonts w:ascii="Courier" w:hAnsi="Courier"/>
          <w:b w:val="0"/>
          <w:sz w:val="24"/>
          <w:lang w:val="en-US"/>
        </w:rPr>
        <w:t xml:space="preserve"> </w:t>
      </w:r>
    </w:p>
  </w:endnote>
  <w:endnote w:type="continuationNotice" w:id="1">
    <w:p w14:paraId="2F640D87" w14:textId="77777777" w:rsidR="003D45BB" w:rsidRDefault="003D45BB">
      <w:pPr>
        <w:pStyle w:val="GCHEADER"/>
      </w:pPr>
      <w:r>
        <w:rPr>
          <w:rFonts w:ascii="Courier" w:hAnsi="Courier"/>
          <w:b w:val="0"/>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FD12" w14:textId="77777777" w:rsidR="00DB26B2" w:rsidRDefault="00DB26B2">
    <w:pPr>
      <w:spacing w:before="140" w:line="100" w:lineRule="exact"/>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FD13" w14:textId="77777777" w:rsidR="00DB26B2" w:rsidRDefault="00DB26B2">
    <w:pPr>
      <w:pStyle w:val="GCHEADER"/>
      <w:tabs>
        <w:tab w:val="clear" w:pos="10440"/>
        <w:tab w:val="left" w:pos="-720"/>
      </w:tabs>
      <w:spacing w:line="283" w:lineRule="auto"/>
      <w:ind w:left="360" w:right="720"/>
      <w:rPr>
        <w:rFonts w:ascii="Courier" w:hAnsi="Courie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A73FD" w14:textId="77777777" w:rsidR="003D45BB" w:rsidRDefault="003D45BB">
      <w:pPr>
        <w:pStyle w:val="GCHEADER"/>
      </w:pPr>
      <w:r>
        <w:rPr>
          <w:rFonts w:ascii="Courier" w:hAnsi="Courier"/>
          <w:b w:val="0"/>
          <w:sz w:val="24"/>
          <w:lang w:val="en-US"/>
        </w:rPr>
        <w:separator/>
      </w:r>
    </w:p>
  </w:footnote>
  <w:footnote w:type="continuationSeparator" w:id="0">
    <w:p w14:paraId="398A4246" w14:textId="77777777" w:rsidR="003D45BB" w:rsidRDefault="003D45BB">
      <w:r>
        <w:continuationSeparator/>
      </w:r>
    </w:p>
  </w:footnote>
  <w:footnote w:type="continuationNotice" w:id="1">
    <w:p w14:paraId="666205A5" w14:textId="77777777" w:rsidR="003D45BB" w:rsidRDefault="003D4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FD10" w14:textId="00C98E77" w:rsidR="00DB26B2" w:rsidRPr="004B3F55" w:rsidRDefault="00DB26B2" w:rsidP="004B3F55">
    <w:pPr>
      <w:pStyle w:val="Header"/>
      <w:jc w:val="right"/>
      <w:rPr>
        <w:rFonts w:ascii="Times New Roman" w:hAnsi="Times New Roman"/>
        <w:sz w:val="18"/>
        <w:szCs w:val="17"/>
      </w:rPr>
    </w:pPr>
    <w:r>
      <w:tab/>
    </w:r>
    <w:r>
      <w:tab/>
    </w:r>
    <w:r w:rsidR="006509F0">
      <w:rPr>
        <w:rFonts w:ascii="Times New Roman" w:hAnsi="Times New Roman"/>
        <w:b/>
        <w:sz w:val="18"/>
        <w:szCs w:val="17"/>
      </w:rPr>
      <w:t>Appendices I-V</w:t>
    </w:r>
    <w:r w:rsidR="009C38F5">
      <w:rPr>
        <w:rFonts w:ascii="Times New Roman" w:hAnsi="Times New Roman"/>
        <w:b/>
        <w:sz w:val="18"/>
        <w:szCs w:val="17"/>
      </w:rPr>
      <w:t>I</w:t>
    </w:r>
    <w:r w:rsidR="006509F0">
      <w:rPr>
        <w:rFonts w:ascii="Times New Roman" w:hAnsi="Times New Roman"/>
        <w:b/>
        <w:sz w:val="18"/>
        <w:szCs w:val="17"/>
      </w:rPr>
      <w:t xml:space="preserve"> to Annex I to </w:t>
    </w:r>
    <w:r w:rsidR="006509F0" w:rsidRPr="002B5574">
      <w:rPr>
        <w:rFonts w:ascii="Times New Roman" w:hAnsi="Times New Roman"/>
        <w:b/>
        <w:sz w:val="18"/>
        <w:szCs w:val="17"/>
      </w:rPr>
      <w:t>DP/20</w:t>
    </w:r>
    <w:r w:rsidR="009C38F5">
      <w:rPr>
        <w:rFonts w:ascii="Times New Roman" w:hAnsi="Times New Roman"/>
        <w:b/>
        <w:sz w:val="18"/>
        <w:szCs w:val="17"/>
      </w:rPr>
      <w:t>21</w:t>
    </w:r>
    <w:r w:rsidR="006509F0" w:rsidRPr="002B5574">
      <w:rPr>
        <w:rFonts w:ascii="Times New Roman" w:hAnsi="Times New Roman"/>
        <w:b/>
        <w:sz w:val="18"/>
        <w:szCs w:val="17"/>
      </w:rPr>
      <w:t>/</w:t>
    </w:r>
    <w:r w:rsidR="009C38F5">
      <w:rPr>
        <w:rFonts w:ascii="Times New Roman" w:hAnsi="Times New Roman"/>
        <w:b/>
        <w:sz w:val="18"/>
        <w:szCs w:val="17"/>
      </w:rPr>
      <w:t>3</w:t>
    </w:r>
    <w:r w:rsidR="00AE3429">
      <w:rPr>
        <w:rFonts w:ascii="Times New Roman" w:hAnsi="Times New Roman"/>
        <w:b/>
        <w:sz w:val="18"/>
        <w:szCs w:val="17"/>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FD11" w14:textId="344ADDA7" w:rsidR="00DB26B2" w:rsidRPr="002B5574" w:rsidRDefault="006509F0">
    <w:pPr>
      <w:pStyle w:val="Header"/>
      <w:rPr>
        <w:rFonts w:ascii="Times New Roman" w:hAnsi="Times New Roman"/>
        <w:sz w:val="18"/>
        <w:szCs w:val="17"/>
      </w:rPr>
    </w:pPr>
    <w:r>
      <w:rPr>
        <w:rFonts w:ascii="Times New Roman" w:hAnsi="Times New Roman"/>
        <w:b/>
        <w:sz w:val="18"/>
        <w:szCs w:val="17"/>
      </w:rPr>
      <w:t>Appendices I-V</w:t>
    </w:r>
    <w:r w:rsidR="004F2335">
      <w:rPr>
        <w:rFonts w:ascii="Times New Roman" w:hAnsi="Times New Roman"/>
        <w:b/>
        <w:sz w:val="18"/>
        <w:szCs w:val="17"/>
      </w:rPr>
      <w:t>I</w:t>
    </w:r>
    <w:r>
      <w:rPr>
        <w:rFonts w:ascii="Times New Roman" w:hAnsi="Times New Roman"/>
        <w:b/>
        <w:sz w:val="18"/>
        <w:szCs w:val="17"/>
      </w:rPr>
      <w:t xml:space="preserve"> to </w:t>
    </w:r>
    <w:r w:rsidR="00545F48">
      <w:rPr>
        <w:rFonts w:ascii="Times New Roman" w:hAnsi="Times New Roman"/>
        <w:b/>
        <w:sz w:val="18"/>
        <w:szCs w:val="17"/>
      </w:rPr>
      <w:t xml:space="preserve">Annex </w:t>
    </w:r>
    <w:r w:rsidR="000B77E5">
      <w:rPr>
        <w:rFonts w:ascii="Times New Roman" w:hAnsi="Times New Roman"/>
        <w:b/>
        <w:sz w:val="18"/>
        <w:szCs w:val="17"/>
      </w:rPr>
      <w:t>I</w:t>
    </w:r>
    <w:r w:rsidR="00E51EC2">
      <w:rPr>
        <w:rFonts w:ascii="Times New Roman" w:hAnsi="Times New Roman"/>
        <w:b/>
        <w:sz w:val="18"/>
        <w:szCs w:val="17"/>
      </w:rPr>
      <w:t xml:space="preserve"> to </w:t>
    </w:r>
    <w:r w:rsidR="00DB26B2" w:rsidRPr="002B5574">
      <w:rPr>
        <w:rFonts w:ascii="Times New Roman" w:hAnsi="Times New Roman"/>
        <w:b/>
        <w:sz w:val="18"/>
        <w:szCs w:val="17"/>
      </w:rPr>
      <w:t>DP/20</w:t>
    </w:r>
    <w:r w:rsidR="004F2335">
      <w:rPr>
        <w:rFonts w:ascii="Times New Roman" w:hAnsi="Times New Roman"/>
        <w:b/>
        <w:sz w:val="18"/>
        <w:szCs w:val="17"/>
      </w:rPr>
      <w:t>21</w:t>
    </w:r>
    <w:r w:rsidR="00DB26B2" w:rsidRPr="002B5574">
      <w:rPr>
        <w:rFonts w:ascii="Times New Roman" w:hAnsi="Times New Roman"/>
        <w:b/>
        <w:sz w:val="18"/>
        <w:szCs w:val="17"/>
      </w:rPr>
      <w:t>/</w:t>
    </w:r>
    <w:r w:rsidR="004F2335">
      <w:rPr>
        <w:rFonts w:ascii="Times New Roman" w:hAnsi="Times New Roman"/>
        <w:b/>
        <w:sz w:val="18"/>
        <w:szCs w:val="17"/>
      </w:rPr>
      <w:t>3</w:t>
    </w:r>
    <w:r w:rsidR="00AE3429">
      <w:rPr>
        <w:rFonts w:ascii="Times New Roman" w:hAnsi="Times New Roman"/>
        <w:b/>
        <w:sz w:val="18"/>
        <w:szCs w:val="17"/>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53D0"/>
    <w:multiLevelType w:val="hybridMultilevel"/>
    <w:tmpl w:val="6876152C"/>
    <w:lvl w:ilvl="0" w:tplc="17FED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FE3"/>
    <w:multiLevelType w:val="hybridMultilevel"/>
    <w:tmpl w:val="35FEDA74"/>
    <w:lvl w:ilvl="0" w:tplc="04090015">
      <w:start w:val="1"/>
      <w:numFmt w:val="upperLetter"/>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2" w15:restartNumberingAfterBreak="0">
    <w:nsid w:val="08FF596B"/>
    <w:multiLevelType w:val="hybridMultilevel"/>
    <w:tmpl w:val="C52EEE76"/>
    <w:lvl w:ilvl="0" w:tplc="E06C305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012B6"/>
    <w:multiLevelType w:val="hybridMultilevel"/>
    <w:tmpl w:val="DE760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55115"/>
    <w:multiLevelType w:val="hybridMultilevel"/>
    <w:tmpl w:val="B16CFD7E"/>
    <w:lvl w:ilvl="0" w:tplc="A2D42B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4F16"/>
    <w:multiLevelType w:val="hybridMultilevel"/>
    <w:tmpl w:val="AABA37C2"/>
    <w:lvl w:ilvl="0" w:tplc="8638B964">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BC74631"/>
    <w:multiLevelType w:val="hybridMultilevel"/>
    <w:tmpl w:val="686A3218"/>
    <w:lvl w:ilvl="0" w:tplc="BB320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9C16C2"/>
    <w:multiLevelType w:val="hybridMultilevel"/>
    <w:tmpl w:val="6ACEED18"/>
    <w:lvl w:ilvl="0" w:tplc="0D2A5E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43C5"/>
    <w:multiLevelType w:val="hybridMultilevel"/>
    <w:tmpl w:val="436AB096"/>
    <w:lvl w:ilvl="0" w:tplc="C5C6CB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50683"/>
    <w:multiLevelType w:val="hybridMultilevel"/>
    <w:tmpl w:val="9A58A56A"/>
    <w:lvl w:ilvl="0" w:tplc="7E4C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B1F23"/>
    <w:multiLevelType w:val="hybridMultilevel"/>
    <w:tmpl w:val="DCA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73DED"/>
    <w:multiLevelType w:val="hybridMultilevel"/>
    <w:tmpl w:val="E7902452"/>
    <w:lvl w:ilvl="0" w:tplc="5EB6E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B66AB4"/>
    <w:multiLevelType w:val="hybridMultilevel"/>
    <w:tmpl w:val="AC30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01B7B"/>
    <w:multiLevelType w:val="hybridMultilevel"/>
    <w:tmpl w:val="17E4F8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4" w15:restartNumberingAfterBreak="0">
    <w:nsid w:val="371E32CF"/>
    <w:multiLevelType w:val="hybridMultilevel"/>
    <w:tmpl w:val="B290ED84"/>
    <w:lvl w:ilvl="0" w:tplc="36BE7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F625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FB12767"/>
    <w:multiLevelType w:val="hybridMultilevel"/>
    <w:tmpl w:val="BDFE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60DF8"/>
    <w:multiLevelType w:val="hybridMultilevel"/>
    <w:tmpl w:val="49B28E0C"/>
    <w:lvl w:ilvl="0" w:tplc="350EC31C">
      <w:start w:val="1"/>
      <w:numFmt w:val="decimal"/>
      <w:lvlText w:val="%1."/>
      <w:lvlJc w:val="left"/>
      <w:pPr>
        <w:ind w:left="720" w:hanging="360"/>
      </w:pPr>
      <w:rPr>
        <w:rFonts w:ascii="Times New Roman" w:eastAsia="Times New Roman" w:hAnsi="Times New Roman" w:cs="Times New Roman"/>
        <w:b w:val="0"/>
        <w:bCs/>
        <w:sz w:val="20"/>
        <w:szCs w:val="20"/>
      </w:rPr>
    </w:lvl>
    <w:lvl w:ilvl="1" w:tplc="93D03B0A">
      <w:start w:val="1"/>
      <w:numFmt w:val="bullet"/>
      <w:lvlText w:val="-"/>
      <w:lvlJc w:val="left"/>
      <w:pPr>
        <w:ind w:left="1530" w:hanging="360"/>
      </w:pPr>
      <w:rPr>
        <w:rFonts w:ascii="Times New Roman" w:eastAsia="Times New Roman" w:hAnsi="Times New Roman" w:cs="Times New Roman" w:hint="default"/>
      </w:rPr>
    </w:lvl>
    <w:lvl w:ilvl="2" w:tplc="0409001B">
      <w:start w:val="1"/>
      <w:numFmt w:val="lowerRoman"/>
      <w:lvlText w:val="%3."/>
      <w:lvlJc w:val="right"/>
      <w:pPr>
        <w:ind w:left="2250" w:hanging="180"/>
      </w:pPr>
    </w:lvl>
    <w:lvl w:ilvl="3" w:tplc="04090001">
      <w:start w:val="1"/>
      <w:numFmt w:val="bullet"/>
      <w:lvlText w:val=""/>
      <w:lvlJc w:val="left"/>
      <w:pPr>
        <w:ind w:left="2970" w:hanging="360"/>
      </w:pPr>
      <w:rPr>
        <w:rFonts w:ascii="Symbol" w:hAnsi="Symbol"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1826BB6"/>
    <w:multiLevelType w:val="hybridMultilevel"/>
    <w:tmpl w:val="BAA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B09F2"/>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0" w15:restartNumberingAfterBreak="0">
    <w:nsid w:val="4F066A12"/>
    <w:multiLevelType w:val="hybridMultilevel"/>
    <w:tmpl w:val="B06CA8F8"/>
    <w:lvl w:ilvl="0" w:tplc="AE660EBC">
      <w:start w:val="2"/>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338D5"/>
    <w:multiLevelType w:val="hybridMultilevel"/>
    <w:tmpl w:val="5F105B78"/>
    <w:lvl w:ilvl="0" w:tplc="E7D2E9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A6215"/>
    <w:multiLevelType w:val="hybridMultilevel"/>
    <w:tmpl w:val="3666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D48FD"/>
    <w:multiLevelType w:val="hybridMultilevel"/>
    <w:tmpl w:val="359AB644"/>
    <w:lvl w:ilvl="0" w:tplc="CF600E2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9352039"/>
    <w:multiLevelType w:val="hybridMultilevel"/>
    <w:tmpl w:val="57E665A2"/>
    <w:lvl w:ilvl="0" w:tplc="81202D60">
      <w:start w:val="1"/>
      <w:numFmt w:val="lowerRoman"/>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C76001"/>
    <w:multiLevelType w:val="hybridMultilevel"/>
    <w:tmpl w:val="9EB2A3F6"/>
    <w:lvl w:ilvl="0" w:tplc="C5C6CBFE">
      <w:numFmt w:val="bullet"/>
      <w:lvlText w:val="-"/>
      <w:lvlJc w:val="left"/>
      <w:pPr>
        <w:ind w:left="720" w:hanging="360"/>
      </w:pPr>
      <w:rPr>
        <w:rFonts w:ascii="Times New Roman" w:eastAsia="Times New Roman" w:hAnsi="Times New Roman" w:cs="Times New Roman" w:hint="default"/>
      </w:rPr>
    </w:lvl>
    <w:lvl w:ilvl="1" w:tplc="C5C6CB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B65DA"/>
    <w:multiLevelType w:val="hybridMultilevel"/>
    <w:tmpl w:val="681EE362"/>
    <w:lvl w:ilvl="0" w:tplc="93D03B0A">
      <w:start w:val="1"/>
      <w:numFmt w:val="bullet"/>
      <w:lvlText w:val="-"/>
      <w:lvlJc w:val="left"/>
      <w:pPr>
        <w:ind w:left="1343" w:hanging="360"/>
      </w:pPr>
      <w:rPr>
        <w:rFonts w:ascii="Times New Roman" w:eastAsia="Times New Roman" w:hAnsi="Times New Roman" w:cs="Times New Roman" w:hint="default"/>
      </w:rPr>
    </w:lvl>
    <w:lvl w:ilvl="1" w:tplc="93D03B0A">
      <w:start w:val="1"/>
      <w:numFmt w:val="bullet"/>
      <w:lvlText w:val="-"/>
      <w:lvlJc w:val="left"/>
      <w:pPr>
        <w:ind w:left="2153" w:hanging="360"/>
      </w:pPr>
      <w:rPr>
        <w:rFonts w:ascii="Times New Roman" w:eastAsia="Times New Roman" w:hAnsi="Times New Roman" w:cs="Times New Roman" w:hint="default"/>
      </w:rPr>
    </w:lvl>
    <w:lvl w:ilvl="2" w:tplc="0409001B">
      <w:start w:val="1"/>
      <w:numFmt w:val="lowerRoman"/>
      <w:lvlText w:val="%3."/>
      <w:lvlJc w:val="right"/>
      <w:pPr>
        <w:ind w:left="2873" w:hanging="180"/>
      </w:pPr>
    </w:lvl>
    <w:lvl w:ilvl="3" w:tplc="04090001">
      <w:start w:val="1"/>
      <w:numFmt w:val="bullet"/>
      <w:lvlText w:val=""/>
      <w:lvlJc w:val="left"/>
      <w:pPr>
        <w:ind w:left="3593" w:hanging="360"/>
      </w:pPr>
      <w:rPr>
        <w:rFonts w:ascii="Symbol" w:hAnsi="Symbol" w:hint="default"/>
      </w:r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7" w15:restartNumberingAfterBreak="0">
    <w:nsid w:val="5E064EEE"/>
    <w:multiLevelType w:val="hybridMultilevel"/>
    <w:tmpl w:val="71DC913C"/>
    <w:lvl w:ilvl="0" w:tplc="FFFFFFFF">
      <w:start w:val="1"/>
      <w:numFmt w:val="decimal"/>
      <w:pStyle w:val="UNpara"/>
      <w:lvlText w:val="%1."/>
      <w:lvlJc w:val="left"/>
      <w:pPr>
        <w:ind w:left="720" w:hanging="360"/>
      </w:pPr>
      <w:rPr>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F61CF"/>
    <w:multiLevelType w:val="hybridMultilevel"/>
    <w:tmpl w:val="2806CBB4"/>
    <w:lvl w:ilvl="0" w:tplc="027EF1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03769"/>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0" w15:restartNumberingAfterBreak="0">
    <w:nsid w:val="71673C7B"/>
    <w:multiLevelType w:val="hybridMultilevel"/>
    <w:tmpl w:val="A82E9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5F4750"/>
    <w:multiLevelType w:val="hybridMultilevel"/>
    <w:tmpl w:val="AE4AE76E"/>
    <w:lvl w:ilvl="0" w:tplc="0409000F">
      <w:start w:val="1"/>
      <w:numFmt w:val="decimal"/>
      <w:lvlText w:val="%1."/>
      <w:lvlJc w:val="left"/>
      <w:pPr>
        <w:ind w:left="1530" w:hanging="360"/>
      </w:pPr>
    </w:lvl>
    <w:lvl w:ilvl="1" w:tplc="0D2A5E5C">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A074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7DA270C1"/>
    <w:multiLevelType w:val="hybridMultilevel"/>
    <w:tmpl w:val="8AE62C66"/>
    <w:lvl w:ilvl="0" w:tplc="19563BC0">
      <w:start w:val="1"/>
      <w:numFmt w:val="lowerLetter"/>
      <w:lvlText w:val="(%1)"/>
      <w:lvlJc w:val="left"/>
      <w:pPr>
        <w:ind w:left="2160" w:hanging="72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3"/>
  </w:num>
  <w:num w:numId="3">
    <w:abstractNumId w:val="15"/>
  </w:num>
  <w:num w:numId="4">
    <w:abstractNumId w:val="19"/>
  </w:num>
  <w:num w:numId="5">
    <w:abstractNumId w:val="21"/>
  </w:num>
  <w:num w:numId="6">
    <w:abstractNumId w:val="4"/>
  </w:num>
  <w:num w:numId="7">
    <w:abstractNumId w:val="28"/>
  </w:num>
  <w:num w:numId="8">
    <w:abstractNumId w:val="0"/>
  </w:num>
  <w:num w:numId="9">
    <w:abstractNumId w:val="23"/>
  </w:num>
  <w:num w:numId="10">
    <w:abstractNumId w:val="1"/>
  </w:num>
  <w:num w:numId="11">
    <w:abstractNumId w:val="9"/>
  </w:num>
  <w:num w:numId="12">
    <w:abstractNumId w:val="22"/>
  </w:num>
  <w:num w:numId="13">
    <w:abstractNumId w:val="33"/>
  </w:num>
  <w:num w:numId="14">
    <w:abstractNumId w:val="2"/>
  </w:num>
  <w:num w:numId="15">
    <w:abstractNumId w:val="14"/>
  </w:num>
  <w:num w:numId="16">
    <w:abstractNumId w:val="18"/>
  </w:num>
  <w:num w:numId="17">
    <w:abstractNumId w:val="12"/>
  </w:num>
  <w:num w:numId="18">
    <w:abstractNumId w:val="6"/>
  </w:num>
  <w:num w:numId="19">
    <w:abstractNumId w:val="30"/>
  </w:num>
  <w:num w:numId="20">
    <w:abstractNumId w:val="3"/>
  </w:num>
  <w:num w:numId="21">
    <w:abstractNumId w:val="10"/>
  </w:num>
  <w:num w:numId="22">
    <w:abstractNumId w:val="31"/>
  </w:num>
  <w:num w:numId="23">
    <w:abstractNumId w:val="8"/>
  </w:num>
  <w:num w:numId="24">
    <w:abstractNumId w:val="25"/>
  </w:num>
  <w:num w:numId="25">
    <w:abstractNumId w:val="29"/>
  </w:num>
  <w:num w:numId="26">
    <w:abstractNumId w:val="32"/>
  </w:num>
  <w:num w:numId="27">
    <w:abstractNumId w:val="16"/>
  </w:num>
  <w:num w:numId="28">
    <w:abstractNumId w:val="7"/>
  </w:num>
  <w:num w:numId="29">
    <w:abstractNumId w:val="24"/>
  </w:num>
  <w:num w:numId="30">
    <w:abstractNumId w:val="17"/>
  </w:num>
  <w:num w:numId="31">
    <w:abstractNumId w:val="20"/>
  </w:num>
  <w:num w:numId="32">
    <w:abstractNumId w:val="11"/>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0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1B"/>
    <w:rsid w:val="00003393"/>
    <w:rsid w:val="00006C4F"/>
    <w:rsid w:val="00016189"/>
    <w:rsid w:val="00023F4D"/>
    <w:rsid w:val="000241D5"/>
    <w:rsid w:val="000313F0"/>
    <w:rsid w:val="000328A2"/>
    <w:rsid w:val="00034DF3"/>
    <w:rsid w:val="00036CDB"/>
    <w:rsid w:val="00037006"/>
    <w:rsid w:val="00040936"/>
    <w:rsid w:val="00041A83"/>
    <w:rsid w:val="0004305D"/>
    <w:rsid w:val="000464D1"/>
    <w:rsid w:val="00046D94"/>
    <w:rsid w:val="00053A25"/>
    <w:rsid w:val="000562BE"/>
    <w:rsid w:val="000612D8"/>
    <w:rsid w:val="000637D2"/>
    <w:rsid w:val="00081056"/>
    <w:rsid w:val="00081689"/>
    <w:rsid w:val="00081A8C"/>
    <w:rsid w:val="00083AB8"/>
    <w:rsid w:val="00083FDF"/>
    <w:rsid w:val="00094504"/>
    <w:rsid w:val="00097C53"/>
    <w:rsid w:val="000A1C3C"/>
    <w:rsid w:val="000A76F3"/>
    <w:rsid w:val="000B77E5"/>
    <w:rsid w:val="000B7F6F"/>
    <w:rsid w:val="000C0211"/>
    <w:rsid w:val="000C4988"/>
    <w:rsid w:val="000D28A1"/>
    <w:rsid w:val="000D6E6B"/>
    <w:rsid w:val="000E25A7"/>
    <w:rsid w:val="000E3632"/>
    <w:rsid w:val="000E611B"/>
    <w:rsid w:val="000E6470"/>
    <w:rsid w:val="000E66EC"/>
    <w:rsid w:val="000F487B"/>
    <w:rsid w:val="000F5CC0"/>
    <w:rsid w:val="00107975"/>
    <w:rsid w:val="00111425"/>
    <w:rsid w:val="00116269"/>
    <w:rsid w:val="001214D5"/>
    <w:rsid w:val="0012182F"/>
    <w:rsid w:val="00126650"/>
    <w:rsid w:val="001329EF"/>
    <w:rsid w:val="001349AD"/>
    <w:rsid w:val="00135355"/>
    <w:rsid w:val="001400E2"/>
    <w:rsid w:val="001409F1"/>
    <w:rsid w:val="00150C28"/>
    <w:rsid w:val="00156425"/>
    <w:rsid w:val="001570D5"/>
    <w:rsid w:val="00157328"/>
    <w:rsid w:val="001609CF"/>
    <w:rsid w:val="00165B31"/>
    <w:rsid w:val="00170E1F"/>
    <w:rsid w:val="0018308A"/>
    <w:rsid w:val="00183A63"/>
    <w:rsid w:val="00184154"/>
    <w:rsid w:val="0019047E"/>
    <w:rsid w:val="001956C3"/>
    <w:rsid w:val="001A326B"/>
    <w:rsid w:val="001A6548"/>
    <w:rsid w:val="001A7FAB"/>
    <w:rsid w:val="001B618D"/>
    <w:rsid w:val="001C3686"/>
    <w:rsid w:val="001D30A4"/>
    <w:rsid w:val="001D37CF"/>
    <w:rsid w:val="001D770F"/>
    <w:rsid w:val="001E387E"/>
    <w:rsid w:val="001E65F9"/>
    <w:rsid w:val="001F2977"/>
    <w:rsid w:val="001F375E"/>
    <w:rsid w:val="0020446C"/>
    <w:rsid w:val="00223AAC"/>
    <w:rsid w:val="002251CD"/>
    <w:rsid w:val="00231DFF"/>
    <w:rsid w:val="00233A1D"/>
    <w:rsid w:val="00242168"/>
    <w:rsid w:val="00245996"/>
    <w:rsid w:val="00252342"/>
    <w:rsid w:val="002546AB"/>
    <w:rsid w:val="00254C01"/>
    <w:rsid w:val="00255E46"/>
    <w:rsid w:val="002565A3"/>
    <w:rsid w:val="002611B9"/>
    <w:rsid w:val="0026282B"/>
    <w:rsid w:val="00265F6A"/>
    <w:rsid w:val="00271702"/>
    <w:rsid w:val="00271D2E"/>
    <w:rsid w:val="00281305"/>
    <w:rsid w:val="002829ED"/>
    <w:rsid w:val="002927C8"/>
    <w:rsid w:val="00295774"/>
    <w:rsid w:val="002A541F"/>
    <w:rsid w:val="002A7F54"/>
    <w:rsid w:val="002B47AC"/>
    <w:rsid w:val="002B48C3"/>
    <w:rsid w:val="002B5574"/>
    <w:rsid w:val="002B563A"/>
    <w:rsid w:val="002C0756"/>
    <w:rsid w:val="002C0C40"/>
    <w:rsid w:val="002C52BB"/>
    <w:rsid w:val="002D0A68"/>
    <w:rsid w:val="002D1120"/>
    <w:rsid w:val="002E1244"/>
    <w:rsid w:val="002E3666"/>
    <w:rsid w:val="002E50D0"/>
    <w:rsid w:val="002E6121"/>
    <w:rsid w:val="002E689F"/>
    <w:rsid w:val="002E756F"/>
    <w:rsid w:val="002F0D20"/>
    <w:rsid w:val="002F218C"/>
    <w:rsid w:val="002F335D"/>
    <w:rsid w:val="002F43F9"/>
    <w:rsid w:val="00302623"/>
    <w:rsid w:val="00313D1E"/>
    <w:rsid w:val="00315109"/>
    <w:rsid w:val="003153DB"/>
    <w:rsid w:val="00321CEC"/>
    <w:rsid w:val="00327092"/>
    <w:rsid w:val="00330668"/>
    <w:rsid w:val="00333924"/>
    <w:rsid w:val="003370F3"/>
    <w:rsid w:val="00337D8F"/>
    <w:rsid w:val="00340490"/>
    <w:rsid w:val="00344112"/>
    <w:rsid w:val="00344C97"/>
    <w:rsid w:val="003531F6"/>
    <w:rsid w:val="00357024"/>
    <w:rsid w:val="00363460"/>
    <w:rsid w:val="00364999"/>
    <w:rsid w:val="003678A6"/>
    <w:rsid w:val="003711A6"/>
    <w:rsid w:val="003718AF"/>
    <w:rsid w:val="003723AC"/>
    <w:rsid w:val="0037592D"/>
    <w:rsid w:val="00377306"/>
    <w:rsid w:val="00381883"/>
    <w:rsid w:val="003831E9"/>
    <w:rsid w:val="003852A6"/>
    <w:rsid w:val="00386110"/>
    <w:rsid w:val="00386B29"/>
    <w:rsid w:val="003900E7"/>
    <w:rsid w:val="003911FA"/>
    <w:rsid w:val="00392378"/>
    <w:rsid w:val="003A0545"/>
    <w:rsid w:val="003A12CF"/>
    <w:rsid w:val="003A1C5F"/>
    <w:rsid w:val="003B3DC1"/>
    <w:rsid w:val="003B6197"/>
    <w:rsid w:val="003C3C91"/>
    <w:rsid w:val="003C50B0"/>
    <w:rsid w:val="003C6D44"/>
    <w:rsid w:val="003D1107"/>
    <w:rsid w:val="003D26E6"/>
    <w:rsid w:val="003D45BB"/>
    <w:rsid w:val="003D50E5"/>
    <w:rsid w:val="003D5516"/>
    <w:rsid w:val="003D59D8"/>
    <w:rsid w:val="003D6F4E"/>
    <w:rsid w:val="003D7FCF"/>
    <w:rsid w:val="003E2514"/>
    <w:rsid w:val="003E3813"/>
    <w:rsid w:val="003E50D4"/>
    <w:rsid w:val="003E54F5"/>
    <w:rsid w:val="003F7019"/>
    <w:rsid w:val="00407230"/>
    <w:rsid w:val="004074D3"/>
    <w:rsid w:val="00412F3E"/>
    <w:rsid w:val="00416E6D"/>
    <w:rsid w:val="00423E05"/>
    <w:rsid w:val="00434984"/>
    <w:rsid w:val="00445778"/>
    <w:rsid w:val="004503AB"/>
    <w:rsid w:val="0045202B"/>
    <w:rsid w:val="00452955"/>
    <w:rsid w:val="00454FCC"/>
    <w:rsid w:val="00455C15"/>
    <w:rsid w:val="00461090"/>
    <w:rsid w:val="00465458"/>
    <w:rsid w:val="00465709"/>
    <w:rsid w:val="00467228"/>
    <w:rsid w:val="00472576"/>
    <w:rsid w:val="00474BA3"/>
    <w:rsid w:val="00480CEA"/>
    <w:rsid w:val="004904EF"/>
    <w:rsid w:val="00493852"/>
    <w:rsid w:val="004A3FE7"/>
    <w:rsid w:val="004A48BC"/>
    <w:rsid w:val="004A50A0"/>
    <w:rsid w:val="004A74A3"/>
    <w:rsid w:val="004B12E2"/>
    <w:rsid w:val="004B3F55"/>
    <w:rsid w:val="004C031F"/>
    <w:rsid w:val="004C44B5"/>
    <w:rsid w:val="004C50EC"/>
    <w:rsid w:val="004D3791"/>
    <w:rsid w:val="004E2071"/>
    <w:rsid w:val="004E78D5"/>
    <w:rsid w:val="004F2335"/>
    <w:rsid w:val="004F7083"/>
    <w:rsid w:val="004F78D7"/>
    <w:rsid w:val="0050176B"/>
    <w:rsid w:val="0050651C"/>
    <w:rsid w:val="005129A1"/>
    <w:rsid w:val="00513F4D"/>
    <w:rsid w:val="00515799"/>
    <w:rsid w:val="005202D2"/>
    <w:rsid w:val="0052437D"/>
    <w:rsid w:val="00525FB2"/>
    <w:rsid w:val="0053056F"/>
    <w:rsid w:val="005339BA"/>
    <w:rsid w:val="00534B0D"/>
    <w:rsid w:val="00537C3C"/>
    <w:rsid w:val="0054291C"/>
    <w:rsid w:val="00545F48"/>
    <w:rsid w:val="00555D72"/>
    <w:rsid w:val="00561996"/>
    <w:rsid w:val="00562BDA"/>
    <w:rsid w:val="00566F28"/>
    <w:rsid w:val="00567400"/>
    <w:rsid w:val="00567C3D"/>
    <w:rsid w:val="0057567D"/>
    <w:rsid w:val="005803B3"/>
    <w:rsid w:val="00580D0B"/>
    <w:rsid w:val="005833F0"/>
    <w:rsid w:val="0059536B"/>
    <w:rsid w:val="005A22FD"/>
    <w:rsid w:val="005B013F"/>
    <w:rsid w:val="005B5B3A"/>
    <w:rsid w:val="005C0D6A"/>
    <w:rsid w:val="005C1E04"/>
    <w:rsid w:val="005C2257"/>
    <w:rsid w:val="005C3968"/>
    <w:rsid w:val="005D0061"/>
    <w:rsid w:val="005F192C"/>
    <w:rsid w:val="00603FAE"/>
    <w:rsid w:val="0061043C"/>
    <w:rsid w:val="00613B0C"/>
    <w:rsid w:val="00614F06"/>
    <w:rsid w:val="0062316B"/>
    <w:rsid w:val="00625113"/>
    <w:rsid w:val="0062708A"/>
    <w:rsid w:val="00630651"/>
    <w:rsid w:val="00634F26"/>
    <w:rsid w:val="0064251F"/>
    <w:rsid w:val="0064465E"/>
    <w:rsid w:val="006463A5"/>
    <w:rsid w:val="006509F0"/>
    <w:rsid w:val="006516C4"/>
    <w:rsid w:val="006611BB"/>
    <w:rsid w:val="0066246C"/>
    <w:rsid w:val="00662761"/>
    <w:rsid w:val="00672053"/>
    <w:rsid w:val="0068337C"/>
    <w:rsid w:val="00686B26"/>
    <w:rsid w:val="006916C6"/>
    <w:rsid w:val="00695941"/>
    <w:rsid w:val="00696E41"/>
    <w:rsid w:val="006A08A1"/>
    <w:rsid w:val="006B1340"/>
    <w:rsid w:val="006B4972"/>
    <w:rsid w:val="006B5F78"/>
    <w:rsid w:val="006B5F79"/>
    <w:rsid w:val="006B729E"/>
    <w:rsid w:val="006C0727"/>
    <w:rsid w:val="006C0B2B"/>
    <w:rsid w:val="006C1A4B"/>
    <w:rsid w:val="006C3E9F"/>
    <w:rsid w:val="006C5EC4"/>
    <w:rsid w:val="006C6D79"/>
    <w:rsid w:val="006D3023"/>
    <w:rsid w:val="006D414D"/>
    <w:rsid w:val="006E23EA"/>
    <w:rsid w:val="006E47EA"/>
    <w:rsid w:val="006F6A0D"/>
    <w:rsid w:val="006F7A14"/>
    <w:rsid w:val="007303C6"/>
    <w:rsid w:val="00736089"/>
    <w:rsid w:val="00740A91"/>
    <w:rsid w:val="007416B9"/>
    <w:rsid w:val="00752B4C"/>
    <w:rsid w:val="007602D5"/>
    <w:rsid w:val="007657B4"/>
    <w:rsid w:val="00766B71"/>
    <w:rsid w:val="007677E0"/>
    <w:rsid w:val="00771555"/>
    <w:rsid w:val="007772BE"/>
    <w:rsid w:val="00777C57"/>
    <w:rsid w:val="00781BC7"/>
    <w:rsid w:val="00784BA2"/>
    <w:rsid w:val="007918F6"/>
    <w:rsid w:val="00791E92"/>
    <w:rsid w:val="00795CBB"/>
    <w:rsid w:val="007B02D1"/>
    <w:rsid w:val="007B2C86"/>
    <w:rsid w:val="007B7D6C"/>
    <w:rsid w:val="007C1371"/>
    <w:rsid w:val="007C27E4"/>
    <w:rsid w:val="007C4C5D"/>
    <w:rsid w:val="007C7733"/>
    <w:rsid w:val="007D1306"/>
    <w:rsid w:val="007D3476"/>
    <w:rsid w:val="007D66E8"/>
    <w:rsid w:val="007E7170"/>
    <w:rsid w:val="007E73BD"/>
    <w:rsid w:val="007F306E"/>
    <w:rsid w:val="007F75AA"/>
    <w:rsid w:val="008014E4"/>
    <w:rsid w:val="00801759"/>
    <w:rsid w:val="00801BEE"/>
    <w:rsid w:val="0080202A"/>
    <w:rsid w:val="00807BC6"/>
    <w:rsid w:val="0081112C"/>
    <w:rsid w:val="0081134A"/>
    <w:rsid w:val="00813FBB"/>
    <w:rsid w:val="00817658"/>
    <w:rsid w:val="008218DD"/>
    <w:rsid w:val="008229B3"/>
    <w:rsid w:val="00825B7B"/>
    <w:rsid w:val="00826F18"/>
    <w:rsid w:val="00831258"/>
    <w:rsid w:val="008332E9"/>
    <w:rsid w:val="00834F48"/>
    <w:rsid w:val="00835947"/>
    <w:rsid w:val="008364FC"/>
    <w:rsid w:val="00842046"/>
    <w:rsid w:val="00844A9B"/>
    <w:rsid w:val="00847D93"/>
    <w:rsid w:val="00853F33"/>
    <w:rsid w:val="0086156F"/>
    <w:rsid w:val="00861F3A"/>
    <w:rsid w:val="00864721"/>
    <w:rsid w:val="00865EB3"/>
    <w:rsid w:val="00874204"/>
    <w:rsid w:val="00881E2C"/>
    <w:rsid w:val="00884C5E"/>
    <w:rsid w:val="00890A37"/>
    <w:rsid w:val="00891152"/>
    <w:rsid w:val="0089433A"/>
    <w:rsid w:val="00897750"/>
    <w:rsid w:val="008A51AD"/>
    <w:rsid w:val="008A6116"/>
    <w:rsid w:val="008B714E"/>
    <w:rsid w:val="008B79A7"/>
    <w:rsid w:val="008C115E"/>
    <w:rsid w:val="008C1BAE"/>
    <w:rsid w:val="008C20BE"/>
    <w:rsid w:val="008C2157"/>
    <w:rsid w:val="008D356C"/>
    <w:rsid w:val="008D36FD"/>
    <w:rsid w:val="008D7927"/>
    <w:rsid w:val="008D7AEA"/>
    <w:rsid w:val="008E12EB"/>
    <w:rsid w:val="008E1F64"/>
    <w:rsid w:val="008E50D0"/>
    <w:rsid w:val="008E6887"/>
    <w:rsid w:val="008E7D31"/>
    <w:rsid w:val="008F14F5"/>
    <w:rsid w:val="008F7962"/>
    <w:rsid w:val="009136D6"/>
    <w:rsid w:val="00914AE9"/>
    <w:rsid w:val="00917AE3"/>
    <w:rsid w:val="009204C6"/>
    <w:rsid w:val="00921EA5"/>
    <w:rsid w:val="009252FE"/>
    <w:rsid w:val="009258DE"/>
    <w:rsid w:val="009301D7"/>
    <w:rsid w:val="00930BED"/>
    <w:rsid w:val="00932136"/>
    <w:rsid w:val="0093528B"/>
    <w:rsid w:val="00945FD1"/>
    <w:rsid w:val="00946709"/>
    <w:rsid w:val="00953E93"/>
    <w:rsid w:val="009576E9"/>
    <w:rsid w:val="0096229E"/>
    <w:rsid w:val="00966534"/>
    <w:rsid w:val="009666DD"/>
    <w:rsid w:val="00966C75"/>
    <w:rsid w:val="00967E3E"/>
    <w:rsid w:val="009733A0"/>
    <w:rsid w:val="009804F8"/>
    <w:rsid w:val="00981E25"/>
    <w:rsid w:val="00983DA4"/>
    <w:rsid w:val="00985905"/>
    <w:rsid w:val="009912B0"/>
    <w:rsid w:val="00992257"/>
    <w:rsid w:val="00995E48"/>
    <w:rsid w:val="009964C9"/>
    <w:rsid w:val="009A514B"/>
    <w:rsid w:val="009A6BA0"/>
    <w:rsid w:val="009B0444"/>
    <w:rsid w:val="009B22F8"/>
    <w:rsid w:val="009B46D6"/>
    <w:rsid w:val="009C38F5"/>
    <w:rsid w:val="009C3C81"/>
    <w:rsid w:val="009C3D45"/>
    <w:rsid w:val="009C474C"/>
    <w:rsid w:val="009D1C5D"/>
    <w:rsid w:val="009D5093"/>
    <w:rsid w:val="009D6833"/>
    <w:rsid w:val="009E00B3"/>
    <w:rsid w:val="009F07C1"/>
    <w:rsid w:val="009F11CA"/>
    <w:rsid w:val="009F5C98"/>
    <w:rsid w:val="009F7BB2"/>
    <w:rsid w:val="00A0351B"/>
    <w:rsid w:val="00A04DD9"/>
    <w:rsid w:val="00A07F38"/>
    <w:rsid w:val="00A10E7B"/>
    <w:rsid w:val="00A122FD"/>
    <w:rsid w:val="00A2035A"/>
    <w:rsid w:val="00A30FF0"/>
    <w:rsid w:val="00A31A2A"/>
    <w:rsid w:val="00A372E3"/>
    <w:rsid w:val="00A40671"/>
    <w:rsid w:val="00A4070B"/>
    <w:rsid w:val="00A4467E"/>
    <w:rsid w:val="00A45BEC"/>
    <w:rsid w:val="00A47FA3"/>
    <w:rsid w:val="00A52D19"/>
    <w:rsid w:val="00A578CD"/>
    <w:rsid w:val="00A60BBA"/>
    <w:rsid w:val="00A613DD"/>
    <w:rsid w:val="00A61A49"/>
    <w:rsid w:val="00A663AB"/>
    <w:rsid w:val="00A710C6"/>
    <w:rsid w:val="00A7153E"/>
    <w:rsid w:val="00A73303"/>
    <w:rsid w:val="00A74EAA"/>
    <w:rsid w:val="00A768F5"/>
    <w:rsid w:val="00A76E0F"/>
    <w:rsid w:val="00A83603"/>
    <w:rsid w:val="00A850A0"/>
    <w:rsid w:val="00A87EB1"/>
    <w:rsid w:val="00A9135B"/>
    <w:rsid w:val="00AA5B88"/>
    <w:rsid w:val="00AA5CA8"/>
    <w:rsid w:val="00AB1862"/>
    <w:rsid w:val="00AB33D4"/>
    <w:rsid w:val="00AB3893"/>
    <w:rsid w:val="00AB51B7"/>
    <w:rsid w:val="00AC0F61"/>
    <w:rsid w:val="00AC7166"/>
    <w:rsid w:val="00AD2A52"/>
    <w:rsid w:val="00AD7282"/>
    <w:rsid w:val="00AD7765"/>
    <w:rsid w:val="00AE3429"/>
    <w:rsid w:val="00AF09B8"/>
    <w:rsid w:val="00AF09FB"/>
    <w:rsid w:val="00AF35E2"/>
    <w:rsid w:val="00AF4C26"/>
    <w:rsid w:val="00B02814"/>
    <w:rsid w:val="00B02E43"/>
    <w:rsid w:val="00B069B1"/>
    <w:rsid w:val="00B078BE"/>
    <w:rsid w:val="00B11A41"/>
    <w:rsid w:val="00B1400D"/>
    <w:rsid w:val="00B20CE3"/>
    <w:rsid w:val="00B22C85"/>
    <w:rsid w:val="00B3039F"/>
    <w:rsid w:val="00B325EB"/>
    <w:rsid w:val="00B335B4"/>
    <w:rsid w:val="00B44878"/>
    <w:rsid w:val="00B4567E"/>
    <w:rsid w:val="00B456CE"/>
    <w:rsid w:val="00B47418"/>
    <w:rsid w:val="00B5005A"/>
    <w:rsid w:val="00B536CB"/>
    <w:rsid w:val="00B53BFC"/>
    <w:rsid w:val="00B541CE"/>
    <w:rsid w:val="00B60C60"/>
    <w:rsid w:val="00B61B02"/>
    <w:rsid w:val="00B72146"/>
    <w:rsid w:val="00B726F1"/>
    <w:rsid w:val="00B777C3"/>
    <w:rsid w:val="00B8440D"/>
    <w:rsid w:val="00B9140C"/>
    <w:rsid w:val="00B93CD7"/>
    <w:rsid w:val="00BA6970"/>
    <w:rsid w:val="00BA7B54"/>
    <w:rsid w:val="00BB1944"/>
    <w:rsid w:val="00BB4BE9"/>
    <w:rsid w:val="00BC0466"/>
    <w:rsid w:val="00BC43A4"/>
    <w:rsid w:val="00BC6289"/>
    <w:rsid w:val="00BD0B37"/>
    <w:rsid w:val="00BD35B2"/>
    <w:rsid w:val="00BD6B76"/>
    <w:rsid w:val="00BE4EC0"/>
    <w:rsid w:val="00BF4077"/>
    <w:rsid w:val="00BF57E4"/>
    <w:rsid w:val="00BF5F6C"/>
    <w:rsid w:val="00C03711"/>
    <w:rsid w:val="00C07643"/>
    <w:rsid w:val="00C13529"/>
    <w:rsid w:val="00C14DEE"/>
    <w:rsid w:val="00C23D9B"/>
    <w:rsid w:val="00C2559E"/>
    <w:rsid w:val="00C27A5E"/>
    <w:rsid w:val="00C33119"/>
    <w:rsid w:val="00C455B7"/>
    <w:rsid w:val="00C476B6"/>
    <w:rsid w:val="00C516D2"/>
    <w:rsid w:val="00C52301"/>
    <w:rsid w:val="00C52A9B"/>
    <w:rsid w:val="00C52DDE"/>
    <w:rsid w:val="00C53421"/>
    <w:rsid w:val="00C5627D"/>
    <w:rsid w:val="00C57C54"/>
    <w:rsid w:val="00C61BB2"/>
    <w:rsid w:val="00C70F45"/>
    <w:rsid w:val="00C751F1"/>
    <w:rsid w:val="00C76EC2"/>
    <w:rsid w:val="00C83B4C"/>
    <w:rsid w:val="00C84848"/>
    <w:rsid w:val="00CB4C54"/>
    <w:rsid w:val="00CB4C5B"/>
    <w:rsid w:val="00CC5AA3"/>
    <w:rsid w:val="00CD0FA6"/>
    <w:rsid w:val="00CD23DD"/>
    <w:rsid w:val="00CD33CA"/>
    <w:rsid w:val="00CD34FF"/>
    <w:rsid w:val="00CD6073"/>
    <w:rsid w:val="00CE0226"/>
    <w:rsid w:val="00CE14C8"/>
    <w:rsid w:val="00CE3CE7"/>
    <w:rsid w:val="00CE6644"/>
    <w:rsid w:val="00CF0AFA"/>
    <w:rsid w:val="00CF6631"/>
    <w:rsid w:val="00D0053D"/>
    <w:rsid w:val="00D008AB"/>
    <w:rsid w:val="00D05007"/>
    <w:rsid w:val="00D1172A"/>
    <w:rsid w:val="00D23A47"/>
    <w:rsid w:val="00D2462D"/>
    <w:rsid w:val="00D409E9"/>
    <w:rsid w:val="00D44885"/>
    <w:rsid w:val="00D50CF7"/>
    <w:rsid w:val="00D52E37"/>
    <w:rsid w:val="00D558A7"/>
    <w:rsid w:val="00D565F7"/>
    <w:rsid w:val="00D64ECF"/>
    <w:rsid w:val="00D700C5"/>
    <w:rsid w:val="00D7159D"/>
    <w:rsid w:val="00D71A5F"/>
    <w:rsid w:val="00D73D84"/>
    <w:rsid w:val="00D75C41"/>
    <w:rsid w:val="00D85C35"/>
    <w:rsid w:val="00D86669"/>
    <w:rsid w:val="00D96FB8"/>
    <w:rsid w:val="00DA6191"/>
    <w:rsid w:val="00DA706F"/>
    <w:rsid w:val="00DB0046"/>
    <w:rsid w:val="00DB0466"/>
    <w:rsid w:val="00DB17B7"/>
    <w:rsid w:val="00DB26B2"/>
    <w:rsid w:val="00DB2ECA"/>
    <w:rsid w:val="00DB6747"/>
    <w:rsid w:val="00DD34F5"/>
    <w:rsid w:val="00DD6B0D"/>
    <w:rsid w:val="00DE0579"/>
    <w:rsid w:val="00DE1572"/>
    <w:rsid w:val="00DF132F"/>
    <w:rsid w:val="00DF2569"/>
    <w:rsid w:val="00E02EA4"/>
    <w:rsid w:val="00E061C8"/>
    <w:rsid w:val="00E11960"/>
    <w:rsid w:val="00E137E9"/>
    <w:rsid w:val="00E207E1"/>
    <w:rsid w:val="00E24923"/>
    <w:rsid w:val="00E259ED"/>
    <w:rsid w:val="00E27DBB"/>
    <w:rsid w:val="00E3069D"/>
    <w:rsid w:val="00E324C8"/>
    <w:rsid w:val="00E33C77"/>
    <w:rsid w:val="00E36F99"/>
    <w:rsid w:val="00E40ECA"/>
    <w:rsid w:val="00E43691"/>
    <w:rsid w:val="00E45DDE"/>
    <w:rsid w:val="00E51EC2"/>
    <w:rsid w:val="00E520EA"/>
    <w:rsid w:val="00E55082"/>
    <w:rsid w:val="00E56C36"/>
    <w:rsid w:val="00E62607"/>
    <w:rsid w:val="00E64193"/>
    <w:rsid w:val="00E83613"/>
    <w:rsid w:val="00E85A8F"/>
    <w:rsid w:val="00E867E6"/>
    <w:rsid w:val="00E9083C"/>
    <w:rsid w:val="00E91A30"/>
    <w:rsid w:val="00E94537"/>
    <w:rsid w:val="00E96E4C"/>
    <w:rsid w:val="00EA1621"/>
    <w:rsid w:val="00EA32BB"/>
    <w:rsid w:val="00EB0DA9"/>
    <w:rsid w:val="00EB5CC5"/>
    <w:rsid w:val="00EC005C"/>
    <w:rsid w:val="00EC48E4"/>
    <w:rsid w:val="00ED1712"/>
    <w:rsid w:val="00ED2C43"/>
    <w:rsid w:val="00ED3606"/>
    <w:rsid w:val="00EF376B"/>
    <w:rsid w:val="00EF6F75"/>
    <w:rsid w:val="00F00B73"/>
    <w:rsid w:val="00F012F0"/>
    <w:rsid w:val="00F13983"/>
    <w:rsid w:val="00F21FD1"/>
    <w:rsid w:val="00F33456"/>
    <w:rsid w:val="00F4033F"/>
    <w:rsid w:val="00F40572"/>
    <w:rsid w:val="00F42624"/>
    <w:rsid w:val="00F4301F"/>
    <w:rsid w:val="00F44CF0"/>
    <w:rsid w:val="00F51297"/>
    <w:rsid w:val="00F51994"/>
    <w:rsid w:val="00F5512C"/>
    <w:rsid w:val="00F56175"/>
    <w:rsid w:val="00F76DC4"/>
    <w:rsid w:val="00F807ED"/>
    <w:rsid w:val="00F82C7F"/>
    <w:rsid w:val="00F8310F"/>
    <w:rsid w:val="00F83FC9"/>
    <w:rsid w:val="00F94359"/>
    <w:rsid w:val="00F95BC2"/>
    <w:rsid w:val="00F97443"/>
    <w:rsid w:val="00FB2146"/>
    <w:rsid w:val="00FB32C8"/>
    <w:rsid w:val="00FB4AE4"/>
    <w:rsid w:val="00FB6066"/>
    <w:rsid w:val="00FB6A23"/>
    <w:rsid w:val="00FB6A40"/>
    <w:rsid w:val="00FC2BDC"/>
    <w:rsid w:val="00FC31FD"/>
    <w:rsid w:val="00FC7F51"/>
    <w:rsid w:val="00FD1975"/>
    <w:rsid w:val="00FD7013"/>
    <w:rsid w:val="00FD7B87"/>
    <w:rsid w:val="00FE0869"/>
    <w:rsid w:val="00FE2466"/>
    <w:rsid w:val="00FF1CDB"/>
    <w:rsid w:val="00FF265B"/>
    <w:rsid w:val="00FF308E"/>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A4F5F1"/>
  <w15:docId w15:val="{5BB01E8D-168E-4AEF-B30C-013F2ADA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8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EADER">
    <w:name w:val="GCHEADER"/>
    <w:pPr>
      <w:tabs>
        <w:tab w:val="right" w:pos="10440"/>
      </w:tabs>
      <w:suppressAutoHyphens/>
      <w:spacing w:line="215" w:lineRule="auto"/>
    </w:pPr>
    <w:rPr>
      <w:rFonts w:ascii="Arial Rounded MT Bold" w:hAnsi="Arial Rounded MT Bold"/>
      <w:b/>
      <w:sz w:val="30"/>
      <w:lang w:val="en-G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97C53"/>
    <w:rPr>
      <w:rFonts w:ascii="Tahoma" w:hAnsi="Tahoma" w:cs="Tahoma"/>
      <w:sz w:val="16"/>
      <w:szCs w:val="16"/>
    </w:rPr>
  </w:style>
  <w:style w:type="paragraph" w:styleId="CommentText">
    <w:name w:val="annotation text"/>
    <w:basedOn w:val="Normal"/>
    <w:link w:val="CommentTextChar"/>
    <w:rsid w:val="00634F26"/>
    <w:rPr>
      <w:sz w:val="20"/>
    </w:rPr>
  </w:style>
  <w:style w:type="character" w:customStyle="1" w:styleId="CommentTextChar">
    <w:name w:val="Comment Text Char"/>
    <w:link w:val="CommentText"/>
    <w:rsid w:val="00634F26"/>
    <w:rPr>
      <w:rFonts w:ascii="Courier" w:hAnsi="Courier"/>
    </w:rPr>
  </w:style>
  <w:style w:type="character" w:styleId="CommentReference">
    <w:name w:val="annotation reference"/>
    <w:rsid w:val="00634F26"/>
    <w:rPr>
      <w:sz w:val="16"/>
      <w:szCs w:val="16"/>
    </w:rPr>
  </w:style>
  <w:style w:type="paragraph" w:customStyle="1" w:styleId="SingleTxt">
    <w:name w:val="__Single Txt"/>
    <w:basedOn w:val="Normal"/>
    <w:link w:val="SingleTxtChar"/>
    <w:qFormat/>
    <w:rsid w:val="00777C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lang w:val="en-GB"/>
    </w:rPr>
  </w:style>
  <w:style w:type="paragraph" w:customStyle="1" w:styleId="DualTxtCharChar1CharChar">
    <w:name w:val="__Dual Txt Char Char1 Char Char"/>
    <w:basedOn w:val="Normal"/>
    <w:rsid w:val="00B1400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hAnsi="Times New Roman"/>
      <w:spacing w:val="4"/>
      <w:w w:val="103"/>
      <w:kern w:val="14"/>
      <w:sz w:val="20"/>
      <w:lang w:val="en-GB"/>
    </w:rPr>
  </w:style>
  <w:style w:type="character" w:styleId="Hyperlink">
    <w:name w:val="Hyperlink"/>
    <w:uiPriority w:val="99"/>
    <w:unhideWhenUsed/>
    <w:rsid w:val="00864721"/>
    <w:rPr>
      <w:color w:val="0000FF"/>
      <w:u w:val="single"/>
    </w:rPr>
  </w:style>
  <w:style w:type="paragraph" w:styleId="ListParagraph">
    <w:name w:val="List Paragraph"/>
    <w:aliases w:val="List Paragraph (numbered (a)),Bullets,List Paragraph1,WB Para,Paragraphe de liste1,L,3"/>
    <w:basedOn w:val="Normal"/>
    <w:link w:val="ListParagraphChar"/>
    <w:uiPriority w:val="34"/>
    <w:qFormat/>
    <w:rsid w:val="00BE4EC0"/>
    <w:pPr>
      <w:ind w:left="720"/>
      <w:contextualSpacing/>
    </w:pPr>
  </w:style>
  <w:style w:type="paragraph" w:styleId="CommentSubject">
    <w:name w:val="annotation subject"/>
    <w:basedOn w:val="CommentText"/>
    <w:next w:val="CommentText"/>
    <w:link w:val="CommentSubjectChar"/>
    <w:semiHidden/>
    <w:unhideWhenUsed/>
    <w:rsid w:val="003D5516"/>
    <w:rPr>
      <w:b/>
      <w:bCs/>
    </w:rPr>
  </w:style>
  <w:style w:type="character" w:customStyle="1" w:styleId="CommentSubjectChar">
    <w:name w:val="Comment Subject Char"/>
    <w:basedOn w:val="CommentTextChar"/>
    <w:link w:val="CommentSubject"/>
    <w:semiHidden/>
    <w:rsid w:val="003D5516"/>
    <w:rPr>
      <w:rFonts w:ascii="Courier" w:hAnsi="Courier"/>
      <w:b/>
      <w:bCs/>
    </w:rPr>
  </w:style>
  <w:style w:type="paragraph" w:customStyle="1" w:styleId="HCh">
    <w:name w:val="_ H _Ch"/>
    <w:basedOn w:val="Normal"/>
    <w:next w:val="SingleTxt"/>
    <w:rsid w:val="003773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eastAsia="MS Mincho" w:hAnsi="Times New Roman"/>
      <w:b/>
      <w:spacing w:val="-2"/>
      <w:w w:val="103"/>
      <w:kern w:val="14"/>
      <w:sz w:val="28"/>
      <w:lang w:val="en-GB"/>
    </w:rPr>
  </w:style>
  <w:style w:type="paragraph" w:customStyle="1" w:styleId="H1">
    <w:name w:val="_ H_1"/>
    <w:basedOn w:val="Normal"/>
    <w:next w:val="SingleTxt"/>
    <w:rsid w:val="007360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MS Mincho" w:hAnsi="Times New Roman"/>
      <w:b/>
      <w:spacing w:val="4"/>
      <w:w w:val="103"/>
      <w:kern w:val="14"/>
      <w:lang w:val="en-GB"/>
    </w:rPr>
  </w:style>
  <w:style w:type="character" w:customStyle="1" w:styleId="HeaderChar">
    <w:name w:val="Header Char"/>
    <w:basedOn w:val="DefaultParagraphFont"/>
    <w:link w:val="Header"/>
    <w:uiPriority w:val="99"/>
    <w:rsid w:val="00826F18"/>
    <w:rPr>
      <w:rFonts w:ascii="Courier" w:hAnsi="Courier"/>
      <w:sz w:val="24"/>
    </w:rPr>
  </w:style>
  <w:style w:type="character" w:customStyle="1" w:styleId="ListParagraphChar">
    <w:name w:val="List Paragraph Char"/>
    <w:aliases w:val="List Paragraph (numbered (a)) Char,Bullets Char,List Paragraph1 Char,WB Para Char,Paragraphe de liste1 Char,L Char,3 Char"/>
    <w:link w:val="ListParagraph"/>
    <w:uiPriority w:val="34"/>
    <w:locked/>
    <w:rsid w:val="00826F18"/>
    <w:rPr>
      <w:rFonts w:ascii="Courier" w:hAnsi="Courier"/>
      <w:sz w:val="24"/>
    </w:rPr>
  </w:style>
  <w:style w:type="paragraph" w:customStyle="1" w:styleId="UNpara">
    <w:name w:val="UN para"/>
    <w:basedOn w:val="Normal"/>
    <w:rsid w:val="00826F18"/>
    <w:pPr>
      <w:numPr>
        <w:numId w:val="33"/>
      </w:numPr>
      <w:suppressAutoHyphens/>
      <w:spacing w:line="240" w:lineRule="exact"/>
    </w:pPr>
    <w:rPr>
      <w:rFonts w:ascii="Times New Roman" w:eastAsiaTheme="minorHAnsi" w:hAnsi="Times New Roman"/>
      <w:spacing w:val="4"/>
      <w:w w:val="103"/>
      <w:kern w:val="14"/>
      <w:sz w:val="20"/>
      <w:lang w:val="en-GB"/>
    </w:rPr>
  </w:style>
  <w:style w:type="character" w:customStyle="1" w:styleId="SingleTxtChar">
    <w:name w:val="__Single Txt Char"/>
    <w:link w:val="SingleTxt"/>
    <w:rsid w:val="002C0C40"/>
    <w:rPr>
      <w:spacing w:val="4"/>
      <w:w w:val="103"/>
      <w:kern w:val="14"/>
      <w:lang w:val="en-GB"/>
    </w:rPr>
  </w:style>
  <w:style w:type="paragraph" w:customStyle="1" w:styleId="H4">
    <w:name w:val="_ H_4"/>
    <w:basedOn w:val="Normal"/>
    <w:next w:val="Normal"/>
    <w:rsid w:val="00F76D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MS Mincho" w:hAnsi="Times New Roman"/>
      <w:i/>
      <w:spacing w:val="3"/>
      <w:w w:val="103"/>
      <w:kern w:val="14"/>
      <w:sz w:val="20"/>
      <w:lang w:val="en-GB"/>
    </w:rPr>
  </w:style>
  <w:style w:type="character" w:styleId="UnresolvedMention">
    <w:name w:val="Unresolved Mention"/>
    <w:basedOn w:val="DefaultParagraphFont"/>
    <w:uiPriority w:val="99"/>
    <w:unhideWhenUsed/>
    <w:rsid w:val="00ED2C43"/>
    <w:rPr>
      <w:color w:val="605E5C"/>
      <w:shd w:val="clear" w:color="auto" w:fill="E1DFDD"/>
    </w:rPr>
  </w:style>
  <w:style w:type="character" w:styleId="Mention">
    <w:name w:val="Mention"/>
    <w:basedOn w:val="DefaultParagraphFont"/>
    <w:uiPriority w:val="99"/>
    <w:unhideWhenUsed/>
    <w:rsid w:val="00ED2C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6976">
      <w:bodyDiv w:val="1"/>
      <w:marLeft w:val="0"/>
      <w:marRight w:val="0"/>
      <w:marTop w:val="0"/>
      <w:marBottom w:val="0"/>
      <w:divBdr>
        <w:top w:val="none" w:sz="0" w:space="0" w:color="auto"/>
        <w:left w:val="none" w:sz="0" w:space="0" w:color="auto"/>
        <w:bottom w:val="none" w:sz="0" w:space="0" w:color="auto"/>
        <w:right w:val="none" w:sz="0" w:space="0" w:color="auto"/>
      </w:divBdr>
    </w:div>
    <w:div w:id="166991871">
      <w:bodyDiv w:val="1"/>
      <w:marLeft w:val="0"/>
      <w:marRight w:val="0"/>
      <w:marTop w:val="0"/>
      <w:marBottom w:val="0"/>
      <w:divBdr>
        <w:top w:val="none" w:sz="0" w:space="0" w:color="auto"/>
        <w:left w:val="none" w:sz="0" w:space="0" w:color="auto"/>
        <w:bottom w:val="none" w:sz="0" w:space="0" w:color="auto"/>
        <w:right w:val="none" w:sz="0" w:space="0" w:color="auto"/>
      </w:divBdr>
    </w:div>
    <w:div w:id="223762732">
      <w:bodyDiv w:val="1"/>
      <w:marLeft w:val="0"/>
      <w:marRight w:val="0"/>
      <w:marTop w:val="0"/>
      <w:marBottom w:val="0"/>
      <w:divBdr>
        <w:top w:val="none" w:sz="0" w:space="0" w:color="auto"/>
        <w:left w:val="none" w:sz="0" w:space="0" w:color="auto"/>
        <w:bottom w:val="none" w:sz="0" w:space="0" w:color="auto"/>
        <w:right w:val="none" w:sz="0" w:space="0" w:color="auto"/>
      </w:divBdr>
    </w:div>
    <w:div w:id="291716367">
      <w:bodyDiv w:val="1"/>
      <w:marLeft w:val="0"/>
      <w:marRight w:val="0"/>
      <w:marTop w:val="0"/>
      <w:marBottom w:val="0"/>
      <w:divBdr>
        <w:top w:val="none" w:sz="0" w:space="0" w:color="auto"/>
        <w:left w:val="none" w:sz="0" w:space="0" w:color="auto"/>
        <w:bottom w:val="none" w:sz="0" w:space="0" w:color="auto"/>
        <w:right w:val="none" w:sz="0" w:space="0" w:color="auto"/>
      </w:divBdr>
    </w:div>
    <w:div w:id="388765893">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474566108">
      <w:bodyDiv w:val="1"/>
      <w:marLeft w:val="0"/>
      <w:marRight w:val="0"/>
      <w:marTop w:val="0"/>
      <w:marBottom w:val="0"/>
      <w:divBdr>
        <w:top w:val="none" w:sz="0" w:space="0" w:color="auto"/>
        <w:left w:val="none" w:sz="0" w:space="0" w:color="auto"/>
        <w:bottom w:val="none" w:sz="0" w:space="0" w:color="auto"/>
        <w:right w:val="none" w:sz="0" w:space="0" w:color="auto"/>
      </w:divBdr>
    </w:div>
    <w:div w:id="504983270">
      <w:bodyDiv w:val="1"/>
      <w:marLeft w:val="0"/>
      <w:marRight w:val="0"/>
      <w:marTop w:val="0"/>
      <w:marBottom w:val="0"/>
      <w:divBdr>
        <w:top w:val="none" w:sz="0" w:space="0" w:color="auto"/>
        <w:left w:val="none" w:sz="0" w:space="0" w:color="auto"/>
        <w:bottom w:val="none" w:sz="0" w:space="0" w:color="auto"/>
        <w:right w:val="none" w:sz="0" w:space="0" w:color="auto"/>
      </w:divBdr>
    </w:div>
    <w:div w:id="636447989">
      <w:bodyDiv w:val="1"/>
      <w:marLeft w:val="0"/>
      <w:marRight w:val="0"/>
      <w:marTop w:val="0"/>
      <w:marBottom w:val="0"/>
      <w:divBdr>
        <w:top w:val="none" w:sz="0" w:space="0" w:color="auto"/>
        <w:left w:val="none" w:sz="0" w:space="0" w:color="auto"/>
        <w:bottom w:val="none" w:sz="0" w:space="0" w:color="auto"/>
        <w:right w:val="none" w:sz="0" w:space="0" w:color="auto"/>
      </w:divBdr>
      <w:divsChild>
        <w:div w:id="240214377">
          <w:marLeft w:val="0"/>
          <w:marRight w:val="0"/>
          <w:marTop w:val="0"/>
          <w:marBottom w:val="0"/>
          <w:divBdr>
            <w:top w:val="none" w:sz="0" w:space="0" w:color="auto"/>
            <w:left w:val="none" w:sz="0" w:space="0" w:color="auto"/>
            <w:bottom w:val="none" w:sz="0" w:space="0" w:color="auto"/>
            <w:right w:val="none" w:sz="0" w:space="0" w:color="auto"/>
          </w:divBdr>
        </w:div>
        <w:div w:id="2017607258">
          <w:marLeft w:val="0"/>
          <w:marRight w:val="0"/>
          <w:marTop w:val="0"/>
          <w:marBottom w:val="0"/>
          <w:divBdr>
            <w:top w:val="none" w:sz="0" w:space="0" w:color="auto"/>
            <w:left w:val="none" w:sz="0" w:space="0" w:color="auto"/>
            <w:bottom w:val="none" w:sz="0" w:space="0" w:color="auto"/>
            <w:right w:val="none" w:sz="0" w:space="0" w:color="auto"/>
          </w:divBdr>
        </w:div>
      </w:divsChild>
    </w:div>
    <w:div w:id="774642068">
      <w:bodyDiv w:val="1"/>
      <w:marLeft w:val="0"/>
      <w:marRight w:val="0"/>
      <w:marTop w:val="0"/>
      <w:marBottom w:val="0"/>
      <w:divBdr>
        <w:top w:val="none" w:sz="0" w:space="0" w:color="auto"/>
        <w:left w:val="none" w:sz="0" w:space="0" w:color="auto"/>
        <w:bottom w:val="none" w:sz="0" w:space="0" w:color="auto"/>
        <w:right w:val="none" w:sz="0" w:space="0" w:color="auto"/>
      </w:divBdr>
    </w:div>
    <w:div w:id="821428447">
      <w:bodyDiv w:val="1"/>
      <w:marLeft w:val="0"/>
      <w:marRight w:val="0"/>
      <w:marTop w:val="0"/>
      <w:marBottom w:val="0"/>
      <w:divBdr>
        <w:top w:val="none" w:sz="0" w:space="0" w:color="auto"/>
        <w:left w:val="none" w:sz="0" w:space="0" w:color="auto"/>
        <w:bottom w:val="none" w:sz="0" w:space="0" w:color="auto"/>
        <w:right w:val="none" w:sz="0" w:space="0" w:color="auto"/>
      </w:divBdr>
    </w:div>
    <w:div w:id="924261274">
      <w:bodyDiv w:val="1"/>
      <w:marLeft w:val="0"/>
      <w:marRight w:val="0"/>
      <w:marTop w:val="0"/>
      <w:marBottom w:val="0"/>
      <w:divBdr>
        <w:top w:val="none" w:sz="0" w:space="0" w:color="auto"/>
        <w:left w:val="none" w:sz="0" w:space="0" w:color="auto"/>
        <w:bottom w:val="none" w:sz="0" w:space="0" w:color="auto"/>
        <w:right w:val="none" w:sz="0" w:space="0" w:color="auto"/>
      </w:divBdr>
    </w:div>
    <w:div w:id="931477538">
      <w:bodyDiv w:val="1"/>
      <w:marLeft w:val="0"/>
      <w:marRight w:val="0"/>
      <w:marTop w:val="0"/>
      <w:marBottom w:val="0"/>
      <w:divBdr>
        <w:top w:val="none" w:sz="0" w:space="0" w:color="auto"/>
        <w:left w:val="none" w:sz="0" w:space="0" w:color="auto"/>
        <w:bottom w:val="none" w:sz="0" w:space="0" w:color="auto"/>
        <w:right w:val="none" w:sz="0" w:space="0" w:color="auto"/>
      </w:divBdr>
      <w:divsChild>
        <w:div w:id="471605666">
          <w:marLeft w:val="0"/>
          <w:marRight w:val="0"/>
          <w:marTop w:val="0"/>
          <w:marBottom w:val="0"/>
          <w:divBdr>
            <w:top w:val="none" w:sz="0" w:space="0" w:color="auto"/>
            <w:left w:val="none" w:sz="0" w:space="0" w:color="auto"/>
            <w:bottom w:val="none" w:sz="0" w:space="0" w:color="auto"/>
            <w:right w:val="none" w:sz="0" w:space="0" w:color="auto"/>
          </w:divBdr>
        </w:div>
        <w:div w:id="1749039470">
          <w:marLeft w:val="0"/>
          <w:marRight w:val="0"/>
          <w:marTop w:val="0"/>
          <w:marBottom w:val="0"/>
          <w:divBdr>
            <w:top w:val="none" w:sz="0" w:space="0" w:color="auto"/>
            <w:left w:val="none" w:sz="0" w:space="0" w:color="auto"/>
            <w:bottom w:val="none" w:sz="0" w:space="0" w:color="auto"/>
            <w:right w:val="none" w:sz="0" w:space="0" w:color="auto"/>
          </w:divBdr>
        </w:div>
      </w:divsChild>
    </w:div>
    <w:div w:id="948663296">
      <w:bodyDiv w:val="1"/>
      <w:marLeft w:val="0"/>
      <w:marRight w:val="0"/>
      <w:marTop w:val="0"/>
      <w:marBottom w:val="0"/>
      <w:divBdr>
        <w:top w:val="none" w:sz="0" w:space="0" w:color="auto"/>
        <w:left w:val="none" w:sz="0" w:space="0" w:color="auto"/>
        <w:bottom w:val="none" w:sz="0" w:space="0" w:color="auto"/>
        <w:right w:val="none" w:sz="0" w:space="0" w:color="auto"/>
      </w:divBdr>
    </w:div>
    <w:div w:id="1013385865">
      <w:bodyDiv w:val="1"/>
      <w:marLeft w:val="0"/>
      <w:marRight w:val="0"/>
      <w:marTop w:val="0"/>
      <w:marBottom w:val="0"/>
      <w:divBdr>
        <w:top w:val="none" w:sz="0" w:space="0" w:color="auto"/>
        <w:left w:val="none" w:sz="0" w:space="0" w:color="auto"/>
        <w:bottom w:val="none" w:sz="0" w:space="0" w:color="auto"/>
        <w:right w:val="none" w:sz="0" w:space="0" w:color="auto"/>
      </w:divBdr>
    </w:div>
    <w:div w:id="1080062659">
      <w:bodyDiv w:val="1"/>
      <w:marLeft w:val="0"/>
      <w:marRight w:val="0"/>
      <w:marTop w:val="0"/>
      <w:marBottom w:val="0"/>
      <w:divBdr>
        <w:top w:val="none" w:sz="0" w:space="0" w:color="auto"/>
        <w:left w:val="none" w:sz="0" w:space="0" w:color="auto"/>
        <w:bottom w:val="none" w:sz="0" w:space="0" w:color="auto"/>
        <w:right w:val="none" w:sz="0" w:space="0" w:color="auto"/>
      </w:divBdr>
    </w:div>
    <w:div w:id="1167332233">
      <w:bodyDiv w:val="1"/>
      <w:marLeft w:val="0"/>
      <w:marRight w:val="0"/>
      <w:marTop w:val="0"/>
      <w:marBottom w:val="0"/>
      <w:divBdr>
        <w:top w:val="none" w:sz="0" w:space="0" w:color="auto"/>
        <w:left w:val="none" w:sz="0" w:space="0" w:color="auto"/>
        <w:bottom w:val="none" w:sz="0" w:space="0" w:color="auto"/>
        <w:right w:val="none" w:sz="0" w:space="0" w:color="auto"/>
      </w:divBdr>
    </w:div>
    <w:div w:id="1168404610">
      <w:bodyDiv w:val="1"/>
      <w:marLeft w:val="0"/>
      <w:marRight w:val="0"/>
      <w:marTop w:val="0"/>
      <w:marBottom w:val="0"/>
      <w:divBdr>
        <w:top w:val="none" w:sz="0" w:space="0" w:color="auto"/>
        <w:left w:val="none" w:sz="0" w:space="0" w:color="auto"/>
        <w:bottom w:val="none" w:sz="0" w:space="0" w:color="auto"/>
        <w:right w:val="none" w:sz="0" w:space="0" w:color="auto"/>
      </w:divBdr>
    </w:div>
    <w:div w:id="1236862879">
      <w:bodyDiv w:val="1"/>
      <w:marLeft w:val="0"/>
      <w:marRight w:val="0"/>
      <w:marTop w:val="0"/>
      <w:marBottom w:val="0"/>
      <w:divBdr>
        <w:top w:val="none" w:sz="0" w:space="0" w:color="auto"/>
        <w:left w:val="none" w:sz="0" w:space="0" w:color="auto"/>
        <w:bottom w:val="none" w:sz="0" w:space="0" w:color="auto"/>
        <w:right w:val="none" w:sz="0" w:space="0" w:color="auto"/>
      </w:divBdr>
    </w:div>
    <w:div w:id="1246846219">
      <w:bodyDiv w:val="1"/>
      <w:marLeft w:val="0"/>
      <w:marRight w:val="0"/>
      <w:marTop w:val="0"/>
      <w:marBottom w:val="0"/>
      <w:divBdr>
        <w:top w:val="none" w:sz="0" w:space="0" w:color="auto"/>
        <w:left w:val="none" w:sz="0" w:space="0" w:color="auto"/>
        <w:bottom w:val="none" w:sz="0" w:space="0" w:color="auto"/>
        <w:right w:val="none" w:sz="0" w:space="0" w:color="auto"/>
      </w:divBdr>
    </w:div>
    <w:div w:id="1303270502">
      <w:bodyDiv w:val="1"/>
      <w:marLeft w:val="0"/>
      <w:marRight w:val="0"/>
      <w:marTop w:val="0"/>
      <w:marBottom w:val="0"/>
      <w:divBdr>
        <w:top w:val="none" w:sz="0" w:space="0" w:color="auto"/>
        <w:left w:val="none" w:sz="0" w:space="0" w:color="auto"/>
        <w:bottom w:val="none" w:sz="0" w:space="0" w:color="auto"/>
        <w:right w:val="none" w:sz="0" w:space="0" w:color="auto"/>
      </w:divBdr>
      <w:divsChild>
        <w:div w:id="399989105">
          <w:marLeft w:val="0"/>
          <w:marRight w:val="0"/>
          <w:marTop w:val="0"/>
          <w:marBottom w:val="0"/>
          <w:divBdr>
            <w:top w:val="none" w:sz="0" w:space="0" w:color="auto"/>
            <w:left w:val="none" w:sz="0" w:space="0" w:color="auto"/>
            <w:bottom w:val="none" w:sz="0" w:space="0" w:color="auto"/>
            <w:right w:val="none" w:sz="0" w:space="0" w:color="auto"/>
          </w:divBdr>
        </w:div>
        <w:div w:id="1555196924">
          <w:marLeft w:val="0"/>
          <w:marRight w:val="0"/>
          <w:marTop w:val="0"/>
          <w:marBottom w:val="0"/>
          <w:divBdr>
            <w:top w:val="none" w:sz="0" w:space="0" w:color="auto"/>
            <w:left w:val="none" w:sz="0" w:space="0" w:color="auto"/>
            <w:bottom w:val="none" w:sz="0" w:space="0" w:color="auto"/>
            <w:right w:val="none" w:sz="0" w:space="0" w:color="auto"/>
          </w:divBdr>
        </w:div>
      </w:divsChild>
    </w:div>
    <w:div w:id="1315336780">
      <w:bodyDiv w:val="1"/>
      <w:marLeft w:val="0"/>
      <w:marRight w:val="0"/>
      <w:marTop w:val="0"/>
      <w:marBottom w:val="0"/>
      <w:divBdr>
        <w:top w:val="none" w:sz="0" w:space="0" w:color="auto"/>
        <w:left w:val="none" w:sz="0" w:space="0" w:color="auto"/>
        <w:bottom w:val="none" w:sz="0" w:space="0" w:color="auto"/>
        <w:right w:val="none" w:sz="0" w:space="0" w:color="auto"/>
      </w:divBdr>
    </w:div>
    <w:div w:id="1347751805">
      <w:bodyDiv w:val="1"/>
      <w:marLeft w:val="0"/>
      <w:marRight w:val="0"/>
      <w:marTop w:val="0"/>
      <w:marBottom w:val="0"/>
      <w:divBdr>
        <w:top w:val="none" w:sz="0" w:space="0" w:color="auto"/>
        <w:left w:val="none" w:sz="0" w:space="0" w:color="auto"/>
        <w:bottom w:val="none" w:sz="0" w:space="0" w:color="auto"/>
        <w:right w:val="none" w:sz="0" w:space="0" w:color="auto"/>
      </w:divBdr>
    </w:div>
    <w:div w:id="1363245855">
      <w:bodyDiv w:val="1"/>
      <w:marLeft w:val="0"/>
      <w:marRight w:val="0"/>
      <w:marTop w:val="0"/>
      <w:marBottom w:val="0"/>
      <w:divBdr>
        <w:top w:val="none" w:sz="0" w:space="0" w:color="auto"/>
        <w:left w:val="none" w:sz="0" w:space="0" w:color="auto"/>
        <w:bottom w:val="none" w:sz="0" w:space="0" w:color="auto"/>
        <w:right w:val="none" w:sz="0" w:space="0" w:color="auto"/>
      </w:divBdr>
    </w:div>
    <w:div w:id="1546867255">
      <w:bodyDiv w:val="1"/>
      <w:marLeft w:val="0"/>
      <w:marRight w:val="0"/>
      <w:marTop w:val="0"/>
      <w:marBottom w:val="0"/>
      <w:divBdr>
        <w:top w:val="none" w:sz="0" w:space="0" w:color="auto"/>
        <w:left w:val="none" w:sz="0" w:space="0" w:color="auto"/>
        <w:bottom w:val="none" w:sz="0" w:space="0" w:color="auto"/>
        <w:right w:val="none" w:sz="0" w:space="0" w:color="auto"/>
      </w:divBdr>
    </w:div>
    <w:div w:id="1709721956">
      <w:bodyDiv w:val="1"/>
      <w:marLeft w:val="0"/>
      <w:marRight w:val="0"/>
      <w:marTop w:val="0"/>
      <w:marBottom w:val="0"/>
      <w:divBdr>
        <w:top w:val="none" w:sz="0" w:space="0" w:color="auto"/>
        <w:left w:val="none" w:sz="0" w:space="0" w:color="auto"/>
        <w:bottom w:val="none" w:sz="0" w:space="0" w:color="auto"/>
        <w:right w:val="none" w:sz="0" w:space="0" w:color="auto"/>
      </w:divBdr>
    </w:div>
    <w:div w:id="1736706305">
      <w:bodyDiv w:val="1"/>
      <w:marLeft w:val="0"/>
      <w:marRight w:val="0"/>
      <w:marTop w:val="0"/>
      <w:marBottom w:val="0"/>
      <w:divBdr>
        <w:top w:val="none" w:sz="0" w:space="0" w:color="auto"/>
        <w:left w:val="none" w:sz="0" w:space="0" w:color="auto"/>
        <w:bottom w:val="none" w:sz="0" w:space="0" w:color="auto"/>
        <w:right w:val="none" w:sz="0" w:space="0" w:color="auto"/>
      </w:divBdr>
    </w:div>
    <w:div w:id="1746680245">
      <w:bodyDiv w:val="1"/>
      <w:marLeft w:val="0"/>
      <w:marRight w:val="0"/>
      <w:marTop w:val="0"/>
      <w:marBottom w:val="0"/>
      <w:divBdr>
        <w:top w:val="none" w:sz="0" w:space="0" w:color="auto"/>
        <w:left w:val="none" w:sz="0" w:space="0" w:color="auto"/>
        <w:bottom w:val="none" w:sz="0" w:space="0" w:color="auto"/>
        <w:right w:val="none" w:sz="0" w:space="0" w:color="auto"/>
      </w:divBdr>
    </w:div>
    <w:div w:id="1753358704">
      <w:bodyDiv w:val="1"/>
      <w:marLeft w:val="0"/>
      <w:marRight w:val="0"/>
      <w:marTop w:val="0"/>
      <w:marBottom w:val="0"/>
      <w:divBdr>
        <w:top w:val="none" w:sz="0" w:space="0" w:color="auto"/>
        <w:left w:val="none" w:sz="0" w:space="0" w:color="auto"/>
        <w:bottom w:val="none" w:sz="0" w:space="0" w:color="auto"/>
        <w:right w:val="none" w:sz="0" w:space="0" w:color="auto"/>
      </w:divBdr>
    </w:div>
    <w:div w:id="1775176142">
      <w:bodyDiv w:val="1"/>
      <w:marLeft w:val="0"/>
      <w:marRight w:val="0"/>
      <w:marTop w:val="0"/>
      <w:marBottom w:val="0"/>
      <w:divBdr>
        <w:top w:val="none" w:sz="0" w:space="0" w:color="auto"/>
        <w:left w:val="none" w:sz="0" w:space="0" w:color="auto"/>
        <w:bottom w:val="none" w:sz="0" w:space="0" w:color="auto"/>
        <w:right w:val="none" w:sz="0" w:space="0" w:color="auto"/>
      </w:divBdr>
    </w:div>
    <w:div w:id="1835802110">
      <w:bodyDiv w:val="1"/>
      <w:marLeft w:val="0"/>
      <w:marRight w:val="0"/>
      <w:marTop w:val="0"/>
      <w:marBottom w:val="0"/>
      <w:divBdr>
        <w:top w:val="none" w:sz="0" w:space="0" w:color="auto"/>
        <w:left w:val="none" w:sz="0" w:space="0" w:color="auto"/>
        <w:bottom w:val="none" w:sz="0" w:space="0" w:color="auto"/>
        <w:right w:val="none" w:sz="0" w:space="0" w:color="auto"/>
      </w:divBdr>
    </w:div>
    <w:div w:id="1848010900">
      <w:bodyDiv w:val="1"/>
      <w:marLeft w:val="0"/>
      <w:marRight w:val="0"/>
      <w:marTop w:val="0"/>
      <w:marBottom w:val="0"/>
      <w:divBdr>
        <w:top w:val="none" w:sz="0" w:space="0" w:color="auto"/>
        <w:left w:val="none" w:sz="0" w:space="0" w:color="auto"/>
        <w:bottom w:val="none" w:sz="0" w:space="0" w:color="auto"/>
        <w:right w:val="none" w:sz="0" w:space="0" w:color="auto"/>
      </w:divBdr>
    </w:div>
    <w:div w:id="1948660982">
      <w:bodyDiv w:val="1"/>
      <w:marLeft w:val="0"/>
      <w:marRight w:val="0"/>
      <w:marTop w:val="0"/>
      <w:marBottom w:val="0"/>
      <w:divBdr>
        <w:top w:val="none" w:sz="0" w:space="0" w:color="auto"/>
        <w:left w:val="none" w:sz="0" w:space="0" w:color="auto"/>
        <w:bottom w:val="none" w:sz="0" w:space="0" w:color="auto"/>
        <w:right w:val="none" w:sz="0" w:space="0" w:color="auto"/>
      </w:divBdr>
    </w:div>
    <w:div w:id="2038386027">
      <w:bodyDiv w:val="1"/>
      <w:marLeft w:val="0"/>
      <w:marRight w:val="0"/>
      <w:marTop w:val="0"/>
      <w:marBottom w:val="0"/>
      <w:divBdr>
        <w:top w:val="none" w:sz="0" w:space="0" w:color="auto"/>
        <w:left w:val="none" w:sz="0" w:space="0" w:color="auto"/>
        <w:bottom w:val="none" w:sz="0" w:space="0" w:color="auto"/>
        <w:right w:val="none" w:sz="0" w:space="0" w:color="auto"/>
      </w:divBdr>
    </w:div>
    <w:div w:id="2128506861">
      <w:bodyDiv w:val="1"/>
      <w:marLeft w:val="0"/>
      <w:marRight w:val="0"/>
      <w:marTop w:val="0"/>
      <w:marBottom w:val="0"/>
      <w:divBdr>
        <w:top w:val="none" w:sz="0" w:space="0" w:color="auto"/>
        <w:left w:val="none" w:sz="0" w:space="0" w:color="auto"/>
        <w:bottom w:val="none" w:sz="0" w:space="0" w:color="auto"/>
        <w:right w:val="none" w:sz="0" w:space="0" w:color="auto"/>
      </w:divBdr>
    </w:div>
    <w:div w:id="21431117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undp.unteamworks.org/node/369936"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B930B21383BF46B0DDB2FF01270848" ma:contentTypeVersion="10" ma:contentTypeDescription="Create a new document." ma:contentTypeScope="" ma:versionID="dee271a0d2505d26c4dafc4e170e6fe2">
  <xsd:schema xmlns:xsd="http://www.w3.org/2001/XMLSchema" xmlns:xs="http://www.w3.org/2001/XMLSchema" xmlns:p="http://schemas.microsoft.com/office/2006/metadata/properties" xmlns:ns2="687d58b7-0e32-43ef-afc1-615b239ec1f2" xmlns:ns3="71a6e880-2100-4076-a036-02630f62aec7" targetNamespace="http://schemas.microsoft.com/office/2006/metadata/properties" ma:root="true" ma:fieldsID="224b268e353a5ff86bf1ed38935c922c" ns2:_="" ns3:_="">
    <xsd:import namespace="687d58b7-0e32-43ef-afc1-615b239ec1f2"/>
    <xsd:import namespace="71a6e880-2100-4076-a036-02630f62a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d58b7-0e32-43ef-afc1-615b239ec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6e880-2100-4076-a036-02630f62ae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02A87-0C1F-413D-BEB2-0B59F9EF5ED8}">
  <ds:schemaRefs>
    <ds:schemaRef ds:uri="http://schemas.microsoft.com/sharepoint/v3/contenttype/forms"/>
  </ds:schemaRefs>
</ds:datastoreItem>
</file>

<file path=customXml/itemProps2.xml><?xml version="1.0" encoding="utf-8"?>
<ds:datastoreItem xmlns:ds="http://schemas.openxmlformats.org/officeDocument/2006/customXml" ds:itemID="{5C1F50AD-9F03-4C2F-877E-E01FBDC1E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4AF77-ECAC-4B50-8AA0-363573F05141}">
  <ds:schemaRefs>
    <ds:schemaRef ds:uri="http://schemas.openxmlformats.org/officeDocument/2006/bibliography"/>
  </ds:schemaRefs>
</ds:datastoreItem>
</file>

<file path=customXml/itemProps4.xml><?xml version="1.0" encoding="utf-8"?>
<ds:datastoreItem xmlns:ds="http://schemas.openxmlformats.org/officeDocument/2006/customXml" ds:itemID="{0D0B7C31-D233-4367-BCC5-1A0362D7D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d58b7-0e32-43ef-afc1-615b239ec1f2"/>
    <ds:schemaRef ds:uri="71a6e880-2100-4076-a036-02630f62a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3400</Words>
  <Characters>20778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UNITED</vt:lpstr>
    </vt:vector>
  </TitlesOfParts>
  <Company>UNDP</Company>
  <LinksUpToDate>false</LinksUpToDate>
  <CharactersWithSpaces>24130</CharactersWithSpaces>
  <SharedDoc>false</SharedDoc>
  <HLinks>
    <vt:vector size="12" baseType="variant">
      <vt:variant>
        <vt:i4>852061</vt:i4>
      </vt:variant>
      <vt:variant>
        <vt:i4>0</vt:i4>
      </vt:variant>
      <vt:variant>
        <vt:i4>0</vt:i4>
      </vt:variant>
      <vt:variant>
        <vt:i4>5</vt:i4>
      </vt:variant>
      <vt:variant>
        <vt:lpwstr>https://undp.unteamworks.org/node/369936</vt:lpwstr>
      </vt:variant>
      <vt:variant>
        <vt:lpwstr/>
      </vt:variant>
      <vt:variant>
        <vt:i4>1507453</vt:i4>
      </vt:variant>
      <vt:variant>
        <vt:i4>0</vt:i4>
      </vt:variant>
      <vt:variant>
        <vt:i4>0</vt:i4>
      </vt:variant>
      <vt:variant>
        <vt:i4>5</vt:i4>
      </vt:variant>
      <vt:variant>
        <vt:lpwstr>mailto:svetlana.yefimova@undp.org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Akiko Hasegawa</dc:creator>
  <cp:keywords/>
  <dc:description/>
  <cp:lastModifiedBy>Svetlana Iazykova</cp:lastModifiedBy>
  <cp:revision>2</cp:revision>
  <cp:lastPrinted>2019-07-19T17:14:00Z</cp:lastPrinted>
  <dcterms:created xsi:type="dcterms:W3CDTF">2021-07-23T09:28:00Z</dcterms:created>
  <dcterms:modified xsi:type="dcterms:W3CDTF">2021-07-23T09:28:00Z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0x01010047B930B21383BF46B0DDB2FF01270848</vt:lpwstr>
  </property>
</Properties>
</file>