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35E7" w14:textId="3D2EC2DF" w:rsidR="00DE7443" w:rsidRDefault="005B4952" w:rsidP="005B4952">
      <w:pPr>
        <w:rPr>
          <w:rFonts w:ascii="Times New Roman" w:hAnsi="Times New Roman" w:cs="Times New Roman"/>
          <w:b/>
          <w:bCs/>
          <w:sz w:val="26"/>
          <w:szCs w:val="26"/>
        </w:rPr>
      </w:pPr>
      <w:r w:rsidRPr="00C640A5">
        <w:rPr>
          <w:rFonts w:ascii="Times New Roman" w:hAnsi="Times New Roman" w:cs="Times New Roman"/>
          <w:b/>
          <w:bCs/>
          <w:sz w:val="26"/>
          <w:szCs w:val="26"/>
        </w:rPr>
        <w:t xml:space="preserve">Annex II </w:t>
      </w:r>
    </w:p>
    <w:p w14:paraId="34C00C66" w14:textId="74B88EF5" w:rsidR="005B4952" w:rsidRPr="00C640A5" w:rsidRDefault="0053294E" w:rsidP="005B4952">
      <w:pPr>
        <w:rPr>
          <w:rFonts w:ascii="Times New Roman" w:hAnsi="Times New Roman" w:cs="Times New Roman"/>
          <w:b/>
          <w:bCs/>
          <w:sz w:val="26"/>
          <w:szCs w:val="26"/>
        </w:rPr>
      </w:pPr>
      <w:r w:rsidRPr="00C640A5">
        <w:rPr>
          <w:rFonts w:ascii="Times New Roman" w:hAnsi="Times New Roman" w:cs="Times New Roman"/>
          <w:b/>
          <w:bCs/>
          <w:sz w:val="26"/>
          <w:szCs w:val="26"/>
        </w:rPr>
        <w:t xml:space="preserve">UNCDF Strategic Framework 2022 </w:t>
      </w:r>
      <w:r w:rsidR="00ED7A29" w:rsidRPr="00C640A5">
        <w:rPr>
          <w:rFonts w:ascii="Times New Roman" w:hAnsi="Times New Roman" w:cs="Times New Roman"/>
          <w:b/>
          <w:bCs/>
          <w:sz w:val="26"/>
          <w:szCs w:val="26"/>
        </w:rPr>
        <w:t>–</w:t>
      </w:r>
      <w:r w:rsidRPr="00C640A5">
        <w:rPr>
          <w:rFonts w:ascii="Times New Roman" w:hAnsi="Times New Roman" w:cs="Times New Roman"/>
          <w:b/>
          <w:bCs/>
          <w:sz w:val="26"/>
          <w:szCs w:val="26"/>
        </w:rPr>
        <w:t xml:space="preserve"> 2025</w:t>
      </w:r>
      <w:r w:rsidR="00ED7A29" w:rsidRPr="00C640A5">
        <w:rPr>
          <w:rFonts w:ascii="Times New Roman" w:hAnsi="Times New Roman" w:cs="Times New Roman"/>
          <w:b/>
          <w:bCs/>
          <w:sz w:val="26"/>
          <w:szCs w:val="26"/>
        </w:rPr>
        <w:t xml:space="preserve">: </w:t>
      </w:r>
      <w:r w:rsidR="005B4952" w:rsidRPr="00C640A5">
        <w:rPr>
          <w:rFonts w:ascii="Times New Roman" w:hAnsi="Times New Roman" w:cs="Times New Roman"/>
          <w:b/>
          <w:bCs/>
          <w:sz w:val="26"/>
          <w:szCs w:val="26"/>
        </w:rPr>
        <w:t>Resource Scenarios</w:t>
      </w:r>
    </w:p>
    <w:p w14:paraId="46A87647" w14:textId="77777777" w:rsidR="005B4952" w:rsidRDefault="005B4952" w:rsidP="005B4952"/>
    <w:p w14:paraId="3DC0C822" w14:textId="4AECAA0B" w:rsidR="005B4952" w:rsidRPr="005B4952" w:rsidRDefault="005B4952" w:rsidP="00686489">
      <w:pPr>
        <w:rPr>
          <w:rFonts w:ascii="Times New Roman" w:eastAsiaTheme="minorHAnsi" w:hAnsi="Times New Roman" w:cs="Times New Roman"/>
          <w:lang w:bidi="ar-SA"/>
        </w:rPr>
      </w:pPr>
      <w:r w:rsidRPr="005B4952">
        <w:rPr>
          <w:rFonts w:ascii="Times New Roman" w:hAnsi="Times New Roman" w:cs="Times New Roman"/>
        </w:rPr>
        <w:t xml:space="preserve">Section VI. of the Strategic Framework describes UNCDF’s funding architecture with </w:t>
      </w:r>
      <w:r w:rsidR="00D64EC7">
        <w:rPr>
          <w:rFonts w:ascii="Times New Roman" w:hAnsi="Times New Roman" w:cs="Times New Roman"/>
        </w:rPr>
        <w:t>regular resources (</w:t>
      </w:r>
      <w:r w:rsidRPr="005B4952">
        <w:rPr>
          <w:rFonts w:ascii="Times New Roman" w:hAnsi="Times New Roman" w:cs="Times New Roman"/>
        </w:rPr>
        <w:t>core</w:t>
      </w:r>
      <w:r w:rsidR="00D64EC7">
        <w:rPr>
          <w:rFonts w:ascii="Times New Roman" w:hAnsi="Times New Roman" w:cs="Times New Roman"/>
        </w:rPr>
        <w:t>)</w:t>
      </w:r>
      <w:r w:rsidRPr="005B4952">
        <w:rPr>
          <w:rFonts w:ascii="Times New Roman" w:hAnsi="Times New Roman" w:cs="Times New Roman"/>
        </w:rPr>
        <w:t xml:space="preserve">, </w:t>
      </w:r>
      <w:r w:rsidR="00A43B2D">
        <w:rPr>
          <w:rFonts w:ascii="Times New Roman" w:hAnsi="Times New Roman" w:cs="Times New Roman"/>
        </w:rPr>
        <w:t>other resources (</w:t>
      </w:r>
      <w:r w:rsidRPr="005B4952">
        <w:rPr>
          <w:rFonts w:ascii="Times New Roman" w:hAnsi="Times New Roman" w:cs="Times New Roman"/>
        </w:rPr>
        <w:t>non-core</w:t>
      </w:r>
      <w:r w:rsidR="00A43B2D">
        <w:rPr>
          <w:rFonts w:ascii="Times New Roman" w:hAnsi="Times New Roman" w:cs="Times New Roman"/>
        </w:rPr>
        <w:t>)</w:t>
      </w:r>
      <w:r w:rsidRPr="005B4952">
        <w:rPr>
          <w:rFonts w:ascii="Times New Roman" w:hAnsi="Times New Roman" w:cs="Times New Roman"/>
        </w:rPr>
        <w:t xml:space="preserve"> resources</w:t>
      </w:r>
      <w:r w:rsidR="009F4E05">
        <w:rPr>
          <w:rFonts w:ascii="Times New Roman" w:hAnsi="Times New Roman" w:cs="Times New Roman"/>
        </w:rPr>
        <w:t xml:space="preserve">, comprising flexible other resources and earmarked </w:t>
      </w:r>
      <w:r w:rsidR="00901ED8">
        <w:rPr>
          <w:rFonts w:ascii="Times New Roman" w:hAnsi="Times New Roman" w:cs="Times New Roman"/>
        </w:rPr>
        <w:t>other resources</w:t>
      </w:r>
      <w:r w:rsidRPr="005B4952">
        <w:rPr>
          <w:rFonts w:ascii="Times New Roman" w:hAnsi="Times New Roman" w:cs="Times New Roman"/>
        </w:rPr>
        <w:t xml:space="preserve">. </w:t>
      </w:r>
    </w:p>
    <w:p w14:paraId="27CAA8A7" w14:textId="77777777" w:rsidR="005B4952" w:rsidRPr="005B4952" w:rsidRDefault="005B4952" w:rsidP="00686489">
      <w:pPr>
        <w:rPr>
          <w:rFonts w:ascii="Times New Roman" w:hAnsi="Times New Roman" w:cs="Times New Roman"/>
        </w:rPr>
      </w:pPr>
    </w:p>
    <w:p w14:paraId="4F362643" w14:textId="45EF391C" w:rsidR="00FA0AA9" w:rsidRDefault="00C528FD" w:rsidP="00686489">
      <w:pPr>
        <w:rPr>
          <w:rFonts w:ascii="Times New Roman" w:hAnsi="Times New Roman" w:cs="Times New Roman"/>
        </w:rPr>
      </w:pPr>
      <w:r>
        <w:rPr>
          <w:rFonts w:ascii="Times New Roman" w:hAnsi="Times New Roman" w:cs="Times New Roman"/>
        </w:rPr>
        <w:t>T</w:t>
      </w:r>
      <w:r w:rsidR="00FA0AA9">
        <w:rPr>
          <w:rFonts w:ascii="Times New Roman" w:hAnsi="Times New Roman" w:cs="Times New Roman"/>
        </w:rPr>
        <w:t xml:space="preserve">he evaluation of </w:t>
      </w:r>
      <w:r>
        <w:rPr>
          <w:rFonts w:ascii="Times New Roman" w:hAnsi="Times New Roman" w:cs="Times New Roman"/>
        </w:rPr>
        <w:t>UNCDF</w:t>
      </w:r>
      <w:r w:rsidR="00297F11">
        <w:rPr>
          <w:rFonts w:ascii="Times New Roman" w:hAnsi="Times New Roman" w:cs="Times New Roman"/>
        </w:rPr>
        <w:t>’s</w:t>
      </w:r>
      <w:r>
        <w:rPr>
          <w:rFonts w:ascii="Times New Roman" w:hAnsi="Times New Roman" w:cs="Times New Roman"/>
        </w:rPr>
        <w:t xml:space="preserve"> Strategic Framework </w:t>
      </w:r>
      <w:r w:rsidR="00FA0AA9">
        <w:rPr>
          <w:rFonts w:ascii="Times New Roman" w:hAnsi="Times New Roman" w:cs="Times New Roman"/>
        </w:rPr>
        <w:t>2018-2021 highlight</w:t>
      </w:r>
      <w:r>
        <w:rPr>
          <w:rFonts w:ascii="Times New Roman" w:hAnsi="Times New Roman" w:cs="Times New Roman"/>
        </w:rPr>
        <w:t>ed</w:t>
      </w:r>
      <w:r w:rsidR="00FA0AA9">
        <w:rPr>
          <w:rFonts w:ascii="Times New Roman" w:hAnsi="Times New Roman" w:cs="Times New Roman"/>
        </w:rPr>
        <w:t xml:space="preserve"> </w:t>
      </w:r>
      <w:r w:rsidR="000452AF">
        <w:rPr>
          <w:rFonts w:ascii="Times New Roman" w:hAnsi="Times New Roman" w:cs="Times New Roman"/>
        </w:rPr>
        <w:t xml:space="preserve">that a more cohesive </w:t>
      </w:r>
      <w:r w:rsidR="00C022E3">
        <w:rPr>
          <w:rFonts w:ascii="Times New Roman" w:hAnsi="Times New Roman" w:cs="Times New Roman"/>
        </w:rPr>
        <w:t xml:space="preserve">overarching </w:t>
      </w:r>
      <w:r w:rsidR="000452AF">
        <w:rPr>
          <w:rFonts w:ascii="Times New Roman" w:hAnsi="Times New Roman" w:cs="Times New Roman"/>
        </w:rPr>
        <w:t xml:space="preserve">strategy driving institutional funding and resource mobilization </w:t>
      </w:r>
      <w:r w:rsidR="00A05D09">
        <w:rPr>
          <w:rFonts w:ascii="Times New Roman" w:hAnsi="Times New Roman" w:cs="Times New Roman"/>
        </w:rPr>
        <w:t>w</w:t>
      </w:r>
      <w:r w:rsidR="000452AF">
        <w:rPr>
          <w:rFonts w:ascii="Times New Roman" w:hAnsi="Times New Roman" w:cs="Times New Roman"/>
        </w:rPr>
        <w:t xml:space="preserve">ould </w:t>
      </w:r>
      <w:r w:rsidR="007D0872">
        <w:rPr>
          <w:rFonts w:ascii="Times New Roman" w:hAnsi="Times New Roman" w:cs="Times New Roman"/>
        </w:rPr>
        <w:t xml:space="preserve">have </w:t>
      </w:r>
      <w:r w:rsidR="000452AF">
        <w:rPr>
          <w:rFonts w:ascii="Times New Roman" w:hAnsi="Times New Roman" w:cs="Times New Roman"/>
        </w:rPr>
        <w:t>allow</w:t>
      </w:r>
      <w:r w:rsidR="007D0872">
        <w:rPr>
          <w:rFonts w:ascii="Times New Roman" w:hAnsi="Times New Roman" w:cs="Times New Roman"/>
        </w:rPr>
        <w:t>ed</w:t>
      </w:r>
      <w:r w:rsidR="000452AF">
        <w:rPr>
          <w:rFonts w:ascii="Times New Roman" w:hAnsi="Times New Roman" w:cs="Times New Roman"/>
        </w:rPr>
        <w:t xml:space="preserve"> UNCDF to </w:t>
      </w:r>
      <w:r w:rsidR="00A05D09">
        <w:rPr>
          <w:rFonts w:ascii="Times New Roman" w:hAnsi="Times New Roman" w:cs="Times New Roman"/>
        </w:rPr>
        <w:t xml:space="preserve">create efficiencies and synergies to </w:t>
      </w:r>
      <w:r w:rsidR="00424482">
        <w:rPr>
          <w:rFonts w:ascii="Times New Roman" w:hAnsi="Times New Roman" w:cs="Times New Roman"/>
        </w:rPr>
        <w:t xml:space="preserve">make further progress in achieving </w:t>
      </w:r>
      <w:r w:rsidR="00A85B9B">
        <w:rPr>
          <w:rFonts w:ascii="Times New Roman" w:hAnsi="Times New Roman" w:cs="Times New Roman"/>
        </w:rPr>
        <w:t>the ideal</w:t>
      </w:r>
      <w:r w:rsidR="00424482">
        <w:rPr>
          <w:rFonts w:ascii="Times New Roman" w:hAnsi="Times New Roman" w:cs="Times New Roman"/>
        </w:rPr>
        <w:t xml:space="preserve"> resources to results scenario, especially for core resources and the one-time capitalization of the BRIDGE Facility</w:t>
      </w:r>
      <w:r w:rsidR="00661612">
        <w:rPr>
          <w:rFonts w:ascii="Times New Roman" w:hAnsi="Times New Roman" w:cs="Times New Roman"/>
        </w:rPr>
        <w:t xml:space="preserve"> (previously known as the LDC Investment Fund</w:t>
      </w:r>
      <w:r w:rsidR="00424482">
        <w:rPr>
          <w:rFonts w:ascii="Times New Roman" w:hAnsi="Times New Roman" w:cs="Times New Roman"/>
        </w:rPr>
        <w:t xml:space="preserve">). </w:t>
      </w:r>
      <w:r w:rsidR="007728AE">
        <w:rPr>
          <w:rFonts w:ascii="Times New Roman" w:hAnsi="Times New Roman" w:cs="Times New Roman"/>
        </w:rPr>
        <w:t>Subsequently, and i</w:t>
      </w:r>
      <w:r w:rsidR="00FA0AA9">
        <w:rPr>
          <w:rFonts w:ascii="Times New Roman" w:hAnsi="Times New Roman" w:cs="Times New Roman"/>
        </w:rPr>
        <w:t>n line with the management response to th</w:t>
      </w:r>
      <w:r w:rsidR="00A05D09">
        <w:rPr>
          <w:rFonts w:ascii="Times New Roman" w:hAnsi="Times New Roman" w:cs="Times New Roman"/>
        </w:rPr>
        <w:t>is</w:t>
      </w:r>
      <w:r w:rsidR="00FA0AA9">
        <w:rPr>
          <w:rFonts w:ascii="Times New Roman" w:hAnsi="Times New Roman" w:cs="Times New Roman"/>
        </w:rPr>
        <w:t xml:space="preserve"> evaluation, UNCDF has </w:t>
      </w:r>
      <w:r w:rsidR="00424482">
        <w:rPr>
          <w:rFonts w:ascii="Times New Roman" w:hAnsi="Times New Roman" w:cs="Times New Roman"/>
        </w:rPr>
        <w:t xml:space="preserve">established </w:t>
      </w:r>
      <w:r w:rsidR="00FA0AA9">
        <w:rPr>
          <w:rFonts w:ascii="Times New Roman" w:hAnsi="Times New Roman" w:cs="Times New Roman"/>
        </w:rPr>
        <w:t xml:space="preserve">a resource mobilization task force that will </w:t>
      </w:r>
      <w:r w:rsidR="00DE3870">
        <w:rPr>
          <w:rFonts w:ascii="Times New Roman" w:hAnsi="Times New Roman" w:cs="Times New Roman"/>
        </w:rPr>
        <w:t>develop</w:t>
      </w:r>
      <w:r w:rsidR="00FA0AA9">
        <w:rPr>
          <w:rFonts w:ascii="Times New Roman" w:hAnsi="Times New Roman" w:cs="Times New Roman"/>
        </w:rPr>
        <w:t xml:space="preserve"> the following</w:t>
      </w:r>
      <w:r w:rsidR="00DE3870">
        <w:rPr>
          <w:rFonts w:ascii="Times New Roman" w:hAnsi="Times New Roman" w:cs="Times New Roman"/>
        </w:rPr>
        <w:t xml:space="preserve"> elements to achiev</w:t>
      </w:r>
      <w:r w:rsidR="00E638DE">
        <w:rPr>
          <w:rFonts w:ascii="Times New Roman" w:hAnsi="Times New Roman" w:cs="Times New Roman"/>
        </w:rPr>
        <w:t>e</w:t>
      </w:r>
      <w:r w:rsidR="00DE3870">
        <w:rPr>
          <w:rFonts w:ascii="Times New Roman" w:hAnsi="Times New Roman" w:cs="Times New Roman"/>
        </w:rPr>
        <w:t xml:space="preserve"> the </w:t>
      </w:r>
      <w:r w:rsidR="00BF34D5">
        <w:rPr>
          <w:rFonts w:ascii="Times New Roman" w:hAnsi="Times New Roman" w:cs="Times New Roman"/>
        </w:rPr>
        <w:t>below</w:t>
      </w:r>
      <w:r w:rsidR="00DE3870">
        <w:rPr>
          <w:rFonts w:ascii="Times New Roman" w:hAnsi="Times New Roman" w:cs="Times New Roman"/>
        </w:rPr>
        <w:t xml:space="preserve"> resource scenarios</w:t>
      </w:r>
      <w:r w:rsidR="00FA0AA9">
        <w:rPr>
          <w:rFonts w:ascii="Times New Roman" w:hAnsi="Times New Roman" w:cs="Times New Roman"/>
        </w:rPr>
        <w:t>:</w:t>
      </w:r>
    </w:p>
    <w:p w14:paraId="76301C2F" w14:textId="77777777" w:rsidR="00CE1858" w:rsidRDefault="00CE1858" w:rsidP="00686489">
      <w:pPr>
        <w:rPr>
          <w:rFonts w:ascii="Times New Roman" w:hAnsi="Times New Roman" w:cs="Times New Roman"/>
        </w:rPr>
      </w:pPr>
    </w:p>
    <w:p w14:paraId="033BF4C1" w14:textId="226DA2A4" w:rsidR="00FA0AA9" w:rsidRDefault="00317A3A" w:rsidP="00FA0AA9">
      <w:pPr>
        <w:pStyle w:val="ListParagraph"/>
        <w:numPr>
          <w:ilvl w:val="0"/>
          <w:numId w:val="3"/>
        </w:numPr>
        <w:rPr>
          <w:rFonts w:ascii="Times New Roman" w:hAnsi="Times New Roman" w:cs="Times New Roman"/>
        </w:rPr>
      </w:pPr>
      <w:r>
        <w:rPr>
          <w:rFonts w:ascii="Times New Roman" w:hAnsi="Times New Roman" w:cs="Times New Roman"/>
        </w:rPr>
        <w:t xml:space="preserve">A </w:t>
      </w:r>
      <w:r w:rsidR="00FA0AA9">
        <w:rPr>
          <w:rFonts w:ascii="Times New Roman" w:hAnsi="Times New Roman" w:cs="Times New Roman"/>
        </w:rPr>
        <w:t>UNCDF business plan</w:t>
      </w:r>
      <w:r w:rsidR="00A7559E">
        <w:rPr>
          <w:rFonts w:ascii="Times New Roman" w:hAnsi="Times New Roman" w:cs="Times New Roman"/>
        </w:rPr>
        <w:t>, which</w:t>
      </w:r>
      <w:r w:rsidR="00FA0AA9">
        <w:rPr>
          <w:rFonts w:ascii="Times New Roman" w:hAnsi="Times New Roman" w:cs="Times New Roman"/>
        </w:rPr>
        <w:t xml:space="preserve"> will align the </w:t>
      </w:r>
      <w:r w:rsidR="00515C2F">
        <w:rPr>
          <w:rFonts w:ascii="Times New Roman" w:hAnsi="Times New Roman" w:cs="Times New Roman"/>
        </w:rPr>
        <w:t>Integrated Results and Resources M</w:t>
      </w:r>
      <w:r w:rsidR="00C022E3">
        <w:rPr>
          <w:rFonts w:ascii="Times New Roman" w:hAnsi="Times New Roman" w:cs="Times New Roman"/>
        </w:rPr>
        <w:t xml:space="preserve">atrix </w:t>
      </w:r>
      <w:r w:rsidR="00700B47">
        <w:rPr>
          <w:rFonts w:ascii="Times New Roman" w:hAnsi="Times New Roman" w:cs="Times New Roman"/>
        </w:rPr>
        <w:t xml:space="preserve">(IRRM) </w:t>
      </w:r>
      <w:r w:rsidR="00A05D09">
        <w:rPr>
          <w:rFonts w:ascii="Times New Roman" w:hAnsi="Times New Roman" w:cs="Times New Roman"/>
        </w:rPr>
        <w:t xml:space="preserve">with </w:t>
      </w:r>
      <w:r w:rsidR="00B71793">
        <w:rPr>
          <w:rFonts w:ascii="Times New Roman" w:hAnsi="Times New Roman" w:cs="Times New Roman"/>
        </w:rPr>
        <w:t xml:space="preserve">consolidated programme </w:t>
      </w:r>
      <w:r w:rsidR="004B20B7">
        <w:rPr>
          <w:rFonts w:ascii="Times New Roman" w:hAnsi="Times New Roman" w:cs="Times New Roman"/>
        </w:rPr>
        <w:t xml:space="preserve">and corporate </w:t>
      </w:r>
      <w:r w:rsidR="00FA0AA9">
        <w:rPr>
          <w:rFonts w:ascii="Times New Roman" w:hAnsi="Times New Roman" w:cs="Times New Roman"/>
        </w:rPr>
        <w:t>resource requirements</w:t>
      </w:r>
      <w:r w:rsidR="00A05D09">
        <w:rPr>
          <w:rFonts w:ascii="Times New Roman" w:hAnsi="Times New Roman" w:cs="Times New Roman"/>
        </w:rPr>
        <w:t xml:space="preserve">. </w:t>
      </w:r>
      <w:r w:rsidR="006E4D79">
        <w:rPr>
          <w:rFonts w:ascii="Times New Roman" w:hAnsi="Times New Roman" w:cs="Times New Roman"/>
        </w:rPr>
        <w:t xml:space="preserve">The </w:t>
      </w:r>
      <w:r w:rsidR="006D139C">
        <w:rPr>
          <w:rFonts w:ascii="Times New Roman" w:hAnsi="Times New Roman" w:cs="Times New Roman"/>
        </w:rPr>
        <w:t xml:space="preserve">resource </w:t>
      </w:r>
      <w:r w:rsidR="006E4D79">
        <w:rPr>
          <w:rFonts w:ascii="Times New Roman" w:hAnsi="Times New Roman" w:cs="Times New Roman"/>
        </w:rPr>
        <w:t xml:space="preserve">scenarios </w:t>
      </w:r>
      <w:r w:rsidR="006D139C">
        <w:rPr>
          <w:rFonts w:ascii="Times New Roman" w:hAnsi="Times New Roman" w:cs="Times New Roman"/>
        </w:rPr>
        <w:t xml:space="preserve">below </w:t>
      </w:r>
      <w:r w:rsidR="006E4D79">
        <w:rPr>
          <w:rFonts w:ascii="Times New Roman" w:hAnsi="Times New Roman" w:cs="Times New Roman"/>
        </w:rPr>
        <w:t>have been defined as a result of p</w:t>
      </w:r>
      <w:r w:rsidR="00A05D09">
        <w:rPr>
          <w:rFonts w:ascii="Times New Roman" w:hAnsi="Times New Roman" w:cs="Times New Roman"/>
        </w:rPr>
        <w:t xml:space="preserve">reliminary business planning </w:t>
      </w:r>
      <w:r w:rsidR="006E4D79">
        <w:rPr>
          <w:rFonts w:ascii="Times New Roman" w:hAnsi="Times New Roman" w:cs="Times New Roman"/>
        </w:rPr>
        <w:t xml:space="preserve">that </w:t>
      </w:r>
      <w:r w:rsidR="00D41E88">
        <w:rPr>
          <w:rFonts w:ascii="Times New Roman" w:hAnsi="Times New Roman" w:cs="Times New Roman"/>
        </w:rPr>
        <w:t>show</w:t>
      </w:r>
      <w:r w:rsidR="001F1072">
        <w:rPr>
          <w:rFonts w:ascii="Times New Roman" w:hAnsi="Times New Roman" w:cs="Times New Roman"/>
        </w:rPr>
        <w:t>s</w:t>
      </w:r>
      <w:r w:rsidR="00A05D09">
        <w:rPr>
          <w:rFonts w:ascii="Times New Roman" w:hAnsi="Times New Roman" w:cs="Times New Roman"/>
        </w:rPr>
        <w:t xml:space="preserve"> growth potential for UNCDF</w:t>
      </w:r>
      <w:r w:rsidR="00515C2F">
        <w:rPr>
          <w:rFonts w:ascii="Times New Roman" w:hAnsi="Times New Roman" w:cs="Times New Roman"/>
        </w:rPr>
        <w:t xml:space="preserve"> programming </w:t>
      </w:r>
      <w:r w:rsidR="00E1389B">
        <w:rPr>
          <w:rFonts w:ascii="Times New Roman" w:hAnsi="Times New Roman" w:cs="Times New Roman"/>
        </w:rPr>
        <w:t xml:space="preserve">based on </w:t>
      </w:r>
      <w:r w:rsidR="00BD1F72">
        <w:rPr>
          <w:rFonts w:ascii="Times New Roman" w:hAnsi="Times New Roman" w:cs="Times New Roman"/>
        </w:rPr>
        <w:t>increasing demands from LDCs</w:t>
      </w:r>
      <w:r w:rsidR="001E1E86">
        <w:rPr>
          <w:rFonts w:ascii="Times New Roman" w:hAnsi="Times New Roman" w:cs="Times New Roman"/>
        </w:rPr>
        <w:t xml:space="preserve"> </w:t>
      </w:r>
      <w:r w:rsidR="00853CED">
        <w:rPr>
          <w:rFonts w:ascii="Times New Roman" w:hAnsi="Times New Roman" w:cs="Times New Roman"/>
        </w:rPr>
        <w:t xml:space="preserve">and </w:t>
      </w:r>
      <w:r w:rsidR="0025555D">
        <w:rPr>
          <w:rFonts w:ascii="Times New Roman" w:hAnsi="Times New Roman" w:cs="Times New Roman"/>
        </w:rPr>
        <w:t xml:space="preserve">strengthened </w:t>
      </w:r>
      <w:r w:rsidR="001E1E86">
        <w:rPr>
          <w:rFonts w:ascii="Times New Roman" w:hAnsi="Times New Roman" w:cs="Times New Roman"/>
        </w:rPr>
        <w:t xml:space="preserve">alignment with priorities of </w:t>
      </w:r>
      <w:r w:rsidR="00515C2F" w:rsidRPr="00C640A5">
        <w:rPr>
          <w:rFonts w:ascii="Times New Roman" w:hAnsi="Times New Roman" w:cs="Times New Roman"/>
        </w:rPr>
        <w:t xml:space="preserve">funding </w:t>
      </w:r>
      <w:r w:rsidR="00112519">
        <w:rPr>
          <w:rFonts w:ascii="Times New Roman" w:hAnsi="Times New Roman" w:cs="Times New Roman"/>
        </w:rPr>
        <w:t xml:space="preserve">and other </w:t>
      </w:r>
      <w:r w:rsidR="00515C2F" w:rsidRPr="00C640A5">
        <w:rPr>
          <w:rFonts w:ascii="Times New Roman" w:hAnsi="Times New Roman" w:cs="Times New Roman"/>
        </w:rPr>
        <w:t>partners</w:t>
      </w:r>
      <w:r w:rsidR="00515C2F" w:rsidRPr="00580B45">
        <w:rPr>
          <w:rFonts w:ascii="Times New Roman" w:hAnsi="Times New Roman" w:cs="Times New Roman"/>
        </w:rPr>
        <w:t xml:space="preserve">. </w:t>
      </w:r>
    </w:p>
    <w:p w14:paraId="750EC22F" w14:textId="576733FA" w:rsidR="00FA0AA9" w:rsidRDefault="006E4D79" w:rsidP="00FA0AA9">
      <w:pPr>
        <w:pStyle w:val="ListParagraph"/>
        <w:numPr>
          <w:ilvl w:val="0"/>
          <w:numId w:val="3"/>
        </w:numPr>
        <w:rPr>
          <w:rFonts w:ascii="Times New Roman" w:hAnsi="Times New Roman" w:cs="Times New Roman"/>
        </w:rPr>
      </w:pPr>
      <w:r>
        <w:rPr>
          <w:rFonts w:ascii="Times New Roman" w:hAnsi="Times New Roman" w:cs="Times New Roman"/>
        </w:rPr>
        <w:t>A corporate-wide r</w:t>
      </w:r>
      <w:r w:rsidR="00FA0AA9">
        <w:rPr>
          <w:rFonts w:ascii="Times New Roman" w:hAnsi="Times New Roman" w:cs="Times New Roman"/>
        </w:rPr>
        <w:t xml:space="preserve">esource mobilization strategy to ensure </w:t>
      </w:r>
      <w:r w:rsidR="00515C2F">
        <w:rPr>
          <w:rFonts w:ascii="Times New Roman" w:hAnsi="Times New Roman" w:cs="Times New Roman"/>
        </w:rPr>
        <w:t xml:space="preserve">enhanced </w:t>
      </w:r>
      <w:r w:rsidR="00A77E3F">
        <w:rPr>
          <w:rFonts w:ascii="Times New Roman" w:hAnsi="Times New Roman" w:cs="Times New Roman"/>
        </w:rPr>
        <w:t xml:space="preserve">internal </w:t>
      </w:r>
      <w:r w:rsidR="00FA0AA9">
        <w:rPr>
          <w:rFonts w:ascii="Times New Roman" w:hAnsi="Times New Roman" w:cs="Times New Roman"/>
        </w:rPr>
        <w:t>co-ordination</w:t>
      </w:r>
      <w:r w:rsidR="00515C2F">
        <w:rPr>
          <w:rFonts w:ascii="Times New Roman" w:hAnsi="Times New Roman" w:cs="Times New Roman"/>
        </w:rPr>
        <w:t>, collaboration and</w:t>
      </w:r>
      <w:r w:rsidR="00FA0AA9">
        <w:rPr>
          <w:rFonts w:ascii="Times New Roman" w:hAnsi="Times New Roman" w:cs="Times New Roman"/>
        </w:rPr>
        <w:t xml:space="preserve"> cohesion </w:t>
      </w:r>
      <w:r w:rsidR="00515C2F">
        <w:rPr>
          <w:rFonts w:ascii="Times New Roman" w:hAnsi="Times New Roman" w:cs="Times New Roman"/>
        </w:rPr>
        <w:t xml:space="preserve">in the efforts </w:t>
      </w:r>
      <w:r w:rsidR="00FA0AA9">
        <w:rPr>
          <w:rFonts w:ascii="Times New Roman" w:hAnsi="Times New Roman" w:cs="Times New Roman"/>
        </w:rPr>
        <w:t xml:space="preserve">to </w:t>
      </w:r>
      <w:r w:rsidR="007B34CC">
        <w:rPr>
          <w:rFonts w:ascii="Times New Roman" w:hAnsi="Times New Roman" w:cs="Times New Roman"/>
        </w:rPr>
        <w:t xml:space="preserve">mobilize resources </w:t>
      </w:r>
      <w:r w:rsidR="00A77E3F">
        <w:rPr>
          <w:rFonts w:ascii="Times New Roman" w:hAnsi="Times New Roman" w:cs="Times New Roman"/>
        </w:rPr>
        <w:t xml:space="preserve">needed </w:t>
      </w:r>
      <w:r w:rsidR="00ED736C">
        <w:rPr>
          <w:rFonts w:ascii="Times New Roman" w:hAnsi="Times New Roman" w:cs="Times New Roman"/>
        </w:rPr>
        <w:t xml:space="preserve">to </w:t>
      </w:r>
      <w:r w:rsidR="00FA0AA9">
        <w:rPr>
          <w:rFonts w:ascii="Times New Roman" w:hAnsi="Times New Roman" w:cs="Times New Roman"/>
        </w:rPr>
        <w:t xml:space="preserve">meet the </w:t>
      </w:r>
      <w:r w:rsidR="00515C2F">
        <w:rPr>
          <w:rFonts w:ascii="Times New Roman" w:hAnsi="Times New Roman" w:cs="Times New Roman"/>
        </w:rPr>
        <w:t xml:space="preserve">objectives and results laid out in the Strategic Framework and </w:t>
      </w:r>
      <w:r w:rsidR="00FA0AA9">
        <w:rPr>
          <w:rFonts w:ascii="Times New Roman" w:hAnsi="Times New Roman" w:cs="Times New Roman"/>
        </w:rPr>
        <w:t>the IRRM.</w:t>
      </w:r>
    </w:p>
    <w:p w14:paraId="7532F0FC" w14:textId="77777777" w:rsidR="0099575B" w:rsidRDefault="0099575B" w:rsidP="00C640A5">
      <w:pPr>
        <w:pStyle w:val="ListParagraph"/>
        <w:ind w:left="360"/>
      </w:pPr>
    </w:p>
    <w:tbl>
      <w:tblPr>
        <w:tblW w:w="8993" w:type="dxa"/>
        <w:tblInd w:w="-3" w:type="dxa"/>
        <w:tblCellMar>
          <w:left w:w="0" w:type="dxa"/>
          <w:right w:w="0" w:type="dxa"/>
        </w:tblCellMar>
        <w:tblLook w:val="04A0" w:firstRow="1" w:lastRow="0" w:firstColumn="1" w:lastColumn="0" w:noHBand="0" w:noVBand="1"/>
      </w:tblPr>
      <w:tblGrid>
        <w:gridCol w:w="2963"/>
        <w:gridCol w:w="1980"/>
        <w:gridCol w:w="2070"/>
        <w:gridCol w:w="1980"/>
      </w:tblGrid>
      <w:tr w:rsidR="0099575B" w:rsidRPr="00B747C8" w14:paraId="09671EF9" w14:textId="77777777" w:rsidTr="00A748D6">
        <w:trPr>
          <w:trHeight w:val="285"/>
        </w:trPr>
        <w:tc>
          <w:tcPr>
            <w:tcW w:w="2963" w:type="dxa"/>
            <w:tcBorders>
              <w:top w:val="single" w:sz="8" w:space="0" w:color="auto"/>
              <w:left w:val="single" w:sz="8" w:space="0" w:color="auto"/>
              <w:bottom w:val="single" w:sz="8" w:space="0" w:color="auto"/>
              <w:right w:val="single" w:sz="8" w:space="0" w:color="auto"/>
            </w:tcBorders>
            <w:shd w:val="clear" w:color="auto" w:fill="2F5496" w:themeFill="accent1" w:themeFillShade="BF"/>
            <w:noWrap/>
            <w:tcMar>
              <w:top w:w="0" w:type="dxa"/>
              <w:left w:w="108" w:type="dxa"/>
              <w:bottom w:w="0" w:type="dxa"/>
              <w:right w:w="108" w:type="dxa"/>
            </w:tcMar>
            <w:vAlign w:val="bottom"/>
            <w:hideMark/>
          </w:tcPr>
          <w:p w14:paraId="3E53E66A" w14:textId="77777777" w:rsidR="0099575B" w:rsidRPr="00B747C8" w:rsidRDefault="0099575B" w:rsidP="00A748D6">
            <w:pPr>
              <w:tabs>
                <w:tab w:val="left" w:pos="1080"/>
              </w:tabs>
              <w:spacing w:after="120"/>
              <w:rPr>
                <w:rFonts w:asciiTheme="minorHAnsi" w:eastAsiaTheme="minorHAnsi" w:hAnsiTheme="minorHAnsi" w:cstheme="minorHAnsi"/>
                <w:b/>
                <w:bCs/>
                <w:color w:val="FFFFFF" w:themeColor="background1"/>
              </w:rPr>
            </w:pPr>
            <w:r w:rsidRPr="00B747C8">
              <w:rPr>
                <w:rFonts w:asciiTheme="minorHAnsi" w:hAnsiTheme="minorHAnsi" w:cstheme="minorHAnsi"/>
                <w:b/>
                <w:bCs/>
                <w:color w:val="FFFFFF" w:themeColor="background1"/>
              </w:rPr>
              <w:t>Scenarios</w:t>
            </w:r>
          </w:p>
        </w:tc>
        <w:tc>
          <w:tcPr>
            <w:tcW w:w="1980" w:type="dxa"/>
            <w:tcBorders>
              <w:top w:val="single" w:sz="8" w:space="0" w:color="auto"/>
              <w:left w:val="nil"/>
              <w:bottom w:val="single" w:sz="8" w:space="0" w:color="auto"/>
              <w:right w:val="single" w:sz="8" w:space="0" w:color="auto"/>
            </w:tcBorders>
            <w:shd w:val="clear" w:color="auto" w:fill="2F5496" w:themeFill="accent1" w:themeFillShade="BF"/>
            <w:noWrap/>
            <w:tcMar>
              <w:top w:w="0" w:type="dxa"/>
              <w:left w:w="108" w:type="dxa"/>
              <w:bottom w:w="0" w:type="dxa"/>
              <w:right w:w="108" w:type="dxa"/>
            </w:tcMar>
            <w:vAlign w:val="bottom"/>
            <w:hideMark/>
          </w:tcPr>
          <w:p w14:paraId="33BB3585" w14:textId="77777777" w:rsidR="0099575B" w:rsidRPr="00B747C8" w:rsidRDefault="0099575B" w:rsidP="00A748D6">
            <w:pPr>
              <w:tabs>
                <w:tab w:val="left" w:pos="1080"/>
              </w:tabs>
              <w:spacing w:after="120"/>
              <w:rPr>
                <w:rFonts w:asciiTheme="minorHAnsi" w:hAnsiTheme="minorHAnsi" w:cstheme="minorHAnsi"/>
                <w:b/>
                <w:bCs/>
                <w:color w:val="FFFFFF" w:themeColor="background1"/>
              </w:rPr>
            </w:pPr>
            <w:r w:rsidRPr="00B747C8">
              <w:rPr>
                <w:rFonts w:asciiTheme="minorHAnsi" w:hAnsiTheme="minorHAnsi" w:cstheme="minorHAnsi"/>
                <w:b/>
                <w:bCs/>
                <w:color w:val="FFFFFF" w:themeColor="background1"/>
              </w:rPr>
              <w:t xml:space="preserve">Base </w:t>
            </w:r>
            <w:r>
              <w:rPr>
                <w:rFonts w:asciiTheme="minorHAnsi" w:hAnsiTheme="minorHAnsi" w:cstheme="minorHAnsi"/>
                <w:b/>
                <w:bCs/>
                <w:color w:val="FFFFFF" w:themeColor="background1"/>
              </w:rPr>
              <w:t>Growth</w:t>
            </w:r>
          </w:p>
        </w:tc>
        <w:tc>
          <w:tcPr>
            <w:tcW w:w="2070" w:type="dxa"/>
            <w:tcBorders>
              <w:top w:val="single" w:sz="8" w:space="0" w:color="auto"/>
              <w:left w:val="nil"/>
              <w:bottom w:val="single" w:sz="8" w:space="0" w:color="auto"/>
              <w:right w:val="single" w:sz="8" w:space="0" w:color="auto"/>
            </w:tcBorders>
            <w:shd w:val="clear" w:color="auto" w:fill="2F5496" w:themeFill="accent1" w:themeFillShade="BF"/>
            <w:noWrap/>
            <w:tcMar>
              <w:top w:w="0" w:type="dxa"/>
              <w:left w:w="108" w:type="dxa"/>
              <w:bottom w:w="0" w:type="dxa"/>
              <w:right w:w="108" w:type="dxa"/>
            </w:tcMar>
            <w:vAlign w:val="bottom"/>
            <w:hideMark/>
          </w:tcPr>
          <w:p w14:paraId="3000EDF5" w14:textId="77777777" w:rsidR="0099575B" w:rsidRPr="00B747C8" w:rsidRDefault="0099575B" w:rsidP="00A748D6">
            <w:pPr>
              <w:tabs>
                <w:tab w:val="left" w:pos="1080"/>
              </w:tabs>
              <w:spacing w:after="120"/>
              <w:rPr>
                <w:rFonts w:asciiTheme="minorHAnsi" w:hAnsiTheme="minorHAnsi" w:cstheme="minorHAnsi"/>
                <w:b/>
                <w:bCs/>
                <w:color w:val="FFFFFF" w:themeColor="background1"/>
              </w:rPr>
            </w:pPr>
            <w:r>
              <w:rPr>
                <w:rFonts w:asciiTheme="minorHAnsi" w:hAnsiTheme="minorHAnsi" w:cstheme="minorHAnsi"/>
                <w:b/>
                <w:bCs/>
                <w:color w:val="FFFFFF" w:themeColor="background1"/>
              </w:rPr>
              <w:t>Ideal</w:t>
            </w:r>
            <w:r w:rsidRPr="00B747C8">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G</w:t>
            </w:r>
            <w:r w:rsidRPr="00B747C8">
              <w:rPr>
                <w:rFonts w:asciiTheme="minorHAnsi" w:hAnsiTheme="minorHAnsi" w:cstheme="minorHAnsi"/>
                <w:b/>
                <w:bCs/>
                <w:color w:val="FFFFFF" w:themeColor="background1"/>
              </w:rPr>
              <w:t xml:space="preserve">rowth </w:t>
            </w:r>
          </w:p>
        </w:tc>
        <w:tc>
          <w:tcPr>
            <w:tcW w:w="1980" w:type="dxa"/>
            <w:tcBorders>
              <w:top w:val="single" w:sz="8" w:space="0" w:color="auto"/>
              <w:left w:val="nil"/>
              <w:bottom w:val="single" w:sz="8" w:space="0" w:color="auto"/>
              <w:right w:val="single" w:sz="8" w:space="0" w:color="auto"/>
            </w:tcBorders>
            <w:shd w:val="clear" w:color="auto" w:fill="2F5496" w:themeFill="accent1" w:themeFillShade="BF"/>
            <w:noWrap/>
            <w:tcMar>
              <w:top w:w="0" w:type="dxa"/>
              <w:left w:w="108" w:type="dxa"/>
              <w:bottom w:w="0" w:type="dxa"/>
              <w:right w:w="108" w:type="dxa"/>
            </w:tcMar>
            <w:vAlign w:val="bottom"/>
            <w:hideMark/>
          </w:tcPr>
          <w:p w14:paraId="2EB5A426" w14:textId="77777777" w:rsidR="0099575B" w:rsidRPr="00B747C8" w:rsidRDefault="0099575B" w:rsidP="00A748D6">
            <w:pPr>
              <w:tabs>
                <w:tab w:val="left" w:pos="1080"/>
              </w:tabs>
              <w:spacing w:after="120"/>
              <w:rPr>
                <w:rFonts w:asciiTheme="minorHAnsi" w:hAnsiTheme="minorHAnsi" w:cstheme="minorHAnsi"/>
                <w:b/>
                <w:bCs/>
                <w:color w:val="FFFFFF" w:themeColor="background1"/>
              </w:rPr>
            </w:pPr>
            <w:r>
              <w:rPr>
                <w:rFonts w:asciiTheme="minorHAnsi" w:hAnsiTheme="minorHAnsi" w:cstheme="minorHAnsi"/>
                <w:b/>
                <w:bCs/>
                <w:color w:val="FFFFFF" w:themeColor="background1"/>
              </w:rPr>
              <w:t>Ambitious Growth</w:t>
            </w:r>
          </w:p>
        </w:tc>
      </w:tr>
      <w:tr w:rsidR="0099575B" w:rsidRPr="008A17DE" w14:paraId="4ECA7D68" w14:textId="77777777" w:rsidTr="00A748D6">
        <w:trPr>
          <w:trHeight w:val="285"/>
        </w:trPr>
        <w:tc>
          <w:tcPr>
            <w:tcW w:w="8993" w:type="dxa"/>
            <w:gridSpan w:val="4"/>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tcPr>
          <w:p w14:paraId="541BEFC7" w14:textId="77777777" w:rsidR="0099575B" w:rsidRPr="004934BA" w:rsidRDefault="0099575B" w:rsidP="00A748D6">
            <w:pPr>
              <w:tabs>
                <w:tab w:val="left" w:pos="1080"/>
              </w:tabs>
              <w:rPr>
                <w:rFonts w:asciiTheme="minorHAnsi" w:hAnsiTheme="minorHAnsi" w:cstheme="minorHAnsi"/>
                <w:b/>
                <w:bCs/>
                <w:sz w:val="20"/>
                <w:szCs w:val="20"/>
              </w:rPr>
            </w:pPr>
            <w:r>
              <w:rPr>
                <w:rFonts w:asciiTheme="minorHAnsi" w:hAnsiTheme="minorHAnsi" w:cstheme="minorHAnsi"/>
                <w:b/>
                <w:bCs/>
                <w:sz w:val="20"/>
                <w:szCs w:val="20"/>
              </w:rPr>
              <w:t xml:space="preserve">Annual </w:t>
            </w:r>
            <w:r w:rsidRPr="004934BA">
              <w:rPr>
                <w:rFonts w:asciiTheme="minorHAnsi" w:hAnsiTheme="minorHAnsi" w:cstheme="minorHAnsi"/>
                <w:b/>
                <w:bCs/>
                <w:sz w:val="20"/>
                <w:szCs w:val="20"/>
              </w:rPr>
              <w:t>Resource estimates*:</w:t>
            </w:r>
          </w:p>
        </w:tc>
      </w:tr>
      <w:tr w:rsidR="0099575B" w:rsidRPr="008A17DE" w14:paraId="0E1C9CA3" w14:textId="77777777" w:rsidTr="00A748D6">
        <w:trPr>
          <w:trHeight w:val="285"/>
        </w:trPr>
        <w:tc>
          <w:tcPr>
            <w:tcW w:w="2963"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vAlign w:val="bottom"/>
            <w:hideMark/>
          </w:tcPr>
          <w:p w14:paraId="4939EFFF" w14:textId="77777777" w:rsidR="0099575B" w:rsidRPr="004934BA" w:rsidRDefault="0099575B" w:rsidP="00A748D6">
            <w:pPr>
              <w:tabs>
                <w:tab w:val="left" w:pos="1080"/>
              </w:tabs>
              <w:spacing w:after="120"/>
              <w:rPr>
                <w:rFonts w:asciiTheme="minorHAnsi" w:hAnsiTheme="minorHAnsi" w:cstheme="minorHAnsi"/>
                <w:b/>
                <w:bCs/>
                <w:sz w:val="20"/>
                <w:szCs w:val="20"/>
              </w:rPr>
            </w:pPr>
            <w:r w:rsidRPr="004934BA">
              <w:rPr>
                <w:rFonts w:asciiTheme="minorHAnsi" w:hAnsiTheme="minorHAnsi" w:cstheme="minorHAnsi"/>
                <w:b/>
                <w:bCs/>
                <w:sz w:val="20"/>
                <w:szCs w:val="20"/>
              </w:rPr>
              <w:t xml:space="preserve">Total </w:t>
            </w:r>
          </w:p>
        </w:tc>
        <w:tc>
          <w:tcPr>
            <w:tcW w:w="19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EB8F515" w14:textId="77777777" w:rsidR="0099575B" w:rsidRPr="004934BA" w:rsidRDefault="0099575B" w:rsidP="00A748D6">
            <w:pPr>
              <w:tabs>
                <w:tab w:val="left" w:pos="1080"/>
              </w:tabs>
              <w:spacing w:after="120"/>
              <w:jc w:val="right"/>
              <w:rPr>
                <w:rFonts w:asciiTheme="minorHAnsi" w:hAnsiTheme="minorHAnsi" w:cstheme="minorHAnsi"/>
                <w:b/>
                <w:bCs/>
                <w:sz w:val="20"/>
                <w:szCs w:val="20"/>
              </w:rPr>
            </w:pPr>
            <w:r w:rsidRPr="004934BA">
              <w:rPr>
                <w:rFonts w:asciiTheme="minorHAnsi" w:hAnsiTheme="minorHAnsi" w:cstheme="minorHAnsi"/>
                <w:b/>
                <w:bCs/>
                <w:sz w:val="20"/>
                <w:szCs w:val="20"/>
              </w:rPr>
              <w:t xml:space="preserve">$ </w:t>
            </w:r>
            <w:r>
              <w:rPr>
                <w:rFonts w:asciiTheme="minorHAnsi" w:hAnsiTheme="minorHAnsi" w:cstheme="minorHAnsi"/>
                <w:b/>
                <w:bCs/>
                <w:sz w:val="20"/>
                <w:szCs w:val="20"/>
              </w:rPr>
              <w:t>150</w:t>
            </w:r>
            <w:r w:rsidRPr="004934BA">
              <w:rPr>
                <w:rFonts w:asciiTheme="minorHAnsi" w:hAnsiTheme="minorHAnsi" w:cstheme="minorHAnsi"/>
                <w:b/>
                <w:bCs/>
                <w:sz w:val="20"/>
                <w:szCs w:val="20"/>
              </w:rPr>
              <w:t>m</w:t>
            </w:r>
          </w:p>
        </w:tc>
        <w:tc>
          <w:tcPr>
            <w:tcW w:w="207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89F129A" w14:textId="77777777" w:rsidR="0099575B" w:rsidRPr="004934BA" w:rsidRDefault="0099575B" w:rsidP="00A748D6">
            <w:pPr>
              <w:tabs>
                <w:tab w:val="left" w:pos="1080"/>
              </w:tabs>
              <w:spacing w:after="120"/>
              <w:jc w:val="right"/>
              <w:rPr>
                <w:rFonts w:asciiTheme="minorHAnsi" w:hAnsiTheme="minorHAnsi" w:cstheme="minorHAnsi"/>
                <w:b/>
                <w:bCs/>
                <w:sz w:val="20"/>
                <w:szCs w:val="20"/>
              </w:rPr>
            </w:pPr>
            <w:r w:rsidRPr="004934BA">
              <w:rPr>
                <w:rFonts w:asciiTheme="minorHAnsi" w:hAnsiTheme="minorHAnsi" w:cstheme="minorHAnsi"/>
                <w:b/>
                <w:bCs/>
                <w:sz w:val="20"/>
                <w:szCs w:val="20"/>
              </w:rPr>
              <w:t xml:space="preserve">$ </w:t>
            </w:r>
            <w:r>
              <w:rPr>
                <w:rFonts w:asciiTheme="minorHAnsi" w:hAnsiTheme="minorHAnsi" w:cstheme="minorHAnsi"/>
                <w:b/>
                <w:bCs/>
                <w:sz w:val="20"/>
                <w:szCs w:val="20"/>
              </w:rPr>
              <w:t>200</w:t>
            </w:r>
            <w:r w:rsidRPr="004934BA">
              <w:rPr>
                <w:rFonts w:asciiTheme="minorHAnsi" w:hAnsiTheme="minorHAnsi" w:cstheme="minorHAnsi"/>
                <w:b/>
                <w:bCs/>
                <w:sz w:val="20"/>
                <w:szCs w:val="20"/>
              </w:rPr>
              <w:t>m</w:t>
            </w:r>
          </w:p>
        </w:tc>
        <w:tc>
          <w:tcPr>
            <w:tcW w:w="19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9996DF7" w14:textId="77777777" w:rsidR="0099575B" w:rsidRPr="004934BA" w:rsidRDefault="0099575B" w:rsidP="00A748D6">
            <w:pPr>
              <w:tabs>
                <w:tab w:val="left" w:pos="1080"/>
              </w:tabs>
              <w:jc w:val="right"/>
              <w:rPr>
                <w:rFonts w:asciiTheme="minorHAnsi" w:hAnsiTheme="minorHAnsi" w:cstheme="minorHAnsi"/>
                <w:b/>
                <w:bCs/>
                <w:sz w:val="20"/>
                <w:szCs w:val="20"/>
              </w:rPr>
            </w:pPr>
            <w:r w:rsidRPr="004934BA">
              <w:rPr>
                <w:rFonts w:asciiTheme="minorHAnsi" w:hAnsiTheme="minorHAnsi" w:cstheme="minorHAnsi"/>
                <w:b/>
                <w:bCs/>
                <w:sz w:val="20"/>
                <w:szCs w:val="20"/>
              </w:rPr>
              <w:t>$ 250m</w:t>
            </w:r>
          </w:p>
        </w:tc>
      </w:tr>
      <w:tr w:rsidR="0099575B" w:rsidRPr="008A17DE" w14:paraId="0C1F61CB" w14:textId="77777777" w:rsidTr="00A748D6">
        <w:trPr>
          <w:trHeight w:val="285"/>
        </w:trPr>
        <w:tc>
          <w:tcPr>
            <w:tcW w:w="2963"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vAlign w:val="bottom"/>
            <w:hideMark/>
          </w:tcPr>
          <w:p w14:paraId="7AB1CF16" w14:textId="77777777" w:rsidR="0099575B" w:rsidRPr="004934BA" w:rsidRDefault="0099575B" w:rsidP="00A748D6">
            <w:pPr>
              <w:tabs>
                <w:tab w:val="left" w:pos="1080"/>
              </w:tabs>
              <w:spacing w:after="120"/>
              <w:ind w:firstLine="153"/>
              <w:rPr>
                <w:rFonts w:asciiTheme="minorHAnsi" w:hAnsiTheme="minorHAnsi" w:cstheme="minorHAnsi"/>
                <w:sz w:val="20"/>
                <w:szCs w:val="20"/>
              </w:rPr>
            </w:pPr>
            <w:r w:rsidRPr="004934BA">
              <w:rPr>
                <w:rFonts w:asciiTheme="minorHAnsi" w:hAnsiTheme="minorHAnsi" w:cstheme="minorHAnsi"/>
                <w:sz w:val="20"/>
                <w:szCs w:val="20"/>
              </w:rPr>
              <w:t xml:space="preserve"> Core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26FD6" w14:textId="77777777" w:rsidR="0099575B" w:rsidRPr="004934BA" w:rsidRDefault="0099575B" w:rsidP="00A748D6">
            <w:pPr>
              <w:tabs>
                <w:tab w:val="left" w:pos="1080"/>
              </w:tabs>
              <w:spacing w:after="120"/>
              <w:jc w:val="right"/>
              <w:rPr>
                <w:rFonts w:asciiTheme="minorHAnsi" w:hAnsiTheme="minorHAnsi" w:cstheme="minorHAnsi"/>
                <w:sz w:val="20"/>
                <w:szCs w:val="20"/>
              </w:rPr>
            </w:pPr>
            <w:r w:rsidRPr="004934BA">
              <w:rPr>
                <w:rFonts w:asciiTheme="minorHAnsi" w:hAnsiTheme="minorHAnsi" w:cstheme="minorHAnsi"/>
                <w:sz w:val="20"/>
                <w:szCs w:val="20"/>
              </w:rPr>
              <w:t xml:space="preserve">$ </w:t>
            </w:r>
            <w:r>
              <w:rPr>
                <w:rFonts w:asciiTheme="minorHAnsi" w:hAnsiTheme="minorHAnsi" w:cstheme="minorHAnsi"/>
                <w:sz w:val="20"/>
                <w:szCs w:val="20"/>
              </w:rPr>
              <w:t>25</w:t>
            </w:r>
            <w:r w:rsidRPr="004934BA">
              <w:rPr>
                <w:rFonts w:asciiTheme="minorHAnsi" w:hAnsiTheme="minorHAnsi" w:cstheme="minorHAnsi"/>
                <w:sz w:val="20"/>
                <w:szCs w:val="20"/>
              </w:rPr>
              <w:t>m</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92D7F" w14:textId="77777777" w:rsidR="0099575B" w:rsidRPr="004934BA" w:rsidRDefault="0099575B" w:rsidP="00A748D6">
            <w:pPr>
              <w:tabs>
                <w:tab w:val="left" w:pos="1080"/>
              </w:tabs>
              <w:spacing w:after="120"/>
              <w:jc w:val="right"/>
              <w:rPr>
                <w:rFonts w:asciiTheme="minorHAnsi" w:hAnsiTheme="minorHAnsi" w:cstheme="minorHAnsi"/>
                <w:sz w:val="20"/>
                <w:szCs w:val="20"/>
              </w:rPr>
            </w:pPr>
            <w:r w:rsidRPr="004934BA">
              <w:rPr>
                <w:rFonts w:asciiTheme="minorHAnsi" w:hAnsiTheme="minorHAnsi" w:cstheme="minorHAnsi"/>
                <w:sz w:val="20"/>
                <w:szCs w:val="20"/>
              </w:rPr>
              <w:t xml:space="preserve">$ </w:t>
            </w:r>
            <w:r>
              <w:rPr>
                <w:rFonts w:asciiTheme="minorHAnsi" w:hAnsiTheme="minorHAnsi" w:cstheme="minorHAnsi"/>
                <w:sz w:val="20"/>
                <w:szCs w:val="20"/>
              </w:rPr>
              <w:t>30</w:t>
            </w:r>
            <w:r w:rsidRPr="004934BA">
              <w:rPr>
                <w:rFonts w:asciiTheme="minorHAnsi" w:hAnsiTheme="minorHAnsi" w:cstheme="minorHAnsi"/>
                <w:sz w:val="20"/>
                <w:szCs w:val="20"/>
              </w:rPr>
              <w:t>m</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0F03494A" w14:textId="77777777" w:rsidR="0099575B" w:rsidRPr="004934BA" w:rsidRDefault="0099575B" w:rsidP="00A748D6">
            <w:pPr>
              <w:tabs>
                <w:tab w:val="left" w:pos="1080"/>
              </w:tabs>
              <w:spacing w:line="276" w:lineRule="auto"/>
              <w:jc w:val="right"/>
              <w:rPr>
                <w:rFonts w:asciiTheme="minorHAnsi" w:hAnsiTheme="minorHAnsi" w:cstheme="minorHAnsi"/>
                <w:sz w:val="20"/>
                <w:szCs w:val="20"/>
              </w:rPr>
            </w:pPr>
            <w:r w:rsidRPr="004934BA">
              <w:rPr>
                <w:rFonts w:asciiTheme="minorHAnsi" w:hAnsiTheme="minorHAnsi" w:cstheme="minorHAnsi"/>
                <w:sz w:val="20"/>
                <w:szCs w:val="20"/>
              </w:rPr>
              <w:t xml:space="preserve">$ </w:t>
            </w:r>
            <w:r>
              <w:rPr>
                <w:rFonts w:asciiTheme="minorHAnsi" w:hAnsiTheme="minorHAnsi" w:cstheme="minorHAnsi"/>
                <w:sz w:val="20"/>
                <w:szCs w:val="20"/>
              </w:rPr>
              <w:t>35</w:t>
            </w:r>
            <w:r w:rsidRPr="004934BA">
              <w:rPr>
                <w:rFonts w:asciiTheme="minorHAnsi" w:hAnsiTheme="minorHAnsi" w:cstheme="minorHAnsi"/>
                <w:sz w:val="20"/>
                <w:szCs w:val="20"/>
              </w:rPr>
              <w:t>m</w:t>
            </w:r>
          </w:p>
        </w:tc>
      </w:tr>
      <w:tr w:rsidR="0099575B" w:rsidRPr="008A17DE" w14:paraId="737207F9" w14:textId="77777777" w:rsidTr="00A748D6">
        <w:trPr>
          <w:trHeight w:val="285"/>
        </w:trPr>
        <w:tc>
          <w:tcPr>
            <w:tcW w:w="2963"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vAlign w:val="bottom"/>
            <w:hideMark/>
          </w:tcPr>
          <w:p w14:paraId="2AF76E48" w14:textId="77777777" w:rsidR="0099575B" w:rsidRPr="004934BA" w:rsidRDefault="0099575B" w:rsidP="00A748D6">
            <w:pPr>
              <w:tabs>
                <w:tab w:val="left" w:pos="1080"/>
              </w:tabs>
              <w:spacing w:after="120"/>
              <w:ind w:firstLine="153"/>
              <w:rPr>
                <w:rFonts w:asciiTheme="minorHAnsi" w:hAnsiTheme="minorHAnsi" w:cstheme="minorHAnsi"/>
                <w:sz w:val="20"/>
                <w:szCs w:val="20"/>
              </w:rPr>
            </w:pPr>
            <w:r w:rsidRPr="004934BA">
              <w:rPr>
                <w:rFonts w:asciiTheme="minorHAnsi" w:hAnsiTheme="minorHAnsi" w:cstheme="minorHAnsi"/>
                <w:sz w:val="20"/>
                <w:szCs w:val="20"/>
              </w:rPr>
              <w:t xml:space="preserve"> Non-core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E8935" w14:textId="77777777" w:rsidR="0099575B" w:rsidRPr="004934BA" w:rsidRDefault="0099575B" w:rsidP="00A748D6">
            <w:pPr>
              <w:tabs>
                <w:tab w:val="left" w:pos="1080"/>
              </w:tabs>
              <w:spacing w:after="120"/>
              <w:jc w:val="right"/>
              <w:rPr>
                <w:rFonts w:asciiTheme="minorHAnsi" w:hAnsiTheme="minorHAnsi" w:cstheme="minorHAnsi"/>
                <w:sz w:val="20"/>
                <w:szCs w:val="20"/>
              </w:rPr>
            </w:pPr>
            <w:r w:rsidRPr="004934BA">
              <w:rPr>
                <w:rFonts w:asciiTheme="minorHAnsi" w:hAnsiTheme="minorHAnsi" w:cstheme="minorHAnsi"/>
                <w:sz w:val="20"/>
                <w:szCs w:val="20"/>
              </w:rPr>
              <w:t xml:space="preserve">$ </w:t>
            </w:r>
            <w:r>
              <w:rPr>
                <w:rFonts w:asciiTheme="minorHAnsi" w:hAnsiTheme="minorHAnsi" w:cstheme="minorHAnsi"/>
                <w:sz w:val="20"/>
                <w:szCs w:val="20"/>
              </w:rPr>
              <w:t>100</w:t>
            </w:r>
            <w:r w:rsidRPr="004934BA">
              <w:rPr>
                <w:rFonts w:asciiTheme="minorHAnsi" w:hAnsiTheme="minorHAnsi" w:cstheme="minorHAnsi"/>
                <w:sz w:val="20"/>
                <w:szCs w:val="20"/>
              </w:rPr>
              <w:t>m</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F2BA46" w14:textId="77777777" w:rsidR="0099575B" w:rsidRPr="004934BA" w:rsidRDefault="0099575B" w:rsidP="00A748D6">
            <w:pPr>
              <w:tabs>
                <w:tab w:val="left" w:pos="1080"/>
              </w:tabs>
              <w:spacing w:after="120"/>
              <w:jc w:val="right"/>
              <w:rPr>
                <w:rFonts w:asciiTheme="minorHAnsi" w:hAnsiTheme="minorHAnsi" w:cstheme="minorHAnsi"/>
                <w:sz w:val="20"/>
                <w:szCs w:val="20"/>
              </w:rPr>
            </w:pPr>
            <w:r w:rsidRPr="004934BA">
              <w:rPr>
                <w:rFonts w:asciiTheme="minorHAnsi" w:hAnsiTheme="minorHAnsi" w:cstheme="minorHAnsi"/>
                <w:sz w:val="20"/>
                <w:szCs w:val="20"/>
              </w:rPr>
              <w:t xml:space="preserve">$ </w:t>
            </w:r>
            <w:r>
              <w:rPr>
                <w:rFonts w:asciiTheme="minorHAnsi" w:hAnsiTheme="minorHAnsi" w:cstheme="minorHAnsi"/>
                <w:sz w:val="20"/>
                <w:szCs w:val="20"/>
              </w:rPr>
              <w:t>130</w:t>
            </w:r>
            <w:r w:rsidRPr="004934BA">
              <w:rPr>
                <w:rFonts w:asciiTheme="minorHAnsi" w:hAnsiTheme="minorHAnsi" w:cstheme="minorHAnsi"/>
                <w:sz w:val="20"/>
                <w:szCs w:val="20"/>
              </w:rPr>
              <w:t>m</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36E111BB" w14:textId="77777777" w:rsidR="0099575B" w:rsidRPr="004934BA" w:rsidRDefault="0099575B" w:rsidP="00A748D6">
            <w:pPr>
              <w:tabs>
                <w:tab w:val="left" w:pos="1080"/>
              </w:tabs>
              <w:spacing w:line="276" w:lineRule="auto"/>
              <w:jc w:val="right"/>
              <w:rPr>
                <w:rFonts w:asciiTheme="minorHAnsi" w:hAnsiTheme="minorHAnsi" w:cstheme="minorHAnsi"/>
                <w:sz w:val="20"/>
                <w:szCs w:val="20"/>
              </w:rPr>
            </w:pPr>
            <w:r w:rsidRPr="004934BA">
              <w:rPr>
                <w:rFonts w:asciiTheme="minorHAnsi" w:hAnsiTheme="minorHAnsi" w:cstheme="minorHAnsi"/>
                <w:sz w:val="20"/>
                <w:szCs w:val="20"/>
              </w:rPr>
              <w:t>$ 1</w:t>
            </w:r>
            <w:r>
              <w:rPr>
                <w:rFonts w:asciiTheme="minorHAnsi" w:hAnsiTheme="minorHAnsi" w:cstheme="minorHAnsi"/>
                <w:sz w:val="20"/>
                <w:szCs w:val="20"/>
              </w:rPr>
              <w:t>65</w:t>
            </w:r>
            <w:r w:rsidRPr="004934BA">
              <w:rPr>
                <w:rFonts w:asciiTheme="minorHAnsi" w:hAnsiTheme="minorHAnsi" w:cstheme="minorHAnsi"/>
                <w:sz w:val="20"/>
                <w:szCs w:val="20"/>
              </w:rPr>
              <w:t>m</w:t>
            </w:r>
          </w:p>
        </w:tc>
      </w:tr>
      <w:tr w:rsidR="0099575B" w:rsidRPr="008A17DE" w14:paraId="4F359798" w14:textId="77777777" w:rsidTr="00A748D6">
        <w:trPr>
          <w:trHeight w:val="285"/>
        </w:trPr>
        <w:tc>
          <w:tcPr>
            <w:tcW w:w="2963"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vAlign w:val="bottom"/>
            <w:hideMark/>
          </w:tcPr>
          <w:p w14:paraId="78A8E1E0" w14:textId="77777777" w:rsidR="0099575B" w:rsidRPr="004934BA" w:rsidRDefault="0099575B" w:rsidP="00A748D6">
            <w:pPr>
              <w:tabs>
                <w:tab w:val="left" w:pos="1080"/>
              </w:tabs>
              <w:spacing w:after="120"/>
              <w:ind w:firstLine="153"/>
              <w:rPr>
                <w:rFonts w:asciiTheme="minorHAnsi" w:hAnsiTheme="minorHAnsi" w:cstheme="minorHAnsi"/>
                <w:sz w:val="20"/>
                <w:szCs w:val="20"/>
              </w:rPr>
            </w:pPr>
            <w:r w:rsidRPr="004934BA">
              <w:rPr>
                <w:rFonts w:asciiTheme="minorHAnsi" w:hAnsiTheme="minorHAnsi" w:cstheme="minorHAnsi"/>
                <w:sz w:val="20"/>
                <w:szCs w:val="20"/>
              </w:rPr>
              <w:t xml:space="preserve"> Flexible non-core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EE497C" w14:textId="77777777" w:rsidR="0099575B" w:rsidRPr="004934BA" w:rsidRDefault="0099575B" w:rsidP="00A748D6">
            <w:pPr>
              <w:tabs>
                <w:tab w:val="left" w:pos="1080"/>
              </w:tabs>
              <w:spacing w:after="120"/>
              <w:jc w:val="right"/>
              <w:rPr>
                <w:rFonts w:asciiTheme="minorHAnsi" w:hAnsiTheme="minorHAnsi" w:cstheme="minorHAnsi"/>
                <w:sz w:val="20"/>
                <w:szCs w:val="20"/>
              </w:rPr>
            </w:pPr>
            <w:r w:rsidRPr="004934BA">
              <w:rPr>
                <w:rFonts w:asciiTheme="minorHAnsi" w:hAnsiTheme="minorHAnsi" w:cstheme="minorHAnsi"/>
                <w:sz w:val="20"/>
                <w:szCs w:val="20"/>
              </w:rPr>
              <w:t xml:space="preserve"> $ </w:t>
            </w:r>
            <w:r>
              <w:rPr>
                <w:rFonts w:asciiTheme="minorHAnsi" w:hAnsiTheme="minorHAnsi" w:cstheme="minorHAnsi"/>
                <w:sz w:val="20"/>
                <w:szCs w:val="20"/>
              </w:rPr>
              <w:t>25m</w:t>
            </w:r>
            <w:r w:rsidRPr="004934BA">
              <w:rPr>
                <w:rFonts w:asciiTheme="minorHAnsi" w:hAnsiTheme="minorHAnsi" w:cstheme="minorHAnsi"/>
                <w:sz w:val="20"/>
                <w:szCs w:val="20"/>
              </w:rPr>
              <w:t xml:space="preserve">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85DE4F" w14:textId="77777777" w:rsidR="0099575B" w:rsidRPr="004934BA" w:rsidRDefault="0099575B" w:rsidP="00A748D6">
            <w:pPr>
              <w:tabs>
                <w:tab w:val="left" w:pos="1080"/>
              </w:tabs>
              <w:spacing w:after="120"/>
              <w:jc w:val="right"/>
              <w:rPr>
                <w:rFonts w:asciiTheme="minorHAnsi" w:hAnsiTheme="minorHAnsi" w:cstheme="minorHAnsi"/>
                <w:sz w:val="20"/>
                <w:szCs w:val="20"/>
              </w:rPr>
            </w:pPr>
            <w:r w:rsidRPr="004934BA">
              <w:rPr>
                <w:rFonts w:asciiTheme="minorHAnsi" w:hAnsiTheme="minorHAnsi" w:cstheme="minorHAnsi"/>
                <w:sz w:val="20"/>
                <w:szCs w:val="20"/>
              </w:rPr>
              <w:t xml:space="preserve">$ </w:t>
            </w:r>
            <w:r>
              <w:rPr>
                <w:rFonts w:asciiTheme="minorHAnsi" w:hAnsiTheme="minorHAnsi" w:cstheme="minorHAnsi"/>
                <w:sz w:val="20"/>
                <w:szCs w:val="20"/>
              </w:rPr>
              <w:t>40</w:t>
            </w:r>
            <w:r w:rsidRPr="004934BA">
              <w:rPr>
                <w:rFonts w:asciiTheme="minorHAnsi" w:hAnsiTheme="minorHAnsi" w:cstheme="minorHAnsi"/>
                <w:sz w:val="20"/>
                <w:szCs w:val="20"/>
              </w:rPr>
              <w:t>m</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03AE4264" w14:textId="77777777" w:rsidR="0099575B" w:rsidRPr="004934BA" w:rsidRDefault="0099575B" w:rsidP="00A748D6">
            <w:pPr>
              <w:tabs>
                <w:tab w:val="left" w:pos="1080"/>
              </w:tabs>
              <w:spacing w:line="276" w:lineRule="auto"/>
              <w:jc w:val="right"/>
              <w:rPr>
                <w:rFonts w:asciiTheme="minorHAnsi" w:hAnsiTheme="minorHAnsi" w:cstheme="minorHAnsi"/>
                <w:sz w:val="20"/>
                <w:szCs w:val="20"/>
              </w:rPr>
            </w:pPr>
            <w:r w:rsidRPr="004934BA">
              <w:rPr>
                <w:rFonts w:asciiTheme="minorHAnsi" w:hAnsiTheme="minorHAnsi" w:cstheme="minorHAnsi"/>
                <w:sz w:val="20"/>
                <w:szCs w:val="20"/>
              </w:rPr>
              <w:t xml:space="preserve">$ </w:t>
            </w:r>
            <w:r>
              <w:rPr>
                <w:rFonts w:asciiTheme="minorHAnsi" w:hAnsiTheme="minorHAnsi" w:cstheme="minorHAnsi"/>
                <w:sz w:val="20"/>
                <w:szCs w:val="20"/>
              </w:rPr>
              <w:t>50</w:t>
            </w:r>
            <w:r w:rsidRPr="004934BA">
              <w:rPr>
                <w:rFonts w:asciiTheme="minorHAnsi" w:hAnsiTheme="minorHAnsi" w:cstheme="minorHAnsi"/>
                <w:sz w:val="20"/>
                <w:szCs w:val="20"/>
              </w:rPr>
              <w:t>m</w:t>
            </w:r>
          </w:p>
        </w:tc>
      </w:tr>
    </w:tbl>
    <w:p w14:paraId="560594EF" w14:textId="77777777" w:rsidR="0099575B" w:rsidRPr="00C640A5" w:rsidRDefault="0099575B" w:rsidP="00C640A5">
      <w:pPr>
        <w:rPr>
          <w:rFonts w:asciiTheme="majorHAnsi" w:hAnsiTheme="majorHAnsi" w:cstheme="majorBidi"/>
          <w:sz w:val="20"/>
          <w:szCs w:val="20"/>
        </w:rPr>
      </w:pPr>
      <w:r w:rsidRPr="00C640A5">
        <w:rPr>
          <w:rFonts w:asciiTheme="majorHAnsi" w:hAnsiTheme="majorHAnsi" w:cstheme="majorBidi"/>
          <w:sz w:val="20"/>
          <w:szCs w:val="20"/>
        </w:rPr>
        <w:t>*  Based on a preliminary business plans exercise for 2022-2025</w:t>
      </w:r>
    </w:p>
    <w:p w14:paraId="76E36AFB" w14:textId="5F1E3B65" w:rsidR="00FA0AA9" w:rsidRDefault="00FA0AA9" w:rsidP="00FA0AA9">
      <w:pPr>
        <w:rPr>
          <w:rFonts w:ascii="Times New Roman" w:hAnsi="Times New Roman" w:cs="Times New Roman"/>
        </w:rPr>
      </w:pPr>
    </w:p>
    <w:p w14:paraId="7F59FB84" w14:textId="32733157" w:rsidR="002F1768" w:rsidRDefault="005B4952" w:rsidP="00FA0AA9">
      <w:pPr>
        <w:rPr>
          <w:rFonts w:ascii="Times New Roman" w:hAnsi="Times New Roman" w:cs="Times New Roman"/>
        </w:rPr>
      </w:pPr>
      <w:bookmarkStart w:id="0" w:name="_Hlk90544404"/>
      <w:r w:rsidRPr="00C640A5">
        <w:rPr>
          <w:rFonts w:ascii="Times New Roman" w:hAnsi="Times New Roman" w:cs="Times New Roman"/>
        </w:rPr>
        <w:t xml:space="preserve">With predictable and sufficient funding in </w:t>
      </w:r>
      <w:r w:rsidR="00FA3633">
        <w:rPr>
          <w:rFonts w:ascii="Times New Roman" w:hAnsi="Times New Roman" w:cs="Times New Roman"/>
        </w:rPr>
        <w:t>these</w:t>
      </w:r>
      <w:r w:rsidRPr="00C640A5">
        <w:rPr>
          <w:rFonts w:ascii="Times New Roman" w:hAnsi="Times New Roman" w:cs="Times New Roman"/>
        </w:rPr>
        <w:t xml:space="preserve"> categories, UNCDF will be able to meet growing demands for innovative and catalytic financing solutions at a time when multilateral support </w:t>
      </w:r>
      <w:r w:rsidR="00E27885">
        <w:rPr>
          <w:rFonts w:ascii="Times New Roman" w:hAnsi="Times New Roman" w:cs="Times New Roman"/>
        </w:rPr>
        <w:t xml:space="preserve">to </w:t>
      </w:r>
      <w:r w:rsidR="001D58B1">
        <w:rPr>
          <w:rFonts w:ascii="Times New Roman" w:hAnsi="Times New Roman" w:cs="Times New Roman"/>
        </w:rPr>
        <w:t xml:space="preserve">help </w:t>
      </w:r>
      <w:r w:rsidR="009A5C66">
        <w:rPr>
          <w:rFonts w:ascii="Times New Roman" w:hAnsi="Times New Roman" w:cs="Times New Roman"/>
        </w:rPr>
        <w:t xml:space="preserve">scale up </w:t>
      </w:r>
      <w:r w:rsidR="00E27885">
        <w:rPr>
          <w:rFonts w:ascii="Times New Roman" w:hAnsi="Times New Roman" w:cs="Times New Roman"/>
        </w:rPr>
        <w:t>mobiliz</w:t>
      </w:r>
      <w:r w:rsidR="009A5C66">
        <w:rPr>
          <w:rFonts w:ascii="Times New Roman" w:hAnsi="Times New Roman" w:cs="Times New Roman"/>
        </w:rPr>
        <w:t>ation of</w:t>
      </w:r>
      <w:r w:rsidR="00E27885">
        <w:rPr>
          <w:rFonts w:ascii="Times New Roman" w:hAnsi="Times New Roman" w:cs="Times New Roman"/>
        </w:rPr>
        <w:t xml:space="preserve"> </w:t>
      </w:r>
      <w:r w:rsidR="00C62268">
        <w:rPr>
          <w:rFonts w:ascii="Times New Roman" w:hAnsi="Times New Roman" w:cs="Times New Roman"/>
        </w:rPr>
        <w:t xml:space="preserve">private and public </w:t>
      </w:r>
      <w:r w:rsidR="00B8330D">
        <w:rPr>
          <w:rFonts w:ascii="Times New Roman" w:hAnsi="Times New Roman" w:cs="Times New Roman"/>
        </w:rPr>
        <w:t xml:space="preserve">SDG financing </w:t>
      </w:r>
      <w:r w:rsidR="00FE16CB" w:rsidRPr="00C640A5">
        <w:rPr>
          <w:rFonts w:ascii="Times New Roman" w:hAnsi="Times New Roman" w:cs="Times New Roman"/>
        </w:rPr>
        <w:t xml:space="preserve">for the LDCs </w:t>
      </w:r>
      <w:r w:rsidRPr="00C640A5">
        <w:rPr>
          <w:rFonts w:ascii="Times New Roman" w:hAnsi="Times New Roman" w:cs="Times New Roman"/>
        </w:rPr>
        <w:t xml:space="preserve">is more </w:t>
      </w:r>
      <w:r w:rsidR="009A5C66">
        <w:rPr>
          <w:rFonts w:ascii="Times New Roman" w:hAnsi="Times New Roman" w:cs="Times New Roman"/>
        </w:rPr>
        <w:t xml:space="preserve">critical </w:t>
      </w:r>
      <w:r w:rsidRPr="00C640A5">
        <w:rPr>
          <w:rFonts w:ascii="Times New Roman" w:hAnsi="Times New Roman" w:cs="Times New Roman"/>
        </w:rPr>
        <w:t xml:space="preserve">than ever. </w:t>
      </w:r>
    </w:p>
    <w:bookmarkEnd w:id="0"/>
    <w:p w14:paraId="1A0A3AD2" w14:textId="157F572B" w:rsidR="00147A25" w:rsidRPr="008216F7" w:rsidRDefault="00147A25" w:rsidP="00FA0AA9">
      <w:pPr>
        <w:rPr>
          <w:rFonts w:ascii="Times New Roman" w:hAnsi="Times New Roman" w:cs="Times New Roman"/>
        </w:rPr>
      </w:pPr>
    </w:p>
    <w:p w14:paraId="49456030" w14:textId="237926AB" w:rsidR="00D702E8" w:rsidRPr="00276D8A" w:rsidRDefault="00362B75" w:rsidP="00276D8A">
      <w:pPr>
        <w:rPr>
          <w:rFonts w:ascii="Times New Roman" w:eastAsia="Calibri" w:hAnsi="Times New Roman" w:cs="Times New Roman"/>
        </w:rPr>
      </w:pPr>
      <w:r w:rsidRPr="00276D8A">
        <w:rPr>
          <w:rFonts w:ascii="Times New Roman" w:eastAsia="Calibri" w:hAnsi="Times New Roman" w:cs="Times New Roman"/>
        </w:rPr>
        <w:t xml:space="preserve">UNCTAD estimates that the annual average fixed investment requirements from 2021 to 2030 for LDCs to achieve select key SDG targets are as follows: (i) $462 billion for economic growth (SDG 8.1); (ii) $485 billion for poverty eradication (SDG 1.1); and (iii) $1,051 billion for structural </w:t>
      </w:r>
      <w:r w:rsidR="0044700B">
        <w:rPr>
          <w:rFonts w:ascii="Times New Roman" w:eastAsia="Calibri" w:hAnsi="Times New Roman" w:cs="Times New Roman"/>
        </w:rPr>
        <w:t xml:space="preserve">economic </w:t>
      </w:r>
      <w:r w:rsidRPr="00276D8A">
        <w:rPr>
          <w:rFonts w:ascii="Times New Roman" w:eastAsia="Calibri" w:hAnsi="Times New Roman" w:cs="Times New Roman"/>
        </w:rPr>
        <w:t>transformation (SDG 9.2).</w:t>
      </w:r>
      <w:r w:rsidR="006D1299" w:rsidRPr="00420F6C">
        <w:rPr>
          <w:rStyle w:val="FootnoteReference"/>
          <w:rFonts w:ascii="Times New Roman" w:eastAsia="Calibri" w:hAnsi="Times New Roman" w:cs="Times New Roman"/>
        </w:rPr>
        <w:footnoteReference w:id="1"/>
      </w:r>
      <w:r w:rsidR="00082B7D" w:rsidRPr="00420F6C">
        <w:rPr>
          <w:rFonts w:ascii="Times New Roman" w:eastAsia="Calibri" w:hAnsi="Times New Roman" w:cs="Times New Roman"/>
        </w:rPr>
        <w:t xml:space="preserve"> </w:t>
      </w:r>
      <w:r w:rsidR="001220B9" w:rsidRPr="0044700B">
        <w:rPr>
          <w:rFonts w:ascii="Times New Roman" w:eastAsia="Calibri" w:hAnsi="Times New Roman" w:cs="Times New Roman"/>
        </w:rPr>
        <w:t>The</w:t>
      </w:r>
      <w:r w:rsidR="00420F6C" w:rsidRPr="0044700B">
        <w:rPr>
          <w:rFonts w:ascii="Times New Roman" w:eastAsia="Calibri" w:hAnsi="Times New Roman" w:cs="Times New Roman"/>
        </w:rPr>
        <w:t>se</w:t>
      </w:r>
      <w:r w:rsidR="001220B9" w:rsidRPr="0044700B">
        <w:rPr>
          <w:rFonts w:ascii="Times New Roman" w:eastAsia="Calibri" w:hAnsi="Times New Roman" w:cs="Times New Roman"/>
        </w:rPr>
        <w:t xml:space="preserve"> target-specific investment requirements </w:t>
      </w:r>
      <w:r w:rsidR="00913E5C" w:rsidRPr="00276D8A">
        <w:rPr>
          <w:rFonts w:ascii="Times New Roman" w:hAnsi="Times New Roman" w:cs="Times New Roman"/>
        </w:rPr>
        <w:t>cannot necessarily be added up due to potential double-counting</w:t>
      </w:r>
      <w:r w:rsidR="00420F6C" w:rsidRPr="00276D8A">
        <w:rPr>
          <w:rFonts w:ascii="Times New Roman" w:hAnsi="Times New Roman" w:cs="Times New Roman"/>
        </w:rPr>
        <w:t>.</w:t>
      </w:r>
      <w:r w:rsidR="00913E5C" w:rsidRPr="00420F6C">
        <w:rPr>
          <w:rFonts w:ascii="Times New Roman" w:eastAsia="Calibri" w:hAnsi="Times New Roman" w:cs="Times New Roman"/>
        </w:rPr>
        <w:t xml:space="preserve"> </w:t>
      </w:r>
      <w:r w:rsidR="003474E3">
        <w:rPr>
          <w:rFonts w:ascii="Times New Roman" w:eastAsia="Calibri" w:hAnsi="Times New Roman" w:cs="Times New Roman"/>
        </w:rPr>
        <w:t>For example, t</w:t>
      </w:r>
      <w:r w:rsidR="00140AC7" w:rsidRPr="003474E3">
        <w:rPr>
          <w:rFonts w:ascii="Times New Roman" w:eastAsia="Calibri" w:hAnsi="Times New Roman" w:cs="Times New Roman"/>
        </w:rPr>
        <w:t>he i</w:t>
      </w:r>
      <w:r w:rsidR="00147A25" w:rsidRPr="00276D8A">
        <w:rPr>
          <w:rFonts w:ascii="Times New Roman" w:hAnsi="Times New Roman" w:cs="Times New Roman"/>
        </w:rPr>
        <w:t>nvestments needed to achieve SDG 9.2 on doubling manufacturing,</w:t>
      </w:r>
      <w:r w:rsidR="007B2876" w:rsidRPr="00420F6C">
        <w:rPr>
          <w:rFonts w:ascii="Times New Roman" w:hAnsi="Times New Roman" w:cs="Times New Roman"/>
        </w:rPr>
        <w:t xml:space="preserve"> </w:t>
      </w:r>
      <w:r w:rsidR="00147A25" w:rsidRPr="00276D8A">
        <w:rPr>
          <w:rFonts w:ascii="Times New Roman" w:hAnsi="Times New Roman" w:cs="Times New Roman"/>
        </w:rPr>
        <w:t>would also enable LDCs to achieve or make significant progress on most of the other Goals (incl. 1.1 and 8.1).</w:t>
      </w:r>
      <w:r w:rsidR="00C348C0" w:rsidRPr="00301694">
        <w:rPr>
          <w:rFonts w:ascii="Times New Roman" w:eastAsia="Calibri" w:hAnsi="Times New Roman" w:cs="Times New Roman"/>
        </w:rPr>
        <w:t xml:space="preserve"> Another study by the </w:t>
      </w:r>
      <w:r w:rsidR="00742DE6" w:rsidRPr="00913E5C">
        <w:rPr>
          <w:rFonts w:ascii="Times New Roman" w:eastAsia="Calibri" w:hAnsi="Times New Roman" w:cs="Times New Roman"/>
        </w:rPr>
        <w:t>S</w:t>
      </w:r>
      <w:r w:rsidR="00C348C0" w:rsidRPr="001220B9">
        <w:rPr>
          <w:rFonts w:ascii="Times New Roman" w:eastAsia="Calibri" w:hAnsi="Times New Roman" w:cs="Times New Roman"/>
        </w:rPr>
        <w:t xml:space="preserve">ustainable Development Solutions Network </w:t>
      </w:r>
      <w:r w:rsidR="00742DE6" w:rsidRPr="001220B9">
        <w:rPr>
          <w:rFonts w:ascii="Times New Roman" w:eastAsia="Calibri" w:hAnsi="Times New Roman" w:cs="Times New Roman"/>
        </w:rPr>
        <w:t xml:space="preserve">estimates </w:t>
      </w:r>
      <w:r w:rsidR="00742DE6" w:rsidRPr="001220B9">
        <w:rPr>
          <w:rFonts w:ascii="Times New Roman" w:eastAsia="Calibri" w:hAnsi="Times New Roman" w:cs="Times New Roman"/>
        </w:rPr>
        <w:lastRenderedPageBreak/>
        <w:t xml:space="preserve">that the total annual </w:t>
      </w:r>
      <w:r w:rsidR="00742DE6" w:rsidRPr="00420F6C">
        <w:rPr>
          <w:rFonts w:ascii="Times New Roman" w:eastAsia="Calibri" w:hAnsi="Times New Roman" w:cs="Times New Roman"/>
        </w:rPr>
        <w:t xml:space="preserve">cost for achieving the SDGs in </w:t>
      </w:r>
      <w:r w:rsidR="00984088" w:rsidRPr="003474E3">
        <w:rPr>
          <w:rFonts w:ascii="Times New Roman" w:eastAsia="Calibri" w:hAnsi="Times New Roman" w:cs="Times New Roman"/>
        </w:rPr>
        <w:t xml:space="preserve">low-income </w:t>
      </w:r>
      <w:r w:rsidR="00E142EC" w:rsidRPr="003474E3">
        <w:rPr>
          <w:rFonts w:ascii="Times New Roman" w:eastAsia="Calibri" w:hAnsi="Times New Roman" w:cs="Times New Roman"/>
        </w:rPr>
        <w:t>and lower</w:t>
      </w:r>
      <w:r w:rsidR="00E142EC" w:rsidRPr="0044700B">
        <w:rPr>
          <w:rFonts w:ascii="Times New Roman" w:eastAsia="Calibri" w:hAnsi="Times New Roman" w:cs="Times New Roman"/>
        </w:rPr>
        <w:t xml:space="preserve"> middle-income countries to be </w:t>
      </w:r>
      <w:r w:rsidR="0044700B">
        <w:rPr>
          <w:rFonts w:ascii="Times New Roman" w:eastAsia="Calibri" w:hAnsi="Times New Roman" w:cs="Times New Roman"/>
        </w:rPr>
        <w:t xml:space="preserve">about </w:t>
      </w:r>
      <w:r w:rsidR="00904606" w:rsidRPr="0044700B">
        <w:rPr>
          <w:rFonts w:ascii="Times New Roman" w:eastAsia="Calibri" w:hAnsi="Times New Roman" w:cs="Times New Roman"/>
        </w:rPr>
        <w:t>$1 trillion, with a financing gap</w:t>
      </w:r>
      <w:r w:rsidR="00DF40EC" w:rsidRPr="0044700B">
        <w:rPr>
          <w:rFonts w:ascii="Times New Roman" w:eastAsia="Calibri" w:hAnsi="Times New Roman" w:cs="Times New Roman"/>
        </w:rPr>
        <w:t xml:space="preserve"> of </w:t>
      </w:r>
      <w:r w:rsidR="0044700B">
        <w:rPr>
          <w:rFonts w:ascii="Times New Roman" w:eastAsia="Calibri" w:hAnsi="Times New Roman" w:cs="Times New Roman"/>
        </w:rPr>
        <w:t xml:space="preserve">some </w:t>
      </w:r>
      <w:r w:rsidR="00DF40EC" w:rsidRPr="0044700B">
        <w:rPr>
          <w:rFonts w:ascii="Times New Roman" w:eastAsia="Calibri" w:hAnsi="Times New Roman" w:cs="Times New Roman"/>
        </w:rPr>
        <w:t>$400 billion</w:t>
      </w:r>
      <w:r w:rsidR="00C47441" w:rsidRPr="0044700B">
        <w:rPr>
          <w:rFonts w:ascii="Times New Roman" w:eastAsia="Calibri" w:hAnsi="Times New Roman" w:cs="Times New Roman"/>
        </w:rPr>
        <w:t>.</w:t>
      </w:r>
      <w:r w:rsidR="008A5719" w:rsidRPr="00301694">
        <w:rPr>
          <w:rStyle w:val="FootnoteReference"/>
          <w:rFonts w:ascii="Times New Roman" w:eastAsia="Calibri" w:hAnsi="Times New Roman" w:cs="Times New Roman"/>
        </w:rPr>
        <w:footnoteReference w:id="2"/>
      </w:r>
    </w:p>
    <w:p w14:paraId="066C7697" w14:textId="77777777" w:rsidR="002F1768" w:rsidRDefault="002F1768" w:rsidP="00FA0AA9">
      <w:pPr>
        <w:rPr>
          <w:rFonts w:ascii="Times New Roman" w:hAnsi="Times New Roman" w:cs="Times New Roman"/>
        </w:rPr>
      </w:pPr>
    </w:p>
    <w:p w14:paraId="4A629F3F" w14:textId="4E5B3F97" w:rsidR="005B4952" w:rsidRDefault="00E07C82" w:rsidP="00686489">
      <w:pPr>
        <w:rPr>
          <w:rFonts w:ascii="Times New Roman" w:hAnsi="Times New Roman" w:cs="Times New Roman"/>
        </w:rPr>
      </w:pPr>
      <w:r>
        <w:rPr>
          <w:rFonts w:ascii="Times New Roman" w:hAnsi="Times New Roman" w:cs="Times New Roman"/>
        </w:rPr>
        <w:t xml:space="preserve">The ideal and ambitious resource scenarios above will allow UNCDF to be a more robust and strategic partner to support LDCs to make further progress </w:t>
      </w:r>
      <w:r w:rsidR="002B0460">
        <w:rPr>
          <w:rFonts w:ascii="Times New Roman" w:hAnsi="Times New Roman" w:cs="Times New Roman"/>
        </w:rPr>
        <w:t xml:space="preserve">in </w:t>
      </w:r>
      <w:r>
        <w:rPr>
          <w:rFonts w:ascii="Times New Roman" w:hAnsi="Times New Roman" w:cs="Times New Roman"/>
        </w:rPr>
        <w:t>meet</w:t>
      </w:r>
      <w:r w:rsidR="002B0460">
        <w:rPr>
          <w:rFonts w:ascii="Times New Roman" w:hAnsi="Times New Roman" w:cs="Times New Roman"/>
        </w:rPr>
        <w:t>ing</w:t>
      </w:r>
      <w:r>
        <w:rPr>
          <w:rFonts w:ascii="Times New Roman" w:hAnsi="Times New Roman" w:cs="Times New Roman"/>
        </w:rPr>
        <w:t xml:space="preserve"> these SDG financing requirements.</w:t>
      </w:r>
    </w:p>
    <w:p w14:paraId="70C67C5A" w14:textId="77777777" w:rsidR="00E07C82" w:rsidRPr="005B4952" w:rsidRDefault="00E07C82" w:rsidP="00686489">
      <w:pPr>
        <w:rPr>
          <w:rFonts w:ascii="Times New Roman" w:hAnsi="Times New Roman" w:cs="Times New Roman"/>
        </w:rPr>
      </w:pPr>
    </w:p>
    <w:p w14:paraId="4483FDB1" w14:textId="05162C0D" w:rsidR="005B4952" w:rsidRPr="005B4952" w:rsidRDefault="005B4952" w:rsidP="00686489">
      <w:pPr>
        <w:pStyle w:val="ListParagraph"/>
        <w:numPr>
          <w:ilvl w:val="0"/>
          <w:numId w:val="2"/>
        </w:numPr>
        <w:spacing w:after="0" w:line="240" w:lineRule="auto"/>
        <w:ind w:left="360" w:right="630"/>
        <w:jc w:val="both"/>
        <w:rPr>
          <w:rFonts w:ascii="Times New Roman" w:hAnsi="Times New Roman" w:cs="Times New Roman"/>
        </w:rPr>
      </w:pPr>
      <w:r w:rsidRPr="005B4952">
        <w:rPr>
          <w:rFonts w:ascii="Times New Roman" w:hAnsi="Times New Roman" w:cs="Times New Roman"/>
        </w:rPr>
        <w:t xml:space="preserve">Additional regular resources will allow UNCDF to have more meaningful presence at country and regional levels to support more LDCs, ensuring more strategic engagement with </w:t>
      </w:r>
      <w:r w:rsidR="00433E6A">
        <w:rPr>
          <w:rFonts w:ascii="Times New Roman" w:hAnsi="Times New Roman" w:cs="Times New Roman"/>
        </w:rPr>
        <w:t xml:space="preserve">national </w:t>
      </w:r>
      <w:r w:rsidR="009F7A4A">
        <w:rPr>
          <w:rFonts w:ascii="Times New Roman" w:hAnsi="Times New Roman" w:cs="Times New Roman"/>
        </w:rPr>
        <w:t>G</w:t>
      </w:r>
      <w:r w:rsidRPr="005B4952">
        <w:rPr>
          <w:rFonts w:ascii="Times New Roman" w:hAnsi="Times New Roman" w:cs="Times New Roman"/>
        </w:rPr>
        <w:t>overnments, UNDP and the</w:t>
      </w:r>
      <w:r w:rsidR="009F7A4A">
        <w:rPr>
          <w:rFonts w:ascii="Times New Roman" w:hAnsi="Times New Roman" w:cs="Times New Roman"/>
        </w:rPr>
        <w:t xml:space="preserve"> wider</w:t>
      </w:r>
      <w:r w:rsidRPr="005B4952">
        <w:rPr>
          <w:rFonts w:ascii="Times New Roman" w:hAnsi="Times New Roman" w:cs="Times New Roman"/>
        </w:rPr>
        <w:t xml:space="preserve"> UN development system. Regular resources also support UNCDF’s critical role in developing and piloting innovative financing and programming solutions that can be taken to scale by UNCDF and its partners. This includes investing in sufficient capacity to provide financial advisory</w:t>
      </w:r>
      <w:r w:rsidR="00A3668A">
        <w:rPr>
          <w:rFonts w:ascii="Times New Roman" w:hAnsi="Times New Roman" w:cs="Times New Roman"/>
        </w:rPr>
        <w:t xml:space="preserve"> services</w:t>
      </w:r>
      <w:r w:rsidRPr="005B4952">
        <w:rPr>
          <w:rFonts w:ascii="Times New Roman" w:hAnsi="Times New Roman" w:cs="Times New Roman"/>
        </w:rPr>
        <w:t xml:space="preserve"> and structuring support to develop and enable access to capital markets </w:t>
      </w:r>
      <w:r w:rsidR="00571B72">
        <w:rPr>
          <w:rFonts w:ascii="Times New Roman" w:hAnsi="Times New Roman" w:cs="Times New Roman"/>
        </w:rPr>
        <w:t xml:space="preserve">and other financing sources </w:t>
      </w:r>
      <w:r w:rsidRPr="005B4952">
        <w:rPr>
          <w:rFonts w:ascii="Times New Roman" w:hAnsi="Times New Roman" w:cs="Times New Roman"/>
        </w:rPr>
        <w:t xml:space="preserve">for SDG investments. In addition, a right-sized </w:t>
      </w:r>
      <w:r w:rsidR="00B54672">
        <w:rPr>
          <w:rFonts w:ascii="Times New Roman" w:hAnsi="Times New Roman" w:cs="Times New Roman"/>
        </w:rPr>
        <w:t>regular</w:t>
      </w:r>
      <w:r w:rsidR="00B54672" w:rsidRPr="005B4952">
        <w:rPr>
          <w:rFonts w:ascii="Times New Roman" w:hAnsi="Times New Roman" w:cs="Times New Roman"/>
        </w:rPr>
        <w:t xml:space="preserve"> </w:t>
      </w:r>
      <w:r w:rsidRPr="005B4952">
        <w:rPr>
          <w:rFonts w:ascii="Times New Roman" w:hAnsi="Times New Roman" w:cs="Times New Roman"/>
        </w:rPr>
        <w:t xml:space="preserve">resource base will allow UNCDF to be nimble and rapidly respond to </w:t>
      </w:r>
      <w:r w:rsidR="00A44849">
        <w:rPr>
          <w:rFonts w:ascii="Times New Roman" w:hAnsi="Times New Roman" w:cs="Times New Roman"/>
        </w:rPr>
        <w:t xml:space="preserve">shocks and </w:t>
      </w:r>
      <w:r w:rsidRPr="005B4952">
        <w:rPr>
          <w:rFonts w:ascii="Times New Roman" w:hAnsi="Times New Roman" w:cs="Times New Roman"/>
        </w:rPr>
        <w:t>crisis situations</w:t>
      </w:r>
      <w:r w:rsidR="00A44849">
        <w:rPr>
          <w:rFonts w:ascii="Times New Roman" w:hAnsi="Times New Roman" w:cs="Times New Roman"/>
        </w:rPr>
        <w:t>,</w:t>
      </w:r>
      <w:r w:rsidRPr="005B4952">
        <w:rPr>
          <w:rFonts w:ascii="Times New Roman" w:hAnsi="Times New Roman" w:cs="Times New Roman"/>
        </w:rPr>
        <w:t xml:space="preserve"> such as COVID-19. </w:t>
      </w:r>
    </w:p>
    <w:p w14:paraId="16A845EC" w14:textId="77777777" w:rsidR="005B4952" w:rsidRPr="005B4952" w:rsidRDefault="005B4952" w:rsidP="00686489">
      <w:pPr>
        <w:pStyle w:val="ListParagraph"/>
        <w:spacing w:after="0" w:line="240" w:lineRule="auto"/>
        <w:ind w:left="360" w:right="630"/>
        <w:jc w:val="both"/>
        <w:rPr>
          <w:rFonts w:ascii="Times New Roman" w:hAnsi="Times New Roman" w:cs="Times New Roman"/>
        </w:rPr>
      </w:pPr>
    </w:p>
    <w:p w14:paraId="508F214F" w14:textId="34B8D510" w:rsidR="005B4952" w:rsidRPr="005B4952" w:rsidRDefault="007D29F2" w:rsidP="00686489">
      <w:pPr>
        <w:pStyle w:val="ListParagraph"/>
        <w:numPr>
          <w:ilvl w:val="0"/>
          <w:numId w:val="2"/>
        </w:numPr>
        <w:spacing w:after="0" w:line="240" w:lineRule="auto"/>
        <w:ind w:left="360" w:right="630"/>
        <w:jc w:val="both"/>
        <w:rPr>
          <w:rFonts w:ascii="Times New Roman" w:hAnsi="Times New Roman" w:cs="Times New Roman"/>
        </w:rPr>
      </w:pPr>
      <w:r>
        <w:rPr>
          <w:rFonts w:ascii="Times New Roman" w:hAnsi="Times New Roman" w:cs="Times New Roman"/>
        </w:rPr>
        <w:t xml:space="preserve">Other </w:t>
      </w:r>
      <w:r w:rsidR="00576CA2">
        <w:rPr>
          <w:rFonts w:ascii="Times New Roman" w:hAnsi="Times New Roman" w:cs="Times New Roman"/>
        </w:rPr>
        <w:t>e</w:t>
      </w:r>
      <w:r w:rsidR="005B4952" w:rsidRPr="005B4952">
        <w:rPr>
          <w:rFonts w:ascii="Times New Roman" w:hAnsi="Times New Roman" w:cs="Times New Roman"/>
        </w:rPr>
        <w:t xml:space="preserve">armarked resources, which have increased </w:t>
      </w:r>
      <w:r w:rsidR="009E47EA">
        <w:rPr>
          <w:rFonts w:ascii="Times New Roman" w:hAnsi="Times New Roman" w:cs="Times New Roman"/>
        </w:rPr>
        <w:t>steadily</w:t>
      </w:r>
      <w:r w:rsidR="009E47EA" w:rsidRPr="005B4952">
        <w:rPr>
          <w:rFonts w:ascii="Times New Roman" w:hAnsi="Times New Roman" w:cs="Times New Roman"/>
        </w:rPr>
        <w:t xml:space="preserve"> </w:t>
      </w:r>
      <w:r w:rsidR="005B4952" w:rsidRPr="005B4952">
        <w:rPr>
          <w:rFonts w:ascii="Times New Roman" w:hAnsi="Times New Roman" w:cs="Times New Roman"/>
        </w:rPr>
        <w:t>since 2016, enable UNCDF to build scalable pro</w:t>
      </w:r>
      <w:r w:rsidR="00C4771A">
        <w:rPr>
          <w:rFonts w:ascii="Times New Roman" w:hAnsi="Times New Roman" w:cs="Times New Roman"/>
        </w:rPr>
        <w:t xml:space="preserve">jects and portfolios </w:t>
      </w:r>
      <w:r w:rsidR="005B4952" w:rsidRPr="005B4952">
        <w:rPr>
          <w:rFonts w:ascii="Times New Roman" w:hAnsi="Times New Roman" w:cs="Times New Roman"/>
        </w:rPr>
        <w:t>at country</w:t>
      </w:r>
      <w:r w:rsidR="00C4771A">
        <w:rPr>
          <w:rFonts w:ascii="Times New Roman" w:hAnsi="Times New Roman" w:cs="Times New Roman"/>
        </w:rPr>
        <w:t>,</w:t>
      </w:r>
      <w:r w:rsidR="005B4952" w:rsidRPr="005B4952">
        <w:rPr>
          <w:rFonts w:ascii="Times New Roman" w:hAnsi="Times New Roman" w:cs="Times New Roman"/>
        </w:rPr>
        <w:t xml:space="preserve"> multi-country </w:t>
      </w:r>
      <w:r w:rsidR="00C4771A">
        <w:rPr>
          <w:rFonts w:ascii="Times New Roman" w:hAnsi="Times New Roman" w:cs="Times New Roman"/>
        </w:rPr>
        <w:t xml:space="preserve">and thematic </w:t>
      </w:r>
      <w:r w:rsidR="005B4952" w:rsidRPr="005B4952">
        <w:rPr>
          <w:rFonts w:ascii="Times New Roman" w:hAnsi="Times New Roman" w:cs="Times New Roman"/>
        </w:rPr>
        <w:t xml:space="preserve">levels. </w:t>
      </w:r>
      <w:r w:rsidR="00854851">
        <w:rPr>
          <w:rFonts w:ascii="Times New Roman" w:hAnsi="Times New Roman" w:cs="Times New Roman"/>
        </w:rPr>
        <w:t>P</w:t>
      </w:r>
      <w:r w:rsidR="00F74510">
        <w:rPr>
          <w:rFonts w:ascii="Times New Roman" w:hAnsi="Times New Roman" w:cs="Times New Roman"/>
        </w:rPr>
        <w:t>reliminary b</w:t>
      </w:r>
      <w:r w:rsidR="005B4952" w:rsidRPr="005B4952">
        <w:rPr>
          <w:rFonts w:ascii="Times New Roman" w:hAnsi="Times New Roman" w:cs="Times New Roman"/>
        </w:rPr>
        <w:t xml:space="preserve">usiness </w:t>
      </w:r>
      <w:r w:rsidR="00DB544C">
        <w:rPr>
          <w:rFonts w:ascii="Times New Roman" w:hAnsi="Times New Roman" w:cs="Times New Roman"/>
        </w:rPr>
        <w:t>plan</w:t>
      </w:r>
      <w:r w:rsidR="00854851">
        <w:rPr>
          <w:rFonts w:ascii="Times New Roman" w:hAnsi="Times New Roman" w:cs="Times New Roman"/>
        </w:rPr>
        <w:t>ning</w:t>
      </w:r>
      <w:r w:rsidR="005B4952" w:rsidRPr="005B4952">
        <w:rPr>
          <w:rFonts w:ascii="Times New Roman" w:hAnsi="Times New Roman" w:cs="Times New Roman"/>
        </w:rPr>
        <w:t xml:space="preserve"> for the 2022-2025 period indicate</w:t>
      </w:r>
      <w:r w:rsidR="00662299">
        <w:rPr>
          <w:rFonts w:ascii="Times New Roman" w:hAnsi="Times New Roman" w:cs="Times New Roman"/>
        </w:rPr>
        <w:t>s</w:t>
      </w:r>
      <w:r w:rsidR="005B4952" w:rsidRPr="005B4952">
        <w:rPr>
          <w:rFonts w:ascii="Times New Roman" w:hAnsi="Times New Roman" w:cs="Times New Roman"/>
        </w:rPr>
        <w:t xml:space="preserve"> increased demand and opportunities for key programming areas. This includes the full roll-out of support for inclusive digital economies to a majority of LDCs based on UNCDF’s global digital strategy and expanded support for transformative local government and municipal financing solutions. There is also increased demand for</w:t>
      </w:r>
      <w:r w:rsidR="005B4952" w:rsidRPr="005B4952">
        <w:rPr>
          <w:rFonts w:ascii="Times New Roman" w:hAnsi="Times New Roman" w:cs="Times New Roman"/>
          <w:b/>
          <w:bCs/>
        </w:rPr>
        <w:t xml:space="preserve"> </w:t>
      </w:r>
      <w:r w:rsidR="005B4952" w:rsidRPr="005B4952">
        <w:rPr>
          <w:rFonts w:ascii="Times New Roman" w:hAnsi="Times New Roman" w:cs="Times New Roman"/>
        </w:rPr>
        <w:t xml:space="preserve">joint programming with UN entities as part of UN </w:t>
      </w:r>
      <w:r w:rsidR="00D061CB">
        <w:rPr>
          <w:rFonts w:ascii="Times New Roman" w:hAnsi="Times New Roman" w:cs="Times New Roman"/>
        </w:rPr>
        <w:t>S</w:t>
      </w:r>
      <w:r w:rsidR="005B4952" w:rsidRPr="005B4952">
        <w:rPr>
          <w:rFonts w:ascii="Times New Roman" w:hAnsi="Times New Roman" w:cs="Times New Roman"/>
        </w:rPr>
        <w:t xml:space="preserve">ustainable </w:t>
      </w:r>
      <w:r w:rsidR="00D061CB">
        <w:rPr>
          <w:rFonts w:ascii="Times New Roman" w:hAnsi="Times New Roman" w:cs="Times New Roman"/>
        </w:rPr>
        <w:t>D</w:t>
      </w:r>
      <w:r w:rsidR="005B4952" w:rsidRPr="005B4952">
        <w:rPr>
          <w:rFonts w:ascii="Times New Roman" w:hAnsi="Times New Roman" w:cs="Times New Roman"/>
        </w:rPr>
        <w:t xml:space="preserve">evelopment </w:t>
      </w:r>
      <w:r w:rsidR="00D061CB">
        <w:rPr>
          <w:rFonts w:ascii="Times New Roman" w:hAnsi="Times New Roman" w:cs="Times New Roman"/>
        </w:rPr>
        <w:t>C</w:t>
      </w:r>
      <w:r w:rsidR="005B4952" w:rsidRPr="005B4952">
        <w:rPr>
          <w:rFonts w:ascii="Times New Roman" w:hAnsi="Times New Roman" w:cs="Times New Roman"/>
        </w:rPr>
        <w:t xml:space="preserve">ooperation </w:t>
      </w:r>
      <w:r w:rsidR="00D061CB">
        <w:rPr>
          <w:rFonts w:ascii="Times New Roman" w:hAnsi="Times New Roman" w:cs="Times New Roman"/>
        </w:rPr>
        <w:t>F</w:t>
      </w:r>
      <w:r w:rsidR="005B4952" w:rsidRPr="005B4952">
        <w:rPr>
          <w:rFonts w:ascii="Times New Roman" w:hAnsi="Times New Roman" w:cs="Times New Roman"/>
        </w:rPr>
        <w:t xml:space="preserve">rameworks at country level, including leveraging lessons and experiences of engagement with the Joint SDG Fund. </w:t>
      </w:r>
    </w:p>
    <w:p w14:paraId="1DFDC4D8" w14:textId="77777777" w:rsidR="005B4952" w:rsidRPr="005B4952" w:rsidRDefault="005B4952" w:rsidP="00686489">
      <w:pPr>
        <w:pStyle w:val="ListParagraph"/>
        <w:spacing w:after="0" w:line="240" w:lineRule="auto"/>
        <w:rPr>
          <w:rFonts w:ascii="Times New Roman" w:hAnsi="Times New Roman" w:cs="Times New Roman"/>
        </w:rPr>
      </w:pPr>
    </w:p>
    <w:p w14:paraId="2B755096" w14:textId="4372A3D8" w:rsidR="005B4952" w:rsidRPr="005B4952" w:rsidRDefault="00FE1311" w:rsidP="00686489">
      <w:pPr>
        <w:pStyle w:val="ListParagraph"/>
        <w:numPr>
          <w:ilvl w:val="0"/>
          <w:numId w:val="2"/>
        </w:numPr>
        <w:spacing w:after="0" w:line="240" w:lineRule="auto"/>
        <w:ind w:left="360" w:right="630"/>
        <w:jc w:val="both"/>
        <w:rPr>
          <w:rFonts w:ascii="Times New Roman" w:hAnsi="Times New Roman" w:cs="Times New Roman"/>
        </w:rPr>
      </w:pPr>
      <w:r>
        <w:rPr>
          <w:rFonts w:ascii="Times New Roman" w:hAnsi="Times New Roman" w:cs="Times New Roman"/>
        </w:rPr>
        <w:t xml:space="preserve">Other </w:t>
      </w:r>
      <w:r w:rsidR="000E1A63">
        <w:rPr>
          <w:rFonts w:ascii="Times New Roman" w:hAnsi="Times New Roman" w:cs="Times New Roman"/>
        </w:rPr>
        <w:t>flexible</w:t>
      </w:r>
      <w:r w:rsidR="005B4952" w:rsidRPr="005B4952">
        <w:rPr>
          <w:rFonts w:ascii="Times New Roman" w:hAnsi="Times New Roman" w:cs="Times New Roman"/>
        </w:rPr>
        <w:t xml:space="preserve"> resources, channeled through </w:t>
      </w:r>
      <w:r w:rsidR="00E72EBE">
        <w:rPr>
          <w:rFonts w:ascii="Times New Roman" w:hAnsi="Times New Roman" w:cs="Times New Roman"/>
        </w:rPr>
        <w:t>its unique pooled funding mechanism</w:t>
      </w:r>
      <w:r w:rsidR="008B4147">
        <w:rPr>
          <w:rFonts w:ascii="Times New Roman" w:hAnsi="Times New Roman" w:cs="Times New Roman"/>
        </w:rPr>
        <w:t>, the “</w:t>
      </w:r>
      <w:r w:rsidR="005B4952" w:rsidRPr="005B4952">
        <w:rPr>
          <w:rFonts w:ascii="Times New Roman" w:hAnsi="Times New Roman" w:cs="Times New Roman"/>
        </w:rPr>
        <w:t>Last Mile Finance Trust Fund</w:t>
      </w:r>
      <w:r w:rsidR="008B4147">
        <w:rPr>
          <w:rFonts w:ascii="Times New Roman" w:hAnsi="Times New Roman" w:cs="Times New Roman"/>
        </w:rPr>
        <w:t>”</w:t>
      </w:r>
      <w:r w:rsidR="005B4952" w:rsidRPr="005B4952">
        <w:rPr>
          <w:rFonts w:ascii="Times New Roman" w:hAnsi="Times New Roman" w:cs="Times New Roman"/>
        </w:rPr>
        <w:t xml:space="preserve"> (LMFTF)</w:t>
      </w:r>
      <w:r w:rsidR="007B3EE2">
        <w:rPr>
          <w:rFonts w:ascii="Times New Roman" w:hAnsi="Times New Roman" w:cs="Times New Roman"/>
        </w:rPr>
        <w:t>,</w:t>
      </w:r>
      <w:r w:rsidR="005B4952" w:rsidRPr="005B4952">
        <w:rPr>
          <w:rFonts w:ascii="Times New Roman" w:hAnsi="Times New Roman" w:cs="Times New Roman"/>
        </w:rPr>
        <w:t xml:space="preserve"> allow UNCDF the flexibility to strategically invest in areas that LDCs, UN and other development partners prioritize, where those partners see UNCDF’s unique capital mandate as conducive to achieving their development</w:t>
      </w:r>
      <w:r w:rsidR="005B4952" w:rsidRPr="005B4952">
        <w:rPr>
          <w:rFonts w:ascii="Times New Roman" w:hAnsi="Times New Roman" w:cs="Times New Roman"/>
          <w:b/>
          <w:bCs/>
        </w:rPr>
        <w:t xml:space="preserve"> </w:t>
      </w:r>
      <w:r w:rsidR="005B4952" w:rsidRPr="005B4952">
        <w:rPr>
          <w:rFonts w:ascii="Times New Roman" w:hAnsi="Times New Roman" w:cs="Times New Roman"/>
        </w:rPr>
        <w:t xml:space="preserve">goals. The number of </w:t>
      </w:r>
      <w:r w:rsidR="007B3EE2">
        <w:rPr>
          <w:rFonts w:ascii="Times New Roman" w:hAnsi="Times New Roman" w:cs="Times New Roman"/>
        </w:rPr>
        <w:t>funding partners</w:t>
      </w:r>
      <w:r w:rsidR="007B3EE2" w:rsidRPr="005B4952">
        <w:rPr>
          <w:rFonts w:ascii="Times New Roman" w:hAnsi="Times New Roman" w:cs="Times New Roman"/>
        </w:rPr>
        <w:t xml:space="preserve"> </w:t>
      </w:r>
      <w:r w:rsidR="005B4952" w:rsidRPr="005B4952">
        <w:rPr>
          <w:rFonts w:ascii="Times New Roman" w:hAnsi="Times New Roman" w:cs="Times New Roman"/>
        </w:rPr>
        <w:t xml:space="preserve">and total contributions to the LMFTF have grown steadily since its launch in 2016 and projections indicate continued strong interest in support for thematic areas such as innovative municipal infrastructure finance, climate and green economy, women’s economic empowerment, and financial inclusion and innovation. </w:t>
      </w:r>
    </w:p>
    <w:p w14:paraId="4EA15439" w14:textId="77777777" w:rsidR="005B4952" w:rsidRPr="005B4952" w:rsidRDefault="005B4952" w:rsidP="00686489">
      <w:pPr>
        <w:ind w:right="630"/>
        <w:jc w:val="both"/>
        <w:rPr>
          <w:rFonts w:ascii="Times New Roman" w:hAnsi="Times New Roman" w:cs="Times New Roman"/>
        </w:rPr>
      </w:pPr>
    </w:p>
    <w:p w14:paraId="1E28DE5C" w14:textId="7E92F34C" w:rsidR="005B4952" w:rsidRDefault="005B4952" w:rsidP="00686489">
      <w:pPr>
        <w:ind w:right="630"/>
        <w:jc w:val="both"/>
        <w:rPr>
          <w:rFonts w:ascii="Times New Roman" w:hAnsi="Times New Roman" w:cs="Times New Roman"/>
        </w:rPr>
      </w:pPr>
      <w:r w:rsidRPr="005B4952">
        <w:rPr>
          <w:rFonts w:ascii="Times New Roman" w:hAnsi="Times New Roman" w:cs="Times New Roman"/>
        </w:rPr>
        <w:t xml:space="preserve">The ideal and ambitious resource scenarios will allow UNCDF to </w:t>
      </w:r>
      <w:r w:rsidR="00091F17">
        <w:rPr>
          <w:rFonts w:ascii="Times New Roman" w:hAnsi="Times New Roman" w:cs="Times New Roman"/>
        </w:rPr>
        <w:t>reach</w:t>
      </w:r>
      <w:r w:rsidR="00091F17" w:rsidRPr="005B4952">
        <w:rPr>
          <w:rFonts w:ascii="Times New Roman" w:hAnsi="Times New Roman" w:cs="Times New Roman"/>
        </w:rPr>
        <w:t xml:space="preserve"> </w:t>
      </w:r>
      <w:r w:rsidRPr="005B4952">
        <w:rPr>
          <w:rFonts w:ascii="Times New Roman" w:hAnsi="Times New Roman" w:cs="Times New Roman"/>
        </w:rPr>
        <w:t xml:space="preserve">greater development impact and </w:t>
      </w:r>
      <w:r w:rsidR="0061510B" w:rsidRPr="005B4952">
        <w:rPr>
          <w:rFonts w:ascii="Times New Roman" w:hAnsi="Times New Roman" w:cs="Times New Roman"/>
        </w:rPr>
        <w:t xml:space="preserve">significantly </w:t>
      </w:r>
      <w:r w:rsidRPr="005B4952">
        <w:rPr>
          <w:rFonts w:ascii="Times New Roman" w:hAnsi="Times New Roman" w:cs="Times New Roman"/>
        </w:rPr>
        <w:t xml:space="preserve">benefit </w:t>
      </w:r>
      <w:r w:rsidR="0061510B">
        <w:rPr>
          <w:rFonts w:ascii="Times New Roman" w:hAnsi="Times New Roman" w:cs="Times New Roman"/>
        </w:rPr>
        <w:t>the people it serves</w:t>
      </w:r>
      <w:r w:rsidRPr="005B4952">
        <w:rPr>
          <w:rFonts w:ascii="Times New Roman" w:hAnsi="Times New Roman" w:cs="Times New Roman"/>
        </w:rPr>
        <w:t xml:space="preserve"> by supporting a greater number of partners</w:t>
      </w:r>
      <w:r w:rsidR="00DC4814">
        <w:rPr>
          <w:rFonts w:ascii="Times New Roman" w:hAnsi="Times New Roman" w:cs="Times New Roman"/>
        </w:rPr>
        <w:t>,</w:t>
      </w:r>
      <w:r w:rsidRPr="005B4952">
        <w:rPr>
          <w:rFonts w:ascii="Times New Roman" w:hAnsi="Times New Roman" w:cs="Times New Roman"/>
        </w:rPr>
        <w:t xml:space="preserve"> including local</w:t>
      </w:r>
      <w:r w:rsidR="003244D3">
        <w:rPr>
          <w:rFonts w:ascii="Times New Roman" w:hAnsi="Times New Roman" w:cs="Times New Roman"/>
        </w:rPr>
        <w:t>ities</w:t>
      </w:r>
      <w:r w:rsidRPr="005B4952">
        <w:rPr>
          <w:rFonts w:ascii="Times New Roman" w:hAnsi="Times New Roman" w:cs="Times New Roman"/>
        </w:rPr>
        <w:t xml:space="preserve"> and small and medium-sized enterprises (SMEs)</w:t>
      </w:r>
      <w:r w:rsidR="00995E11">
        <w:rPr>
          <w:rFonts w:ascii="Times New Roman" w:hAnsi="Times New Roman" w:cs="Times New Roman"/>
        </w:rPr>
        <w:t>,</w:t>
      </w:r>
      <w:r w:rsidRPr="005B4952">
        <w:rPr>
          <w:rFonts w:ascii="Times New Roman" w:hAnsi="Times New Roman" w:cs="Times New Roman"/>
        </w:rPr>
        <w:t xml:space="preserve"> in a larger number of countries, and by catalyzing larger amounts of public and private resources for last-mile SDG investments.</w:t>
      </w:r>
    </w:p>
    <w:p w14:paraId="4EF6BDBC" w14:textId="77777777" w:rsidR="00347835" w:rsidRPr="005B4952" w:rsidRDefault="00347835" w:rsidP="00686489">
      <w:pPr>
        <w:ind w:right="630"/>
        <w:jc w:val="both"/>
        <w:rPr>
          <w:rFonts w:ascii="Times New Roman" w:hAnsi="Times New Roman" w:cs="Times New Roman"/>
        </w:rPr>
      </w:pPr>
    </w:p>
    <w:p w14:paraId="20E7261F" w14:textId="6886DAFC" w:rsidR="005B4952" w:rsidRPr="005B4952" w:rsidRDefault="005B4952" w:rsidP="00686489">
      <w:pPr>
        <w:ind w:right="630"/>
        <w:jc w:val="both"/>
        <w:rPr>
          <w:rFonts w:ascii="Times New Roman" w:hAnsi="Times New Roman" w:cs="Times New Roman"/>
        </w:rPr>
      </w:pPr>
      <w:r w:rsidRPr="005B4952">
        <w:rPr>
          <w:rFonts w:ascii="Times New Roman" w:hAnsi="Times New Roman" w:cs="Times New Roman"/>
        </w:rPr>
        <w:t>Achieving expanded results would be cost efficient</w:t>
      </w:r>
      <w:r w:rsidR="008E17AC">
        <w:rPr>
          <w:rFonts w:ascii="Times New Roman" w:hAnsi="Times New Roman" w:cs="Times New Roman"/>
        </w:rPr>
        <w:t>.</w:t>
      </w:r>
      <w:r w:rsidRPr="005B4952">
        <w:rPr>
          <w:rFonts w:ascii="Times New Roman" w:hAnsi="Times New Roman" w:cs="Times New Roman"/>
        </w:rPr>
        <w:t xml:space="preserve"> </w:t>
      </w:r>
      <w:r w:rsidR="008E17AC">
        <w:rPr>
          <w:rFonts w:ascii="Times New Roman" w:hAnsi="Times New Roman" w:cs="Times New Roman"/>
        </w:rPr>
        <w:t>E</w:t>
      </w:r>
      <w:r w:rsidR="00E27771">
        <w:rPr>
          <w:rFonts w:ascii="Times New Roman" w:hAnsi="Times New Roman" w:cs="Times New Roman"/>
        </w:rPr>
        <w:t xml:space="preserve">conomies of scale </w:t>
      </w:r>
      <w:r w:rsidR="002D6C14">
        <w:rPr>
          <w:rFonts w:ascii="Times New Roman" w:hAnsi="Times New Roman" w:cs="Times New Roman"/>
        </w:rPr>
        <w:t xml:space="preserve">would be achieved as </w:t>
      </w:r>
      <w:r w:rsidRPr="005B4952">
        <w:rPr>
          <w:rFonts w:ascii="Times New Roman" w:hAnsi="Times New Roman" w:cs="Times New Roman"/>
        </w:rPr>
        <w:t xml:space="preserve">UNCDF’s existing corporate infrastructure, such as capital assets and human resources, would </w:t>
      </w:r>
      <w:r w:rsidR="002D6C14">
        <w:rPr>
          <w:rFonts w:ascii="Times New Roman" w:hAnsi="Times New Roman" w:cs="Times New Roman"/>
        </w:rPr>
        <w:t xml:space="preserve">be able to </w:t>
      </w:r>
      <w:r w:rsidRPr="005B4952">
        <w:rPr>
          <w:rFonts w:ascii="Times New Roman" w:hAnsi="Times New Roman" w:cs="Times New Roman"/>
        </w:rPr>
        <w:t>support higher level</w:t>
      </w:r>
      <w:r w:rsidR="002D6C14">
        <w:rPr>
          <w:rFonts w:ascii="Times New Roman" w:hAnsi="Times New Roman" w:cs="Times New Roman"/>
        </w:rPr>
        <w:t>s</w:t>
      </w:r>
      <w:r w:rsidRPr="005B4952">
        <w:rPr>
          <w:rFonts w:ascii="Times New Roman" w:hAnsi="Times New Roman" w:cs="Times New Roman"/>
        </w:rPr>
        <w:t xml:space="preserve"> of activity without proportional increases in costs</w:t>
      </w:r>
      <w:r w:rsidR="00EB7CB5">
        <w:rPr>
          <w:rFonts w:ascii="Times New Roman" w:hAnsi="Times New Roman" w:cs="Times New Roman"/>
        </w:rPr>
        <w:t xml:space="preserve"> for </w:t>
      </w:r>
      <w:r w:rsidR="00580B45">
        <w:rPr>
          <w:rFonts w:ascii="Times New Roman" w:hAnsi="Times New Roman" w:cs="Times New Roman"/>
        </w:rPr>
        <w:t>delivery capacity</w:t>
      </w:r>
      <w:r w:rsidRPr="005B4952">
        <w:rPr>
          <w:rFonts w:ascii="Times New Roman" w:hAnsi="Times New Roman" w:cs="Times New Roman"/>
        </w:rPr>
        <w:t>.</w:t>
      </w:r>
    </w:p>
    <w:p w14:paraId="4AE9C7CF" w14:textId="77777777" w:rsidR="00F165C5" w:rsidRDefault="00F165C5"/>
    <w:sectPr w:rsidR="00F16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AF04" w14:textId="77777777" w:rsidR="003F0331" w:rsidRDefault="003F0331" w:rsidP="008A5719">
      <w:r>
        <w:separator/>
      </w:r>
    </w:p>
  </w:endnote>
  <w:endnote w:type="continuationSeparator" w:id="0">
    <w:p w14:paraId="15CC9421" w14:textId="77777777" w:rsidR="003F0331" w:rsidRDefault="003F0331" w:rsidP="008A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9CDC" w14:textId="77777777" w:rsidR="003F0331" w:rsidRDefault="003F0331" w:rsidP="008A5719">
      <w:r>
        <w:separator/>
      </w:r>
    </w:p>
  </w:footnote>
  <w:footnote w:type="continuationSeparator" w:id="0">
    <w:p w14:paraId="5E589F15" w14:textId="77777777" w:rsidR="003F0331" w:rsidRDefault="003F0331" w:rsidP="008A5719">
      <w:r>
        <w:continuationSeparator/>
      </w:r>
    </w:p>
  </w:footnote>
  <w:footnote w:id="1">
    <w:p w14:paraId="0380573B" w14:textId="7478BD71" w:rsidR="006D1299" w:rsidRDefault="006D1299">
      <w:pPr>
        <w:pStyle w:val="FootnoteText"/>
      </w:pPr>
      <w:r>
        <w:rPr>
          <w:rStyle w:val="FootnoteReference"/>
        </w:rPr>
        <w:footnoteRef/>
      </w:r>
      <w:r>
        <w:t xml:space="preserve"> </w:t>
      </w:r>
      <w:r w:rsidR="00344574">
        <w:t xml:space="preserve">The least developed countries </w:t>
      </w:r>
      <w:r w:rsidR="005A608A">
        <w:t>in the post-COVID world: Learning from 50 years of experience</w:t>
      </w:r>
      <w:r w:rsidR="00344574">
        <w:t>, UNCTAD</w:t>
      </w:r>
      <w:r w:rsidR="005A608A">
        <w:t>, 2021</w:t>
      </w:r>
    </w:p>
  </w:footnote>
  <w:footnote w:id="2">
    <w:p w14:paraId="01699EAE" w14:textId="6117690A" w:rsidR="008A5719" w:rsidRDefault="008A5719">
      <w:pPr>
        <w:pStyle w:val="FootnoteText"/>
      </w:pPr>
      <w:r>
        <w:rPr>
          <w:rStyle w:val="FootnoteReference"/>
        </w:rPr>
        <w:footnoteRef/>
      </w:r>
      <w:r>
        <w:t xml:space="preserve"> </w:t>
      </w:r>
      <w:hyperlink r:id="rId1" w:history="1">
        <w:r w:rsidRPr="000E025A">
          <w:rPr>
            <w:rStyle w:val="Hyperlink"/>
          </w:rPr>
          <w:t xml:space="preserve">SDG Costing and Financing </w:t>
        </w:r>
        <w:r w:rsidR="00EA7DCF" w:rsidRPr="000E025A">
          <w:rPr>
            <w:rStyle w:val="Hyperlink"/>
          </w:rPr>
          <w:t>for Low-Income Developing</w:t>
        </w:r>
        <w:r w:rsidRPr="000E025A">
          <w:rPr>
            <w:rStyle w:val="Hyperlink"/>
          </w:rPr>
          <w:t xml:space="preserve"> </w:t>
        </w:r>
        <w:r w:rsidR="00EA7DCF" w:rsidRPr="000E025A">
          <w:rPr>
            <w:rStyle w:val="Hyperlink"/>
          </w:rPr>
          <w:t>Countries</w:t>
        </w:r>
        <w:r w:rsidR="000E025A" w:rsidRPr="000E025A">
          <w:rPr>
            <w:rStyle w:val="Hyperlink"/>
          </w:rPr>
          <w:t>, S</w:t>
        </w:r>
        <w:r w:rsidR="00ED69CD">
          <w:rPr>
            <w:rStyle w:val="Hyperlink"/>
          </w:rPr>
          <w:t xml:space="preserve">ustainable Development Solutions Network, </w:t>
        </w:r>
        <w:r w:rsidR="000E025A" w:rsidRPr="000E025A">
          <w:rPr>
            <w:rStyle w:val="Hyperlink"/>
          </w:rPr>
          <w:t>2019</w:t>
        </w:r>
      </w:hyperlink>
      <w:r w:rsidR="000E025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C93"/>
    <w:multiLevelType w:val="hybridMultilevel"/>
    <w:tmpl w:val="E5B4CC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1069D"/>
    <w:multiLevelType w:val="hybridMultilevel"/>
    <w:tmpl w:val="FDEE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B9838CA">
      <w:start w:val="6"/>
      <w:numFmt w:val="bullet"/>
      <w:lvlText w:val="-"/>
      <w:lvlJc w:val="left"/>
      <w:pPr>
        <w:ind w:left="2880" w:hanging="360"/>
      </w:pPr>
      <w:rPr>
        <w:rFonts w:ascii="Times New Roman" w:eastAsia="Batang"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F0364"/>
    <w:multiLevelType w:val="hybridMultilevel"/>
    <w:tmpl w:val="7A6281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8F522F"/>
    <w:multiLevelType w:val="hybridMultilevel"/>
    <w:tmpl w:val="27F6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52DE7"/>
    <w:multiLevelType w:val="hybridMultilevel"/>
    <w:tmpl w:val="815AE512"/>
    <w:lvl w:ilvl="0" w:tplc="900C928A">
      <w:start w:val="1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52"/>
    <w:rsid w:val="00020A31"/>
    <w:rsid w:val="000405C8"/>
    <w:rsid w:val="000452AF"/>
    <w:rsid w:val="00052F98"/>
    <w:rsid w:val="00053E9A"/>
    <w:rsid w:val="00066552"/>
    <w:rsid w:val="00082B7D"/>
    <w:rsid w:val="00091F17"/>
    <w:rsid w:val="000A2E17"/>
    <w:rsid w:val="000A696B"/>
    <w:rsid w:val="000E025A"/>
    <w:rsid w:val="000E1A63"/>
    <w:rsid w:val="000E2D10"/>
    <w:rsid w:val="000F60C0"/>
    <w:rsid w:val="00112519"/>
    <w:rsid w:val="001220B9"/>
    <w:rsid w:val="001231B1"/>
    <w:rsid w:val="00133D46"/>
    <w:rsid w:val="00140AC7"/>
    <w:rsid w:val="00147077"/>
    <w:rsid w:val="00147A25"/>
    <w:rsid w:val="0015465D"/>
    <w:rsid w:val="001B2F11"/>
    <w:rsid w:val="001B50D3"/>
    <w:rsid w:val="001C3A3D"/>
    <w:rsid w:val="001C3B8D"/>
    <w:rsid w:val="001D58B1"/>
    <w:rsid w:val="001E1E86"/>
    <w:rsid w:val="001F1072"/>
    <w:rsid w:val="00236E34"/>
    <w:rsid w:val="00247622"/>
    <w:rsid w:val="0025555D"/>
    <w:rsid w:val="00267E5A"/>
    <w:rsid w:val="00276D8A"/>
    <w:rsid w:val="00297F11"/>
    <w:rsid w:val="002A5C30"/>
    <w:rsid w:val="002B0460"/>
    <w:rsid w:val="002D6C14"/>
    <w:rsid w:val="002F1768"/>
    <w:rsid w:val="00301694"/>
    <w:rsid w:val="00314755"/>
    <w:rsid w:val="00317A3A"/>
    <w:rsid w:val="00320364"/>
    <w:rsid w:val="003244D3"/>
    <w:rsid w:val="003413E4"/>
    <w:rsid w:val="00344574"/>
    <w:rsid w:val="003474E3"/>
    <w:rsid w:val="00347835"/>
    <w:rsid w:val="00362B75"/>
    <w:rsid w:val="00364017"/>
    <w:rsid w:val="00365755"/>
    <w:rsid w:val="0037298B"/>
    <w:rsid w:val="003F0331"/>
    <w:rsid w:val="00420F6C"/>
    <w:rsid w:val="00422E79"/>
    <w:rsid w:val="00424482"/>
    <w:rsid w:val="00425600"/>
    <w:rsid w:val="00433E6A"/>
    <w:rsid w:val="00442925"/>
    <w:rsid w:val="0044700B"/>
    <w:rsid w:val="004502BB"/>
    <w:rsid w:val="004654C8"/>
    <w:rsid w:val="00467F73"/>
    <w:rsid w:val="004976AC"/>
    <w:rsid w:val="004B20B7"/>
    <w:rsid w:val="004F0177"/>
    <w:rsid w:val="00503D1D"/>
    <w:rsid w:val="005076E0"/>
    <w:rsid w:val="00515C2F"/>
    <w:rsid w:val="00531B7A"/>
    <w:rsid w:val="0053294E"/>
    <w:rsid w:val="005635C1"/>
    <w:rsid w:val="00570E26"/>
    <w:rsid w:val="00571B72"/>
    <w:rsid w:val="00576CA2"/>
    <w:rsid w:val="00580B45"/>
    <w:rsid w:val="005A0194"/>
    <w:rsid w:val="005A608A"/>
    <w:rsid w:val="005B4952"/>
    <w:rsid w:val="005B58A6"/>
    <w:rsid w:val="005F49F2"/>
    <w:rsid w:val="0061510B"/>
    <w:rsid w:val="00642D64"/>
    <w:rsid w:val="00646970"/>
    <w:rsid w:val="00654376"/>
    <w:rsid w:val="006548BF"/>
    <w:rsid w:val="00661612"/>
    <w:rsid w:val="00662299"/>
    <w:rsid w:val="00670295"/>
    <w:rsid w:val="00680E0E"/>
    <w:rsid w:val="00686489"/>
    <w:rsid w:val="00690274"/>
    <w:rsid w:val="006C3CA1"/>
    <w:rsid w:val="006D1299"/>
    <w:rsid w:val="006D139C"/>
    <w:rsid w:val="006E15F1"/>
    <w:rsid w:val="006E4D79"/>
    <w:rsid w:val="006F6943"/>
    <w:rsid w:val="00700B47"/>
    <w:rsid w:val="00742DE6"/>
    <w:rsid w:val="007728AE"/>
    <w:rsid w:val="007A6755"/>
    <w:rsid w:val="007B2876"/>
    <w:rsid w:val="007B34CC"/>
    <w:rsid w:val="007B3EE2"/>
    <w:rsid w:val="007D0872"/>
    <w:rsid w:val="007D29F2"/>
    <w:rsid w:val="008216F7"/>
    <w:rsid w:val="0084653B"/>
    <w:rsid w:val="00851DF6"/>
    <w:rsid w:val="00853CED"/>
    <w:rsid w:val="00854851"/>
    <w:rsid w:val="0086242F"/>
    <w:rsid w:val="008A5719"/>
    <w:rsid w:val="008B4147"/>
    <w:rsid w:val="008C2E0A"/>
    <w:rsid w:val="008E17AC"/>
    <w:rsid w:val="008E3C24"/>
    <w:rsid w:val="008E71CA"/>
    <w:rsid w:val="00901ED8"/>
    <w:rsid w:val="00902154"/>
    <w:rsid w:val="00904606"/>
    <w:rsid w:val="00913E5C"/>
    <w:rsid w:val="009253C7"/>
    <w:rsid w:val="00937208"/>
    <w:rsid w:val="00944C4F"/>
    <w:rsid w:val="00962DD6"/>
    <w:rsid w:val="00984088"/>
    <w:rsid w:val="00986D50"/>
    <w:rsid w:val="0099575B"/>
    <w:rsid w:val="00995E11"/>
    <w:rsid w:val="009A4D98"/>
    <w:rsid w:val="009A5C66"/>
    <w:rsid w:val="009B3987"/>
    <w:rsid w:val="009B741B"/>
    <w:rsid w:val="009E47EA"/>
    <w:rsid w:val="009F4E05"/>
    <w:rsid w:val="009F5009"/>
    <w:rsid w:val="009F798A"/>
    <w:rsid w:val="009F7A4A"/>
    <w:rsid w:val="00A05D09"/>
    <w:rsid w:val="00A14972"/>
    <w:rsid w:val="00A3668A"/>
    <w:rsid w:val="00A43B2D"/>
    <w:rsid w:val="00A44849"/>
    <w:rsid w:val="00A73766"/>
    <w:rsid w:val="00A7559E"/>
    <w:rsid w:val="00A77E3F"/>
    <w:rsid w:val="00A803AD"/>
    <w:rsid w:val="00A85B9B"/>
    <w:rsid w:val="00AB1542"/>
    <w:rsid w:val="00AC30F6"/>
    <w:rsid w:val="00AC4AA7"/>
    <w:rsid w:val="00AD48F3"/>
    <w:rsid w:val="00AE1D76"/>
    <w:rsid w:val="00B03590"/>
    <w:rsid w:val="00B227E4"/>
    <w:rsid w:val="00B54672"/>
    <w:rsid w:val="00B60F76"/>
    <w:rsid w:val="00B71793"/>
    <w:rsid w:val="00B8330D"/>
    <w:rsid w:val="00BA5BE6"/>
    <w:rsid w:val="00BD1F72"/>
    <w:rsid w:val="00BD5CEA"/>
    <w:rsid w:val="00BD68A4"/>
    <w:rsid w:val="00BF0762"/>
    <w:rsid w:val="00BF34D5"/>
    <w:rsid w:val="00BF4E55"/>
    <w:rsid w:val="00C022E3"/>
    <w:rsid w:val="00C348C0"/>
    <w:rsid w:val="00C37D13"/>
    <w:rsid w:val="00C40603"/>
    <w:rsid w:val="00C47441"/>
    <w:rsid w:val="00C4771A"/>
    <w:rsid w:val="00C526A7"/>
    <w:rsid w:val="00C528FD"/>
    <w:rsid w:val="00C555FD"/>
    <w:rsid w:val="00C62268"/>
    <w:rsid w:val="00C640A5"/>
    <w:rsid w:val="00CA02CD"/>
    <w:rsid w:val="00CE1858"/>
    <w:rsid w:val="00CE6C8F"/>
    <w:rsid w:val="00D061CB"/>
    <w:rsid w:val="00D216E5"/>
    <w:rsid w:val="00D41E88"/>
    <w:rsid w:val="00D64EC7"/>
    <w:rsid w:val="00D702E8"/>
    <w:rsid w:val="00D7049E"/>
    <w:rsid w:val="00D76E6D"/>
    <w:rsid w:val="00D95414"/>
    <w:rsid w:val="00DB544C"/>
    <w:rsid w:val="00DC4814"/>
    <w:rsid w:val="00DE3870"/>
    <w:rsid w:val="00DE7443"/>
    <w:rsid w:val="00DF37CC"/>
    <w:rsid w:val="00DF40EC"/>
    <w:rsid w:val="00E07C82"/>
    <w:rsid w:val="00E1389B"/>
    <w:rsid w:val="00E142EC"/>
    <w:rsid w:val="00E2309A"/>
    <w:rsid w:val="00E27771"/>
    <w:rsid w:val="00E27885"/>
    <w:rsid w:val="00E4652E"/>
    <w:rsid w:val="00E638DE"/>
    <w:rsid w:val="00E72EBE"/>
    <w:rsid w:val="00E95025"/>
    <w:rsid w:val="00EA4AE0"/>
    <w:rsid w:val="00EA7DCF"/>
    <w:rsid w:val="00EB40E2"/>
    <w:rsid w:val="00EB7CB5"/>
    <w:rsid w:val="00EB7D6A"/>
    <w:rsid w:val="00ED0A54"/>
    <w:rsid w:val="00ED69CD"/>
    <w:rsid w:val="00ED736C"/>
    <w:rsid w:val="00ED7A29"/>
    <w:rsid w:val="00F165C5"/>
    <w:rsid w:val="00F74510"/>
    <w:rsid w:val="00FA0AA9"/>
    <w:rsid w:val="00FA3633"/>
    <w:rsid w:val="00FB3868"/>
    <w:rsid w:val="00FC552B"/>
    <w:rsid w:val="00FD0F82"/>
    <w:rsid w:val="00FE1311"/>
    <w:rsid w:val="00FE16CB"/>
    <w:rsid w:val="051C4701"/>
    <w:rsid w:val="6790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9FC6"/>
  <w15:chartTrackingRefBased/>
  <w15:docId w15:val="{F69B49A6-5FF9-4CD9-A2F4-19FA2A16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52"/>
    <w:pPr>
      <w:spacing w:after="0" w:line="240" w:lineRule="auto"/>
    </w:pPr>
    <w:rPr>
      <w:rFonts w:ascii="Calibri" w:eastAsia="Batang"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5B4952"/>
    <w:rPr>
      <w:lang w:bidi="en-US"/>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b1"/>
    <w:basedOn w:val="Normal"/>
    <w:link w:val="ListParagraphChar"/>
    <w:uiPriority w:val="34"/>
    <w:qFormat/>
    <w:rsid w:val="005B4952"/>
    <w:pPr>
      <w:spacing w:after="160" w:line="254"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70E26"/>
    <w:rPr>
      <w:sz w:val="16"/>
      <w:szCs w:val="16"/>
    </w:rPr>
  </w:style>
  <w:style w:type="paragraph" w:styleId="CommentText">
    <w:name w:val="annotation text"/>
    <w:basedOn w:val="Normal"/>
    <w:link w:val="CommentTextChar"/>
    <w:uiPriority w:val="99"/>
    <w:semiHidden/>
    <w:unhideWhenUsed/>
    <w:rsid w:val="00570E26"/>
    <w:rPr>
      <w:sz w:val="20"/>
      <w:szCs w:val="20"/>
    </w:rPr>
  </w:style>
  <w:style w:type="character" w:customStyle="1" w:styleId="CommentTextChar">
    <w:name w:val="Comment Text Char"/>
    <w:basedOn w:val="DefaultParagraphFont"/>
    <w:link w:val="CommentText"/>
    <w:uiPriority w:val="99"/>
    <w:semiHidden/>
    <w:rsid w:val="00570E26"/>
    <w:rPr>
      <w:rFonts w:ascii="Calibri" w:eastAsia="Batang"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0E26"/>
    <w:rPr>
      <w:b/>
      <w:bCs/>
    </w:rPr>
  </w:style>
  <w:style w:type="character" w:customStyle="1" w:styleId="CommentSubjectChar">
    <w:name w:val="Comment Subject Char"/>
    <w:basedOn w:val="CommentTextChar"/>
    <w:link w:val="CommentSubject"/>
    <w:uiPriority w:val="99"/>
    <w:semiHidden/>
    <w:rsid w:val="00570E26"/>
    <w:rPr>
      <w:rFonts w:ascii="Calibri" w:eastAsia="Batang" w:hAnsi="Calibri" w:cs="Calibri"/>
      <w:b/>
      <w:bCs/>
      <w:sz w:val="20"/>
      <w:szCs w:val="20"/>
      <w:lang w:bidi="en-US"/>
    </w:rPr>
  </w:style>
  <w:style w:type="paragraph" w:styleId="FootnoteText">
    <w:name w:val="footnote text"/>
    <w:basedOn w:val="Normal"/>
    <w:link w:val="FootnoteTextChar"/>
    <w:uiPriority w:val="99"/>
    <w:semiHidden/>
    <w:unhideWhenUsed/>
    <w:rsid w:val="008A5719"/>
    <w:rPr>
      <w:sz w:val="20"/>
      <w:szCs w:val="20"/>
    </w:rPr>
  </w:style>
  <w:style w:type="character" w:customStyle="1" w:styleId="FootnoteTextChar">
    <w:name w:val="Footnote Text Char"/>
    <w:basedOn w:val="DefaultParagraphFont"/>
    <w:link w:val="FootnoteText"/>
    <w:uiPriority w:val="99"/>
    <w:semiHidden/>
    <w:rsid w:val="008A5719"/>
    <w:rPr>
      <w:rFonts w:ascii="Calibri" w:eastAsia="Batang" w:hAnsi="Calibri" w:cs="Calibri"/>
      <w:sz w:val="20"/>
      <w:szCs w:val="20"/>
      <w:lang w:bidi="en-US"/>
    </w:rPr>
  </w:style>
  <w:style w:type="character" w:styleId="FootnoteReference">
    <w:name w:val="footnote reference"/>
    <w:basedOn w:val="DefaultParagraphFont"/>
    <w:uiPriority w:val="99"/>
    <w:semiHidden/>
    <w:unhideWhenUsed/>
    <w:rsid w:val="008A5719"/>
    <w:rPr>
      <w:vertAlign w:val="superscript"/>
    </w:rPr>
  </w:style>
  <w:style w:type="character" w:styleId="Hyperlink">
    <w:name w:val="Hyperlink"/>
    <w:basedOn w:val="DefaultParagraphFont"/>
    <w:uiPriority w:val="99"/>
    <w:unhideWhenUsed/>
    <w:rsid w:val="000E025A"/>
    <w:rPr>
      <w:color w:val="0563C1" w:themeColor="hyperlink"/>
      <w:u w:val="single"/>
    </w:rPr>
  </w:style>
  <w:style w:type="character" w:styleId="UnresolvedMention">
    <w:name w:val="Unresolved Mention"/>
    <w:basedOn w:val="DefaultParagraphFont"/>
    <w:uiPriority w:val="99"/>
    <w:semiHidden/>
    <w:unhideWhenUsed/>
    <w:rsid w:val="000E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sources.unsdsn.org/sdg-costing-financing-for-low-income-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3b319b4-b36e-4f4d-b018-d7d286b8d164">
      <UserInfo>
        <DisplayName>Laura Sennett</DisplayName>
        <AccountId>45</AccountId>
        <AccountType/>
      </UserInfo>
      <UserInfo>
        <DisplayName>Edoardo Tancioni</DisplayName>
        <AccountId>224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F9462D71F21B4F84D0B02A9F5B67FD" ma:contentTypeVersion="13" ma:contentTypeDescription="Create a new document." ma:contentTypeScope="" ma:versionID="9002facfca1aeae148896977e9f32193">
  <xsd:schema xmlns:xsd="http://www.w3.org/2001/XMLSchema" xmlns:xs="http://www.w3.org/2001/XMLSchema" xmlns:p="http://schemas.microsoft.com/office/2006/metadata/properties" xmlns:ns2="f981b0ba-be50-4ef5-86f0-867fbc498883" xmlns:ns3="93b319b4-b36e-4f4d-b018-d7d286b8d164" targetNamespace="http://schemas.microsoft.com/office/2006/metadata/properties" ma:root="true" ma:fieldsID="b5d26331b3ee2878d2b54ab3e89276f5" ns2:_="" ns3:_="">
    <xsd:import namespace="f981b0ba-be50-4ef5-86f0-867fbc498883"/>
    <xsd:import namespace="93b319b4-b36e-4f4d-b018-d7d286b8d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1b0ba-be50-4ef5-86f0-867fbc498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b319b4-b36e-4f4d-b018-d7d286b8d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7E155-634E-4E82-ACC4-7F89EFFD3672}">
  <ds:schemaRefs>
    <ds:schemaRef ds:uri="http://schemas.microsoft.com/sharepoint/v3/contenttype/forms"/>
  </ds:schemaRefs>
</ds:datastoreItem>
</file>

<file path=customXml/itemProps2.xml><?xml version="1.0" encoding="utf-8"?>
<ds:datastoreItem xmlns:ds="http://schemas.openxmlformats.org/officeDocument/2006/customXml" ds:itemID="{B7B23C5D-D67C-42FC-AF0F-25A887C7EE6F}">
  <ds:schemaRefs>
    <ds:schemaRef ds:uri="http://schemas.openxmlformats.org/officeDocument/2006/bibliography"/>
  </ds:schemaRefs>
</ds:datastoreItem>
</file>

<file path=customXml/itemProps3.xml><?xml version="1.0" encoding="utf-8"?>
<ds:datastoreItem xmlns:ds="http://schemas.openxmlformats.org/officeDocument/2006/customXml" ds:itemID="{07A705DE-0D9A-41D4-81F9-7C2D5DC6554B}">
  <ds:schemaRefs>
    <ds:schemaRef ds:uri="http://schemas.microsoft.com/office/2006/metadata/properties"/>
    <ds:schemaRef ds:uri="http://schemas.microsoft.com/office/infopath/2007/PartnerControls"/>
    <ds:schemaRef ds:uri="93b319b4-b36e-4f4d-b018-d7d286b8d164"/>
  </ds:schemaRefs>
</ds:datastoreItem>
</file>

<file path=customXml/itemProps4.xml><?xml version="1.0" encoding="utf-8"?>
<ds:datastoreItem xmlns:ds="http://schemas.openxmlformats.org/officeDocument/2006/customXml" ds:itemID="{5BE72070-9340-416F-A20E-C298E104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1b0ba-be50-4ef5-86f0-867fbc498883"/>
    <ds:schemaRef ds:uri="93b319b4-b36e-4f4d-b018-d7d286b8d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4</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Sonesson</dc:creator>
  <cp:keywords/>
  <dc:description/>
  <cp:lastModifiedBy>Svetlana Iazykova</cp:lastModifiedBy>
  <cp:revision>2</cp:revision>
  <dcterms:created xsi:type="dcterms:W3CDTF">2021-12-17T18:17:00Z</dcterms:created>
  <dcterms:modified xsi:type="dcterms:W3CDTF">2021-12-17T18:17:00Z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0x0101000DF9462D71F21B4F84D0B02A9F5B67FD</vt:lpwstr>
  </property>
</Properties>
</file>