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0D3A3" w14:textId="77777777" w:rsidR="00785474" w:rsidRPr="003C26C1" w:rsidRDefault="00785474" w:rsidP="00D9153B">
      <w:pPr>
        <w:rPr>
          <w:rFonts w:ascii="Arial" w:hAnsi="Arial"/>
          <w:color w:val="000000"/>
          <w:spacing w:val="-2"/>
        </w:rPr>
      </w:pPr>
    </w:p>
    <w:p w14:paraId="2440D3A4" w14:textId="77777777" w:rsidR="00785474" w:rsidRPr="003C26C1" w:rsidRDefault="00785474" w:rsidP="00D9153B">
      <w:pPr>
        <w:rPr>
          <w:color w:val="000000"/>
          <w:sz w:val="6"/>
        </w:rPr>
        <w:sectPr w:rsidR="00785474" w:rsidRPr="003C26C1"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068170F9" w14:textId="77777777" w:rsidR="00543E8E" w:rsidRPr="00543E8E" w:rsidRDefault="00543E8E" w:rsidP="00543E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sidRPr="00543E8E">
        <w:rPr>
          <w:b/>
          <w:color w:val="000000"/>
        </w:rPr>
        <w:t>Second regular session 2016</w:t>
      </w:r>
    </w:p>
    <w:p w14:paraId="2ED7BB0D" w14:textId="77777777" w:rsidR="00543E8E" w:rsidRPr="00543E8E" w:rsidRDefault="00543E8E" w:rsidP="00543E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543E8E">
        <w:rPr>
          <w:color w:val="000000"/>
        </w:rPr>
        <w:t>6-9 and 13 September 2016, New York</w:t>
      </w:r>
    </w:p>
    <w:p w14:paraId="252FBD36" w14:textId="77777777" w:rsidR="00543E8E" w:rsidRPr="00543E8E" w:rsidRDefault="00543E8E" w:rsidP="00543E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543E8E">
        <w:rPr>
          <w:color w:val="000000"/>
        </w:rPr>
        <w:t>Item x of the provisional agenda</w:t>
      </w:r>
    </w:p>
    <w:p w14:paraId="337A9224" w14:textId="77777777" w:rsidR="00543E8E" w:rsidRPr="00543E8E" w:rsidRDefault="00543E8E" w:rsidP="00543E8E">
      <w:pPr>
        <w:ind w:right="1260"/>
        <w:rPr>
          <w:b/>
          <w:color w:val="000000"/>
        </w:rPr>
      </w:pPr>
      <w:r w:rsidRPr="00543E8E">
        <w:rPr>
          <w:b/>
          <w:color w:val="000000"/>
        </w:rPr>
        <w:t>Country programmes and related matters</w:t>
      </w:r>
    </w:p>
    <w:p w14:paraId="00453A89" w14:textId="77777777" w:rsidR="00543E8E" w:rsidRPr="00543E8E" w:rsidRDefault="00543E8E" w:rsidP="00543E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AE349DF" w14:textId="77777777" w:rsidR="00543E8E" w:rsidRPr="00543E8E" w:rsidRDefault="00543E8E" w:rsidP="00543E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C95E160" w14:textId="77777777" w:rsidR="00543E8E" w:rsidRPr="00543E8E" w:rsidRDefault="00543E8E" w:rsidP="00543E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1CF427B9" w14:textId="77777777" w:rsidR="00543E8E" w:rsidRPr="00543E8E" w:rsidRDefault="00543E8E" w:rsidP="00543E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Theme="minorHAnsi" w:hAnsiTheme="minorHAnsi"/>
          <w:b/>
          <w:color w:val="000000"/>
          <w:spacing w:val="-2"/>
          <w:w w:val="103"/>
          <w:kern w:val="14"/>
          <w:sz w:val="28"/>
          <w:lang w:val="en-GB"/>
        </w:rPr>
      </w:pPr>
    </w:p>
    <w:p w14:paraId="5DA4A3D2" w14:textId="333D880E" w:rsidR="00543E8E" w:rsidRPr="00543E8E" w:rsidRDefault="00543E8E" w:rsidP="00543E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40" w:hanging="1267"/>
        <w:outlineLvl w:val="0"/>
        <w:rPr>
          <w:b/>
          <w:color w:val="000000"/>
          <w:spacing w:val="-2"/>
          <w:w w:val="103"/>
          <w:kern w:val="14"/>
          <w:sz w:val="32"/>
          <w:szCs w:val="32"/>
          <w:lang w:val="en-GB"/>
        </w:rPr>
      </w:pPr>
      <w:r w:rsidRPr="00543E8E">
        <w:rPr>
          <w:b/>
          <w:color w:val="000000"/>
          <w:spacing w:val="-2"/>
          <w:w w:val="103"/>
          <w:kern w:val="14"/>
          <w:sz w:val="32"/>
          <w:szCs w:val="32"/>
          <w:lang w:val="en-GB"/>
        </w:rPr>
        <w:t xml:space="preserve">Draft country programme document for </w:t>
      </w:r>
      <w:r>
        <w:rPr>
          <w:b/>
          <w:color w:val="000000"/>
          <w:spacing w:val="-2"/>
          <w:w w:val="103"/>
          <w:kern w:val="14"/>
          <w:sz w:val="32"/>
          <w:szCs w:val="32"/>
          <w:lang w:val="en-GB"/>
        </w:rPr>
        <w:t>Albania</w:t>
      </w:r>
      <w:r w:rsidRPr="00543E8E">
        <w:rPr>
          <w:b/>
          <w:color w:val="000000"/>
          <w:spacing w:val="-2"/>
          <w:w w:val="103"/>
          <w:kern w:val="14"/>
          <w:sz w:val="32"/>
          <w:szCs w:val="32"/>
          <w:lang w:val="en-GB"/>
        </w:rPr>
        <w:t xml:space="preserve"> (</w:t>
      </w:r>
      <w:r>
        <w:rPr>
          <w:b/>
          <w:color w:val="000000"/>
          <w:spacing w:val="-2"/>
          <w:w w:val="103"/>
          <w:kern w:val="14"/>
          <w:sz w:val="32"/>
          <w:szCs w:val="32"/>
          <w:lang w:val="en-GB"/>
        </w:rPr>
        <w:t>2017-2021</w:t>
      </w:r>
      <w:r w:rsidRPr="00543E8E">
        <w:rPr>
          <w:b/>
          <w:color w:val="000000"/>
          <w:spacing w:val="-2"/>
          <w:w w:val="103"/>
          <w:kern w:val="14"/>
          <w:sz w:val="32"/>
          <w:szCs w:val="32"/>
          <w:lang w:val="en-GB"/>
        </w:rPr>
        <w:t>)</w:t>
      </w:r>
    </w:p>
    <w:p w14:paraId="102D914C" w14:textId="77777777" w:rsidR="00543E8E" w:rsidRPr="00543E8E" w:rsidRDefault="00543E8E" w:rsidP="00543E8E">
      <w:pPr>
        <w:rPr>
          <w:lang w:val="en-GB"/>
        </w:rPr>
      </w:pPr>
    </w:p>
    <w:p w14:paraId="3F2BDA90" w14:textId="77777777" w:rsidR="00543E8E" w:rsidRPr="00543E8E" w:rsidRDefault="00543E8E" w:rsidP="00543E8E">
      <w:pPr>
        <w:tabs>
          <w:tab w:val="left" w:pos="1620"/>
        </w:tabs>
      </w:pPr>
    </w:p>
    <w:p w14:paraId="106CAADF" w14:textId="77777777" w:rsidR="00543E8E" w:rsidRPr="00543E8E" w:rsidRDefault="00543E8E" w:rsidP="00543E8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543E8E">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260"/>
        <w:gridCol w:w="8100"/>
        <w:gridCol w:w="9"/>
        <w:gridCol w:w="533"/>
      </w:tblGrid>
      <w:tr w:rsidR="00543E8E" w:rsidRPr="00543E8E" w14:paraId="31AB0D4E" w14:textId="77777777" w:rsidTr="00D81E8F">
        <w:tc>
          <w:tcPr>
            <w:tcW w:w="1260" w:type="dxa"/>
            <w:shd w:val="clear" w:color="auto" w:fill="auto"/>
          </w:tcPr>
          <w:p w14:paraId="33E3D759" w14:textId="77777777" w:rsidR="00543E8E" w:rsidRPr="00543E8E" w:rsidRDefault="00543E8E" w:rsidP="00543E8E">
            <w:pPr>
              <w:tabs>
                <w:tab w:val="left" w:pos="1620"/>
              </w:tabs>
              <w:suppressAutoHyphens/>
              <w:spacing w:after="120"/>
              <w:jc w:val="right"/>
              <w:rPr>
                <w:i/>
                <w:spacing w:val="4"/>
                <w:w w:val="103"/>
                <w:kern w:val="14"/>
                <w:sz w:val="14"/>
                <w:lang w:val="en-GB"/>
              </w:rPr>
            </w:pPr>
            <w:r w:rsidRPr="00543E8E">
              <w:rPr>
                <w:i/>
                <w:spacing w:val="4"/>
                <w:w w:val="103"/>
                <w:kern w:val="14"/>
                <w:sz w:val="14"/>
                <w:lang w:val="en-GB"/>
              </w:rPr>
              <w:t>Chapter</w:t>
            </w:r>
          </w:p>
        </w:tc>
        <w:tc>
          <w:tcPr>
            <w:tcW w:w="8100" w:type="dxa"/>
            <w:shd w:val="clear" w:color="auto" w:fill="auto"/>
          </w:tcPr>
          <w:p w14:paraId="46C93CDC" w14:textId="77777777" w:rsidR="00543E8E" w:rsidRPr="00543E8E" w:rsidRDefault="00543E8E" w:rsidP="00543E8E">
            <w:pPr>
              <w:tabs>
                <w:tab w:val="left" w:pos="1620"/>
              </w:tabs>
              <w:suppressAutoHyphens/>
              <w:spacing w:after="120"/>
              <w:rPr>
                <w:i/>
                <w:spacing w:val="4"/>
                <w:w w:val="103"/>
                <w:kern w:val="14"/>
                <w:sz w:val="14"/>
                <w:lang w:val="en-GB"/>
              </w:rPr>
            </w:pPr>
          </w:p>
        </w:tc>
        <w:tc>
          <w:tcPr>
            <w:tcW w:w="542" w:type="dxa"/>
            <w:gridSpan w:val="2"/>
            <w:shd w:val="clear" w:color="auto" w:fill="auto"/>
          </w:tcPr>
          <w:p w14:paraId="3130A15C" w14:textId="77777777" w:rsidR="00543E8E" w:rsidRPr="00543E8E" w:rsidRDefault="00543E8E" w:rsidP="00543E8E">
            <w:pPr>
              <w:tabs>
                <w:tab w:val="left" w:pos="1620"/>
              </w:tabs>
              <w:suppressAutoHyphens/>
              <w:spacing w:after="120"/>
              <w:jc w:val="right"/>
              <w:rPr>
                <w:i/>
                <w:spacing w:val="4"/>
                <w:w w:val="103"/>
                <w:kern w:val="14"/>
                <w:sz w:val="14"/>
                <w:lang w:val="en-GB"/>
              </w:rPr>
            </w:pPr>
            <w:r w:rsidRPr="00543E8E">
              <w:rPr>
                <w:i/>
                <w:spacing w:val="4"/>
                <w:w w:val="103"/>
                <w:kern w:val="14"/>
                <w:sz w:val="14"/>
                <w:lang w:val="en-GB"/>
              </w:rPr>
              <w:t>Page</w:t>
            </w:r>
          </w:p>
        </w:tc>
      </w:tr>
      <w:tr w:rsidR="00543E8E" w:rsidRPr="00543E8E" w14:paraId="6BEFC20A" w14:textId="77777777" w:rsidTr="00D81E8F">
        <w:tc>
          <w:tcPr>
            <w:tcW w:w="9360" w:type="dxa"/>
            <w:gridSpan w:val="2"/>
            <w:shd w:val="clear" w:color="auto" w:fill="auto"/>
          </w:tcPr>
          <w:p w14:paraId="0A2A3CBC" w14:textId="77777777" w:rsidR="00543E8E" w:rsidRPr="00543E8E" w:rsidRDefault="00543E8E" w:rsidP="00543E8E">
            <w:pPr>
              <w:numPr>
                <w:ilvl w:val="0"/>
                <w:numId w:val="40"/>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543E8E">
              <w:rPr>
                <w:spacing w:val="4"/>
                <w:w w:val="103"/>
                <w:kern w:val="14"/>
                <w:lang w:val="en-GB"/>
              </w:rPr>
              <w:tab/>
              <w:t>Programme rationale</w:t>
            </w:r>
            <w:r w:rsidRPr="00543E8E">
              <w:rPr>
                <w:spacing w:val="60"/>
                <w:w w:val="103"/>
                <w:kern w:val="14"/>
                <w:sz w:val="17"/>
                <w:lang w:val="en-GB"/>
              </w:rPr>
              <w:tab/>
            </w:r>
          </w:p>
        </w:tc>
        <w:tc>
          <w:tcPr>
            <w:tcW w:w="542" w:type="dxa"/>
            <w:gridSpan w:val="2"/>
            <w:vMerge w:val="restart"/>
            <w:shd w:val="clear" w:color="auto" w:fill="auto"/>
            <w:vAlign w:val="bottom"/>
          </w:tcPr>
          <w:p w14:paraId="1168B225" w14:textId="77777777" w:rsidR="00543E8E" w:rsidRPr="00543E8E" w:rsidRDefault="00543E8E" w:rsidP="00543E8E">
            <w:pPr>
              <w:tabs>
                <w:tab w:val="left" w:pos="1620"/>
              </w:tabs>
              <w:suppressAutoHyphens/>
              <w:spacing w:after="120" w:line="240" w:lineRule="exact"/>
              <w:jc w:val="right"/>
              <w:rPr>
                <w:spacing w:val="4"/>
                <w:w w:val="103"/>
                <w:kern w:val="14"/>
                <w:lang w:val="en-GB"/>
              </w:rPr>
            </w:pPr>
            <w:r w:rsidRPr="00543E8E">
              <w:rPr>
                <w:spacing w:val="4"/>
                <w:w w:val="103"/>
                <w:kern w:val="14"/>
                <w:lang w:val="en-GB"/>
              </w:rPr>
              <w:t>2</w:t>
            </w:r>
          </w:p>
          <w:p w14:paraId="7886F19B" w14:textId="77777777" w:rsidR="00543E8E" w:rsidRPr="00543E8E" w:rsidRDefault="00543E8E" w:rsidP="00543E8E">
            <w:pPr>
              <w:tabs>
                <w:tab w:val="left" w:pos="1620"/>
              </w:tabs>
              <w:suppressAutoHyphens/>
              <w:spacing w:after="120" w:line="240" w:lineRule="exact"/>
              <w:jc w:val="right"/>
              <w:rPr>
                <w:spacing w:val="4"/>
                <w:w w:val="103"/>
                <w:kern w:val="14"/>
                <w:lang w:val="en-GB"/>
              </w:rPr>
            </w:pPr>
            <w:r w:rsidRPr="00543E8E">
              <w:rPr>
                <w:spacing w:val="4"/>
                <w:w w:val="103"/>
                <w:kern w:val="14"/>
                <w:lang w:val="en-GB"/>
              </w:rPr>
              <w:t>4</w:t>
            </w:r>
          </w:p>
        </w:tc>
      </w:tr>
      <w:tr w:rsidR="00543E8E" w:rsidRPr="00543E8E" w14:paraId="46804E02" w14:textId="77777777" w:rsidTr="00D81E8F">
        <w:tc>
          <w:tcPr>
            <w:tcW w:w="9360" w:type="dxa"/>
            <w:gridSpan w:val="2"/>
            <w:shd w:val="clear" w:color="auto" w:fill="auto"/>
          </w:tcPr>
          <w:p w14:paraId="67F3E7DA" w14:textId="77777777" w:rsidR="00543E8E" w:rsidRPr="00543E8E" w:rsidRDefault="00543E8E" w:rsidP="00543E8E">
            <w:pPr>
              <w:numPr>
                <w:ilvl w:val="0"/>
                <w:numId w:val="40"/>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543E8E">
              <w:rPr>
                <w:spacing w:val="4"/>
                <w:w w:val="103"/>
                <w:kern w:val="14"/>
                <w:lang w:val="en-GB"/>
              </w:rPr>
              <w:tab/>
              <w:t>Programme priorities and partnerships</w:t>
            </w:r>
            <w:r w:rsidRPr="00543E8E">
              <w:rPr>
                <w:spacing w:val="60"/>
                <w:w w:val="103"/>
                <w:kern w:val="14"/>
                <w:sz w:val="17"/>
                <w:lang w:val="en-GB"/>
              </w:rPr>
              <w:tab/>
            </w:r>
          </w:p>
        </w:tc>
        <w:tc>
          <w:tcPr>
            <w:tcW w:w="542" w:type="dxa"/>
            <w:gridSpan w:val="2"/>
            <w:vMerge/>
            <w:shd w:val="clear" w:color="auto" w:fill="auto"/>
            <w:vAlign w:val="bottom"/>
          </w:tcPr>
          <w:p w14:paraId="13127788" w14:textId="77777777" w:rsidR="00543E8E" w:rsidRPr="00543E8E" w:rsidRDefault="00543E8E" w:rsidP="00543E8E">
            <w:pPr>
              <w:tabs>
                <w:tab w:val="left" w:pos="1620"/>
              </w:tabs>
              <w:suppressAutoHyphens/>
              <w:spacing w:after="120" w:line="240" w:lineRule="exact"/>
              <w:jc w:val="right"/>
              <w:rPr>
                <w:spacing w:val="4"/>
                <w:w w:val="103"/>
                <w:kern w:val="14"/>
                <w:lang w:val="en-GB"/>
              </w:rPr>
            </w:pPr>
          </w:p>
        </w:tc>
      </w:tr>
      <w:tr w:rsidR="00543E8E" w:rsidRPr="00543E8E" w14:paraId="46C46BFB" w14:textId="77777777" w:rsidTr="00D81E8F">
        <w:tc>
          <w:tcPr>
            <w:tcW w:w="9360" w:type="dxa"/>
            <w:gridSpan w:val="2"/>
            <w:shd w:val="clear" w:color="auto" w:fill="auto"/>
          </w:tcPr>
          <w:p w14:paraId="433D8602" w14:textId="77777777" w:rsidR="00543E8E" w:rsidRPr="00543E8E" w:rsidRDefault="00543E8E" w:rsidP="00543E8E">
            <w:pPr>
              <w:numPr>
                <w:ilvl w:val="0"/>
                <w:numId w:val="40"/>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543E8E">
              <w:rPr>
                <w:spacing w:val="4"/>
                <w:w w:val="103"/>
                <w:kern w:val="14"/>
                <w:lang w:val="en-GB"/>
              </w:rPr>
              <w:tab/>
              <w:t>Programme and risk management</w:t>
            </w:r>
            <w:r w:rsidRPr="00543E8E">
              <w:rPr>
                <w:spacing w:val="60"/>
                <w:w w:val="103"/>
                <w:kern w:val="14"/>
                <w:sz w:val="17"/>
                <w:lang w:val="en-GB"/>
              </w:rPr>
              <w:tab/>
            </w:r>
          </w:p>
        </w:tc>
        <w:tc>
          <w:tcPr>
            <w:tcW w:w="542" w:type="dxa"/>
            <w:gridSpan w:val="2"/>
            <w:vMerge w:val="restart"/>
            <w:shd w:val="clear" w:color="auto" w:fill="auto"/>
            <w:vAlign w:val="bottom"/>
          </w:tcPr>
          <w:p w14:paraId="2A4AC80E" w14:textId="0AC88134" w:rsidR="00543E8E" w:rsidRPr="00543E8E" w:rsidRDefault="004F7071" w:rsidP="00543E8E">
            <w:pPr>
              <w:tabs>
                <w:tab w:val="left" w:pos="1620"/>
              </w:tabs>
              <w:suppressAutoHyphens/>
              <w:spacing w:after="120" w:line="240" w:lineRule="exact"/>
              <w:jc w:val="right"/>
              <w:rPr>
                <w:spacing w:val="4"/>
                <w:w w:val="103"/>
                <w:kern w:val="14"/>
                <w:lang w:val="en-GB"/>
              </w:rPr>
            </w:pPr>
            <w:r>
              <w:rPr>
                <w:spacing w:val="4"/>
                <w:w w:val="103"/>
                <w:kern w:val="14"/>
                <w:lang w:val="en-GB"/>
              </w:rPr>
              <w:t>6</w:t>
            </w:r>
          </w:p>
          <w:p w14:paraId="11E985F3" w14:textId="3D23F1B4" w:rsidR="00543E8E" w:rsidRPr="00543E8E" w:rsidRDefault="004F7071" w:rsidP="00543E8E">
            <w:pPr>
              <w:tabs>
                <w:tab w:val="left" w:pos="1620"/>
              </w:tabs>
              <w:suppressAutoHyphens/>
              <w:spacing w:after="120" w:line="240" w:lineRule="exact"/>
              <w:jc w:val="right"/>
              <w:rPr>
                <w:spacing w:val="4"/>
                <w:w w:val="103"/>
                <w:kern w:val="14"/>
                <w:lang w:val="en-GB"/>
              </w:rPr>
            </w:pPr>
            <w:r>
              <w:rPr>
                <w:spacing w:val="4"/>
                <w:w w:val="103"/>
                <w:kern w:val="14"/>
                <w:lang w:val="en-GB"/>
              </w:rPr>
              <w:t>7</w:t>
            </w:r>
            <w:r w:rsidR="00543E8E" w:rsidRPr="00543E8E">
              <w:rPr>
                <w:spacing w:val="4"/>
                <w:w w:val="103"/>
                <w:kern w:val="14"/>
                <w:lang w:val="en-GB"/>
              </w:rPr>
              <w:t xml:space="preserve"> </w:t>
            </w:r>
          </w:p>
        </w:tc>
      </w:tr>
      <w:tr w:rsidR="00543E8E" w:rsidRPr="00543E8E" w14:paraId="099595DF" w14:textId="77777777" w:rsidTr="00D81E8F">
        <w:tc>
          <w:tcPr>
            <w:tcW w:w="9360" w:type="dxa"/>
            <w:gridSpan w:val="2"/>
            <w:shd w:val="clear" w:color="auto" w:fill="auto"/>
          </w:tcPr>
          <w:p w14:paraId="786F5891" w14:textId="77777777" w:rsidR="00543E8E" w:rsidRPr="00543E8E" w:rsidRDefault="00543E8E" w:rsidP="00543E8E">
            <w:pPr>
              <w:numPr>
                <w:ilvl w:val="0"/>
                <w:numId w:val="40"/>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543E8E">
              <w:rPr>
                <w:spacing w:val="4"/>
                <w:w w:val="103"/>
                <w:kern w:val="14"/>
                <w:lang w:val="en-GB"/>
              </w:rPr>
              <w:tab/>
              <w:t>Monitoring and evaluation</w:t>
            </w:r>
            <w:r w:rsidRPr="00543E8E">
              <w:rPr>
                <w:spacing w:val="60"/>
                <w:w w:val="103"/>
                <w:kern w:val="14"/>
                <w:sz w:val="17"/>
                <w:lang w:val="en-GB"/>
              </w:rPr>
              <w:tab/>
            </w:r>
            <w:r w:rsidRPr="00543E8E">
              <w:rPr>
                <w:spacing w:val="60"/>
                <w:w w:val="103"/>
                <w:kern w:val="14"/>
                <w:sz w:val="17"/>
                <w:lang w:val="en-GB"/>
              </w:rPr>
              <w:tab/>
            </w:r>
          </w:p>
        </w:tc>
        <w:tc>
          <w:tcPr>
            <w:tcW w:w="542" w:type="dxa"/>
            <w:gridSpan w:val="2"/>
            <w:vMerge/>
            <w:shd w:val="clear" w:color="auto" w:fill="auto"/>
            <w:vAlign w:val="bottom"/>
          </w:tcPr>
          <w:p w14:paraId="62A5B174" w14:textId="77777777" w:rsidR="00543E8E" w:rsidRPr="00543E8E" w:rsidRDefault="00543E8E" w:rsidP="00543E8E">
            <w:pPr>
              <w:tabs>
                <w:tab w:val="left" w:pos="1620"/>
              </w:tabs>
              <w:suppressAutoHyphens/>
              <w:spacing w:after="120" w:line="240" w:lineRule="exact"/>
              <w:jc w:val="right"/>
              <w:rPr>
                <w:spacing w:val="4"/>
                <w:w w:val="103"/>
                <w:kern w:val="14"/>
                <w:lang w:val="en-GB"/>
              </w:rPr>
            </w:pPr>
          </w:p>
        </w:tc>
      </w:tr>
      <w:tr w:rsidR="00543E8E" w:rsidRPr="00543E8E" w14:paraId="3B43E361" w14:textId="77777777" w:rsidTr="00D81E8F">
        <w:tc>
          <w:tcPr>
            <w:tcW w:w="9369" w:type="dxa"/>
            <w:gridSpan w:val="3"/>
            <w:shd w:val="clear" w:color="auto" w:fill="auto"/>
          </w:tcPr>
          <w:p w14:paraId="4AA3409C" w14:textId="77777777" w:rsidR="00543E8E" w:rsidRPr="00543E8E" w:rsidRDefault="00543E8E" w:rsidP="00543E8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543E8E">
              <w:rPr>
                <w:spacing w:val="4"/>
                <w:w w:val="103"/>
                <w:kern w:val="14"/>
                <w:lang w:val="en-GB"/>
              </w:rPr>
              <w:t xml:space="preserve">     Annex</w:t>
            </w:r>
          </w:p>
        </w:tc>
        <w:tc>
          <w:tcPr>
            <w:tcW w:w="533" w:type="dxa"/>
            <w:shd w:val="clear" w:color="auto" w:fill="auto"/>
            <w:vAlign w:val="bottom"/>
          </w:tcPr>
          <w:p w14:paraId="73F28E24" w14:textId="77777777" w:rsidR="00543E8E" w:rsidRPr="00543E8E" w:rsidRDefault="00543E8E" w:rsidP="00543E8E">
            <w:pPr>
              <w:tabs>
                <w:tab w:val="left" w:pos="1620"/>
              </w:tabs>
              <w:suppressAutoHyphens/>
              <w:spacing w:after="120" w:line="240" w:lineRule="exact"/>
              <w:jc w:val="right"/>
              <w:rPr>
                <w:spacing w:val="4"/>
                <w:w w:val="103"/>
                <w:kern w:val="14"/>
                <w:lang w:val="en-GB"/>
              </w:rPr>
            </w:pPr>
          </w:p>
        </w:tc>
      </w:tr>
      <w:tr w:rsidR="00543E8E" w:rsidRPr="00543E8E" w14:paraId="7B117352" w14:textId="77777777" w:rsidTr="00D81E8F">
        <w:tc>
          <w:tcPr>
            <w:tcW w:w="9369" w:type="dxa"/>
            <w:gridSpan w:val="3"/>
            <w:shd w:val="clear" w:color="auto" w:fill="auto"/>
          </w:tcPr>
          <w:p w14:paraId="3676D415" w14:textId="6455F7B5" w:rsidR="00543E8E" w:rsidRPr="00543E8E" w:rsidRDefault="00543E8E" w:rsidP="0049412C">
            <w:pPr>
              <w:tabs>
                <w:tab w:val="right" w:pos="1080"/>
                <w:tab w:val="left" w:pos="1296"/>
                <w:tab w:val="left" w:pos="1620"/>
                <w:tab w:val="left" w:pos="2160"/>
                <w:tab w:val="left" w:pos="2592"/>
                <w:tab w:val="left" w:pos="3024"/>
                <w:tab w:val="left" w:pos="3456"/>
                <w:tab w:val="left" w:pos="3888"/>
                <w:tab w:val="left" w:pos="4320"/>
                <w:tab w:val="left" w:pos="4752"/>
                <w:tab w:val="left" w:pos="4950"/>
                <w:tab w:val="left" w:pos="5184"/>
                <w:tab w:val="left" w:pos="5616"/>
                <w:tab w:val="left" w:pos="6048"/>
                <w:tab w:val="right" w:leader="dot" w:pos="9360"/>
              </w:tabs>
              <w:suppressAutoHyphens/>
              <w:spacing w:after="120" w:line="240" w:lineRule="exact"/>
              <w:ind w:left="1296"/>
              <w:rPr>
                <w:spacing w:val="60"/>
                <w:w w:val="103"/>
                <w:kern w:val="14"/>
                <w:sz w:val="17"/>
                <w:lang w:val="en-GB"/>
              </w:rPr>
            </w:pPr>
            <w:r w:rsidRPr="00543E8E">
              <w:rPr>
                <w:spacing w:val="4"/>
                <w:w w:val="103"/>
                <w:kern w:val="14"/>
                <w:lang w:val="en-GB"/>
              </w:rPr>
              <w:t xml:space="preserve">Results and resources framework for </w:t>
            </w:r>
            <w:r>
              <w:rPr>
                <w:spacing w:val="4"/>
                <w:w w:val="103"/>
                <w:kern w:val="14"/>
                <w:lang w:val="en-GB"/>
              </w:rPr>
              <w:t>Albania</w:t>
            </w:r>
            <w:r w:rsidRPr="00543E8E">
              <w:rPr>
                <w:spacing w:val="4"/>
                <w:w w:val="103"/>
                <w:kern w:val="14"/>
                <w:lang w:val="en-GB"/>
              </w:rPr>
              <w:t xml:space="preserve"> (</w:t>
            </w:r>
            <w:r>
              <w:rPr>
                <w:spacing w:val="4"/>
                <w:w w:val="103"/>
                <w:kern w:val="14"/>
                <w:lang w:val="en-GB"/>
              </w:rPr>
              <w:t>2017-2021</w:t>
            </w:r>
            <w:r w:rsidRPr="00543E8E">
              <w:rPr>
                <w:spacing w:val="4"/>
                <w:w w:val="103"/>
                <w:kern w:val="14"/>
                <w:lang w:val="en-GB"/>
              </w:rPr>
              <w:t>)</w:t>
            </w:r>
            <w:r w:rsidRPr="00543E8E">
              <w:rPr>
                <w:spacing w:val="60"/>
                <w:w w:val="103"/>
                <w:kern w:val="14"/>
                <w:sz w:val="17"/>
                <w:lang w:val="en-GB"/>
              </w:rPr>
              <w:tab/>
            </w:r>
          </w:p>
        </w:tc>
        <w:tc>
          <w:tcPr>
            <w:tcW w:w="533" w:type="dxa"/>
            <w:shd w:val="clear" w:color="auto" w:fill="auto"/>
            <w:vAlign w:val="bottom"/>
          </w:tcPr>
          <w:p w14:paraId="07B30D4A" w14:textId="640F952D" w:rsidR="00543E8E" w:rsidRPr="00543E8E" w:rsidRDefault="00FC3BEC" w:rsidP="00543E8E">
            <w:pPr>
              <w:tabs>
                <w:tab w:val="left" w:pos="1620"/>
              </w:tabs>
              <w:suppressAutoHyphens/>
              <w:spacing w:after="120" w:line="240" w:lineRule="exact"/>
              <w:jc w:val="right"/>
              <w:rPr>
                <w:spacing w:val="4"/>
                <w:w w:val="103"/>
                <w:kern w:val="14"/>
                <w:lang w:val="en-GB"/>
              </w:rPr>
            </w:pPr>
            <w:r>
              <w:rPr>
                <w:spacing w:val="4"/>
                <w:w w:val="103"/>
                <w:kern w:val="14"/>
                <w:lang w:val="en-GB"/>
              </w:rPr>
              <w:t>8</w:t>
            </w:r>
          </w:p>
        </w:tc>
      </w:tr>
    </w:tbl>
    <w:p w14:paraId="67820DC4" w14:textId="77777777" w:rsidR="00543E8E" w:rsidRPr="00543E8E" w:rsidRDefault="00543E8E" w:rsidP="00543E8E">
      <w:pPr>
        <w:jc w:val="both"/>
        <w:rPr>
          <w:sz w:val="22"/>
          <w:szCs w:val="22"/>
          <w:lang w:val="en-GB"/>
        </w:rPr>
        <w:sectPr w:rsidR="00543E8E" w:rsidRPr="00543E8E" w:rsidSect="00543E8E">
          <w:headerReference w:type="even" r:id="rId17"/>
          <w:headerReference w:type="default" r:id="rId18"/>
          <w:footerReference w:type="even" r:id="rId19"/>
          <w:footerReference w:type="default" r:id="rId20"/>
          <w:headerReference w:type="first" r:id="rId21"/>
          <w:footnotePr>
            <w:numRestart w:val="eachSect"/>
          </w:footnotePr>
          <w:endnotePr>
            <w:numFmt w:val="decimal"/>
            <w:numStart w:val="7"/>
          </w:endnotePr>
          <w:type w:val="continuous"/>
          <w:pgSz w:w="12240" w:h="15840" w:code="1"/>
          <w:pgMar w:top="1166" w:right="1195" w:bottom="1440" w:left="1195" w:header="576" w:footer="1030" w:gutter="0"/>
          <w:pgNumType w:start="1"/>
          <w:cols w:space="720"/>
          <w:titlePg/>
        </w:sectPr>
      </w:pPr>
    </w:p>
    <w:p w14:paraId="5870496D" w14:textId="157BFCA7" w:rsidR="009A4543" w:rsidRPr="00543E8E" w:rsidRDefault="00785474" w:rsidP="00543E8E">
      <w:pPr>
        <w:pStyle w:val="Heading2"/>
        <w:ind w:right="65" w:hanging="360"/>
        <w:jc w:val="both"/>
        <w:rPr>
          <w:rFonts w:ascii="Times New Roman" w:hAnsi="Times New Roman"/>
          <w:color w:val="000000"/>
          <w:sz w:val="24"/>
          <w:szCs w:val="24"/>
        </w:rPr>
      </w:pPr>
      <w:r w:rsidRPr="003C26C1">
        <w:br w:type="page"/>
      </w:r>
      <w:r w:rsidR="00543E8E">
        <w:rPr>
          <w:rFonts w:ascii="Times New Roman" w:hAnsi="Times New Roman"/>
          <w:bCs/>
          <w:color w:val="000000"/>
          <w:sz w:val="24"/>
          <w:szCs w:val="24"/>
        </w:rPr>
        <w:lastRenderedPageBreak/>
        <w:t>I.</w:t>
      </w:r>
      <w:r w:rsidR="00543E8E">
        <w:rPr>
          <w:rFonts w:ascii="Times New Roman" w:hAnsi="Times New Roman"/>
          <w:bCs/>
          <w:color w:val="000000"/>
          <w:sz w:val="24"/>
          <w:szCs w:val="24"/>
        </w:rPr>
        <w:tab/>
      </w:r>
      <w:r w:rsidR="0059112A" w:rsidRPr="00543E8E">
        <w:rPr>
          <w:rFonts w:ascii="Times New Roman" w:hAnsi="Times New Roman"/>
          <w:bCs/>
          <w:color w:val="000000"/>
          <w:sz w:val="24"/>
          <w:szCs w:val="24"/>
        </w:rPr>
        <w:t xml:space="preserve">Programme </w:t>
      </w:r>
      <w:r w:rsidR="00543E8E" w:rsidRPr="00543E8E">
        <w:rPr>
          <w:rFonts w:ascii="Times New Roman" w:hAnsi="Times New Roman"/>
          <w:bCs/>
          <w:color w:val="000000"/>
          <w:sz w:val="24"/>
          <w:szCs w:val="24"/>
        </w:rPr>
        <w:t>r</w:t>
      </w:r>
      <w:r w:rsidR="0059112A" w:rsidRPr="00543E8E">
        <w:rPr>
          <w:rFonts w:ascii="Times New Roman" w:hAnsi="Times New Roman"/>
          <w:bCs/>
          <w:color w:val="000000"/>
          <w:sz w:val="24"/>
          <w:szCs w:val="24"/>
        </w:rPr>
        <w:t>ationale</w:t>
      </w:r>
      <w:r w:rsidR="00A113D7" w:rsidRPr="00543E8E">
        <w:rPr>
          <w:rFonts w:ascii="Times New Roman" w:hAnsi="Times New Roman"/>
          <w:bCs/>
          <w:color w:val="000000"/>
          <w:sz w:val="24"/>
          <w:szCs w:val="24"/>
        </w:rPr>
        <w:t xml:space="preserve"> </w:t>
      </w:r>
    </w:p>
    <w:p w14:paraId="353DFC2A" w14:textId="77777777" w:rsidR="0030144D" w:rsidRPr="00543E8E" w:rsidRDefault="0030144D" w:rsidP="00543E8E">
      <w:pPr>
        <w:tabs>
          <w:tab w:val="left" w:pos="180"/>
        </w:tabs>
        <w:ind w:right="65"/>
        <w:jc w:val="both"/>
        <w:rPr>
          <w:color w:val="000000" w:themeColor="text1"/>
        </w:rPr>
      </w:pPr>
    </w:p>
    <w:p w14:paraId="25FFA58F" w14:textId="7DA81271" w:rsidR="0030144D" w:rsidRPr="00543E8E" w:rsidRDefault="0030144D" w:rsidP="004F7071">
      <w:pPr>
        <w:pStyle w:val="ListParagraph"/>
        <w:numPr>
          <w:ilvl w:val="0"/>
          <w:numId w:val="36"/>
        </w:numPr>
        <w:tabs>
          <w:tab w:val="left" w:pos="360"/>
        </w:tabs>
        <w:spacing w:after="120"/>
        <w:ind w:left="0" w:right="65" w:firstLine="0"/>
        <w:jc w:val="both"/>
        <w:textAlignment w:val="center"/>
      </w:pPr>
      <w:r w:rsidRPr="00543E8E">
        <w:t xml:space="preserve">After 46 years of communism, Albania began its democratic and market transition in 1991. Today, Albania is a functioning parliamentary-presidential democracy. </w:t>
      </w:r>
      <w:r w:rsidR="003B26AD" w:rsidRPr="00543E8E">
        <w:t>Since June 2014, it is a</w:t>
      </w:r>
      <w:r w:rsidR="00D81E8F">
        <w:t xml:space="preserve"> candidate country for accession to the European Union (</w:t>
      </w:r>
      <w:r w:rsidR="00193095" w:rsidRPr="00543E8E">
        <w:t>EU</w:t>
      </w:r>
      <w:r w:rsidR="00D81E8F">
        <w:t>)</w:t>
      </w:r>
      <w:r w:rsidR="003B26AD" w:rsidRPr="00543E8E">
        <w:t xml:space="preserve">. </w:t>
      </w:r>
      <w:r w:rsidRPr="00543E8E">
        <w:t xml:space="preserve">With a </w:t>
      </w:r>
      <w:r w:rsidR="00D81E8F">
        <w:t xml:space="preserve">gross national income </w:t>
      </w:r>
      <w:r w:rsidRPr="00543E8E">
        <w:t>per capita of $4</w:t>
      </w:r>
      <w:r w:rsidR="00D81E8F">
        <w:t>,</w:t>
      </w:r>
      <w:r w:rsidRPr="00543E8E">
        <w:t xml:space="preserve">450, Albania is an </w:t>
      </w:r>
      <w:r w:rsidR="00D81E8F" w:rsidRPr="00543E8E">
        <w:t>upper</w:t>
      </w:r>
      <w:r w:rsidR="00D81E8F">
        <w:t>-</w:t>
      </w:r>
      <w:r w:rsidRPr="00543E8E">
        <w:t>middle-income country</w:t>
      </w:r>
      <w:r w:rsidR="001F3D3A">
        <w:rPr>
          <w:rStyle w:val="FootnoteReference"/>
        </w:rPr>
        <w:t xml:space="preserve"> </w:t>
      </w:r>
      <w:r w:rsidRPr="00543E8E">
        <w:t>in the high human development category.</w:t>
      </w:r>
      <w:r w:rsidRPr="00543E8E">
        <w:rPr>
          <w:rStyle w:val="FootnoteReference"/>
        </w:rPr>
        <w:footnoteReference w:id="1"/>
      </w:r>
      <w:r w:rsidRPr="00543E8E">
        <w:t xml:space="preserve"> F</w:t>
      </w:r>
      <w:r w:rsidRPr="00543E8E">
        <w:rPr>
          <w:shd w:val="clear" w:color="auto" w:fill="FFFFFF"/>
        </w:rPr>
        <w:t xml:space="preserve">ollowing the 2008 </w:t>
      </w:r>
      <w:r w:rsidR="00945F1D">
        <w:rPr>
          <w:shd w:val="clear" w:color="auto" w:fill="FFFFFF"/>
        </w:rPr>
        <w:t>E</w:t>
      </w:r>
      <w:r w:rsidR="00945F1D" w:rsidRPr="00543E8E">
        <w:rPr>
          <w:shd w:val="clear" w:color="auto" w:fill="FFFFFF"/>
        </w:rPr>
        <w:t xml:space="preserve">urozone </w:t>
      </w:r>
      <w:r w:rsidRPr="00543E8E">
        <w:rPr>
          <w:shd w:val="clear" w:color="auto" w:fill="FFFFFF"/>
        </w:rPr>
        <w:t>crises</w:t>
      </w:r>
      <w:r w:rsidR="00D81E8F">
        <w:rPr>
          <w:shd w:val="clear" w:color="auto" w:fill="FFFFFF"/>
        </w:rPr>
        <w:t>,</w:t>
      </w:r>
      <w:r w:rsidRPr="00543E8E">
        <w:rPr>
          <w:shd w:val="clear" w:color="auto" w:fill="FFFFFF"/>
        </w:rPr>
        <w:t xml:space="preserve"> however</w:t>
      </w:r>
      <w:r w:rsidR="00D81E8F">
        <w:rPr>
          <w:shd w:val="clear" w:color="auto" w:fill="FFFFFF"/>
        </w:rPr>
        <w:t>,</w:t>
      </w:r>
      <w:r w:rsidRPr="00543E8E">
        <w:t xml:space="preserve"> growth stalled and the </w:t>
      </w:r>
      <w:r w:rsidR="00D81E8F">
        <w:rPr>
          <w:rFonts w:eastAsiaTheme="minorEastAsia"/>
          <w:lang w:val="en-GB" w:eastAsia="zh-CN"/>
        </w:rPr>
        <w:t>percentage</w:t>
      </w:r>
      <w:r w:rsidR="00D81E8F" w:rsidRPr="00543E8E">
        <w:rPr>
          <w:rFonts w:eastAsiaTheme="minorEastAsia"/>
          <w:lang w:val="en-GB" w:eastAsia="zh-CN"/>
        </w:rPr>
        <w:t xml:space="preserve"> </w:t>
      </w:r>
      <w:r w:rsidRPr="00543E8E">
        <w:rPr>
          <w:rFonts w:eastAsiaTheme="minorEastAsia"/>
          <w:lang w:val="en-GB" w:eastAsia="zh-CN"/>
        </w:rPr>
        <w:t>of people living in poverty increased from 12.4 to 14.3</w:t>
      </w:r>
      <w:r w:rsidR="00D81E8F">
        <w:rPr>
          <w:rFonts w:eastAsiaTheme="minorEastAsia"/>
          <w:lang w:val="en-GB" w:eastAsia="zh-CN"/>
        </w:rPr>
        <w:t xml:space="preserve"> per cent of the population,</w:t>
      </w:r>
      <w:r w:rsidR="00D81E8F" w:rsidRPr="00543E8E">
        <w:rPr>
          <w:rFonts w:eastAsiaTheme="minorEastAsia"/>
          <w:lang w:val="en-GB" w:eastAsia="zh-CN"/>
        </w:rPr>
        <w:t xml:space="preserve"> </w:t>
      </w:r>
      <w:r w:rsidRPr="00543E8E">
        <w:rPr>
          <w:rFonts w:eastAsiaTheme="minorEastAsia"/>
          <w:lang w:val="en-GB" w:eastAsia="zh-CN"/>
        </w:rPr>
        <w:t>reaching 18</w:t>
      </w:r>
      <w:r w:rsidR="00D81E8F">
        <w:rPr>
          <w:rFonts w:eastAsiaTheme="minorEastAsia"/>
          <w:lang w:val="en-GB" w:eastAsia="zh-CN"/>
        </w:rPr>
        <w:t xml:space="preserve"> per cent</w:t>
      </w:r>
      <w:r w:rsidR="00D81E8F" w:rsidRPr="00543E8E">
        <w:rPr>
          <w:rFonts w:eastAsiaTheme="minorEastAsia"/>
          <w:lang w:val="en-GB" w:eastAsia="zh-CN"/>
        </w:rPr>
        <w:t xml:space="preserve"> </w:t>
      </w:r>
      <w:r w:rsidRPr="00543E8E">
        <w:rPr>
          <w:rFonts w:eastAsiaTheme="minorEastAsia"/>
          <w:lang w:val="en-GB" w:eastAsia="zh-CN"/>
        </w:rPr>
        <w:t>among women.</w:t>
      </w:r>
      <w:r w:rsidRPr="00543E8E">
        <w:rPr>
          <w:rStyle w:val="FootnoteReference"/>
          <w:rFonts w:eastAsiaTheme="minorEastAsia"/>
          <w:lang w:val="en-GB" w:eastAsia="zh-CN"/>
        </w:rPr>
        <w:footnoteReference w:id="2"/>
      </w:r>
      <w:r w:rsidRPr="00543E8E">
        <w:t xml:space="preserve"> In the past decade, Albania’s population decreased by 9</w:t>
      </w:r>
      <w:r w:rsidR="00D81E8F">
        <w:t xml:space="preserve"> per cent,</w:t>
      </w:r>
      <w:r w:rsidR="00D81E8F" w:rsidRPr="00543E8E">
        <w:t xml:space="preserve"> </w:t>
      </w:r>
      <w:r w:rsidRPr="00543E8E">
        <w:t>to 2.8 million</w:t>
      </w:r>
      <w:r w:rsidR="00D81E8F">
        <w:t>,</w:t>
      </w:r>
      <w:r w:rsidRPr="00543E8E">
        <w:t xml:space="preserve"> due to migration. In 2015</w:t>
      </w:r>
      <w:r w:rsidR="00D81E8F">
        <w:t xml:space="preserve"> alone</w:t>
      </w:r>
      <w:r w:rsidRPr="00543E8E">
        <w:t>, some 65</w:t>
      </w:r>
      <w:r w:rsidR="00D81E8F">
        <w:t>,</w:t>
      </w:r>
      <w:r w:rsidRPr="00543E8E">
        <w:t>000 young men and women left the country in search of jobs and opportunities in Western Europe.</w:t>
      </w:r>
      <w:r w:rsidR="00055D32" w:rsidRPr="00543E8E">
        <w:rPr>
          <w:vertAlign w:val="superscript"/>
        </w:rPr>
        <w:footnoteReference w:id="3"/>
      </w:r>
      <w:r w:rsidRPr="00543E8E">
        <w:t xml:space="preserve"> The Government aims to reverse this </w:t>
      </w:r>
      <w:r w:rsidR="00D81E8F">
        <w:t xml:space="preserve">trend </w:t>
      </w:r>
      <w:r w:rsidRPr="00543E8E">
        <w:t>and put the country on a path of sustainable and equitable growth through ensuring macroeconomic stability and competitiveness and by investing in people and social cohesion.</w:t>
      </w:r>
      <w:r w:rsidRPr="00543E8E">
        <w:rPr>
          <w:rStyle w:val="FootnoteReference"/>
        </w:rPr>
        <w:footnoteReference w:id="4"/>
      </w:r>
      <w:r w:rsidRPr="00543E8E">
        <w:t xml:space="preserve"> These objectives of the National Strategy for Development and Integration (NSDI) are underpinned by the strategic objective of ensuring good governance and rule of law for the ultimate aim of EU accession. </w:t>
      </w:r>
    </w:p>
    <w:p w14:paraId="5B7F31AB" w14:textId="63F454D5" w:rsidR="0030144D" w:rsidRPr="00543E8E" w:rsidRDefault="0030144D" w:rsidP="004F7071">
      <w:pPr>
        <w:pStyle w:val="ListParagraph"/>
        <w:numPr>
          <w:ilvl w:val="0"/>
          <w:numId w:val="36"/>
        </w:numPr>
        <w:tabs>
          <w:tab w:val="left" w:pos="360"/>
        </w:tabs>
        <w:spacing w:after="120"/>
        <w:ind w:left="0" w:right="65" w:firstLine="0"/>
        <w:jc w:val="both"/>
        <w:textAlignment w:val="center"/>
        <w:rPr>
          <w:color w:val="000000" w:themeColor="text1"/>
        </w:rPr>
      </w:pPr>
      <w:r w:rsidRPr="00543E8E">
        <w:t>Albania’s institutions still struggle with ensuring trust</w:t>
      </w:r>
      <w:r w:rsidR="001F3D3A" w:rsidRPr="00543E8E">
        <w:t>.</w:t>
      </w:r>
      <w:r w:rsidR="001F3D3A">
        <w:rPr>
          <w:rStyle w:val="FootnoteReference"/>
        </w:rPr>
        <w:t xml:space="preserve"> </w:t>
      </w:r>
      <w:r w:rsidRPr="00543E8E">
        <w:rPr>
          <w:color w:val="000000" w:themeColor="text1"/>
        </w:rPr>
        <w:t xml:space="preserve">The underlying challenge is the politicization of public institutions whereby citizens rely on political patronage or informal networks in their search </w:t>
      </w:r>
      <w:r w:rsidR="00D81E8F">
        <w:rPr>
          <w:color w:val="000000" w:themeColor="text1"/>
        </w:rPr>
        <w:t>for</w:t>
      </w:r>
      <w:r w:rsidR="00D81E8F" w:rsidRPr="00543E8E">
        <w:rPr>
          <w:color w:val="000000" w:themeColor="text1"/>
        </w:rPr>
        <w:t xml:space="preserve"> </w:t>
      </w:r>
      <w:r w:rsidRPr="00543E8E">
        <w:rPr>
          <w:color w:val="000000" w:themeColor="text1"/>
        </w:rPr>
        <w:t xml:space="preserve">opportunities, services and justice. More than half of Albanians think that the judiciary and electoral management bodies are politicized. </w:t>
      </w:r>
      <w:r w:rsidR="00D81E8F">
        <w:rPr>
          <w:color w:val="000000" w:themeColor="text1"/>
        </w:rPr>
        <w:t>One</w:t>
      </w:r>
      <w:r w:rsidR="00D81E8F" w:rsidRPr="00543E8E">
        <w:rPr>
          <w:color w:val="000000" w:themeColor="text1"/>
        </w:rPr>
        <w:t xml:space="preserve"> </w:t>
      </w:r>
      <w:r w:rsidRPr="00543E8E">
        <w:rPr>
          <w:color w:val="000000" w:themeColor="text1"/>
        </w:rPr>
        <w:t>third report corruption in their dealings with public institutions.</w:t>
      </w:r>
      <w:r w:rsidR="00604DD0" w:rsidRPr="00604DD0">
        <w:rPr>
          <w:rStyle w:val="FootnoteReference"/>
          <w:color w:val="000000" w:themeColor="text1"/>
        </w:rPr>
        <w:t xml:space="preserve"> </w:t>
      </w:r>
      <w:r w:rsidR="00604DD0" w:rsidRPr="00543E8E">
        <w:rPr>
          <w:rStyle w:val="FootnoteReference"/>
          <w:color w:val="000000" w:themeColor="text1"/>
        </w:rPr>
        <w:footnoteReference w:id="5"/>
      </w:r>
      <w:r w:rsidR="00604DD0">
        <w:rPr>
          <w:rStyle w:val="FootnoteReference"/>
          <w:color w:val="000000" w:themeColor="text1"/>
        </w:rPr>
        <w:t xml:space="preserve"> </w:t>
      </w:r>
      <w:r w:rsidR="00604DD0" w:rsidRPr="00543E8E">
        <w:rPr>
          <w:color w:val="000000" w:themeColor="text1"/>
        </w:rPr>
        <w:t xml:space="preserve"> </w:t>
      </w:r>
      <w:r w:rsidRPr="00543E8E">
        <w:rPr>
          <w:color w:val="000000" w:themeColor="text1"/>
        </w:rPr>
        <w:t xml:space="preserve">Overcoming this challenge of politicization is at the heart of the national reform agenda for meeting the </w:t>
      </w:r>
      <w:r w:rsidRPr="00543E8E">
        <w:t>political criteria for EU accession</w:t>
      </w:r>
      <w:r w:rsidR="00126B72">
        <w:t xml:space="preserve"> </w:t>
      </w:r>
      <w:r w:rsidR="00604DD0">
        <w:rPr>
          <w:rStyle w:val="FootnoteReference"/>
        </w:rPr>
        <w:footnoteReference w:id="6"/>
      </w:r>
      <w:r w:rsidR="00604DD0">
        <w:t>:</w:t>
      </w:r>
      <w:r w:rsidR="00604DD0">
        <w:rPr>
          <w:rStyle w:val="FootnoteReference"/>
        </w:rPr>
        <w:t xml:space="preserve"> </w:t>
      </w:r>
      <w:r w:rsidR="00604DD0" w:rsidRPr="00543E8E">
        <w:t xml:space="preserve"> </w:t>
      </w:r>
      <w:r w:rsidRPr="00543E8E">
        <w:t xml:space="preserve">the functioning of a professional and depoliticized public administration and an independent judiciary; measurable results in the fight against corruption and crime; and protection of rights, notably property rights and </w:t>
      </w:r>
      <w:r w:rsidR="009F390B">
        <w:t xml:space="preserve">the </w:t>
      </w:r>
      <w:r w:rsidRPr="00543E8E">
        <w:t xml:space="preserve">rights of Roma. </w:t>
      </w:r>
      <w:r w:rsidRPr="00543E8E">
        <w:rPr>
          <w:lang w:val="en-GB"/>
        </w:rPr>
        <w:t xml:space="preserve">This reform agenda for depoliticization of the administration and state institutions must be accompanied by systematic functional improvements in institutional capacities so that reforms turn into </w:t>
      </w:r>
      <w:r w:rsidR="00D81E8F" w:rsidRPr="00543E8E">
        <w:rPr>
          <w:lang w:val="en-GB"/>
        </w:rPr>
        <w:t>real</w:t>
      </w:r>
      <w:r w:rsidR="00D81E8F">
        <w:rPr>
          <w:lang w:val="en-GB"/>
        </w:rPr>
        <w:t>-</w:t>
      </w:r>
      <w:r w:rsidRPr="00543E8E">
        <w:rPr>
          <w:lang w:val="en-GB"/>
        </w:rPr>
        <w:t xml:space="preserve">life improvements in the lives of men and women who turn to public institutions </w:t>
      </w:r>
      <w:r w:rsidR="009F390B">
        <w:rPr>
          <w:lang w:val="en-GB"/>
        </w:rPr>
        <w:t>for</w:t>
      </w:r>
      <w:r w:rsidRPr="00543E8E">
        <w:rPr>
          <w:lang w:val="en-GB"/>
        </w:rPr>
        <w:t xml:space="preserve"> services, justice and opportunities. </w:t>
      </w:r>
    </w:p>
    <w:p w14:paraId="39A15B57" w14:textId="02D84B86" w:rsidR="0030144D" w:rsidRPr="00543E8E" w:rsidRDefault="0030144D" w:rsidP="004F7071">
      <w:pPr>
        <w:pStyle w:val="ListParagraph"/>
        <w:numPr>
          <w:ilvl w:val="0"/>
          <w:numId w:val="36"/>
        </w:numPr>
        <w:tabs>
          <w:tab w:val="left" w:pos="360"/>
        </w:tabs>
        <w:spacing w:after="120"/>
        <w:ind w:left="0" w:right="65" w:firstLine="0"/>
        <w:jc w:val="both"/>
        <w:textAlignment w:val="center"/>
        <w:rPr>
          <w:color w:val="000000" w:themeColor="text1"/>
        </w:rPr>
      </w:pPr>
      <w:r w:rsidRPr="00543E8E">
        <w:t xml:space="preserve">Strengthening </w:t>
      </w:r>
      <w:r w:rsidR="00D81E8F">
        <w:t xml:space="preserve">the </w:t>
      </w:r>
      <w:r w:rsidRPr="00543E8E">
        <w:t>effectiveness, transparency, accountability and service orientation of public institutions</w:t>
      </w:r>
      <w:r w:rsidRPr="00543E8E">
        <w:rPr>
          <w:lang w:val="en-GB"/>
        </w:rPr>
        <w:t xml:space="preserve"> is the main pathway towards building trust in institutions and enabling their developmental functionality.</w:t>
      </w:r>
      <w:r w:rsidR="00604DD0">
        <w:rPr>
          <w:rStyle w:val="FootnoteReference"/>
          <w:lang w:val="en-GB"/>
        </w:rPr>
        <w:footnoteReference w:id="7"/>
      </w:r>
      <w:r w:rsidRPr="00543E8E">
        <w:rPr>
          <w:lang w:val="en-GB"/>
        </w:rPr>
        <w:t xml:space="preserve"> More inclusive and </w:t>
      </w:r>
      <w:r w:rsidR="00D1627A" w:rsidRPr="00543E8E">
        <w:rPr>
          <w:lang w:val="en-GB"/>
        </w:rPr>
        <w:t>gender</w:t>
      </w:r>
      <w:r w:rsidR="00D1627A">
        <w:rPr>
          <w:lang w:val="en-GB"/>
        </w:rPr>
        <w:t>-</w:t>
      </w:r>
      <w:r w:rsidRPr="00543E8E">
        <w:rPr>
          <w:lang w:val="en-GB"/>
        </w:rPr>
        <w:t xml:space="preserve">responsive, </w:t>
      </w:r>
      <w:r w:rsidR="00D1627A" w:rsidRPr="00543E8E">
        <w:rPr>
          <w:lang w:val="en-GB"/>
        </w:rPr>
        <w:t>evidence</w:t>
      </w:r>
      <w:r w:rsidR="00D1627A">
        <w:rPr>
          <w:lang w:val="en-GB"/>
        </w:rPr>
        <w:t>-</w:t>
      </w:r>
      <w:r w:rsidRPr="00543E8E">
        <w:rPr>
          <w:lang w:val="en-GB"/>
        </w:rPr>
        <w:t xml:space="preserve">based policymaking and legislation are required for reducing inequities and corruption risks. Civil society needs space and systems so that </w:t>
      </w:r>
      <w:r w:rsidR="00D1627A">
        <w:rPr>
          <w:lang w:val="en-GB"/>
        </w:rPr>
        <w:t>people can</w:t>
      </w:r>
      <w:r w:rsidRPr="00543E8E">
        <w:rPr>
          <w:lang w:val="en-GB"/>
        </w:rPr>
        <w:t xml:space="preserve"> hold public institutions to account.</w:t>
      </w:r>
      <w:r w:rsidR="001F3D3A" w:rsidRPr="001F3D3A">
        <w:rPr>
          <w:rStyle w:val="FootnoteReference"/>
          <w:lang w:val="en-GB"/>
        </w:rPr>
        <w:t xml:space="preserve"> </w:t>
      </w:r>
      <w:r w:rsidR="001F3D3A" w:rsidRPr="00543E8E">
        <w:rPr>
          <w:rStyle w:val="FootnoteReference"/>
          <w:lang w:val="en-GB"/>
        </w:rPr>
        <w:footnoteReference w:id="8"/>
      </w:r>
      <w:r w:rsidRPr="00543E8E">
        <w:rPr>
          <w:lang w:val="en-GB"/>
        </w:rPr>
        <w:t xml:space="preserve"> A</w:t>
      </w:r>
      <w:r w:rsidRPr="00543E8E">
        <w:t xml:space="preserve">t the local level, Albania undertook historic reforms of its administrative and political structure by consolidating 373 local administration units into 61 functional municipalities. A visionary gender quota in 2015 resulted in </w:t>
      </w:r>
      <w:r w:rsidR="009F390B">
        <w:t xml:space="preserve">women comprising 35 per cent of </w:t>
      </w:r>
      <w:r w:rsidRPr="00543E8E">
        <w:t xml:space="preserve">local political leadership. Local administrations now shoulder the principal responsibility for service delivery but lack the </w:t>
      </w:r>
      <w:r w:rsidR="009F390B">
        <w:t xml:space="preserve">necessary </w:t>
      </w:r>
      <w:r w:rsidRPr="00543E8E">
        <w:t>financial and human resources.</w:t>
      </w:r>
      <w:r w:rsidRPr="00543E8E">
        <w:rPr>
          <w:rStyle w:val="FootnoteReference"/>
        </w:rPr>
        <w:footnoteReference w:id="9"/>
      </w:r>
      <w:r w:rsidRPr="00543E8E">
        <w:t xml:space="preserve"> Municipal revenue is planned </w:t>
      </w:r>
      <w:r w:rsidR="009F390B">
        <w:t>to</w:t>
      </w:r>
      <w:r w:rsidR="009F390B" w:rsidRPr="00543E8E">
        <w:t xml:space="preserve"> </w:t>
      </w:r>
      <w:r w:rsidRPr="00543E8E">
        <w:t>increase twofold by 2020.</w:t>
      </w:r>
      <w:r w:rsidRPr="00543E8E">
        <w:rPr>
          <w:rStyle w:val="FootnoteReference"/>
        </w:rPr>
        <w:footnoteReference w:id="10"/>
      </w:r>
      <w:r w:rsidRPr="00543E8E">
        <w:t xml:space="preserve"> Transparent and inclusive </w:t>
      </w:r>
      <w:r w:rsidR="00D1627A" w:rsidRPr="00543E8E">
        <w:t>decision</w:t>
      </w:r>
      <w:r w:rsidR="00D1627A">
        <w:t>-</w:t>
      </w:r>
      <w:r w:rsidRPr="00543E8E">
        <w:t xml:space="preserve">making, </w:t>
      </w:r>
      <w:r w:rsidR="00D1627A">
        <w:t>with</w:t>
      </w:r>
      <w:r w:rsidR="00D1627A" w:rsidRPr="00543E8E">
        <w:t xml:space="preserve"> </w:t>
      </w:r>
      <w:r w:rsidRPr="00543E8E">
        <w:t xml:space="preserve">women </w:t>
      </w:r>
      <w:r w:rsidR="00D1627A" w:rsidRPr="00543E8E">
        <w:t>hav</w:t>
      </w:r>
      <w:r w:rsidR="00D1627A">
        <w:t>ing</w:t>
      </w:r>
      <w:r w:rsidR="00D1627A" w:rsidRPr="00543E8E">
        <w:t xml:space="preserve"> </w:t>
      </w:r>
      <w:r w:rsidRPr="00543E8E">
        <w:t>equal voice especially over redistributive investments</w:t>
      </w:r>
      <w:r w:rsidR="00D1627A">
        <w:t>,</w:t>
      </w:r>
      <w:r w:rsidRPr="00543E8E">
        <w:t xml:space="preserve"> is essential for creating real-life benefits for families</w:t>
      </w:r>
      <w:r w:rsidRPr="00543E8E">
        <w:rPr>
          <w:rStyle w:val="FootnoteReference"/>
        </w:rPr>
        <w:footnoteReference w:id="11"/>
      </w:r>
      <w:r w:rsidRPr="00543E8E">
        <w:t xml:space="preserve"> </w:t>
      </w:r>
      <w:r w:rsidR="009F390B">
        <w:t>and</w:t>
      </w:r>
      <w:r w:rsidRPr="00543E8E">
        <w:t xml:space="preserve"> for building trust in institutions. </w:t>
      </w:r>
    </w:p>
    <w:p w14:paraId="7E39F9DC" w14:textId="01A2B452" w:rsidR="0030144D" w:rsidRPr="00543E8E" w:rsidRDefault="0030144D" w:rsidP="004F7071">
      <w:pPr>
        <w:pStyle w:val="ListParagraph"/>
        <w:numPr>
          <w:ilvl w:val="0"/>
          <w:numId w:val="36"/>
        </w:numPr>
        <w:tabs>
          <w:tab w:val="left" w:pos="360"/>
        </w:tabs>
        <w:spacing w:after="120"/>
        <w:ind w:left="0" w:right="65" w:firstLine="0"/>
        <w:jc w:val="both"/>
        <w:textAlignment w:val="center"/>
        <w:rPr>
          <w:color w:val="000000" w:themeColor="text1"/>
        </w:rPr>
      </w:pPr>
      <w:r w:rsidRPr="00543E8E">
        <w:rPr>
          <w:rFonts w:eastAsiaTheme="minorEastAsia"/>
          <w:lang w:val="en-GB" w:eastAsia="zh-CN"/>
        </w:rPr>
        <w:t xml:space="preserve">Albania’s social protection system does not address the </w:t>
      </w:r>
      <w:r w:rsidR="00D1627A" w:rsidRPr="00543E8E">
        <w:rPr>
          <w:rFonts w:eastAsiaTheme="minorEastAsia"/>
          <w:lang w:val="en-GB" w:eastAsia="zh-CN"/>
        </w:rPr>
        <w:t>gender</w:t>
      </w:r>
      <w:r w:rsidR="00D1627A">
        <w:rPr>
          <w:rFonts w:eastAsiaTheme="minorEastAsia"/>
          <w:lang w:val="en-GB" w:eastAsia="zh-CN"/>
        </w:rPr>
        <w:t>-</w:t>
      </w:r>
      <w:r w:rsidRPr="00543E8E">
        <w:rPr>
          <w:rFonts w:eastAsiaTheme="minorEastAsia"/>
          <w:lang w:val="en-GB" w:eastAsia="zh-CN"/>
        </w:rPr>
        <w:t>based and social determinants of poverty and social exclusion</w:t>
      </w:r>
      <w:r w:rsidRPr="00543E8E">
        <w:t>.</w:t>
      </w:r>
      <w:r w:rsidRPr="00543E8E">
        <w:rPr>
          <w:rStyle w:val="FootnoteReference"/>
        </w:rPr>
        <w:footnoteReference w:id="12"/>
      </w:r>
      <w:r w:rsidRPr="00543E8E">
        <w:t xml:space="preserve"> Groups at higher risk of poverty and exclusion are Roma, Egyptians and pe</w:t>
      </w:r>
      <w:r w:rsidR="002344F8">
        <w:t>rsons</w:t>
      </w:r>
      <w:r w:rsidRPr="00543E8E">
        <w:t xml:space="preserve"> with disabilities.</w:t>
      </w:r>
      <w:r w:rsidR="00DD5FC0" w:rsidRPr="00543E8E">
        <w:rPr>
          <w:rFonts w:eastAsiaTheme="minorEastAsia"/>
          <w:lang w:val="en-GB" w:eastAsia="zh-CN"/>
        </w:rPr>
        <w:t xml:space="preserve"> </w:t>
      </w:r>
      <w:r w:rsidRPr="00543E8E">
        <w:rPr>
          <w:rFonts w:eastAsiaTheme="minorEastAsia"/>
          <w:lang w:val="en-GB" w:eastAsia="zh-CN"/>
        </w:rPr>
        <w:t>Roma are among the poorest</w:t>
      </w:r>
      <w:r w:rsidR="00D1627A">
        <w:rPr>
          <w:rFonts w:eastAsiaTheme="minorEastAsia"/>
          <w:lang w:val="en-GB" w:eastAsia="zh-CN"/>
        </w:rPr>
        <w:t xml:space="preserve"> and</w:t>
      </w:r>
      <w:r w:rsidR="00D1627A" w:rsidRPr="00543E8E">
        <w:rPr>
          <w:rFonts w:eastAsiaTheme="minorEastAsia"/>
          <w:lang w:val="en-GB" w:eastAsia="zh-CN"/>
        </w:rPr>
        <w:t xml:space="preserve"> </w:t>
      </w:r>
      <w:r w:rsidRPr="00543E8E">
        <w:rPr>
          <w:rFonts w:eastAsiaTheme="minorEastAsia"/>
          <w:lang w:val="en-GB" w:eastAsia="zh-CN"/>
        </w:rPr>
        <w:t>most marginalized.</w:t>
      </w:r>
      <w:r w:rsidRPr="00543E8E">
        <w:rPr>
          <w:rStyle w:val="FootnoteReference"/>
          <w:rFonts w:eastAsiaTheme="minorEastAsia"/>
          <w:lang w:val="en-GB" w:eastAsia="zh-CN"/>
        </w:rPr>
        <w:footnoteReference w:id="13"/>
      </w:r>
      <w:r w:rsidRPr="00543E8E">
        <w:rPr>
          <w:rFonts w:eastAsiaTheme="minorEastAsia"/>
          <w:lang w:val="en-GB" w:eastAsia="zh-CN"/>
        </w:rPr>
        <w:t xml:space="preserve"> </w:t>
      </w:r>
      <w:r w:rsidRPr="00543E8E">
        <w:t xml:space="preserve">The 2011 census identified some 12,000 citizens as belonging to the Roma and Egyptian </w:t>
      </w:r>
      <w:r w:rsidR="00D1627A" w:rsidRPr="00543E8E">
        <w:t>communit</w:t>
      </w:r>
      <w:r w:rsidR="00D1627A">
        <w:t>ies,</w:t>
      </w:r>
      <w:r w:rsidR="00D1627A" w:rsidRPr="00543E8E">
        <w:t xml:space="preserve"> </w:t>
      </w:r>
      <w:r w:rsidR="00D1627A">
        <w:t xml:space="preserve">although </w:t>
      </w:r>
      <w:r w:rsidRPr="00543E8E">
        <w:t xml:space="preserve">the </w:t>
      </w:r>
      <w:r w:rsidR="00D1627A">
        <w:t xml:space="preserve">actual </w:t>
      </w:r>
      <w:r w:rsidR="00D1627A">
        <w:lastRenderedPageBreak/>
        <w:t xml:space="preserve">figures are </w:t>
      </w:r>
      <w:r w:rsidRPr="00543E8E">
        <w:t>significantly higher.</w:t>
      </w:r>
      <w:r w:rsidR="00D007A2" w:rsidRPr="00543E8E">
        <w:rPr>
          <w:rStyle w:val="FootnoteReference"/>
        </w:rPr>
        <w:footnoteReference w:id="14"/>
      </w:r>
      <w:r w:rsidRPr="00543E8E">
        <w:t xml:space="preserve"> The evident exclusion of Roma in neighbo</w:t>
      </w:r>
      <w:r w:rsidR="00D1627A">
        <w:t>u</w:t>
      </w:r>
      <w:r w:rsidRPr="00543E8E">
        <w:t xml:space="preserve">rhoods underscores the need for greater policy coherence between local and central authorities </w:t>
      </w:r>
      <w:r w:rsidR="00DF7C27">
        <w:t xml:space="preserve">and </w:t>
      </w:r>
      <w:r w:rsidRPr="00543E8E">
        <w:t xml:space="preserve">for targeted municipal action. There are only few examples of </w:t>
      </w:r>
      <w:r w:rsidR="00DF7C27" w:rsidRPr="00543E8E">
        <w:t>accessib</w:t>
      </w:r>
      <w:r w:rsidR="00DF7C27">
        <w:t>le</w:t>
      </w:r>
      <w:r w:rsidR="00DF7C27" w:rsidRPr="00543E8E">
        <w:t xml:space="preserve"> </w:t>
      </w:r>
      <w:r w:rsidRPr="00543E8E">
        <w:t xml:space="preserve">public facilities for </w:t>
      </w:r>
      <w:r w:rsidR="00D1627A">
        <w:t>pe</w:t>
      </w:r>
      <w:r w:rsidR="002344F8">
        <w:t>rsons</w:t>
      </w:r>
      <w:r w:rsidR="00D1627A">
        <w:t xml:space="preserve"> with disabilities</w:t>
      </w:r>
      <w:r w:rsidR="00DF7C27">
        <w:t>, and</w:t>
      </w:r>
      <w:r w:rsidR="00DF7C27" w:rsidRPr="00543E8E">
        <w:t xml:space="preserve"> </w:t>
      </w:r>
      <w:r w:rsidR="00D1627A">
        <w:t>a</w:t>
      </w:r>
      <w:r w:rsidR="00D1627A" w:rsidRPr="00543E8E">
        <w:t xml:space="preserve">ssistance </w:t>
      </w:r>
      <w:r w:rsidRPr="00543E8E">
        <w:t xml:space="preserve">schemes are limited to financial benefits, prone to corruptive practice and unable to remove barriers for </w:t>
      </w:r>
      <w:r w:rsidR="00D1627A">
        <w:t>these people</w:t>
      </w:r>
      <w:r w:rsidRPr="00543E8E">
        <w:t xml:space="preserve">. </w:t>
      </w:r>
      <w:r w:rsidR="00D1627A">
        <w:t xml:space="preserve">Some </w:t>
      </w:r>
      <w:r w:rsidRPr="00543E8E">
        <w:rPr>
          <w:rFonts w:eastAsiaTheme="minorEastAsia"/>
          <w:lang w:val="en-GB" w:eastAsia="zh-CN"/>
        </w:rPr>
        <w:t>60</w:t>
      </w:r>
      <w:r w:rsidR="00D1627A">
        <w:rPr>
          <w:rFonts w:eastAsiaTheme="minorEastAsia"/>
          <w:lang w:val="en-GB" w:eastAsia="zh-CN"/>
        </w:rPr>
        <w:t xml:space="preserve"> per cent</w:t>
      </w:r>
      <w:r w:rsidR="00D1627A" w:rsidRPr="00543E8E">
        <w:rPr>
          <w:rFonts w:eastAsiaTheme="minorEastAsia"/>
          <w:lang w:val="en-GB" w:eastAsia="zh-CN"/>
        </w:rPr>
        <w:t xml:space="preserve"> </w:t>
      </w:r>
      <w:r w:rsidRPr="00543E8E">
        <w:rPr>
          <w:rFonts w:eastAsiaTheme="minorEastAsia"/>
          <w:lang w:val="en-GB" w:eastAsia="zh-CN"/>
        </w:rPr>
        <w:t>of women in Albania experience some form of violence during their lifetime</w:t>
      </w:r>
      <w:r w:rsidR="000566EE">
        <w:rPr>
          <w:rFonts w:eastAsiaTheme="minorEastAsia"/>
          <w:lang w:val="en-GB" w:eastAsia="zh-CN"/>
        </w:rPr>
        <w:t>,</w:t>
      </w:r>
      <w:r w:rsidR="000566EE" w:rsidRPr="00543E8E">
        <w:rPr>
          <w:rFonts w:eastAsiaTheme="minorEastAsia"/>
          <w:lang w:val="en-GB" w:eastAsia="zh-CN"/>
        </w:rPr>
        <w:t xml:space="preserve"> </w:t>
      </w:r>
      <w:r w:rsidR="000566EE">
        <w:rPr>
          <w:rFonts w:eastAsiaTheme="minorEastAsia"/>
          <w:lang w:val="en-GB" w:eastAsia="zh-CN"/>
        </w:rPr>
        <w:t>but o</w:t>
      </w:r>
      <w:r w:rsidR="000566EE" w:rsidRPr="00543E8E">
        <w:rPr>
          <w:rFonts w:eastAsiaTheme="minorEastAsia"/>
          <w:lang w:val="en-GB" w:eastAsia="zh-CN"/>
        </w:rPr>
        <w:t xml:space="preserve">nly </w:t>
      </w:r>
      <w:r w:rsidRPr="00543E8E">
        <w:rPr>
          <w:rFonts w:eastAsiaTheme="minorEastAsia"/>
          <w:lang w:val="en-GB" w:eastAsia="zh-CN"/>
        </w:rPr>
        <w:t>15</w:t>
      </w:r>
      <w:r w:rsidR="00D1627A">
        <w:rPr>
          <w:rFonts w:eastAsiaTheme="minorEastAsia"/>
          <w:lang w:val="en-GB" w:eastAsia="zh-CN"/>
        </w:rPr>
        <w:t xml:space="preserve"> per cent</w:t>
      </w:r>
      <w:r w:rsidR="00D1627A" w:rsidRPr="00543E8E">
        <w:rPr>
          <w:rFonts w:eastAsiaTheme="minorEastAsia"/>
          <w:lang w:val="en-GB" w:eastAsia="zh-CN"/>
        </w:rPr>
        <w:t xml:space="preserve"> </w:t>
      </w:r>
      <w:r w:rsidRPr="00543E8E">
        <w:rPr>
          <w:rFonts w:eastAsiaTheme="minorEastAsia"/>
          <w:lang w:val="en-GB" w:eastAsia="zh-CN"/>
        </w:rPr>
        <w:t xml:space="preserve">of survivors report seeking help from institutions, with majority of women seeking </w:t>
      </w:r>
      <w:r w:rsidR="000566EE">
        <w:rPr>
          <w:rFonts w:eastAsiaTheme="minorEastAsia"/>
          <w:lang w:val="en-GB" w:eastAsia="zh-CN"/>
        </w:rPr>
        <w:t xml:space="preserve">protection </w:t>
      </w:r>
      <w:r w:rsidRPr="00543E8E">
        <w:rPr>
          <w:rFonts w:eastAsiaTheme="minorEastAsia"/>
          <w:lang w:val="en-GB" w:eastAsia="zh-CN"/>
        </w:rPr>
        <w:t>from family networks.</w:t>
      </w:r>
      <w:r w:rsidR="00F71055" w:rsidRPr="00543E8E">
        <w:rPr>
          <w:rStyle w:val="FootnoteReference"/>
          <w:rFonts w:eastAsiaTheme="minorEastAsia"/>
          <w:lang w:val="en-GB" w:eastAsia="zh-CN"/>
        </w:rPr>
        <w:footnoteReference w:id="15"/>
      </w:r>
      <w:r w:rsidR="00F71055">
        <w:rPr>
          <w:rStyle w:val="FootnoteReference"/>
          <w:rFonts w:eastAsiaTheme="minorEastAsia"/>
          <w:lang w:val="en-GB" w:eastAsia="zh-CN"/>
        </w:rPr>
        <w:t xml:space="preserve">  </w:t>
      </w:r>
      <w:r w:rsidRPr="00543E8E">
        <w:t xml:space="preserve">These concerns echo the findings from the </w:t>
      </w:r>
      <w:r w:rsidR="000566EE">
        <w:t>u</w:t>
      </w:r>
      <w:r w:rsidR="000566EE" w:rsidRPr="00543E8E">
        <w:t xml:space="preserve">niversal </w:t>
      </w:r>
      <w:r w:rsidR="000566EE">
        <w:t>p</w:t>
      </w:r>
      <w:r w:rsidR="000566EE" w:rsidRPr="00543E8E">
        <w:t xml:space="preserve">eriodic </w:t>
      </w:r>
      <w:r w:rsidR="000566EE">
        <w:t>r</w:t>
      </w:r>
      <w:r w:rsidR="000566EE" w:rsidRPr="00543E8E">
        <w:t>eview</w:t>
      </w:r>
      <w:r w:rsidRPr="00543E8E">
        <w:t>. On the other hand, Albania’s track record for religious tolerance and social harmony is a unique asset for social cohesion</w:t>
      </w:r>
      <w:r w:rsidR="00E17635" w:rsidRPr="00543E8E">
        <w:t>.</w:t>
      </w:r>
    </w:p>
    <w:p w14:paraId="11336449" w14:textId="5C95BC77" w:rsidR="0030144D" w:rsidRPr="00543E8E" w:rsidRDefault="0030144D" w:rsidP="004F7071">
      <w:pPr>
        <w:pStyle w:val="ListParagraph"/>
        <w:numPr>
          <w:ilvl w:val="0"/>
          <w:numId w:val="36"/>
        </w:numPr>
        <w:tabs>
          <w:tab w:val="left" w:pos="360"/>
        </w:tabs>
        <w:spacing w:after="120"/>
        <w:ind w:left="0" w:right="65" w:firstLine="0"/>
        <w:jc w:val="both"/>
        <w:textAlignment w:val="center"/>
        <w:rPr>
          <w:color w:val="000000" w:themeColor="text1"/>
        </w:rPr>
      </w:pPr>
      <w:r w:rsidRPr="00543E8E">
        <w:t>Labo</w:t>
      </w:r>
      <w:r w:rsidR="000566EE">
        <w:t>u</w:t>
      </w:r>
      <w:r w:rsidRPr="00543E8E">
        <w:t xml:space="preserve">r market inactivity, especially of women, is an obstacle </w:t>
      </w:r>
      <w:r w:rsidR="00DF7C27">
        <w:t>to</w:t>
      </w:r>
      <w:r w:rsidR="00DF7C27" w:rsidRPr="00543E8E">
        <w:t xml:space="preserve"> </w:t>
      </w:r>
      <w:r w:rsidRPr="00543E8E">
        <w:t>grow</w:t>
      </w:r>
      <w:r w:rsidRPr="00543E8E">
        <w:rPr>
          <w:color w:val="000000" w:themeColor="text1"/>
        </w:rPr>
        <w:t>th</w:t>
      </w:r>
      <w:r w:rsidR="00E62C7F" w:rsidRPr="00543E8E">
        <w:rPr>
          <w:color w:val="000000" w:themeColor="text1"/>
        </w:rPr>
        <w:t>.</w:t>
      </w:r>
      <w:r w:rsidR="00E62C7F">
        <w:rPr>
          <w:rStyle w:val="FootnoteReference"/>
          <w:color w:val="000000" w:themeColor="text1"/>
        </w:rPr>
        <w:t xml:space="preserve"> </w:t>
      </w:r>
      <w:r w:rsidR="00E62C7F" w:rsidRPr="00543E8E">
        <w:rPr>
          <w:color w:val="000000" w:themeColor="text1"/>
        </w:rPr>
        <w:t xml:space="preserve"> </w:t>
      </w:r>
      <w:r w:rsidRPr="00543E8E">
        <w:rPr>
          <w:color w:val="000000" w:themeColor="text1"/>
        </w:rPr>
        <w:t>Young men and women seek the agency of family or patronage networks for job opportunities, especially for coveted jobs in the public sector.</w:t>
      </w:r>
      <w:r w:rsidRPr="00543E8E">
        <w:rPr>
          <w:rStyle w:val="FootnoteReference"/>
          <w:color w:val="000000" w:themeColor="text1"/>
        </w:rPr>
        <w:footnoteReference w:id="16"/>
      </w:r>
      <w:r w:rsidRPr="00543E8E">
        <w:rPr>
          <w:color w:val="000000" w:themeColor="text1"/>
        </w:rPr>
        <w:t xml:space="preserve"> Labo</w:t>
      </w:r>
      <w:r w:rsidR="000566EE">
        <w:rPr>
          <w:color w:val="000000" w:themeColor="text1"/>
        </w:rPr>
        <w:t>u</w:t>
      </w:r>
      <w:r w:rsidRPr="00543E8E">
        <w:rPr>
          <w:color w:val="000000" w:themeColor="text1"/>
        </w:rPr>
        <w:t>r market participation</w:t>
      </w:r>
      <w:r w:rsidR="00DF7C27">
        <w:rPr>
          <w:color w:val="000000" w:themeColor="text1"/>
        </w:rPr>
        <w:t xml:space="preserve"> is</w:t>
      </w:r>
      <w:r w:rsidR="00DF7C27" w:rsidRPr="00543E8E">
        <w:rPr>
          <w:color w:val="000000" w:themeColor="text1"/>
        </w:rPr>
        <w:t xml:space="preserve"> </w:t>
      </w:r>
      <w:r w:rsidRPr="00543E8E">
        <w:rPr>
          <w:color w:val="000000" w:themeColor="text1"/>
        </w:rPr>
        <w:t>therefore is low</w:t>
      </w:r>
      <w:r w:rsidR="00DF7C27">
        <w:rPr>
          <w:color w:val="000000" w:themeColor="text1"/>
        </w:rPr>
        <w:t>,</w:t>
      </w:r>
      <w:r w:rsidRPr="00543E8E">
        <w:rPr>
          <w:color w:val="000000" w:themeColor="text1"/>
        </w:rPr>
        <w:t xml:space="preserve"> at 33.5</w:t>
      </w:r>
      <w:r w:rsidR="000566EE">
        <w:rPr>
          <w:color w:val="000000" w:themeColor="text1"/>
        </w:rPr>
        <w:t xml:space="preserve"> per cent</w:t>
      </w:r>
      <w:r w:rsidR="000566EE" w:rsidRPr="00543E8E">
        <w:rPr>
          <w:color w:val="000000" w:themeColor="text1"/>
        </w:rPr>
        <w:t xml:space="preserve"> </w:t>
      </w:r>
      <w:r w:rsidRPr="00543E8E">
        <w:rPr>
          <w:color w:val="000000" w:themeColor="text1"/>
        </w:rPr>
        <w:t>for young women and 55.1</w:t>
      </w:r>
      <w:r w:rsidR="000566EE">
        <w:rPr>
          <w:color w:val="000000" w:themeColor="text1"/>
        </w:rPr>
        <w:t xml:space="preserve"> per cent</w:t>
      </w:r>
      <w:r w:rsidR="000566EE" w:rsidRPr="00543E8E">
        <w:rPr>
          <w:color w:val="000000" w:themeColor="text1"/>
        </w:rPr>
        <w:t xml:space="preserve"> </w:t>
      </w:r>
      <w:r w:rsidRPr="00543E8E">
        <w:rPr>
          <w:color w:val="000000" w:themeColor="text1"/>
        </w:rPr>
        <w:t>for men. The youth unemployment rate of 34.2</w:t>
      </w:r>
      <w:r w:rsidR="000566EE">
        <w:rPr>
          <w:color w:val="000000" w:themeColor="text1"/>
        </w:rPr>
        <w:t xml:space="preserve"> per cent</w:t>
      </w:r>
      <w:r w:rsidR="000566EE" w:rsidRPr="00543E8E">
        <w:rPr>
          <w:color w:val="000000" w:themeColor="text1"/>
        </w:rPr>
        <w:t xml:space="preserve"> </w:t>
      </w:r>
      <w:r w:rsidRPr="00543E8E">
        <w:rPr>
          <w:color w:val="000000" w:themeColor="text1"/>
        </w:rPr>
        <w:t>is nearly double the national average.</w:t>
      </w:r>
      <w:r w:rsidR="00F71055" w:rsidRPr="00F71055">
        <w:rPr>
          <w:rStyle w:val="FootnoteReference"/>
          <w:color w:val="000000" w:themeColor="text1"/>
        </w:rPr>
        <w:t xml:space="preserve"> </w:t>
      </w:r>
      <w:r w:rsidR="00F71055" w:rsidRPr="00543E8E">
        <w:rPr>
          <w:rStyle w:val="FootnoteReference"/>
          <w:color w:val="000000" w:themeColor="text1"/>
        </w:rPr>
        <w:footnoteReference w:id="17"/>
      </w:r>
      <w:r w:rsidR="00F71055">
        <w:rPr>
          <w:color w:val="000000" w:themeColor="text1"/>
        </w:rPr>
        <w:t xml:space="preserve"> </w:t>
      </w:r>
      <w:r w:rsidR="00787DE7" w:rsidRPr="00543E8E">
        <w:rPr>
          <w:color w:val="000000" w:themeColor="text1"/>
        </w:rPr>
        <w:t xml:space="preserve"> </w:t>
      </w:r>
      <w:r w:rsidR="00DF7C27">
        <w:rPr>
          <w:color w:val="000000" w:themeColor="text1"/>
        </w:rPr>
        <w:t>A s</w:t>
      </w:r>
      <w:r w:rsidR="00DF7C27" w:rsidRPr="00543E8E">
        <w:rPr>
          <w:color w:val="000000" w:themeColor="text1"/>
        </w:rPr>
        <w:t xml:space="preserve">ense </w:t>
      </w:r>
      <w:r w:rsidR="000B2FE4" w:rsidRPr="00543E8E">
        <w:rPr>
          <w:color w:val="000000" w:themeColor="text1"/>
        </w:rPr>
        <w:t>of relative deprivation and frustrated expectations</w:t>
      </w:r>
      <w:r w:rsidR="00DF7C27">
        <w:rPr>
          <w:color w:val="000000" w:themeColor="text1"/>
        </w:rPr>
        <w:t>,</w:t>
      </w:r>
      <w:r w:rsidR="000B2FE4" w:rsidRPr="00543E8E">
        <w:rPr>
          <w:color w:val="000000" w:themeColor="text1"/>
        </w:rPr>
        <w:t xml:space="preserve"> including for employment</w:t>
      </w:r>
      <w:r w:rsidR="00DF7C27">
        <w:rPr>
          <w:color w:val="000000" w:themeColor="text1"/>
        </w:rPr>
        <w:t>,</w:t>
      </w:r>
      <w:r w:rsidR="000B2FE4" w:rsidRPr="00543E8E">
        <w:rPr>
          <w:color w:val="000000" w:themeColor="text1"/>
        </w:rPr>
        <w:t xml:space="preserve"> are drivers for outmigration and potentially for radicalization</w:t>
      </w:r>
      <w:r w:rsidR="005907E4" w:rsidRPr="00543E8E">
        <w:rPr>
          <w:color w:val="000000" w:themeColor="text1"/>
        </w:rPr>
        <w:t xml:space="preserve"> among young men</w:t>
      </w:r>
      <w:r w:rsidR="000B2FE4" w:rsidRPr="00543E8E">
        <w:rPr>
          <w:color w:val="000000" w:themeColor="text1"/>
        </w:rPr>
        <w:t>.</w:t>
      </w:r>
      <w:r w:rsidR="003F6DEC" w:rsidRPr="00543E8E">
        <w:rPr>
          <w:rStyle w:val="FootnoteReference"/>
          <w:color w:val="000000" w:themeColor="text1"/>
        </w:rPr>
        <w:footnoteReference w:id="18"/>
      </w:r>
      <w:r w:rsidR="003F6DEC" w:rsidRPr="00543E8E">
        <w:rPr>
          <w:color w:val="000000" w:themeColor="text1"/>
        </w:rPr>
        <w:t xml:space="preserve"> </w:t>
      </w:r>
      <w:r w:rsidRPr="00543E8E">
        <w:rPr>
          <w:color w:val="000000" w:themeColor="text1"/>
        </w:rPr>
        <w:t xml:space="preserve">Yet, almost half of employers in </w:t>
      </w:r>
      <w:r w:rsidR="00DF7C27">
        <w:rPr>
          <w:color w:val="000000" w:themeColor="text1"/>
        </w:rPr>
        <w:t>Albania</w:t>
      </w:r>
      <w:r w:rsidRPr="00543E8E">
        <w:rPr>
          <w:color w:val="000000" w:themeColor="text1"/>
        </w:rPr>
        <w:t xml:space="preserve"> report difficulties in finding sufficiently skilled workers. Only 3.5</w:t>
      </w:r>
      <w:r w:rsidR="000566EE">
        <w:rPr>
          <w:color w:val="000000" w:themeColor="text1"/>
        </w:rPr>
        <w:t xml:space="preserve"> per cent</w:t>
      </w:r>
      <w:r w:rsidR="000566EE" w:rsidRPr="00543E8E">
        <w:rPr>
          <w:color w:val="000000" w:themeColor="text1"/>
        </w:rPr>
        <w:t xml:space="preserve"> </w:t>
      </w:r>
      <w:r w:rsidRPr="00543E8E">
        <w:rPr>
          <w:color w:val="000000" w:themeColor="text1"/>
        </w:rPr>
        <w:t>of jobseekers benefit from employment program</w:t>
      </w:r>
      <w:r w:rsidR="000566EE">
        <w:rPr>
          <w:color w:val="000000" w:themeColor="text1"/>
        </w:rPr>
        <w:t>me</w:t>
      </w:r>
      <w:r w:rsidRPr="00543E8E">
        <w:rPr>
          <w:color w:val="000000" w:themeColor="text1"/>
        </w:rPr>
        <w:t>s</w:t>
      </w:r>
      <w:r w:rsidR="00A61733" w:rsidRPr="00543E8E">
        <w:rPr>
          <w:color w:val="000000" w:themeColor="text1"/>
        </w:rPr>
        <w:t>.</w:t>
      </w:r>
      <w:r w:rsidR="00E62C7F" w:rsidRPr="00E62C7F">
        <w:rPr>
          <w:color w:val="000000" w:themeColor="text1"/>
          <w:vertAlign w:val="superscript"/>
        </w:rPr>
        <w:t xml:space="preserve"> </w:t>
      </w:r>
      <w:r w:rsidR="00E62C7F" w:rsidRPr="00543E8E">
        <w:rPr>
          <w:color w:val="000000" w:themeColor="text1"/>
          <w:vertAlign w:val="superscript"/>
        </w:rPr>
        <w:footnoteReference w:id="19"/>
      </w:r>
      <w:r w:rsidR="00E62C7F">
        <w:rPr>
          <w:rStyle w:val="FootnoteReference"/>
          <w:color w:val="000000" w:themeColor="text1"/>
        </w:rPr>
        <w:t xml:space="preserve"> </w:t>
      </w:r>
      <w:r w:rsidR="00E62C7F" w:rsidRPr="00543E8E">
        <w:rPr>
          <w:color w:val="000000" w:themeColor="text1"/>
        </w:rPr>
        <w:t xml:space="preserve"> </w:t>
      </w:r>
      <w:r w:rsidR="000566EE">
        <w:rPr>
          <w:color w:val="000000" w:themeColor="text1"/>
        </w:rPr>
        <w:t>One</w:t>
      </w:r>
      <w:r w:rsidR="000566EE" w:rsidRPr="00543E8E">
        <w:rPr>
          <w:color w:val="000000" w:themeColor="text1"/>
        </w:rPr>
        <w:t xml:space="preserve"> </w:t>
      </w:r>
      <w:r w:rsidRPr="00543E8E">
        <w:rPr>
          <w:color w:val="000000" w:themeColor="text1"/>
        </w:rPr>
        <w:t xml:space="preserve">third of unemployed </w:t>
      </w:r>
      <w:r w:rsidRPr="00543E8E">
        <w:t>youth are neither in education nor in training. One third of young women do not seek work because of family obligations.</w:t>
      </w:r>
      <w:r w:rsidRPr="00543E8E">
        <w:rPr>
          <w:rStyle w:val="FootnoteReference"/>
        </w:rPr>
        <w:footnoteReference w:id="20"/>
      </w:r>
      <w:r w:rsidRPr="00543E8E">
        <w:t xml:space="preserve"> The vocational and tertiary education system</w:t>
      </w:r>
      <w:r w:rsidR="00C71B87">
        <w:t>s</w:t>
      </w:r>
      <w:r w:rsidRPr="00543E8E">
        <w:t xml:space="preserve"> </w:t>
      </w:r>
      <w:r w:rsidR="00C71B87">
        <w:t>are</w:t>
      </w:r>
      <w:r w:rsidR="00C71B87" w:rsidRPr="00543E8E">
        <w:t xml:space="preserve"> </w:t>
      </w:r>
      <w:r w:rsidRPr="00543E8E">
        <w:t>fragmented and unable to provide young people with the skills need</w:t>
      </w:r>
      <w:r w:rsidR="00C71B87">
        <w:t>ed</w:t>
      </w:r>
      <w:r w:rsidRPr="00543E8E">
        <w:t xml:space="preserve"> for their European future. </w:t>
      </w:r>
    </w:p>
    <w:p w14:paraId="7B9B05A1" w14:textId="6EFB0B3C" w:rsidR="0030144D" w:rsidRPr="00543E8E" w:rsidRDefault="0030144D" w:rsidP="004F7071">
      <w:pPr>
        <w:pStyle w:val="ListParagraph"/>
        <w:numPr>
          <w:ilvl w:val="0"/>
          <w:numId w:val="36"/>
        </w:numPr>
        <w:tabs>
          <w:tab w:val="left" w:pos="360"/>
        </w:tabs>
        <w:spacing w:after="120"/>
        <w:ind w:left="0" w:right="65" w:firstLine="0"/>
        <w:jc w:val="both"/>
        <w:textAlignment w:val="center"/>
        <w:rPr>
          <w:color w:val="000000" w:themeColor="text1"/>
        </w:rPr>
      </w:pPr>
      <w:r w:rsidRPr="00543E8E">
        <w:rPr>
          <w:rFonts w:eastAsiaTheme="minorEastAsia"/>
          <w:lang w:val="en-GB" w:eastAsia="zh-CN"/>
        </w:rPr>
        <w:t>Households and enterprises suffer from frequent energy cuts, especially in winter months. Almost all electricity is generated from hydro resources</w:t>
      </w:r>
      <w:r w:rsidR="00861B03">
        <w:rPr>
          <w:rFonts w:eastAsiaTheme="minorEastAsia"/>
          <w:lang w:val="en-GB" w:eastAsia="zh-CN"/>
        </w:rPr>
        <w:t xml:space="preserve">, </w:t>
      </w:r>
      <w:r w:rsidR="00DD5D34">
        <w:rPr>
          <w:rFonts w:eastAsiaTheme="minorEastAsia"/>
          <w:lang w:val="en-GB" w:eastAsia="zh-CN"/>
        </w:rPr>
        <w:t>but the</w:t>
      </w:r>
      <w:r w:rsidRPr="00543E8E">
        <w:rPr>
          <w:rFonts w:eastAsiaTheme="minorEastAsia"/>
          <w:lang w:val="en-GB" w:eastAsia="zh-CN"/>
        </w:rPr>
        <w:t xml:space="preserve"> energy import scheme to cover gaps is costly, pointing </w:t>
      </w:r>
      <w:r w:rsidR="00861B03">
        <w:rPr>
          <w:rFonts w:eastAsiaTheme="minorEastAsia"/>
          <w:lang w:val="en-GB" w:eastAsia="zh-CN"/>
        </w:rPr>
        <w:t>to</w:t>
      </w:r>
      <w:r w:rsidR="00861B03" w:rsidRPr="00543E8E">
        <w:rPr>
          <w:rFonts w:eastAsiaTheme="minorEastAsia"/>
          <w:lang w:val="en-GB" w:eastAsia="zh-CN"/>
        </w:rPr>
        <w:t xml:space="preserve"> </w:t>
      </w:r>
      <w:r w:rsidRPr="00543E8E">
        <w:rPr>
          <w:rFonts w:eastAsiaTheme="minorEastAsia"/>
          <w:lang w:val="en-GB" w:eastAsia="zh-CN"/>
        </w:rPr>
        <w:t>the underutilization of other renewable</w:t>
      </w:r>
      <w:r w:rsidR="00861B03">
        <w:rPr>
          <w:rFonts w:eastAsiaTheme="minorEastAsia"/>
          <w:lang w:val="en-GB" w:eastAsia="zh-CN"/>
        </w:rPr>
        <w:t xml:space="preserve"> source</w:t>
      </w:r>
      <w:r w:rsidRPr="00543E8E">
        <w:rPr>
          <w:rFonts w:eastAsiaTheme="minorEastAsia"/>
          <w:lang w:val="en-GB" w:eastAsia="zh-CN"/>
        </w:rPr>
        <w:t>s</w:t>
      </w:r>
      <w:r w:rsidR="00861B03">
        <w:rPr>
          <w:rFonts w:eastAsiaTheme="minorEastAsia"/>
          <w:lang w:val="en-GB" w:eastAsia="zh-CN"/>
        </w:rPr>
        <w:t xml:space="preserve">, e.g., </w:t>
      </w:r>
      <w:r w:rsidRPr="00543E8E">
        <w:rPr>
          <w:rFonts w:eastAsiaTheme="minorEastAsia"/>
          <w:lang w:val="en-GB" w:eastAsia="zh-CN"/>
        </w:rPr>
        <w:t>solar</w:t>
      </w:r>
      <w:r w:rsidR="00861B03">
        <w:rPr>
          <w:rFonts w:eastAsiaTheme="minorEastAsia"/>
          <w:lang w:val="en-GB" w:eastAsia="zh-CN"/>
        </w:rPr>
        <w:t xml:space="preserve"> energy</w:t>
      </w:r>
      <w:r w:rsidRPr="00543E8E">
        <w:rPr>
          <w:rFonts w:eastAsiaTheme="minorEastAsia"/>
          <w:lang w:val="en-GB" w:eastAsia="zh-CN"/>
        </w:rPr>
        <w:t xml:space="preserve">. High </w:t>
      </w:r>
      <w:r w:rsidRPr="00543E8E">
        <w:t>energy</w:t>
      </w:r>
      <w:r w:rsidRPr="00543E8E">
        <w:rPr>
          <w:rFonts w:eastAsiaTheme="minorEastAsia"/>
          <w:lang w:val="en-GB" w:eastAsia="zh-CN"/>
        </w:rPr>
        <w:t xml:space="preserve"> use per unit of </w:t>
      </w:r>
      <w:r w:rsidR="000566EE">
        <w:rPr>
          <w:rFonts w:eastAsiaTheme="minorEastAsia"/>
          <w:lang w:val="en-GB" w:eastAsia="zh-CN"/>
        </w:rPr>
        <w:t>gross domestic product</w:t>
      </w:r>
      <w:r w:rsidRPr="00543E8E">
        <w:rPr>
          <w:rStyle w:val="FootnoteReference"/>
          <w:rFonts w:eastAsiaTheme="minorEastAsia"/>
          <w:lang w:val="en-GB" w:eastAsia="zh-CN"/>
        </w:rPr>
        <w:footnoteReference w:id="21"/>
      </w:r>
      <w:r w:rsidRPr="00543E8E">
        <w:rPr>
          <w:rFonts w:eastAsiaTheme="minorEastAsia"/>
          <w:lang w:val="en-GB" w:eastAsia="zh-CN"/>
        </w:rPr>
        <w:t xml:space="preserve"> underscores untapped potential in energy efficiency investments. Albania hosts diverse ecosystems, 450 </w:t>
      </w:r>
      <w:r w:rsidR="000566EE">
        <w:rPr>
          <w:rFonts w:eastAsiaTheme="minorEastAsia"/>
          <w:lang w:val="en-GB" w:eastAsia="zh-CN"/>
        </w:rPr>
        <w:t>kilometres of</w:t>
      </w:r>
      <w:r w:rsidR="000566EE" w:rsidRPr="00543E8E">
        <w:rPr>
          <w:rFonts w:eastAsiaTheme="minorEastAsia"/>
          <w:lang w:val="en-GB" w:eastAsia="zh-CN"/>
        </w:rPr>
        <w:t xml:space="preserve"> </w:t>
      </w:r>
      <w:r w:rsidRPr="00543E8E">
        <w:rPr>
          <w:rFonts w:eastAsiaTheme="minorEastAsia"/>
          <w:lang w:val="en-GB" w:eastAsia="zh-CN"/>
        </w:rPr>
        <w:t xml:space="preserve">coastal line and </w:t>
      </w:r>
      <w:r w:rsidR="000566EE">
        <w:rPr>
          <w:rFonts w:eastAsiaTheme="minorEastAsia"/>
          <w:lang w:val="en-GB" w:eastAsia="zh-CN"/>
        </w:rPr>
        <w:t>six</w:t>
      </w:r>
      <w:r w:rsidR="000566EE" w:rsidRPr="00543E8E">
        <w:rPr>
          <w:rFonts w:eastAsiaTheme="minorEastAsia"/>
          <w:lang w:val="en-GB" w:eastAsia="zh-CN"/>
        </w:rPr>
        <w:t xml:space="preserve"> </w:t>
      </w:r>
      <w:r w:rsidRPr="00543E8E">
        <w:rPr>
          <w:rFonts w:eastAsiaTheme="minorEastAsia"/>
          <w:lang w:val="en-GB" w:eastAsia="zh-CN"/>
        </w:rPr>
        <w:t xml:space="preserve">river catchments. However, the </w:t>
      </w:r>
      <w:r w:rsidR="000566EE">
        <w:rPr>
          <w:rFonts w:eastAsiaTheme="minorEastAsia"/>
          <w:lang w:val="en-GB" w:eastAsia="zh-CN"/>
        </w:rPr>
        <w:t>p</w:t>
      </w:r>
      <w:r w:rsidR="000566EE" w:rsidRPr="00543E8E">
        <w:rPr>
          <w:rFonts w:eastAsiaTheme="minorEastAsia"/>
          <w:lang w:val="en-GB" w:eastAsia="zh-CN"/>
        </w:rPr>
        <w:t xml:space="preserve">rotected </w:t>
      </w:r>
      <w:r w:rsidR="000566EE">
        <w:rPr>
          <w:rFonts w:eastAsiaTheme="minorEastAsia"/>
          <w:lang w:val="en-GB" w:eastAsia="zh-CN"/>
        </w:rPr>
        <w:t>a</w:t>
      </w:r>
      <w:r w:rsidR="000566EE" w:rsidRPr="00543E8E">
        <w:rPr>
          <w:rFonts w:eastAsiaTheme="minorEastAsia"/>
          <w:lang w:val="en-GB" w:eastAsia="zh-CN"/>
        </w:rPr>
        <w:t xml:space="preserve">reas </w:t>
      </w:r>
      <w:r w:rsidRPr="00543E8E">
        <w:rPr>
          <w:rFonts w:eastAsiaTheme="minorEastAsia"/>
          <w:lang w:val="en-GB" w:eastAsia="zh-CN"/>
        </w:rPr>
        <w:t>system is chronically underfunded and understaffed.</w:t>
      </w:r>
      <w:r w:rsidRPr="00543E8E">
        <w:rPr>
          <w:rStyle w:val="FootnoteReference"/>
          <w:rFonts w:eastAsiaTheme="minorEastAsia"/>
          <w:lang w:val="en-GB" w:eastAsia="zh-CN"/>
        </w:rPr>
        <w:footnoteReference w:id="22"/>
      </w:r>
      <w:r w:rsidRPr="00543E8E">
        <w:rPr>
          <w:rFonts w:eastAsiaTheme="minorEastAsia"/>
          <w:lang w:val="en-GB" w:eastAsia="zh-CN"/>
        </w:rPr>
        <w:t xml:space="preserve"> New co-management systems with local, regional and central authorities are needed</w:t>
      </w:r>
      <w:r w:rsidR="00861B03">
        <w:rPr>
          <w:rFonts w:eastAsiaTheme="minorEastAsia"/>
          <w:lang w:val="en-GB" w:eastAsia="zh-CN"/>
        </w:rPr>
        <w:t>,</w:t>
      </w:r>
      <w:r w:rsidRPr="00543E8E">
        <w:rPr>
          <w:rFonts w:eastAsiaTheme="minorEastAsia"/>
          <w:lang w:val="en-GB" w:eastAsia="zh-CN"/>
        </w:rPr>
        <w:t xml:space="preserve"> as are financing mechanisms to spur innovations for energy efficiency and environmental protection. Albania’s vulnerabilities to climate change and natural disasters are under</w:t>
      </w:r>
      <w:r w:rsidR="00FE3284">
        <w:rPr>
          <w:rFonts w:eastAsiaTheme="minorEastAsia"/>
          <w:lang w:val="en-GB" w:eastAsia="zh-CN"/>
        </w:rPr>
        <w:t>-</w:t>
      </w:r>
      <w:r w:rsidRPr="00543E8E">
        <w:rPr>
          <w:rFonts w:eastAsiaTheme="minorEastAsia"/>
          <w:lang w:val="en-GB" w:eastAsia="zh-CN"/>
        </w:rPr>
        <w:t>addressed in national and especially local development planning.</w:t>
      </w:r>
      <w:r w:rsidRPr="00543E8E">
        <w:rPr>
          <w:rStyle w:val="FootnoteReference"/>
          <w:rFonts w:eastAsiaTheme="minorEastAsia"/>
          <w:lang w:val="en-GB" w:eastAsia="zh-CN"/>
        </w:rPr>
        <w:footnoteReference w:id="23"/>
      </w:r>
      <w:r w:rsidRPr="00543E8E">
        <w:rPr>
          <w:rFonts w:eastAsiaTheme="minorEastAsia"/>
          <w:lang w:val="en-GB" w:eastAsia="zh-CN"/>
        </w:rPr>
        <w:t xml:space="preserve"> Governance mechanisms trusted by citizens are needed to manage the trade-offs between environmental sustainability, res</w:t>
      </w:r>
      <w:r w:rsidR="00543E8E">
        <w:rPr>
          <w:rFonts w:eastAsiaTheme="minorEastAsia"/>
          <w:lang w:val="en-GB" w:eastAsia="zh-CN"/>
        </w:rPr>
        <w:t xml:space="preserve">ilience and </w:t>
      </w:r>
      <w:r w:rsidR="000566EE">
        <w:rPr>
          <w:rFonts w:eastAsiaTheme="minorEastAsia"/>
          <w:lang w:val="en-GB" w:eastAsia="zh-CN"/>
        </w:rPr>
        <w:t>short-</w:t>
      </w:r>
      <w:r w:rsidR="00543E8E">
        <w:rPr>
          <w:rFonts w:eastAsiaTheme="minorEastAsia"/>
          <w:lang w:val="en-GB" w:eastAsia="zh-CN"/>
        </w:rPr>
        <w:t xml:space="preserve">term gains. </w:t>
      </w:r>
    </w:p>
    <w:p w14:paraId="0533EBC6" w14:textId="5B8E2943" w:rsidR="0030144D" w:rsidRPr="00543E8E" w:rsidRDefault="0030144D" w:rsidP="004F7071">
      <w:pPr>
        <w:pStyle w:val="ListParagraph"/>
        <w:numPr>
          <w:ilvl w:val="0"/>
          <w:numId w:val="36"/>
        </w:numPr>
        <w:tabs>
          <w:tab w:val="left" w:pos="360"/>
        </w:tabs>
        <w:ind w:left="0" w:right="65" w:firstLine="0"/>
        <w:jc w:val="both"/>
        <w:rPr>
          <w:color w:val="000000" w:themeColor="text1"/>
        </w:rPr>
      </w:pPr>
      <w:r w:rsidRPr="00543E8E">
        <w:rPr>
          <w:color w:val="000000" w:themeColor="text1"/>
        </w:rPr>
        <w:t xml:space="preserve">Through </w:t>
      </w:r>
      <w:r w:rsidR="00861B03">
        <w:rPr>
          <w:color w:val="000000" w:themeColor="text1"/>
        </w:rPr>
        <w:t xml:space="preserve">the period </w:t>
      </w:r>
      <w:r w:rsidRPr="00543E8E">
        <w:rPr>
          <w:color w:val="000000" w:themeColor="text1"/>
        </w:rPr>
        <w:t>2012-2016, UNDP contributed in all of these areas, building the foundations for conti</w:t>
      </w:r>
      <w:r w:rsidR="00D007A2" w:rsidRPr="00543E8E">
        <w:rPr>
          <w:color w:val="000000" w:themeColor="text1"/>
        </w:rPr>
        <w:t>nuity and expansion</w:t>
      </w:r>
      <w:r w:rsidRPr="00543E8E">
        <w:rPr>
          <w:color w:val="000000" w:themeColor="text1"/>
        </w:rPr>
        <w:t>. UNDP was most successful when it supported nationally driven reforms (e.g.</w:t>
      </w:r>
      <w:r w:rsidR="00861B03">
        <w:rPr>
          <w:color w:val="000000" w:themeColor="text1"/>
        </w:rPr>
        <w:t>,</w:t>
      </w:r>
      <w:r w:rsidRPr="00543E8E">
        <w:rPr>
          <w:color w:val="000000" w:themeColor="text1"/>
        </w:rPr>
        <w:t xml:space="preserve"> territorial reform) and where </w:t>
      </w:r>
      <w:r w:rsidR="00861B03">
        <w:t>its</w:t>
      </w:r>
      <w:r w:rsidR="00861B03" w:rsidRPr="00543E8E">
        <w:t xml:space="preserve"> </w:t>
      </w:r>
      <w:r w:rsidRPr="00543E8E">
        <w:t>pilot contributions were institutionalized and integrated within the public policy framework</w:t>
      </w:r>
      <w:r w:rsidR="00787DE7" w:rsidRPr="00543E8E">
        <w:t>.</w:t>
      </w:r>
      <w:r w:rsidR="00787DE7" w:rsidRPr="00543E8E">
        <w:rPr>
          <w:rStyle w:val="FootnoteReference"/>
        </w:rPr>
        <w:footnoteReference w:id="24"/>
      </w:r>
      <w:r w:rsidR="00787DE7" w:rsidRPr="00543E8E">
        <w:t xml:space="preserve"> For example, the piloting and then </w:t>
      </w:r>
      <w:r w:rsidR="000566EE" w:rsidRPr="00543E8E">
        <w:t>policy</w:t>
      </w:r>
      <w:r w:rsidR="000566EE">
        <w:t>-</w:t>
      </w:r>
      <w:r w:rsidR="00787DE7" w:rsidRPr="00543E8E">
        <w:t xml:space="preserve">level adoption of </w:t>
      </w:r>
      <w:r w:rsidR="00422317" w:rsidRPr="00543E8E">
        <w:t xml:space="preserve">prevention and service </w:t>
      </w:r>
      <w:r w:rsidR="00787DE7" w:rsidRPr="00543E8E">
        <w:rPr>
          <w:rFonts w:eastAsiaTheme="minorHAnsi"/>
        </w:rPr>
        <w:t xml:space="preserve">mechanisms </w:t>
      </w:r>
      <w:r w:rsidR="00422317" w:rsidRPr="00543E8E">
        <w:rPr>
          <w:rFonts w:eastAsiaTheme="minorHAnsi"/>
        </w:rPr>
        <w:t>(</w:t>
      </w:r>
      <w:r w:rsidR="000566EE">
        <w:rPr>
          <w:rFonts w:eastAsiaTheme="minorHAnsi"/>
        </w:rPr>
        <w:t>coordinated community response</w:t>
      </w:r>
      <w:r w:rsidR="00422317" w:rsidRPr="00543E8E">
        <w:rPr>
          <w:rFonts w:eastAsiaTheme="minorHAnsi"/>
        </w:rPr>
        <w:t xml:space="preserve">) </w:t>
      </w:r>
      <w:r w:rsidR="00787DE7" w:rsidRPr="00543E8E">
        <w:rPr>
          <w:rFonts w:eastAsiaTheme="minorHAnsi"/>
        </w:rPr>
        <w:t xml:space="preserve">for </w:t>
      </w:r>
      <w:r w:rsidR="00422317" w:rsidRPr="00543E8E">
        <w:rPr>
          <w:rFonts w:eastAsiaTheme="minorHAnsi"/>
        </w:rPr>
        <w:t xml:space="preserve">responding to </w:t>
      </w:r>
      <w:r w:rsidR="000566EE" w:rsidRPr="00543E8E">
        <w:rPr>
          <w:rFonts w:eastAsiaTheme="minorHAnsi"/>
        </w:rPr>
        <w:t>gender</w:t>
      </w:r>
      <w:r w:rsidR="000566EE">
        <w:rPr>
          <w:rFonts w:eastAsiaTheme="minorHAnsi"/>
        </w:rPr>
        <w:t>-</w:t>
      </w:r>
      <w:r w:rsidR="00787DE7" w:rsidRPr="00543E8E">
        <w:rPr>
          <w:rFonts w:eastAsiaTheme="minorHAnsi"/>
        </w:rPr>
        <w:t>based violence is a national achievement attributed to UNDP.</w:t>
      </w:r>
      <w:r w:rsidR="00787DE7" w:rsidRPr="00543E8E">
        <w:rPr>
          <w:rStyle w:val="FootnoteReference"/>
        </w:rPr>
        <w:footnoteReference w:id="25"/>
      </w:r>
      <w:r w:rsidRPr="00543E8E">
        <w:t xml:space="preserve"> </w:t>
      </w:r>
      <w:r w:rsidR="00422317" w:rsidRPr="00543E8E">
        <w:t>The newly amalgamated local government units provide pathway</w:t>
      </w:r>
      <w:r w:rsidR="00D252AB">
        <w:t>s</w:t>
      </w:r>
      <w:r w:rsidR="00422317" w:rsidRPr="00543E8E">
        <w:t xml:space="preserve"> for UNDP to scale this</w:t>
      </w:r>
      <w:r w:rsidR="00B66834" w:rsidRPr="00543E8E">
        <w:t xml:space="preserve"> practice</w:t>
      </w:r>
      <w:r w:rsidR="00422317" w:rsidRPr="00543E8E">
        <w:t xml:space="preserve"> </w:t>
      </w:r>
      <w:r w:rsidR="00AA5951" w:rsidRPr="00543E8E">
        <w:t xml:space="preserve">to </w:t>
      </w:r>
      <w:r w:rsidR="00422317" w:rsidRPr="00543E8E">
        <w:t>all municipalities</w:t>
      </w:r>
      <w:r w:rsidR="00D252AB">
        <w:t xml:space="preserve"> and</w:t>
      </w:r>
      <w:r w:rsidR="00D252AB" w:rsidRPr="00543E8E">
        <w:t xml:space="preserve"> </w:t>
      </w:r>
      <w:r w:rsidR="00422317" w:rsidRPr="00543E8E">
        <w:t xml:space="preserve">for gender mainstreaming in local service delivery. </w:t>
      </w:r>
      <w:r w:rsidRPr="00543E8E">
        <w:t>Consistent pursuit of U</w:t>
      </w:r>
      <w:r w:rsidR="000566EE">
        <w:t xml:space="preserve">nited </w:t>
      </w:r>
      <w:r w:rsidRPr="00543E8E">
        <w:t>N</w:t>
      </w:r>
      <w:r w:rsidR="000566EE">
        <w:t>ations</w:t>
      </w:r>
      <w:r w:rsidRPr="00543E8E">
        <w:t xml:space="preserve"> values in human rights and maintaining national policy attention on equity and social inclusion distinguished </w:t>
      </w:r>
      <w:r w:rsidR="002344F8">
        <w:t xml:space="preserve">the </w:t>
      </w:r>
      <w:r w:rsidRPr="00543E8E">
        <w:t xml:space="preserve">UNDP </w:t>
      </w:r>
      <w:r w:rsidR="002344F8">
        <w:t xml:space="preserve">country </w:t>
      </w:r>
      <w:r w:rsidRPr="00543E8E">
        <w:t>program</w:t>
      </w:r>
      <w:r w:rsidR="002344F8">
        <w:t>me</w:t>
      </w:r>
      <w:r w:rsidRPr="00543E8E">
        <w:t>.</w:t>
      </w:r>
      <w:r w:rsidRPr="00543E8E">
        <w:rPr>
          <w:rStyle w:val="FootnoteReference"/>
        </w:rPr>
        <w:footnoteReference w:id="26"/>
      </w:r>
      <w:r w:rsidRPr="00543E8E">
        <w:t xml:space="preserve"> Going forward, noting that Albania will begin negotiations </w:t>
      </w:r>
      <w:r w:rsidR="002344F8">
        <w:t>on EU accession</w:t>
      </w:r>
      <w:r w:rsidRPr="00543E8E">
        <w:t>, UNDP and its U</w:t>
      </w:r>
      <w:r w:rsidR="002344F8">
        <w:t xml:space="preserve">nited </w:t>
      </w:r>
      <w:r w:rsidRPr="00543E8E">
        <w:t>N</w:t>
      </w:r>
      <w:r w:rsidR="002344F8">
        <w:t>ations</w:t>
      </w:r>
      <w:r w:rsidRPr="00543E8E">
        <w:t xml:space="preserve"> partners </w:t>
      </w:r>
      <w:r w:rsidR="002344F8">
        <w:t xml:space="preserve">must </w:t>
      </w:r>
      <w:r w:rsidRPr="00543E8E">
        <w:t xml:space="preserve">maintain </w:t>
      </w:r>
      <w:r w:rsidR="002344F8">
        <w:t xml:space="preserve">a </w:t>
      </w:r>
      <w:r w:rsidRPr="00543E8E">
        <w:t>policy focus on social inclusion and associated action plans.</w:t>
      </w:r>
      <w:r w:rsidRPr="00543E8E">
        <w:rPr>
          <w:rStyle w:val="FootnoteReference"/>
        </w:rPr>
        <w:footnoteReference w:id="27"/>
      </w:r>
      <w:r w:rsidRPr="00543E8E">
        <w:t xml:space="preserve"> </w:t>
      </w:r>
      <w:r w:rsidR="009B59F0" w:rsidRPr="00543E8E">
        <w:t xml:space="preserve">However, UNDP also risked </w:t>
      </w:r>
      <w:r w:rsidR="009B59F0" w:rsidRPr="00543E8E">
        <w:lastRenderedPageBreak/>
        <w:t xml:space="preserve">capacity substitution when it </w:t>
      </w:r>
      <w:r w:rsidR="00AD1A8A" w:rsidRPr="00543E8E">
        <w:t xml:space="preserve">collected data, evidence and knowledge to aid line ministries’ </w:t>
      </w:r>
      <w:r w:rsidR="009B59F0" w:rsidRPr="00543E8E">
        <w:t xml:space="preserve">policy development </w:t>
      </w:r>
      <w:r w:rsidR="00AD1A8A" w:rsidRPr="00543E8E">
        <w:t>functions.</w:t>
      </w:r>
      <w:r w:rsidR="00AD1A8A" w:rsidRPr="00543E8E">
        <w:rPr>
          <w:rStyle w:val="FootnoteReference"/>
        </w:rPr>
        <w:footnoteReference w:id="28"/>
      </w:r>
      <w:r w:rsidR="00AD1A8A" w:rsidRPr="00543E8E">
        <w:t xml:space="preserve"> </w:t>
      </w:r>
      <w:r w:rsidR="00AA5951" w:rsidRPr="00543E8E">
        <w:t xml:space="preserve">UNDP will </w:t>
      </w:r>
      <w:r w:rsidR="002344F8">
        <w:t xml:space="preserve">address </w:t>
      </w:r>
      <w:r w:rsidR="00AA5951" w:rsidRPr="00543E8E">
        <w:t xml:space="preserve">this risk by </w:t>
      </w:r>
      <w:r w:rsidR="009B59F0" w:rsidRPr="00543E8E">
        <w:t xml:space="preserve">focusing </w:t>
      </w:r>
      <w:r w:rsidR="00AA5951" w:rsidRPr="00543E8E">
        <w:t xml:space="preserve">more </w:t>
      </w:r>
      <w:r w:rsidR="009B59F0" w:rsidRPr="00543E8E">
        <w:t xml:space="preserve">on </w:t>
      </w:r>
      <w:r w:rsidR="00AA5951" w:rsidRPr="00543E8E">
        <w:t xml:space="preserve">the </w:t>
      </w:r>
      <w:r w:rsidR="009B59F0" w:rsidRPr="00543E8E">
        <w:t xml:space="preserve">implementation capacities of </w:t>
      </w:r>
      <w:r w:rsidR="00AD1A8A" w:rsidRPr="00543E8E">
        <w:t xml:space="preserve">newly amalgamated </w:t>
      </w:r>
      <w:r w:rsidR="009B59F0" w:rsidRPr="00543E8E">
        <w:t>local government units</w:t>
      </w:r>
      <w:r w:rsidR="00AA5951" w:rsidRPr="00543E8E">
        <w:t xml:space="preserve"> in support of </w:t>
      </w:r>
      <w:r w:rsidR="002344F8" w:rsidRPr="00543E8E">
        <w:t>real</w:t>
      </w:r>
      <w:r w:rsidR="002344F8">
        <w:t>-</w:t>
      </w:r>
      <w:r w:rsidR="00AA5951" w:rsidRPr="00543E8E">
        <w:t xml:space="preserve">life improvements. </w:t>
      </w:r>
      <w:r w:rsidR="009B59F0" w:rsidRPr="00543E8E">
        <w:t>A</w:t>
      </w:r>
      <w:r w:rsidRPr="00543E8E">
        <w:t xml:space="preserve">nother UNDP comparative </w:t>
      </w:r>
      <w:r w:rsidR="00AA5951" w:rsidRPr="00543E8E">
        <w:t xml:space="preserve">advantage </w:t>
      </w:r>
      <w:r w:rsidRPr="00543E8E">
        <w:t>was its management arrangements, made possible by the skills and competency of its national staff, to co-design and co-manage program</w:t>
      </w:r>
      <w:r w:rsidR="002344F8">
        <w:t>me</w:t>
      </w:r>
      <w:r w:rsidRPr="00543E8E">
        <w:t xml:space="preserve"> outputs with national and local partners, including civil society</w:t>
      </w:r>
      <w:r w:rsidR="00B13A26" w:rsidRPr="00543E8E">
        <w:t>.</w:t>
      </w:r>
      <w:r w:rsidR="00B13A26">
        <w:rPr>
          <w:rStyle w:val="FootnoteReference"/>
        </w:rPr>
        <w:t xml:space="preserve"> </w:t>
      </w:r>
      <w:r w:rsidR="00B13A26" w:rsidRPr="00543E8E">
        <w:t xml:space="preserve"> </w:t>
      </w:r>
      <w:r w:rsidRPr="00543E8E">
        <w:t xml:space="preserve">This ensured responsiveness while reinforcing national ownership. </w:t>
      </w:r>
      <w:r w:rsidR="00D252AB">
        <w:t>T</w:t>
      </w:r>
      <w:r w:rsidR="002344F8">
        <w:t xml:space="preserve">he </w:t>
      </w:r>
      <w:r w:rsidRPr="00543E8E">
        <w:t xml:space="preserve">management capacity </w:t>
      </w:r>
      <w:r w:rsidR="002344F8">
        <w:t xml:space="preserve">of UNDP </w:t>
      </w:r>
      <w:r w:rsidRPr="00543E8E">
        <w:t>presents its national and international partners with an asset through which to channel technical and financial assistance towards reform objectives.</w:t>
      </w:r>
      <w:r w:rsidRPr="00543E8E">
        <w:rPr>
          <w:rStyle w:val="FootnoteReference"/>
        </w:rPr>
        <w:footnoteReference w:id="29"/>
      </w:r>
      <w:r w:rsidRPr="00543E8E">
        <w:t xml:space="preserve"> </w:t>
      </w:r>
    </w:p>
    <w:p w14:paraId="13E05109" w14:textId="77777777" w:rsidR="004B5786" w:rsidRPr="00543E8E" w:rsidRDefault="004B5786" w:rsidP="004F7071">
      <w:pPr>
        <w:pStyle w:val="ListParagraph"/>
        <w:tabs>
          <w:tab w:val="left" w:pos="180"/>
          <w:tab w:val="left" w:pos="360"/>
        </w:tabs>
        <w:ind w:left="0" w:right="65"/>
        <w:jc w:val="both"/>
        <w:rPr>
          <w:color w:val="000000" w:themeColor="text1"/>
        </w:rPr>
      </w:pPr>
    </w:p>
    <w:p w14:paraId="2440D3E0" w14:textId="41043ED0" w:rsidR="004820B0" w:rsidRPr="00D91006" w:rsidRDefault="00D91006" w:rsidP="004F7071">
      <w:pPr>
        <w:pStyle w:val="Heading2"/>
        <w:tabs>
          <w:tab w:val="left" w:pos="360"/>
        </w:tabs>
        <w:ind w:right="65" w:hanging="450"/>
        <w:jc w:val="both"/>
        <w:rPr>
          <w:rFonts w:ascii="Times New Roman" w:hAnsi="Times New Roman"/>
          <w:color w:val="000000"/>
          <w:spacing w:val="-3"/>
          <w:sz w:val="24"/>
          <w:szCs w:val="24"/>
        </w:rPr>
      </w:pPr>
      <w:r>
        <w:rPr>
          <w:rFonts w:ascii="Times New Roman" w:hAnsi="Times New Roman"/>
          <w:bCs/>
          <w:color w:val="000000"/>
          <w:sz w:val="24"/>
          <w:szCs w:val="24"/>
        </w:rPr>
        <w:t>II.</w:t>
      </w:r>
      <w:r>
        <w:rPr>
          <w:rFonts w:ascii="Times New Roman" w:hAnsi="Times New Roman"/>
          <w:bCs/>
          <w:color w:val="000000"/>
          <w:sz w:val="24"/>
          <w:szCs w:val="24"/>
        </w:rPr>
        <w:tab/>
        <w:t>Programme p</w:t>
      </w:r>
      <w:r w:rsidR="00677F8A" w:rsidRPr="00D91006">
        <w:rPr>
          <w:rFonts w:ascii="Times New Roman" w:hAnsi="Times New Roman"/>
          <w:bCs/>
          <w:color w:val="000000"/>
          <w:sz w:val="24"/>
          <w:szCs w:val="24"/>
        </w:rPr>
        <w:t>riorities</w:t>
      </w:r>
      <w:r w:rsidR="002B6341" w:rsidRPr="00D91006">
        <w:rPr>
          <w:rFonts w:ascii="Times New Roman" w:hAnsi="Times New Roman"/>
          <w:bCs/>
          <w:color w:val="000000"/>
          <w:sz w:val="24"/>
          <w:szCs w:val="24"/>
        </w:rPr>
        <w:t xml:space="preserve"> </w:t>
      </w:r>
      <w:r w:rsidR="004736BE" w:rsidRPr="00D91006">
        <w:rPr>
          <w:rFonts w:ascii="Times New Roman" w:hAnsi="Times New Roman"/>
          <w:bCs/>
          <w:color w:val="000000"/>
          <w:sz w:val="24"/>
          <w:szCs w:val="24"/>
        </w:rPr>
        <w:t xml:space="preserve">and </w:t>
      </w:r>
      <w:r>
        <w:rPr>
          <w:rFonts w:ascii="Times New Roman" w:hAnsi="Times New Roman"/>
          <w:bCs/>
          <w:color w:val="000000"/>
          <w:sz w:val="24"/>
          <w:szCs w:val="24"/>
        </w:rPr>
        <w:t>p</w:t>
      </w:r>
      <w:r w:rsidR="002B6341" w:rsidRPr="00D91006">
        <w:rPr>
          <w:rFonts w:ascii="Times New Roman" w:hAnsi="Times New Roman"/>
          <w:bCs/>
          <w:color w:val="000000"/>
          <w:sz w:val="24"/>
          <w:szCs w:val="24"/>
        </w:rPr>
        <w:t>artnerships</w:t>
      </w:r>
      <w:r w:rsidR="00074DB9" w:rsidRPr="00D91006">
        <w:rPr>
          <w:rFonts w:ascii="Times New Roman" w:hAnsi="Times New Roman"/>
          <w:bCs/>
          <w:color w:val="000000"/>
          <w:sz w:val="24"/>
          <w:szCs w:val="24"/>
        </w:rPr>
        <w:t xml:space="preserve"> </w:t>
      </w:r>
    </w:p>
    <w:p w14:paraId="2440D3E1" w14:textId="77777777" w:rsidR="00E42084" w:rsidRPr="00543E8E" w:rsidRDefault="00E42084" w:rsidP="004F7071">
      <w:pPr>
        <w:tabs>
          <w:tab w:val="left" w:pos="360"/>
        </w:tabs>
        <w:ind w:right="65"/>
      </w:pPr>
    </w:p>
    <w:p w14:paraId="4F9DA57E" w14:textId="1898495B" w:rsidR="0030144D" w:rsidRPr="00543E8E" w:rsidRDefault="0030144D" w:rsidP="004F7071">
      <w:pPr>
        <w:pStyle w:val="ListParagraph"/>
        <w:numPr>
          <w:ilvl w:val="0"/>
          <w:numId w:val="36"/>
        </w:numPr>
        <w:tabs>
          <w:tab w:val="left" w:pos="360"/>
        </w:tabs>
        <w:spacing w:after="120"/>
        <w:ind w:left="0" w:right="65" w:firstLine="0"/>
        <w:jc w:val="both"/>
        <w:rPr>
          <w:color w:val="000000" w:themeColor="text1"/>
        </w:rPr>
      </w:pPr>
      <w:r w:rsidRPr="00543E8E">
        <w:rPr>
          <w:color w:val="000000" w:themeColor="text1"/>
        </w:rPr>
        <w:t>Program</w:t>
      </w:r>
      <w:r w:rsidR="002344F8">
        <w:rPr>
          <w:color w:val="000000" w:themeColor="text1"/>
        </w:rPr>
        <w:t>me</w:t>
      </w:r>
      <w:r w:rsidRPr="00543E8E">
        <w:rPr>
          <w:color w:val="000000" w:themeColor="text1"/>
        </w:rPr>
        <w:t xml:space="preserve"> priorities are drawn from the </w:t>
      </w:r>
      <w:r w:rsidRPr="00CB68D8">
        <w:t>U</w:t>
      </w:r>
      <w:r w:rsidR="002344F8" w:rsidRPr="00CB68D8">
        <w:t xml:space="preserve">nited </w:t>
      </w:r>
      <w:r w:rsidRPr="00CB68D8">
        <w:t>N</w:t>
      </w:r>
      <w:r w:rsidR="002344F8" w:rsidRPr="00CB68D8">
        <w:t>ations</w:t>
      </w:r>
      <w:r w:rsidRPr="00CB68D8">
        <w:t xml:space="preserve"> </w:t>
      </w:r>
      <w:r w:rsidR="000E308D" w:rsidRPr="00CB68D8">
        <w:t xml:space="preserve">Programme </w:t>
      </w:r>
      <w:r w:rsidRPr="00CB68D8">
        <w:t xml:space="preserve">of </w:t>
      </w:r>
      <w:r w:rsidR="000E308D" w:rsidRPr="00CB68D8">
        <w:t xml:space="preserve">Cooperation for Sustainable Development 2017–2021, </w:t>
      </w:r>
      <w:r w:rsidRPr="00CB68D8">
        <w:t xml:space="preserve">which in turn supports </w:t>
      </w:r>
      <w:r w:rsidRPr="00543E8E">
        <w:rPr>
          <w:color w:val="000000" w:themeColor="text1"/>
        </w:rPr>
        <w:t xml:space="preserve">select objectives of the </w:t>
      </w:r>
      <w:r w:rsidR="002344F8">
        <w:rPr>
          <w:color w:val="000000" w:themeColor="text1"/>
        </w:rPr>
        <w:t xml:space="preserve">NSDI for </w:t>
      </w:r>
      <w:r w:rsidR="0082088F" w:rsidRPr="00543E8E">
        <w:rPr>
          <w:color w:val="000000" w:themeColor="text1"/>
        </w:rPr>
        <w:t xml:space="preserve">2015-2020. </w:t>
      </w:r>
      <w:r w:rsidR="00030B03" w:rsidRPr="00543E8E">
        <w:rPr>
          <w:color w:val="000000" w:themeColor="text1"/>
        </w:rPr>
        <w:t>Program</w:t>
      </w:r>
      <w:r w:rsidR="002344F8">
        <w:rPr>
          <w:color w:val="000000" w:themeColor="text1"/>
        </w:rPr>
        <w:t>me</w:t>
      </w:r>
      <w:r w:rsidR="00030B03" w:rsidRPr="00543E8E">
        <w:rPr>
          <w:color w:val="000000" w:themeColor="text1"/>
        </w:rPr>
        <w:t xml:space="preserve"> priorities reflect </w:t>
      </w:r>
      <w:r w:rsidR="002344F8">
        <w:rPr>
          <w:color w:val="000000" w:themeColor="text1"/>
        </w:rPr>
        <w:t>the</w:t>
      </w:r>
      <w:r w:rsidR="00030B03" w:rsidRPr="00543E8E">
        <w:rPr>
          <w:color w:val="000000" w:themeColor="text1"/>
        </w:rPr>
        <w:t xml:space="preserve"> comparative advantages </w:t>
      </w:r>
      <w:r w:rsidR="002344F8">
        <w:rPr>
          <w:color w:val="000000" w:themeColor="text1"/>
        </w:rPr>
        <w:t xml:space="preserve">of UNDP </w:t>
      </w:r>
      <w:r w:rsidR="00030B03" w:rsidRPr="00543E8E">
        <w:rPr>
          <w:color w:val="000000" w:themeColor="text1"/>
        </w:rPr>
        <w:t xml:space="preserve">in supporting national reforms, upholding values of rights and equity and promoting gender equality and women’s empowerment. </w:t>
      </w:r>
      <w:r w:rsidRPr="00543E8E">
        <w:rPr>
          <w:color w:val="000000" w:themeColor="text1"/>
        </w:rPr>
        <w:t>UNDP will leverage its past achievements and seek to</w:t>
      </w:r>
      <w:r w:rsidRPr="00543E8E">
        <w:t xml:space="preserve"> re</w:t>
      </w:r>
      <w:r w:rsidR="002344F8">
        <w:t>i</w:t>
      </w:r>
      <w:r w:rsidRPr="00543E8E">
        <w:t>nforce the positive impacts of the administrative territorial reform for increasing service delivery capacities of institutions, ultimately building trust and creating social</w:t>
      </w:r>
      <w:r w:rsidR="002344F8">
        <w:t xml:space="preserve"> and</w:t>
      </w:r>
      <w:r w:rsidR="002344F8" w:rsidRPr="00543E8E">
        <w:t xml:space="preserve"> </w:t>
      </w:r>
      <w:r w:rsidRPr="00543E8E">
        <w:t xml:space="preserve">economic dividends for </w:t>
      </w:r>
      <w:r w:rsidR="00D252AB">
        <w:t xml:space="preserve">the </w:t>
      </w:r>
      <w:r w:rsidRPr="00543E8E">
        <w:t>men and women who stand most to benefit from increased transparency, accountability and citizen orientation of services.</w:t>
      </w:r>
      <w:r w:rsidR="00030B03" w:rsidRPr="00543E8E">
        <w:t xml:space="preserve"> </w:t>
      </w:r>
    </w:p>
    <w:p w14:paraId="6DE2BEBE" w14:textId="78D74337" w:rsidR="0030144D" w:rsidRPr="00543E8E" w:rsidRDefault="0030144D" w:rsidP="004F7071">
      <w:pPr>
        <w:pStyle w:val="ListParagraph"/>
        <w:numPr>
          <w:ilvl w:val="0"/>
          <w:numId w:val="36"/>
        </w:numPr>
        <w:tabs>
          <w:tab w:val="left" w:pos="360"/>
        </w:tabs>
        <w:spacing w:after="120"/>
        <w:ind w:left="0" w:right="65" w:firstLine="0"/>
        <w:jc w:val="both"/>
        <w:rPr>
          <w:color w:val="000000" w:themeColor="text1"/>
        </w:rPr>
      </w:pPr>
      <w:r w:rsidRPr="00543E8E">
        <w:rPr>
          <w:color w:val="000000" w:themeColor="text1"/>
        </w:rPr>
        <w:t>U</w:t>
      </w:r>
      <w:r w:rsidR="002344F8">
        <w:rPr>
          <w:color w:val="000000" w:themeColor="text1"/>
        </w:rPr>
        <w:t xml:space="preserve">nited </w:t>
      </w:r>
      <w:r w:rsidRPr="00543E8E">
        <w:rPr>
          <w:color w:val="000000" w:themeColor="text1"/>
        </w:rPr>
        <w:t>N</w:t>
      </w:r>
      <w:r w:rsidR="002344F8">
        <w:rPr>
          <w:color w:val="000000" w:themeColor="text1"/>
        </w:rPr>
        <w:t>ations</w:t>
      </w:r>
      <w:r w:rsidRPr="00543E8E">
        <w:rPr>
          <w:color w:val="000000" w:themeColor="text1"/>
        </w:rPr>
        <w:t xml:space="preserve"> conventions provide frameworks for policy and implementation, coupled with recommendations from the </w:t>
      </w:r>
      <w:r w:rsidR="002344F8">
        <w:rPr>
          <w:color w:val="000000" w:themeColor="text1"/>
        </w:rPr>
        <w:t>u</w:t>
      </w:r>
      <w:r w:rsidR="002344F8" w:rsidRPr="00543E8E">
        <w:rPr>
          <w:color w:val="000000" w:themeColor="text1"/>
        </w:rPr>
        <w:t xml:space="preserve">niversal </w:t>
      </w:r>
      <w:r w:rsidR="002344F8">
        <w:rPr>
          <w:color w:val="000000" w:themeColor="text1"/>
        </w:rPr>
        <w:t>p</w:t>
      </w:r>
      <w:r w:rsidR="002344F8" w:rsidRPr="00543E8E">
        <w:rPr>
          <w:color w:val="000000" w:themeColor="text1"/>
        </w:rPr>
        <w:t xml:space="preserve">eriodic </w:t>
      </w:r>
      <w:r w:rsidR="002344F8">
        <w:rPr>
          <w:color w:val="000000" w:themeColor="text1"/>
        </w:rPr>
        <w:t>r</w:t>
      </w:r>
      <w:r w:rsidR="002344F8" w:rsidRPr="00543E8E">
        <w:rPr>
          <w:color w:val="000000" w:themeColor="text1"/>
        </w:rPr>
        <w:t xml:space="preserve">eview </w:t>
      </w:r>
      <w:r w:rsidRPr="00543E8E">
        <w:rPr>
          <w:color w:val="000000" w:themeColor="text1"/>
        </w:rPr>
        <w:t xml:space="preserve">process. </w:t>
      </w:r>
      <w:r w:rsidR="002344F8">
        <w:rPr>
          <w:color w:val="000000" w:themeColor="text1"/>
        </w:rPr>
        <w:t xml:space="preserve">The </w:t>
      </w:r>
      <w:r w:rsidRPr="00543E8E">
        <w:rPr>
          <w:color w:val="000000" w:themeColor="text1"/>
        </w:rPr>
        <w:t xml:space="preserve">Roma and Egyptian communities, </w:t>
      </w:r>
      <w:r w:rsidR="002344F8">
        <w:rPr>
          <w:color w:val="000000" w:themeColor="text1"/>
        </w:rPr>
        <w:t>p</w:t>
      </w:r>
      <w:r w:rsidR="002344F8" w:rsidRPr="00543E8E">
        <w:rPr>
          <w:color w:val="000000" w:themeColor="text1"/>
        </w:rPr>
        <w:t xml:space="preserve">ersons </w:t>
      </w:r>
      <w:r w:rsidRPr="00543E8E">
        <w:rPr>
          <w:color w:val="000000" w:themeColor="text1"/>
        </w:rPr>
        <w:t xml:space="preserve">with </w:t>
      </w:r>
      <w:r w:rsidR="002344F8">
        <w:rPr>
          <w:color w:val="000000" w:themeColor="text1"/>
        </w:rPr>
        <w:t>d</w:t>
      </w:r>
      <w:r w:rsidRPr="00543E8E">
        <w:rPr>
          <w:color w:val="000000" w:themeColor="text1"/>
        </w:rPr>
        <w:t>isabilit</w:t>
      </w:r>
      <w:r w:rsidR="002344F8">
        <w:rPr>
          <w:color w:val="000000" w:themeColor="text1"/>
        </w:rPr>
        <w:t>ies</w:t>
      </w:r>
      <w:r w:rsidRPr="00543E8E">
        <w:rPr>
          <w:color w:val="000000" w:themeColor="text1"/>
        </w:rPr>
        <w:t xml:space="preserve"> and women victims of </w:t>
      </w:r>
      <w:r w:rsidR="002344F8" w:rsidRPr="00543E8E">
        <w:rPr>
          <w:color w:val="000000" w:themeColor="text1"/>
        </w:rPr>
        <w:t>gender</w:t>
      </w:r>
      <w:r w:rsidR="002344F8">
        <w:rPr>
          <w:color w:val="000000" w:themeColor="text1"/>
        </w:rPr>
        <w:t>-</w:t>
      </w:r>
      <w:r w:rsidRPr="00543E8E">
        <w:rPr>
          <w:color w:val="000000" w:themeColor="text1"/>
        </w:rPr>
        <w:t xml:space="preserve">based violence are the </w:t>
      </w:r>
      <w:r w:rsidR="00D252AB">
        <w:rPr>
          <w:color w:val="000000" w:themeColor="text1"/>
        </w:rPr>
        <w:t>targeted</w:t>
      </w:r>
      <w:r w:rsidR="00D252AB" w:rsidRPr="00543E8E">
        <w:rPr>
          <w:color w:val="000000" w:themeColor="text1"/>
        </w:rPr>
        <w:t xml:space="preserve"> </w:t>
      </w:r>
      <w:r w:rsidRPr="00543E8E">
        <w:rPr>
          <w:color w:val="000000" w:themeColor="text1"/>
        </w:rPr>
        <w:t>vulnerable group</w:t>
      </w:r>
      <w:r w:rsidR="00D252AB">
        <w:rPr>
          <w:color w:val="000000" w:themeColor="text1"/>
        </w:rPr>
        <w:t>s</w:t>
      </w:r>
      <w:r w:rsidRPr="00543E8E">
        <w:rPr>
          <w:color w:val="000000" w:themeColor="text1"/>
        </w:rPr>
        <w:t xml:space="preserve">. This targeting follows participatory exclusion profiling and analysis from the previous </w:t>
      </w:r>
      <w:r w:rsidR="002344F8" w:rsidRPr="00543E8E">
        <w:rPr>
          <w:color w:val="000000" w:themeColor="text1"/>
        </w:rPr>
        <w:t>programm</w:t>
      </w:r>
      <w:r w:rsidR="002344F8">
        <w:rPr>
          <w:color w:val="000000" w:themeColor="text1"/>
        </w:rPr>
        <w:t>e</w:t>
      </w:r>
      <w:r w:rsidR="002344F8" w:rsidRPr="00543E8E">
        <w:rPr>
          <w:color w:val="000000" w:themeColor="text1"/>
        </w:rPr>
        <w:t xml:space="preserve"> </w:t>
      </w:r>
      <w:r w:rsidRPr="00543E8E">
        <w:rPr>
          <w:color w:val="000000" w:themeColor="text1"/>
        </w:rPr>
        <w:t xml:space="preserve">period. Geographic targeting </w:t>
      </w:r>
      <w:r w:rsidR="002344F8">
        <w:rPr>
          <w:color w:val="000000" w:themeColor="text1"/>
        </w:rPr>
        <w:t>will</w:t>
      </w:r>
      <w:r w:rsidR="002344F8" w:rsidRPr="00543E8E">
        <w:rPr>
          <w:color w:val="000000" w:themeColor="text1"/>
        </w:rPr>
        <w:t xml:space="preserve"> </w:t>
      </w:r>
      <w:r w:rsidRPr="00543E8E">
        <w:rPr>
          <w:color w:val="000000" w:themeColor="text1"/>
        </w:rPr>
        <w:t xml:space="preserve">not </w:t>
      </w:r>
      <w:r w:rsidR="002344F8">
        <w:rPr>
          <w:color w:val="000000" w:themeColor="text1"/>
        </w:rPr>
        <w:t xml:space="preserve">be </w:t>
      </w:r>
      <w:r w:rsidRPr="00543E8E">
        <w:rPr>
          <w:color w:val="000000" w:themeColor="text1"/>
        </w:rPr>
        <w:t xml:space="preserve">pursued due to past experience </w:t>
      </w:r>
      <w:r w:rsidR="00D252AB" w:rsidRPr="00543E8E">
        <w:rPr>
          <w:color w:val="000000" w:themeColor="text1"/>
        </w:rPr>
        <w:t>wh</w:t>
      </w:r>
      <w:r w:rsidR="00D252AB">
        <w:rPr>
          <w:color w:val="000000" w:themeColor="text1"/>
        </w:rPr>
        <w:t>en</w:t>
      </w:r>
      <w:r w:rsidR="00D252AB" w:rsidRPr="00543E8E">
        <w:rPr>
          <w:color w:val="000000" w:themeColor="text1"/>
        </w:rPr>
        <w:t xml:space="preserve"> </w:t>
      </w:r>
      <w:r w:rsidRPr="00543E8E">
        <w:rPr>
          <w:color w:val="000000" w:themeColor="text1"/>
        </w:rPr>
        <w:t>such targeting and division of labo</w:t>
      </w:r>
      <w:r w:rsidR="002344F8">
        <w:rPr>
          <w:color w:val="000000" w:themeColor="text1"/>
        </w:rPr>
        <w:t>u</w:t>
      </w:r>
      <w:r w:rsidRPr="00543E8E">
        <w:rPr>
          <w:color w:val="000000" w:themeColor="text1"/>
        </w:rPr>
        <w:t xml:space="preserve">r between development partners resulted in </w:t>
      </w:r>
      <w:r w:rsidR="00D252AB">
        <w:rPr>
          <w:color w:val="000000" w:themeColor="text1"/>
        </w:rPr>
        <w:t xml:space="preserve">a </w:t>
      </w:r>
      <w:r w:rsidRPr="00543E8E">
        <w:rPr>
          <w:color w:val="000000" w:themeColor="text1"/>
        </w:rPr>
        <w:t xml:space="preserve">negative </w:t>
      </w:r>
      <w:r w:rsidR="00D252AB" w:rsidRPr="00543E8E">
        <w:rPr>
          <w:color w:val="000000" w:themeColor="text1"/>
        </w:rPr>
        <w:t>fragment</w:t>
      </w:r>
      <w:r w:rsidR="00D252AB">
        <w:rPr>
          <w:color w:val="000000" w:themeColor="text1"/>
        </w:rPr>
        <w:t>ation of</w:t>
      </w:r>
      <w:r w:rsidR="00D252AB" w:rsidRPr="00543E8E">
        <w:rPr>
          <w:color w:val="000000" w:themeColor="text1"/>
        </w:rPr>
        <w:t xml:space="preserve"> </w:t>
      </w:r>
      <w:r w:rsidRPr="00543E8E">
        <w:rPr>
          <w:color w:val="000000" w:themeColor="text1"/>
        </w:rPr>
        <w:t xml:space="preserve">the policy environment. </w:t>
      </w:r>
      <w:r w:rsidR="002344F8">
        <w:rPr>
          <w:color w:val="000000" w:themeColor="text1"/>
        </w:rPr>
        <w:t xml:space="preserve">However, </w:t>
      </w:r>
      <w:r w:rsidRPr="00543E8E">
        <w:rPr>
          <w:color w:val="000000" w:themeColor="text1"/>
        </w:rPr>
        <w:t xml:space="preserve">local government units </w:t>
      </w:r>
      <w:r w:rsidR="00D252AB">
        <w:rPr>
          <w:color w:val="000000" w:themeColor="text1"/>
        </w:rPr>
        <w:t xml:space="preserve">with </w:t>
      </w:r>
      <w:r w:rsidR="00DC19B3">
        <w:rPr>
          <w:color w:val="000000" w:themeColor="text1"/>
        </w:rPr>
        <w:t xml:space="preserve">a </w:t>
      </w:r>
      <w:r w:rsidR="00DC19B3" w:rsidRPr="00543E8E">
        <w:rPr>
          <w:color w:val="000000" w:themeColor="text1"/>
        </w:rPr>
        <w:t>concentration</w:t>
      </w:r>
      <w:r w:rsidRPr="00543E8E">
        <w:rPr>
          <w:color w:val="000000" w:themeColor="text1"/>
        </w:rPr>
        <w:t xml:space="preserve"> of Roma and Egyptian communities at risk of exclusion </w:t>
      </w:r>
      <w:r w:rsidR="002344F8">
        <w:rPr>
          <w:color w:val="000000" w:themeColor="text1"/>
        </w:rPr>
        <w:t xml:space="preserve">will be </w:t>
      </w:r>
      <w:r w:rsidRPr="00543E8E">
        <w:rPr>
          <w:color w:val="000000" w:themeColor="text1"/>
        </w:rPr>
        <w:t>targeted</w:t>
      </w:r>
      <w:r w:rsidR="002344F8">
        <w:rPr>
          <w:color w:val="000000" w:themeColor="text1"/>
        </w:rPr>
        <w:t>, as will y</w:t>
      </w:r>
      <w:r w:rsidRPr="00543E8E">
        <w:rPr>
          <w:color w:val="000000" w:themeColor="text1"/>
        </w:rPr>
        <w:t>oung women and men</w:t>
      </w:r>
      <w:r w:rsidR="002344F8">
        <w:rPr>
          <w:color w:val="000000" w:themeColor="text1"/>
        </w:rPr>
        <w:t>,</w:t>
      </w:r>
      <w:r w:rsidRPr="00543E8E">
        <w:rPr>
          <w:color w:val="000000" w:themeColor="text1"/>
        </w:rPr>
        <w:t xml:space="preserve"> especially for </w:t>
      </w:r>
      <w:r w:rsidR="002344F8" w:rsidRPr="00543E8E">
        <w:rPr>
          <w:color w:val="000000" w:themeColor="text1"/>
        </w:rPr>
        <w:t>skills</w:t>
      </w:r>
      <w:r w:rsidR="002344F8">
        <w:rPr>
          <w:color w:val="000000" w:themeColor="text1"/>
        </w:rPr>
        <w:t>-</w:t>
      </w:r>
      <w:r w:rsidRPr="00543E8E">
        <w:rPr>
          <w:color w:val="000000" w:themeColor="text1"/>
        </w:rPr>
        <w:t xml:space="preserve">building for </w:t>
      </w:r>
      <w:r w:rsidR="002344F8">
        <w:rPr>
          <w:color w:val="000000" w:themeColor="text1"/>
        </w:rPr>
        <w:t>their</w:t>
      </w:r>
      <w:r w:rsidRPr="00543E8E">
        <w:rPr>
          <w:color w:val="000000" w:themeColor="text1"/>
        </w:rPr>
        <w:t xml:space="preserve"> meaningful participation in the labo</w:t>
      </w:r>
      <w:r w:rsidR="00945F1D">
        <w:rPr>
          <w:color w:val="000000" w:themeColor="text1"/>
        </w:rPr>
        <w:t>u</w:t>
      </w:r>
      <w:r w:rsidRPr="00543E8E">
        <w:rPr>
          <w:color w:val="000000" w:themeColor="text1"/>
        </w:rPr>
        <w:t xml:space="preserve">r force.  </w:t>
      </w:r>
    </w:p>
    <w:p w14:paraId="2EBC7569" w14:textId="08C86713" w:rsidR="0030144D" w:rsidRPr="00D91006" w:rsidRDefault="008C7FAD" w:rsidP="004F7071">
      <w:pPr>
        <w:pStyle w:val="ListParagraph"/>
        <w:numPr>
          <w:ilvl w:val="0"/>
          <w:numId w:val="36"/>
        </w:numPr>
        <w:tabs>
          <w:tab w:val="left" w:pos="180"/>
          <w:tab w:val="left" w:pos="360"/>
        </w:tabs>
        <w:spacing w:after="240"/>
        <w:ind w:left="0" w:right="65" w:firstLine="0"/>
        <w:contextualSpacing/>
        <w:jc w:val="both"/>
        <w:rPr>
          <w:color w:val="000000" w:themeColor="text1"/>
        </w:rPr>
      </w:pPr>
      <w:r w:rsidRPr="00543E8E">
        <w:t xml:space="preserve"> The Delivering as One </w:t>
      </w:r>
      <w:r w:rsidR="00F92A52" w:rsidRPr="00543E8E">
        <w:t xml:space="preserve">context </w:t>
      </w:r>
      <w:r w:rsidR="00525781" w:rsidRPr="00543E8E">
        <w:t>of the previous program</w:t>
      </w:r>
      <w:r w:rsidR="000E6DF0">
        <w:t>me</w:t>
      </w:r>
      <w:r w:rsidR="00525781" w:rsidRPr="00543E8E">
        <w:t xml:space="preserve"> </w:t>
      </w:r>
      <w:r w:rsidR="00F92A52" w:rsidRPr="00543E8E">
        <w:t>provided for joint planning and division of labo</w:t>
      </w:r>
      <w:r w:rsidR="000E6DF0">
        <w:t>u</w:t>
      </w:r>
      <w:r w:rsidR="00F92A52" w:rsidRPr="00543E8E">
        <w:t>r between UNDP and partner U</w:t>
      </w:r>
      <w:r w:rsidR="000E6DF0">
        <w:t xml:space="preserve">nited </w:t>
      </w:r>
      <w:r w:rsidR="00F92A52" w:rsidRPr="00543E8E">
        <w:t>N</w:t>
      </w:r>
      <w:r w:rsidR="000E6DF0">
        <w:t>ations</w:t>
      </w:r>
      <w:r w:rsidR="00F92A52" w:rsidRPr="00543E8E">
        <w:t xml:space="preserve"> agencies </w:t>
      </w:r>
      <w:r w:rsidR="00525781" w:rsidRPr="00543E8E">
        <w:t>and created effectiveness and efficiency gains</w:t>
      </w:r>
      <w:r w:rsidR="000E6DF0">
        <w:t>,</w:t>
      </w:r>
      <w:r w:rsidR="00525781" w:rsidRPr="00543E8E">
        <w:t xml:space="preserve"> notably in </w:t>
      </w:r>
      <w:r w:rsidR="00F92A52" w:rsidRPr="00543E8E">
        <w:t>social</w:t>
      </w:r>
      <w:r w:rsidR="00DD5D34">
        <w:t xml:space="preserve"> and </w:t>
      </w:r>
      <w:r w:rsidR="00F92A52" w:rsidRPr="00543E8E">
        <w:t>economic inclusion and gender equality</w:t>
      </w:r>
      <w:r w:rsidR="00525781" w:rsidRPr="00543E8E">
        <w:t xml:space="preserve"> results</w:t>
      </w:r>
      <w:r w:rsidR="00361600" w:rsidRPr="00543E8E">
        <w:t>.</w:t>
      </w:r>
      <w:r w:rsidR="00361600">
        <w:rPr>
          <w:rStyle w:val="FootnoteReference"/>
        </w:rPr>
        <w:t xml:space="preserve"> </w:t>
      </w:r>
      <w:r w:rsidR="00831EE4" w:rsidRPr="00543E8E">
        <w:t>Building on this</w:t>
      </w:r>
      <w:r w:rsidR="0030144D" w:rsidRPr="00543E8E">
        <w:t xml:space="preserve">, the </w:t>
      </w:r>
      <w:r w:rsidR="000E6DF0">
        <w:t>Sustainable Development Goals</w:t>
      </w:r>
      <w:r w:rsidR="0030144D" w:rsidRPr="00543E8E">
        <w:t xml:space="preserve"> present strong entry points</w:t>
      </w:r>
      <w:r w:rsidR="00303564" w:rsidRPr="00543E8E">
        <w:t xml:space="preserve"> for UNDP </w:t>
      </w:r>
      <w:r w:rsidR="000E6DF0">
        <w:t xml:space="preserve">and United Nations partners </w:t>
      </w:r>
      <w:r w:rsidR="00303564" w:rsidRPr="00543E8E">
        <w:t xml:space="preserve">to deliver </w:t>
      </w:r>
      <w:r w:rsidR="003314E7" w:rsidRPr="00543E8E">
        <w:t>results</w:t>
      </w:r>
      <w:r w:rsidR="003314E7">
        <w:t>:</w:t>
      </w:r>
      <w:r w:rsidR="003314E7" w:rsidRPr="00543E8E">
        <w:t xml:space="preserve"> The</w:t>
      </w:r>
      <w:r w:rsidR="0030144D" w:rsidRPr="00543E8E">
        <w:t xml:space="preserve"> program</w:t>
      </w:r>
      <w:r w:rsidR="000E6DF0">
        <w:t>me</w:t>
      </w:r>
      <w:r w:rsidR="0030144D" w:rsidRPr="00543E8E">
        <w:t xml:space="preserve"> delivery strategy focusing on the agency of local government units enables UNDP to </w:t>
      </w:r>
      <w:r w:rsidR="000E6DF0">
        <w:t xml:space="preserve">contribute towards Goal </w:t>
      </w:r>
      <w:r w:rsidR="0030144D" w:rsidRPr="00543E8E">
        <w:t>11 on urban development</w:t>
      </w:r>
      <w:r w:rsidR="002A0D03" w:rsidRPr="00543E8E">
        <w:t xml:space="preserve">. It also provides for </w:t>
      </w:r>
      <w:r w:rsidR="0030144D" w:rsidRPr="00543E8E">
        <w:t xml:space="preserve">multisectoral governance </w:t>
      </w:r>
      <w:r w:rsidR="00303564" w:rsidRPr="00543E8E">
        <w:t>(</w:t>
      </w:r>
      <w:r w:rsidR="000E6DF0">
        <w:t>Goal</w:t>
      </w:r>
      <w:r w:rsidR="000E6DF0" w:rsidRPr="00543E8E">
        <w:t xml:space="preserve"> </w:t>
      </w:r>
      <w:r w:rsidR="00303564" w:rsidRPr="00543E8E">
        <w:t xml:space="preserve">16) </w:t>
      </w:r>
      <w:r w:rsidR="0030144D" w:rsidRPr="00543E8E">
        <w:t xml:space="preserve">and </w:t>
      </w:r>
      <w:r w:rsidR="000E6DF0" w:rsidRPr="00543E8E">
        <w:t>issue</w:t>
      </w:r>
      <w:r w:rsidR="000E6DF0">
        <w:t>-</w:t>
      </w:r>
      <w:r w:rsidR="0030144D" w:rsidRPr="00543E8E">
        <w:t xml:space="preserve">based solutions to challenges of </w:t>
      </w:r>
      <w:r w:rsidR="00303564" w:rsidRPr="00543E8E">
        <w:t xml:space="preserve">gender </w:t>
      </w:r>
      <w:r w:rsidR="002A0D03" w:rsidRPr="00543E8E">
        <w:t>in</w:t>
      </w:r>
      <w:r w:rsidR="00303564" w:rsidRPr="00543E8E">
        <w:t>equality (</w:t>
      </w:r>
      <w:r w:rsidR="000E6DF0">
        <w:t>Goal 5</w:t>
      </w:r>
      <w:r w:rsidR="00303564" w:rsidRPr="00543E8E">
        <w:t>)</w:t>
      </w:r>
      <w:r w:rsidR="000E6DF0">
        <w:t>,</w:t>
      </w:r>
      <w:r w:rsidR="00303564" w:rsidRPr="00543E8E">
        <w:t xml:space="preserve"> </w:t>
      </w:r>
      <w:r w:rsidR="0030144D" w:rsidRPr="00543E8E">
        <w:t>Roma exclus</w:t>
      </w:r>
      <w:r w:rsidR="00303564" w:rsidRPr="00543E8E">
        <w:t>i</w:t>
      </w:r>
      <w:r w:rsidR="0030144D" w:rsidRPr="00543E8E">
        <w:t>on</w:t>
      </w:r>
      <w:r w:rsidR="00303564" w:rsidRPr="00543E8E">
        <w:t xml:space="preserve"> (</w:t>
      </w:r>
      <w:r w:rsidR="000E6DF0">
        <w:t>Goal</w:t>
      </w:r>
      <w:r w:rsidR="000E6DF0" w:rsidRPr="00543E8E">
        <w:t xml:space="preserve"> </w:t>
      </w:r>
      <w:r w:rsidR="00303564" w:rsidRPr="00543E8E">
        <w:t>10</w:t>
      </w:r>
      <w:r w:rsidR="000E6DF0" w:rsidRPr="00543E8E">
        <w:t>)</w:t>
      </w:r>
      <w:r w:rsidR="000E6DF0">
        <w:t xml:space="preserve"> and</w:t>
      </w:r>
      <w:r w:rsidR="000E6DF0" w:rsidRPr="00543E8E">
        <w:t xml:space="preserve"> </w:t>
      </w:r>
      <w:r w:rsidR="0030144D" w:rsidRPr="00543E8E">
        <w:t>environmental sustainability (</w:t>
      </w:r>
      <w:r w:rsidR="000E6DF0">
        <w:t xml:space="preserve">Goal </w:t>
      </w:r>
      <w:r w:rsidR="000E6DF0" w:rsidRPr="00543E8E">
        <w:t>13</w:t>
      </w:r>
      <w:r w:rsidR="00525781" w:rsidRPr="00543E8E">
        <w:t>)</w:t>
      </w:r>
      <w:r w:rsidR="0030144D" w:rsidRPr="00543E8E">
        <w:t xml:space="preserve"> at municipal levels. In this context, the capital, Tirana</w:t>
      </w:r>
      <w:r w:rsidR="000E6DF0">
        <w:t>,</w:t>
      </w:r>
      <w:r w:rsidR="0030144D" w:rsidRPr="00543E8E">
        <w:t xml:space="preserve"> </w:t>
      </w:r>
      <w:r w:rsidR="000E6DF0">
        <w:t xml:space="preserve">home to </w:t>
      </w:r>
      <w:r w:rsidR="0030144D" w:rsidRPr="00543E8E">
        <w:t>20</w:t>
      </w:r>
      <w:r w:rsidR="000E6DF0">
        <w:t xml:space="preserve"> per cent</w:t>
      </w:r>
      <w:r w:rsidR="0030144D" w:rsidRPr="00543E8E">
        <w:t xml:space="preserve"> of the country’s poor</w:t>
      </w:r>
      <w:r w:rsidR="000E6DF0">
        <w:t>,</w:t>
      </w:r>
      <w:r w:rsidR="0030144D" w:rsidRPr="00543E8E">
        <w:t xml:space="preserve"> has the nascent capacities and potential to generate such solutions.</w:t>
      </w:r>
      <w:r w:rsidR="0030144D" w:rsidRPr="00543E8E">
        <w:rPr>
          <w:rStyle w:val="FootnoteReference"/>
        </w:rPr>
        <w:footnoteReference w:id="30"/>
      </w:r>
      <w:r w:rsidR="0030144D" w:rsidRPr="00543E8E">
        <w:t xml:space="preserve">   </w:t>
      </w:r>
    </w:p>
    <w:p w14:paraId="1F41809C" w14:textId="77777777" w:rsidR="00D91006" w:rsidRPr="00D91006" w:rsidRDefault="00D91006" w:rsidP="004F7071">
      <w:pPr>
        <w:pStyle w:val="ListParagraph"/>
        <w:tabs>
          <w:tab w:val="left" w:pos="180"/>
          <w:tab w:val="left" w:pos="360"/>
        </w:tabs>
        <w:spacing w:after="240"/>
        <w:ind w:left="0" w:right="65"/>
        <w:contextualSpacing/>
        <w:jc w:val="both"/>
        <w:rPr>
          <w:color w:val="000000" w:themeColor="text1"/>
          <w:sz w:val="12"/>
          <w:szCs w:val="12"/>
        </w:rPr>
      </w:pPr>
    </w:p>
    <w:p w14:paraId="0EF116B0" w14:textId="04F8EC36" w:rsidR="0030144D" w:rsidRDefault="0030144D" w:rsidP="004F7071">
      <w:pPr>
        <w:pStyle w:val="ListParagraph"/>
        <w:numPr>
          <w:ilvl w:val="0"/>
          <w:numId w:val="36"/>
        </w:numPr>
        <w:tabs>
          <w:tab w:val="left" w:pos="180"/>
          <w:tab w:val="left" w:pos="360"/>
        </w:tabs>
        <w:ind w:left="0" w:right="65" w:firstLine="0"/>
        <w:contextualSpacing/>
        <w:jc w:val="both"/>
        <w:rPr>
          <w:color w:val="000000" w:themeColor="text1"/>
        </w:rPr>
      </w:pPr>
      <w:r w:rsidRPr="00543E8E">
        <w:rPr>
          <w:b/>
          <w:color w:val="000000" w:themeColor="text1"/>
        </w:rPr>
        <w:t xml:space="preserve">Democratic </w:t>
      </w:r>
      <w:r w:rsidR="000E6DF0">
        <w:rPr>
          <w:b/>
          <w:color w:val="000000" w:themeColor="text1"/>
        </w:rPr>
        <w:t>g</w:t>
      </w:r>
      <w:r w:rsidR="000E6DF0" w:rsidRPr="00543E8E">
        <w:rPr>
          <w:b/>
          <w:color w:val="000000" w:themeColor="text1"/>
        </w:rPr>
        <w:t xml:space="preserve">overnance </w:t>
      </w:r>
      <w:r w:rsidRPr="00543E8E">
        <w:rPr>
          <w:b/>
          <w:color w:val="000000" w:themeColor="text1"/>
        </w:rPr>
        <w:t xml:space="preserve">and </w:t>
      </w:r>
      <w:r w:rsidR="000E6DF0">
        <w:rPr>
          <w:b/>
          <w:color w:val="000000" w:themeColor="text1"/>
        </w:rPr>
        <w:t>r</w:t>
      </w:r>
      <w:r w:rsidR="000E6DF0" w:rsidRPr="00543E8E">
        <w:rPr>
          <w:b/>
          <w:color w:val="000000" w:themeColor="text1"/>
        </w:rPr>
        <w:t xml:space="preserve">ule </w:t>
      </w:r>
      <w:r w:rsidRPr="00543E8E">
        <w:rPr>
          <w:b/>
          <w:color w:val="000000" w:themeColor="text1"/>
        </w:rPr>
        <w:t xml:space="preserve">of </w:t>
      </w:r>
      <w:r w:rsidR="000E6DF0">
        <w:rPr>
          <w:b/>
          <w:color w:val="000000" w:themeColor="text1"/>
        </w:rPr>
        <w:t>l</w:t>
      </w:r>
      <w:r w:rsidR="000E6DF0" w:rsidRPr="00543E8E">
        <w:rPr>
          <w:b/>
          <w:color w:val="000000" w:themeColor="text1"/>
        </w:rPr>
        <w:t>aw</w:t>
      </w:r>
      <w:r w:rsidR="000E6DF0" w:rsidRPr="00543E8E">
        <w:rPr>
          <w:color w:val="000000" w:themeColor="text1"/>
        </w:rPr>
        <w:t xml:space="preserve"> </w:t>
      </w:r>
      <w:r w:rsidRPr="00543E8E">
        <w:rPr>
          <w:color w:val="000000" w:themeColor="text1"/>
        </w:rPr>
        <w:t xml:space="preserve">is the first priority, in line with </w:t>
      </w:r>
      <w:r w:rsidR="000E6DF0">
        <w:rPr>
          <w:color w:val="000000" w:themeColor="text1"/>
        </w:rPr>
        <w:t>o</w:t>
      </w:r>
      <w:r w:rsidRPr="00543E8E">
        <w:rPr>
          <w:color w:val="000000" w:themeColor="text1"/>
        </w:rPr>
        <w:t>utcome 1</w:t>
      </w:r>
      <w:r w:rsidR="000E6DF0">
        <w:rPr>
          <w:color w:val="000000" w:themeColor="text1"/>
        </w:rPr>
        <w:t xml:space="preserve"> of the country programme</w:t>
      </w:r>
      <w:r w:rsidR="00116BEC">
        <w:rPr>
          <w:color w:val="000000" w:themeColor="text1"/>
        </w:rPr>
        <w:t>,</w:t>
      </w:r>
      <w:r w:rsidR="00116BEC" w:rsidRPr="00543E8E">
        <w:rPr>
          <w:color w:val="000000" w:themeColor="text1"/>
        </w:rPr>
        <w:t xml:space="preserve"> </w:t>
      </w:r>
      <w:r w:rsidR="00B03C1B">
        <w:rPr>
          <w:color w:val="000000" w:themeColor="text1"/>
        </w:rPr>
        <w:t>b</w:t>
      </w:r>
      <w:r w:rsidRPr="00543E8E">
        <w:rPr>
          <w:color w:val="000000" w:themeColor="text1"/>
        </w:rPr>
        <w:t>y 2021, s</w:t>
      </w:r>
      <w:r w:rsidRPr="00543E8E">
        <w:t>tate and civil society organizations perform effectively and with accountability for consolidated democracy in line with international norms and standards</w:t>
      </w:r>
      <w:r w:rsidR="00B03C1B">
        <w:rPr>
          <w:i/>
          <w:color w:val="000000" w:themeColor="text1"/>
        </w:rPr>
        <w:t>.</w:t>
      </w:r>
      <w:r w:rsidR="00B03C1B" w:rsidRPr="00543E8E">
        <w:rPr>
          <w:color w:val="000000" w:themeColor="text1"/>
        </w:rPr>
        <w:t xml:space="preserve"> </w:t>
      </w:r>
      <w:r w:rsidRPr="00543E8E">
        <w:rPr>
          <w:color w:val="000000" w:themeColor="text1"/>
        </w:rPr>
        <w:t xml:space="preserve">It derives from the </w:t>
      </w:r>
      <w:r w:rsidR="000E6DF0" w:rsidRPr="00543E8E">
        <w:rPr>
          <w:color w:val="000000" w:themeColor="text1"/>
        </w:rPr>
        <w:t>cross</w:t>
      </w:r>
      <w:r w:rsidR="000E6DF0">
        <w:rPr>
          <w:color w:val="000000" w:themeColor="text1"/>
        </w:rPr>
        <w:t>-</w:t>
      </w:r>
      <w:r w:rsidRPr="00543E8E">
        <w:rPr>
          <w:color w:val="000000" w:themeColor="text1"/>
        </w:rPr>
        <w:t xml:space="preserve">cutting objective of the NSDI for democracy, good governance and </w:t>
      </w:r>
      <w:r w:rsidR="00D91006">
        <w:rPr>
          <w:color w:val="000000" w:themeColor="text1"/>
        </w:rPr>
        <w:t xml:space="preserve">rule of law and the </w:t>
      </w:r>
      <w:r w:rsidR="000E6DF0">
        <w:rPr>
          <w:color w:val="000000" w:themeColor="text1"/>
        </w:rPr>
        <w:t xml:space="preserve">Government's </w:t>
      </w:r>
      <w:r w:rsidR="00D91006">
        <w:rPr>
          <w:color w:val="000000" w:themeColor="text1"/>
        </w:rPr>
        <w:t>ad</w:t>
      </w:r>
      <w:r w:rsidR="000E6DF0">
        <w:rPr>
          <w:color w:val="000000" w:themeColor="text1"/>
        </w:rPr>
        <w:t>o</w:t>
      </w:r>
      <w:r w:rsidRPr="00543E8E">
        <w:rPr>
          <w:color w:val="000000" w:themeColor="text1"/>
        </w:rPr>
        <w:t xml:space="preserve">ption of the </w:t>
      </w:r>
      <w:r w:rsidR="000E6DF0">
        <w:rPr>
          <w:color w:val="000000" w:themeColor="text1"/>
        </w:rPr>
        <w:t xml:space="preserve">Sustainable Development Goal </w:t>
      </w:r>
      <w:r w:rsidRPr="00543E8E">
        <w:rPr>
          <w:color w:val="000000" w:themeColor="text1"/>
        </w:rPr>
        <w:t xml:space="preserve">16 pilot indicators during the </w:t>
      </w:r>
      <w:r w:rsidR="000E6DF0">
        <w:rPr>
          <w:color w:val="000000" w:themeColor="text1"/>
        </w:rPr>
        <w:t>previous</w:t>
      </w:r>
      <w:r w:rsidR="000E6DF0" w:rsidRPr="00543E8E">
        <w:rPr>
          <w:color w:val="000000" w:themeColor="text1"/>
        </w:rPr>
        <w:t xml:space="preserve"> </w:t>
      </w:r>
      <w:r w:rsidRPr="00543E8E">
        <w:rPr>
          <w:color w:val="000000" w:themeColor="text1"/>
        </w:rPr>
        <w:t>programming period.</w:t>
      </w:r>
      <w:r w:rsidR="00D91006">
        <w:rPr>
          <w:color w:val="000000" w:themeColor="text1"/>
        </w:rPr>
        <w:t xml:space="preserve"> </w:t>
      </w:r>
    </w:p>
    <w:p w14:paraId="44B1EC0B" w14:textId="77777777" w:rsidR="00D91006" w:rsidRPr="00D91006" w:rsidRDefault="00D91006" w:rsidP="004F7071">
      <w:pPr>
        <w:pStyle w:val="ListParagraph"/>
        <w:tabs>
          <w:tab w:val="left" w:pos="360"/>
        </w:tabs>
        <w:rPr>
          <w:color w:val="000000" w:themeColor="text1"/>
          <w:sz w:val="12"/>
          <w:szCs w:val="12"/>
        </w:rPr>
      </w:pPr>
    </w:p>
    <w:p w14:paraId="520013BC" w14:textId="3183A940" w:rsidR="0030144D" w:rsidRPr="00543E8E" w:rsidRDefault="004A67F9" w:rsidP="004F7071">
      <w:pPr>
        <w:pStyle w:val="ListParagraph"/>
        <w:numPr>
          <w:ilvl w:val="0"/>
          <w:numId w:val="36"/>
        </w:numPr>
        <w:tabs>
          <w:tab w:val="left" w:pos="180"/>
          <w:tab w:val="left" w:pos="360"/>
        </w:tabs>
        <w:spacing w:after="200"/>
        <w:ind w:left="0" w:right="65" w:firstLine="0"/>
        <w:contextualSpacing/>
        <w:jc w:val="both"/>
        <w:rPr>
          <w:color w:val="000000" w:themeColor="text1"/>
        </w:rPr>
      </w:pPr>
      <w:r w:rsidRPr="00B83312">
        <w:rPr>
          <w:color w:val="000000" w:themeColor="text1"/>
        </w:rPr>
        <w:t>Legislative</w:t>
      </w:r>
      <w:r w:rsidR="0030144D" w:rsidRPr="00B83312">
        <w:rPr>
          <w:color w:val="000000" w:themeColor="text1"/>
        </w:rPr>
        <w:t xml:space="preserve"> reforms of the judiciary, elections</w:t>
      </w:r>
      <w:r w:rsidR="000E6DF0" w:rsidRPr="00B83312">
        <w:rPr>
          <w:color w:val="000000" w:themeColor="text1"/>
        </w:rPr>
        <w:t xml:space="preserve"> and </w:t>
      </w:r>
      <w:r w:rsidR="0030144D" w:rsidRPr="00B83312">
        <w:rPr>
          <w:color w:val="000000" w:themeColor="text1"/>
        </w:rPr>
        <w:t>public administration are necessary but not sufficient for ensuring that citizens trust core state institutions (e.g.</w:t>
      </w:r>
      <w:r w:rsidR="000E6DF0" w:rsidRPr="00B83312">
        <w:rPr>
          <w:color w:val="000000" w:themeColor="text1"/>
        </w:rPr>
        <w:t>,</w:t>
      </w:r>
      <w:r w:rsidR="0030144D" w:rsidRPr="00B83312">
        <w:rPr>
          <w:color w:val="000000" w:themeColor="text1"/>
        </w:rPr>
        <w:t xml:space="preserve"> rule of law</w:t>
      </w:r>
      <w:r w:rsidR="00850CDA" w:rsidRPr="00B83312">
        <w:rPr>
          <w:color w:val="000000" w:themeColor="text1"/>
        </w:rPr>
        <w:t xml:space="preserve">, </w:t>
      </w:r>
      <w:r w:rsidR="0030144D" w:rsidRPr="00B83312">
        <w:rPr>
          <w:color w:val="000000" w:themeColor="text1"/>
        </w:rPr>
        <w:t>human rights</w:t>
      </w:r>
      <w:r w:rsidR="0030144D" w:rsidRPr="00543E8E">
        <w:rPr>
          <w:color w:val="000000" w:themeColor="text1"/>
        </w:rPr>
        <w:t xml:space="preserve"> institution</w:t>
      </w:r>
      <w:r w:rsidR="00850CDA" w:rsidRPr="00543E8E">
        <w:rPr>
          <w:color w:val="000000" w:themeColor="text1"/>
        </w:rPr>
        <w:t xml:space="preserve">s and </w:t>
      </w:r>
      <w:r w:rsidR="005C1A6F" w:rsidRPr="00543E8E">
        <w:rPr>
          <w:color w:val="000000" w:themeColor="text1"/>
        </w:rPr>
        <w:t>electoral management bodies</w:t>
      </w:r>
      <w:r w:rsidR="0030144D" w:rsidRPr="00543E8E">
        <w:rPr>
          <w:color w:val="000000" w:themeColor="text1"/>
        </w:rPr>
        <w:t>)</w:t>
      </w:r>
      <w:r w:rsidR="005C1A6F" w:rsidRPr="00543E8E">
        <w:rPr>
          <w:color w:val="000000" w:themeColor="text1"/>
        </w:rPr>
        <w:t xml:space="preserve">. UNDP will </w:t>
      </w:r>
      <w:r w:rsidR="00850CDA" w:rsidRPr="00543E8E">
        <w:rPr>
          <w:color w:val="000000" w:themeColor="text1"/>
        </w:rPr>
        <w:t xml:space="preserve">support </w:t>
      </w:r>
      <w:r w:rsidR="00D252AB">
        <w:rPr>
          <w:color w:val="000000" w:themeColor="text1"/>
        </w:rPr>
        <w:t xml:space="preserve">the </w:t>
      </w:r>
      <w:r w:rsidR="005C1A6F" w:rsidRPr="00543E8E">
        <w:rPr>
          <w:color w:val="000000" w:themeColor="text1"/>
        </w:rPr>
        <w:t>institutional capacit</w:t>
      </w:r>
      <w:r w:rsidR="00850CDA" w:rsidRPr="00543E8E">
        <w:rPr>
          <w:color w:val="000000" w:themeColor="text1"/>
        </w:rPr>
        <w:t xml:space="preserve">ies of core state institutions </w:t>
      </w:r>
      <w:r w:rsidR="005C1A6F" w:rsidRPr="00543E8E">
        <w:rPr>
          <w:color w:val="000000" w:themeColor="text1"/>
        </w:rPr>
        <w:t xml:space="preserve">to enable </w:t>
      </w:r>
      <w:r w:rsidR="0030144D" w:rsidRPr="00543E8E">
        <w:rPr>
          <w:color w:val="000000" w:themeColor="text1"/>
        </w:rPr>
        <w:t>citizens, especially women</w:t>
      </w:r>
      <w:r w:rsidR="000E6DF0">
        <w:rPr>
          <w:color w:val="000000" w:themeColor="text1"/>
        </w:rPr>
        <w:t>,</w:t>
      </w:r>
      <w:r w:rsidR="005C1A6F" w:rsidRPr="00543E8E">
        <w:rPr>
          <w:color w:val="000000" w:themeColor="text1"/>
        </w:rPr>
        <w:t xml:space="preserve"> to turn to the</w:t>
      </w:r>
      <w:r w:rsidR="00850CDA" w:rsidRPr="00543E8E">
        <w:rPr>
          <w:color w:val="000000" w:themeColor="text1"/>
        </w:rPr>
        <w:t>m</w:t>
      </w:r>
      <w:r w:rsidR="005C1A6F" w:rsidRPr="00543E8E">
        <w:rPr>
          <w:color w:val="000000" w:themeColor="text1"/>
        </w:rPr>
        <w:t xml:space="preserve"> for </w:t>
      </w:r>
      <w:r w:rsidR="00850CDA" w:rsidRPr="00543E8E">
        <w:rPr>
          <w:color w:val="000000" w:themeColor="text1"/>
        </w:rPr>
        <w:t xml:space="preserve">voice, representation and </w:t>
      </w:r>
      <w:r w:rsidR="005C1A6F" w:rsidRPr="00543E8E">
        <w:rPr>
          <w:color w:val="000000" w:themeColor="text1"/>
        </w:rPr>
        <w:t>redress (</w:t>
      </w:r>
      <w:r w:rsidR="000E6DF0">
        <w:rPr>
          <w:color w:val="000000" w:themeColor="text1"/>
        </w:rPr>
        <w:t>Sustainable Development Goal</w:t>
      </w:r>
      <w:r w:rsidR="000E6DF0" w:rsidRPr="00543E8E">
        <w:rPr>
          <w:color w:val="000000" w:themeColor="text1"/>
        </w:rPr>
        <w:t xml:space="preserve"> </w:t>
      </w:r>
      <w:r w:rsidR="005C1A6F" w:rsidRPr="00543E8E">
        <w:rPr>
          <w:color w:val="000000" w:themeColor="text1"/>
        </w:rPr>
        <w:t>16).</w:t>
      </w:r>
      <w:r w:rsidR="006131D4" w:rsidRPr="00543E8E">
        <w:rPr>
          <w:color w:val="000000" w:themeColor="text1"/>
        </w:rPr>
        <w:t xml:space="preserve"> </w:t>
      </w:r>
      <w:r w:rsidR="0030144D" w:rsidRPr="00543E8E">
        <w:rPr>
          <w:color w:val="000000"/>
        </w:rPr>
        <w:t>UNDP has a niche in governance derived from co</w:t>
      </w:r>
      <w:r w:rsidR="00E52B8C">
        <w:rPr>
          <w:color w:val="000000"/>
        </w:rPr>
        <w:t>-</w:t>
      </w:r>
      <w:r w:rsidR="0030144D" w:rsidRPr="00543E8E">
        <w:rPr>
          <w:color w:val="000000"/>
        </w:rPr>
        <w:t xml:space="preserve">designing with </w:t>
      </w:r>
      <w:r w:rsidR="0030144D" w:rsidRPr="00543E8E">
        <w:rPr>
          <w:color w:val="000000"/>
        </w:rPr>
        <w:lastRenderedPageBreak/>
        <w:t>the Government the roadmap for the administrative and territorial reform and managing pooled resources</w:t>
      </w:r>
      <w:r w:rsidR="001B6AD4" w:rsidRPr="00543E8E">
        <w:rPr>
          <w:color w:val="000000"/>
        </w:rPr>
        <w:t xml:space="preserve"> in support of governance reforms</w:t>
      </w:r>
      <w:r w:rsidR="009F0193" w:rsidRPr="00543E8E">
        <w:rPr>
          <w:color w:val="000000"/>
        </w:rPr>
        <w:t>.</w:t>
      </w:r>
      <w:r w:rsidR="009F0193">
        <w:rPr>
          <w:rStyle w:val="FootnoteReference"/>
          <w:color w:val="000000"/>
        </w:rPr>
        <w:t xml:space="preserve"> </w:t>
      </w:r>
      <w:r w:rsidR="009F0193" w:rsidRPr="00543E8E">
        <w:rPr>
          <w:color w:val="000000"/>
        </w:rPr>
        <w:t xml:space="preserve"> </w:t>
      </w:r>
      <w:r w:rsidR="0030144D" w:rsidRPr="00543E8E">
        <w:rPr>
          <w:color w:val="000000"/>
        </w:rPr>
        <w:t>UNDP will</w:t>
      </w:r>
      <w:r w:rsidR="00781126" w:rsidRPr="00543E8E">
        <w:rPr>
          <w:color w:val="000000"/>
        </w:rPr>
        <w:t xml:space="preserve"> help </w:t>
      </w:r>
      <w:r w:rsidR="000E6DF0">
        <w:rPr>
          <w:color w:val="000000"/>
        </w:rPr>
        <w:t xml:space="preserve">to </w:t>
      </w:r>
      <w:r w:rsidR="00781126" w:rsidRPr="00543E8E">
        <w:rPr>
          <w:color w:val="000000"/>
        </w:rPr>
        <w:t xml:space="preserve">implement local governance reform </w:t>
      </w:r>
      <w:r w:rsidR="00781126" w:rsidRPr="00543E8E">
        <w:t xml:space="preserve">priorities identified and </w:t>
      </w:r>
      <w:r w:rsidR="00781126" w:rsidRPr="00543E8E">
        <w:rPr>
          <w:lang w:val="en"/>
        </w:rPr>
        <w:t xml:space="preserve">agreed with </w:t>
      </w:r>
      <w:r w:rsidR="000E6DF0">
        <w:rPr>
          <w:lang w:val="en"/>
        </w:rPr>
        <w:t xml:space="preserve">the </w:t>
      </w:r>
      <w:r w:rsidR="00781126" w:rsidRPr="00543E8E">
        <w:rPr>
          <w:lang w:val="en"/>
        </w:rPr>
        <w:t xml:space="preserve">Government, development partners and </w:t>
      </w:r>
      <w:r w:rsidR="000E6DF0">
        <w:rPr>
          <w:lang w:val="en"/>
        </w:rPr>
        <w:t>the EU.</w:t>
      </w:r>
      <w:r w:rsidR="004035DB" w:rsidRPr="00543E8E">
        <w:rPr>
          <w:lang w:val="en"/>
        </w:rPr>
        <w:t xml:space="preserve"> These include performance monitoring systems </w:t>
      </w:r>
      <w:r w:rsidR="006B3A5E">
        <w:rPr>
          <w:lang w:val="en"/>
        </w:rPr>
        <w:t xml:space="preserve">for service delivery </w:t>
      </w:r>
      <w:r w:rsidR="004035DB" w:rsidRPr="00543E8E">
        <w:rPr>
          <w:lang w:val="en"/>
        </w:rPr>
        <w:t>and one-stop</w:t>
      </w:r>
      <w:r w:rsidR="006B3A5E">
        <w:rPr>
          <w:lang w:val="en"/>
        </w:rPr>
        <w:t xml:space="preserve"> </w:t>
      </w:r>
      <w:r w:rsidR="004035DB" w:rsidRPr="00543E8E">
        <w:rPr>
          <w:lang w:val="en"/>
        </w:rPr>
        <w:t>shops at municipal levels</w:t>
      </w:r>
      <w:r w:rsidR="00D53373" w:rsidRPr="00543E8E">
        <w:rPr>
          <w:lang w:val="en"/>
        </w:rPr>
        <w:t>; gender mainstreaming of municipal service delivery plans</w:t>
      </w:r>
      <w:r w:rsidR="006B3A5E">
        <w:rPr>
          <w:lang w:val="en"/>
        </w:rPr>
        <w:t>;</w:t>
      </w:r>
      <w:r w:rsidR="004035DB" w:rsidRPr="00543E8E">
        <w:rPr>
          <w:lang w:val="en"/>
        </w:rPr>
        <w:t xml:space="preserve"> and further </w:t>
      </w:r>
      <w:r w:rsidR="006B3A5E">
        <w:rPr>
          <w:lang w:val="en"/>
        </w:rPr>
        <w:t xml:space="preserve">improvements of </w:t>
      </w:r>
      <w:r w:rsidR="004035DB" w:rsidRPr="00543E8E">
        <w:rPr>
          <w:lang w:val="en"/>
        </w:rPr>
        <w:t xml:space="preserve">administrative and public finance management </w:t>
      </w:r>
      <w:r w:rsidR="006B3A5E" w:rsidRPr="00543E8E">
        <w:rPr>
          <w:lang w:val="en"/>
        </w:rPr>
        <w:t>capacit</w:t>
      </w:r>
      <w:r w:rsidR="006B3A5E">
        <w:rPr>
          <w:lang w:val="en"/>
        </w:rPr>
        <w:t>ies</w:t>
      </w:r>
      <w:r w:rsidR="006B3A5E" w:rsidRPr="00543E8E">
        <w:rPr>
          <w:lang w:val="en"/>
        </w:rPr>
        <w:t xml:space="preserve"> </w:t>
      </w:r>
      <w:r w:rsidR="004035DB" w:rsidRPr="00543E8E">
        <w:rPr>
          <w:lang w:val="en"/>
        </w:rPr>
        <w:t xml:space="preserve">to prepare local authorities for </w:t>
      </w:r>
      <w:r w:rsidR="00B135EB" w:rsidRPr="00543E8E">
        <w:rPr>
          <w:lang w:val="en"/>
        </w:rPr>
        <w:t>European integration</w:t>
      </w:r>
      <w:r w:rsidR="00A04F73" w:rsidRPr="00543E8E">
        <w:rPr>
          <w:lang w:val="en"/>
        </w:rPr>
        <w:t>.</w:t>
      </w:r>
      <w:r w:rsidR="004035DB" w:rsidRPr="00543E8E">
        <w:rPr>
          <w:lang w:val="en"/>
        </w:rPr>
        <w:t xml:space="preserve"> </w:t>
      </w:r>
      <w:r w:rsidR="002A0D03" w:rsidRPr="00543E8E">
        <w:rPr>
          <w:color w:val="000000" w:themeColor="text1"/>
        </w:rPr>
        <w:t xml:space="preserve">Gender mainstreaming of major reform packages and </w:t>
      </w:r>
      <w:r w:rsidR="006B3A5E" w:rsidRPr="00543E8E">
        <w:rPr>
          <w:color w:val="000000" w:themeColor="text1"/>
        </w:rPr>
        <w:t>polic</w:t>
      </w:r>
      <w:r w:rsidR="006B3A5E">
        <w:rPr>
          <w:color w:val="000000" w:themeColor="text1"/>
        </w:rPr>
        <w:t>ies</w:t>
      </w:r>
      <w:r w:rsidR="006B3A5E" w:rsidRPr="00543E8E">
        <w:rPr>
          <w:color w:val="000000" w:themeColor="text1"/>
        </w:rPr>
        <w:t xml:space="preserve"> </w:t>
      </w:r>
      <w:r w:rsidR="002A0D03" w:rsidRPr="00543E8E">
        <w:rPr>
          <w:color w:val="000000" w:themeColor="text1"/>
        </w:rPr>
        <w:t xml:space="preserve">will be ensured through support to the national gender machinery. </w:t>
      </w:r>
      <w:r w:rsidR="006131D4" w:rsidRPr="00543E8E">
        <w:rPr>
          <w:color w:val="000000"/>
        </w:rPr>
        <w:t>W</w:t>
      </w:r>
      <w:r w:rsidR="00D53373" w:rsidRPr="00543E8E">
        <w:rPr>
          <w:color w:val="000000"/>
        </w:rPr>
        <w:t xml:space="preserve">omen as agents of </w:t>
      </w:r>
      <w:r w:rsidR="006131D4" w:rsidRPr="00543E8E">
        <w:rPr>
          <w:color w:val="000000"/>
        </w:rPr>
        <w:t xml:space="preserve">change will be supported at parliamentary </w:t>
      </w:r>
      <w:r w:rsidR="00D252AB">
        <w:rPr>
          <w:color w:val="000000"/>
        </w:rPr>
        <w:t xml:space="preserve">and municipal council </w:t>
      </w:r>
      <w:r w:rsidR="006131D4" w:rsidRPr="00543E8E">
        <w:rPr>
          <w:color w:val="000000"/>
        </w:rPr>
        <w:t>level</w:t>
      </w:r>
      <w:r w:rsidR="00D252AB">
        <w:rPr>
          <w:color w:val="000000"/>
        </w:rPr>
        <w:t>s</w:t>
      </w:r>
      <w:r w:rsidR="00A04F73" w:rsidRPr="00543E8E">
        <w:rPr>
          <w:color w:val="000000"/>
        </w:rPr>
        <w:t xml:space="preserve">. </w:t>
      </w:r>
      <w:r w:rsidR="00D252AB">
        <w:rPr>
          <w:color w:val="000000"/>
        </w:rPr>
        <w:t>T</w:t>
      </w:r>
      <w:r w:rsidR="0030144D" w:rsidRPr="00543E8E">
        <w:rPr>
          <w:color w:val="000000"/>
        </w:rPr>
        <w:t>he 61 new municipalities are the institutional platforms for local integrity systems and anti-corruption actions with civil society</w:t>
      </w:r>
      <w:r w:rsidR="00D53373" w:rsidRPr="00543E8E">
        <w:rPr>
          <w:color w:val="000000"/>
        </w:rPr>
        <w:t>.</w:t>
      </w:r>
      <w:r w:rsidR="0030144D" w:rsidRPr="00543E8E">
        <w:rPr>
          <w:color w:val="000000"/>
        </w:rPr>
        <w:t xml:space="preserve"> </w:t>
      </w:r>
      <w:r w:rsidR="009A3CBB" w:rsidRPr="00543E8E">
        <w:rPr>
          <w:color w:val="000000"/>
        </w:rPr>
        <w:t>I</w:t>
      </w:r>
      <w:r w:rsidR="0013751A" w:rsidRPr="00543E8E">
        <w:rPr>
          <w:color w:val="000000"/>
        </w:rPr>
        <w:t xml:space="preserve">n partnership with the National Anticorruption Coordinator, </w:t>
      </w:r>
      <w:r w:rsidR="009A3CBB" w:rsidRPr="00543E8E">
        <w:rPr>
          <w:color w:val="000000"/>
        </w:rPr>
        <w:t xml:space="preserve">UNDP </w:t>
      </w:r>
      <w:r w:rsidR="0013751A" w:rsidRPr="00543E8E">
        <w:rPr>
          <w:color w:val="000000"/>
        </w:rPr>
        <w:t>will pilot</w:t>
      </w:r>
      <w:r w:rsidR="00BE1150" w:rsidRPr="00543E8E">
        <w:rPr>
          <w:color w:val="000000"/>
        </w:rPr>
        <w:t xml:space="preserve"> </w:t>
      </w:r>
      <w:r w:rsidR="0013751A" w:rsidRPr="00543E8E">
        <w:rPr>
          <w:color w:val="000000"/>
        </w:rPr>
        <w:t xml:space="preserve">and </w:t>
      </w:r>
      <w:r w:rsidR="009A3CBB" w:rsidRPr="00543E8E">
        <w:rPr>
          <w:color w:val="000000"/>
        </w:rPr>
        <w:t xml:space="preserve">help </w:t>
      </w:r>
      <w:r w:rsidR="0013751A" w:rsidRPr="00543E8E">
        <w:rPr>
          <w:color w:val="000000"/>
        </w:rPr>
        <w:t>replicat</w:t>
      </w:r>
      <w:r w:rsidR="009A3CBB" w:rsidRPr="00543E8E">
        <w:rPr>
          <w:color w:val="000000"/>
        </w:rPr>
        <w:t xml:space="preserve">e </w:t>
      </w:r>
      <w:r w:rsidR="006B3A5E">
        <w:rPr>
          <w:color w:val="000000"/>
        </w:rPr>
        <w:t>m</w:t>
      </w:r>
      <w:r w:rsidR="006B3A5E" w:rsidRPr="00543E8E">
        <w:rPr>
          <w:color w:val="000000"/>
        </w:rPr>
        <w:t xml:space="preserve">unicipal </w:t>
      </w:r>
      <w:r w:rsidR="006B3A5E">
        <w:rPr>
          <w:color w:val="000000"/>
        </w:rPr>
        <w:t>i</w:t>
      </w:r>
      <w:r w:rsidR="006B3A5E" w:rsidRPr="00543E8E">
        <w:rPr>
          <w:color w:val="000000"/>
        </w:rPr>
        <w:t xml:space="preserve">ntegrity </w:t>
      </w:r>
      <w:r w:rsidR="006B3A5E">
        <w:rPr>
          <w:color w:val="000000"/>
        </w:rPr>
        <w:t>p</w:t>
      </w:r>
      <w:r w:rsidR="006B3A5E" w:rsidRPr="00543E8E">
        <w:rPr>
          <w:color w:val="000000"/>
        </w:rPr>
        <w:t>lans</w:t>
      </w:r>
      <w:r w:rsidR="0013751A" w:rsidRPr="00543E8E">
        <w:rPr>
          <w:color w:val="000000"/>
        </w:rPr>
        <w:t>, which translate the National Strategy on Anticorruption</w:t>
      </w:r>
      <w:r w:rsidR="00BE1150" w:rsidRPr="00543E8E">
        <w:rPr>
          <w:color w:val="000000"/>
        </w:rPr>
        <w:t xml:space="preserve"> into local action</w:t>
      </w:r>
      <w:r w:rsidR="0013751A" w:rsidRPr="00543E8E">
        <w:rPr>
          <w:color w:val="000000"/>
        </w:rPr>
        <w:t xml:space="preserve">. </w:t>
      </w:r>
      <w:r w:rsidR="0030144D" w:rsidRPr="00543E8E">
        <w:rPr>
          <w:color w:val="000000"/>
        </w:rPr>
        <w:t xml:space="preserve">UNDP will help the Government and its civil society partners monitor the progress and effectiveness of governance reforms, noting that </w:t>
      </w:r>
      <w:r w:rsidR="006131D4" w:rsidRPr="00543E8E">
        <w:rPr>
          <w:color w:val="000000"/>
        </w:rPr>
        <w:t>this requires an</w:t>
      </w:r>
      <w:r w:rsidR="0030144D" w:rsidRPr="00543E8E">
        <w:rPr>
          <w:color w:val="000000"/>
        </w:rPr>
        <w:t xml:space="preserve"> independent and neutral stance th</w:t>
      </w:r>
      <w:r w:rsidR="001B6AD4" w:rsidRPr="00543E8E">
        <w:rPr>
          <w:color w:val="000000"/>
        </w:rPr>
        <w:t>r</w:t>
      </w:r>
      <w:r w:rsidR="0030144D" w:rsidRPr="00543E8E">
        <w:rPr>
          <w:color w:val="000000"/>
        </w:rPr>
        <w:t xml:space="preserve">ough trusted metrics of monitoring. The indicators </w:t>
      </w:r>
      <w:r w:rsidR="006B3A5E">
        <w:rPr>
          <w:color w:val="000000"/>
        </w:rPr>
        <w:t xml:space="preserve">for Sustainable Development Goal 16 </w:t>
      </w:r>
      <w:r w:rsidR="001B6AD4" w:rsidRPr="00543E8E">
        <w:rPr>
          <w:color w:val="000000"/>
        </w:rPr>
        <w:t xml:space="preserve">piloted and adopted by Albania </w:t>
      </w:r>
      <w:r w:rsidR="0030144D" w:rsidRPr="00543E8E">
        <w:rPr>
          <w:color w:val="000000"/>
        </w:rPr>
        <w:t xml:space="preserve">provide such metrics. UNDP will also support </w:t>
      </w:r>
      <w:r w:rsidR="006131D4" w:rsidRPr="00543E8E">
        <w:rPr>
          <w:color w:val="000000"/>
        </w:rPr>
        <w:t xml:space="preserve">civil </w:t>
      </w:r>
      <w:r w:rsidR="006B3A5E" w:rsidRPr="00543E8E">
        <w:rPr>
          <w:color w:val="000000"/>
        </w:rPr>
        <w:t>society</w:t>
      </w:r>
      <w:r w:rsidR="006B3A5E">
        <w:rPr>
          <w:color w:val="000000"/>
        </w:rPr>
        <w:t>-</w:t>
      </w:r>
      <w:r w:rsidR="006131D4" w:rsidRPr="00543E8E">
        <w:rPr>
          <w:color w:val="000000"/>
        </w:rPr>
        <w:t xml:space="preserve">led </w:t>
      </w:r>
      <w:r w:rsidR="006B3A5E">
        <w:rPr>
          <w:color w:val="000000"/>
        </w:rPr>
        <w:t xml:space="preserve">surveys of </w:t>
      </w:r>
      <w:r w:rsidR="0030144D" w:rsidRPr="00543E8E">
        <w:rPr>
          <w:color w:val="000000"/>
        </w:rPr>
        <w:t>public perception</w:t>
      </w:r>
      <w:r w:rsidR="006B3A5E">
        <w:rPr>
          <w:color w:val="000000"/>
        </w:rPr>
        <w:t>s</w:t>
      </w:r>
      <w:r w:rsidR="0030144D" w:rsidRPr="00543E8E">
        <w:rPr>
          <w:color w:val="000000"/>
        </w:rPr>
        <w:t xml:space="preserve"> of trust, as well as open government and open data applications</w:t>
      </w:r>
      <w:r w:rsidR="00A95E66" w:rsidRPr="00543E8E">
        <w:rPr>
          <w:color w:val="000000"/>
        </w:rPr>
        <w:t>.</w:t>
      </w:r>
      <w:r w:rsidR="0030144D" w:rsidRPr="00543E8E">
        <w:rPr>
          <w:color w:val="000000"/>
        </w:rPr>
        <w:t xml:space="preserve"> </w:t>
      </w:r>
    </w:p>
    <w:p w14:paraId="3B6D7EDE" w14:textId="77777777" w:rsidR="00811450" w:rsidRPr="00D91006" w:rsidRDefault="00811450" w:rsidP="004F7071">
      <w:pPr>
        <w:pStyle w:val="ListParagraph"/>
        <w:tabs>
          <w:tab w:val="left" w:pos="180"/>
          <w:tab w:val="left" w:pos="360"/>
        </w:tabs>
        <w:spacing w:after="200"/>
        <w:ind w:left="0" w:right="65"/>
        <w:contextualSpacing/>
        <w:jc w:val="both"/>
        <w:rPr>
          <w:color w:val="000000" w:themeColor="text1"/>
          <w:sz w:val="12"/>
          <w:szCs w:val="12"/>
        </w:rPr>
      </w:pPr>
    </w:p>
    <w:p w14:paraId="6801FD2B" w14:textId="29FB8F25" w:rsidR="0030144D" w:rsidRPr="00543E8E" w:rsidRDefault="0030144D" w:rsidP="004F7071">
      <w:pPr>
        <w:pStyle w:val="ListParagraph"/>
        <w:numPr>
          <w:ilvl w:val="0"/>
          <w:numId w:val="36"/>
        </w:numPr>
        <w:shd w:val="clear" w:color="auto" w:fill="FFFFFF"/>
        <w:tabs>
          <w:tab w:val="left" w:pos="180"/>
          <w:tab w:val="left" w:pos="360"/>
        </w:tabs>
        <w:ind w:left="0" w:right="65" w:firstLine="0"/>
        <w:contextualSpacing/>
        <w:jc w:val="both"/>
        <w:rPr>
          <w:b/>
        </w:rPr>
      </w:pPr>
      <w:r w:rsidRPr="00543E8E">
        <w:rPr>
          <w:b/>
        </w:rPr>
        <w:t xml:space="preserve">Promoting social inclusion and the rights of vulnerable communities </w:t>
      </w:r>
      <w:r w:rsidRPr="00543E8E">
        <w:t>is the second priority</w:t>
      </w:r>
      <w:r w:rsidR="006B3A5E">
        <w:t>,</w:t>
      </w:r>
      <w:r w:rsidRPr="00543E8E">
        <w:t xml:space="preserve"> deriving </w:t>
      </w:r>
      <w:r w:rsidR="006B3A5E">
        <w:t>from o</w:t>
      </w:r>
      <w:r w:rsidRPr="00543E8E">
        <w:t>utcome 2</w:t>
      </w:r>
      <w:r w:rsidR="004B5F95">
        <w:t>,</w:t>
      </w:r>
      <w:r w:rsidR="004B5F95" w:rsidRPr="00543E8E">
        <w:t xml:space="preserve"> </w:t>
      </w:r>
      <w:r w:rsidR="00B03C1B">
        <w:t>w</w:t>
      </w:r>
      <w:r w:rsidR="006F1887" w:rsidRPr="00543E8E">
        <w:t>omen, men, girls and boys, especially those from marginalized and vulnerable groups</w:t>
      </w:r>
      <w:r w:rsidR="00B03C1B">
        <w:t>,</w:t>
      </w:r>
      <w:r w:rsidR="006F1887" w:rsidRPr="00543E8E">
        <w:t xml:space="preserve"> are exercising their entitlements to equitable quality services and in line with human rights</w:t>
      </w:r>
      <w:r w:rsidR="00F21D08">
        <w:t xml:space="preserve"> </w:t>
      </w:r>
      <w:r w:rsidR="006F1887" w:rsidRPr="00543E8E">
        <w:t>to ensure social inclusion and cohesion</w:t>
      </w:r>
      <w:r w:rsidRPr="00543E8E">
        <w:t xml:space="preserve">. This priority resonates with the </w:t>
      </w:r>
      <w:r w:rsidR="006B3A5E">
        <w:t xml:space="preserve">NSDI </w:t>
      </w:r>
      <w:r w:rsidRPr="00543E8E">
        <w:t xml:space="preserve">priority </w:t>
      </w:r>
      <w:r w:rsidR="00A95E66" w:rsidRPr="00543E8E">
        <w:t xml:space="preserve">for </w:t>
      </w:r>
      <w:r w:rsidRPr="00543E8E">
        <w:t xml:space="preserve">investing in people and social cohesion. It further reinforces the achievement of the political criteria for EU accession as it promotes human rights.  </w:t>
      </w:r>
    </w:p>
    <w:p w14:paraId="518F40E5" w14:textId="77777777" w:rsidR="00811450" w:rsidRPr="00D91006" w:rsidRDefault="00811450" w:rsidP="004F7071">
      <w:pPr>
        <w:pStyle w:val="ListParagraph"/>
        <w:tabs>
          <w:tab w:val="left" w:pos="360"/>
        </w:tabs>
        <w:ind w:left="0" w:right="65"/>
        <w:rPr>
          <w:sz w:val="12"/>
          <w:szCs w:val="12"/>
        </w:rPr>
      </w:pPr>
    </w:p>
    <w:p w14:paraId="2F5A4DB6" w14:textId="06825164" w:rsidR="0030144D" w:rsidRPr="00543E8E" w:rsidRDefault="0030144D" w:rsidP="004F7071">
      <w:pPr>
        <w:pStyle w:val="ListParagraph"/>
        <w:numPr>
          <w:ilvl w:val="0"/>
          <w:numId w:val="36"/>
        </w:numPr>
        <w:tabs>
          <w:tab w:val="left" w:pos="180"/>
          <w:tab w:val="left" w:pos="360"/>
        </w:tabs>
        <w:spacing w:after="200"/>
        <w:ind w:left="0" w:right="65" w:firstLine="0"/>
        <w:contextualSpacing/>
        <w:jc w:val="both"/>
        <w:rPr>
          <w:color w:val="000000" w:themeColor="text1"/>
        </w:rPr>
      </w:pPr>
      <w:r w:rsidRPr="00543E8E">
        <w:t xml:space="preserve">UNDP will deepen its support to the Ministry of Social </w:t>
      </w:r>
      <w:r w:rsidR="001B6AD4" w:rsidRPr="00543E8E">
        <w:t>Welfare</w:t>
      </w:r>
      <w:r w:rsidR="00ED4BC0" w:rsidRPr="00543E8E">
        <w:t xml:space="preserve"> and Youth</w:t>
      </w:r>
      <w:r w:rsidR="001B6AD4" w:rsidRPr="00543E8E">
        <w:t xml:space="preserve"> </w:t>
      </w:r>
      <w:r w:rsidR="006B3A5E">
        <w:t>to</w:t>
      </w:r>
      <w:r w:rsidR="00437753" w:rsidRPr="00543E8E">
        <w:t xml:space="preserve"> carry out its mandate to monitor and coordinate</w:t>
      </w:r>
      <w:r w:rsidRPr="00543E8E">
        <w:t xml:space="preserve"> </w:t>
      </w:r>
      <w:r w:rsidR="004F0514" w:rsidRPr="00543E8E">
        <w:t xml:space="preserve">the adoption of social inclusion and gender equality targets by line ministries and local authorities. </w:t>
      </w:r>
      <w:r w:rsidR="006B3A5E">
        <w:t>A</w:t>
      </w:r>
      <w:r w:rsidR="006B3A5E" w:rsidRPr="00543E8E">
        <w:t xml:space="preserve"> </w:t>
      </w:r>
      <w:r w:rsidR="006B3A5E">
        <w:t>s</w:t>
      </w:r>
      <w:r w:rsidR="006B3A5E" w:rsidRPr="00543E8E">
        <w:t xml:space="preserve">tatistical </w:t>
      </w:r>
      <w:r w:rsidR="006B3A5E">
        <w:t>i</w:t>
      </w:r>
      <w:r w:rsidR="006B3A5E" w:rsidRPr="00543E8E">
        <w:t xml:space="preserve">ndicators </w:t>
      </w:r>
      <w:r w:rsidR="004F0514" w:rsidRPr="00543E8E">
        <w:t xml:space="preserve">and </w:t>
      </w:r>
      <w:r w:rsidR="006B3A5E">
        <w:t>i</w:t>
      </w:r>
      <w:r w:rsidR="006B3A5E" w:rsidRPr="00543E8E">
        <w:t xml:space="preserve">ntegrity </w:t>
      </w:r>
      <w:r w:rsidR="006B3A5E">
        <w:t>g</w:t>
      </w:r>
      <w:r w:rsidR="006B3A5E" w:rsidRPr="00543E8E">
        <w:t xml:space="preserve">roup </w:t>
      </w:r>
      <w:r w:rsidR="004F0514" w:rsidRPr="00543E8E">
        <w:t xml:space="preserve">will be established to underpin the </w:t>
      </w:r>
      <w:r w:rsidR="006B3A5E">
        <w:t xml:space="preserve">Ministry's </w:t>
      </w:r>
      <w:r w:rsidR="004F0514" w:rsidRPr="00543E8E">
        <w:t xml:space="preserve">role </w:t>
      </w:r>
      <w:r w:rsidR="006B3A5E">
        <w:t>in</w:t>
      </w:r>
      <w:r w:rsidR="004F0514" w:rsidRPr="00543E8E">
        <w:t xml:space="preserve"> </w:t>
      </w:r>
      <w:r w:rsidRPr="00543E8E">
        <w:t>monitor</w:t>
      </w:r>
      <w:r w:rsidR="006B3A5E">
        <w:t>ing</w:t>
      </w:r>
      <w:r w:rsidRPr="00543E8E">
        <w:t xml:space="preserve">, </w:t>
      </w:r>
      <w:r w:rsidR="006B3A5E" w:rsidRPr="00543E8E">
        <w:t>coordinat</w:t>
      </w:r>
      <w:r w:rsidR="006B3A5E">
        <w:t>ing</w:t>
      </w:r>
      <w:r w:rsidR="006B3A5E" w:rsidRPr="00543E8E">
        <w:t xml:space="preserve"> </w:t>
      </w:r>
      <w:r w:rsidRPr="00543E8E">
        <w:t>and direct</w:t>
      </w:r>
      <w:r w:rsidR="006B3A5E">
        <w:t>ing</w:t>
      </w:r>
      <w:r w:rsidRPr="00543E8E">
        <w:t xml:space="preserve"> sectoral policy</w:t>
      </w:r>
      <w:r w:rsidR="00D70936" w:rsidRPr="00543E8E">
        <w:t xml:space="preserve"> </w:t>
      </w:r>
      <w:r w:rsidRPr="00543E8E">
        <w:t xml:space="preserve">towards narrowing inequalities between men and women, and between the broader population and recognizable disadvantaged groups, such as </w:t>
      </w:r>
      <w:r w:rsidR="006B3A5E">
        <w:t>persons with disabilities</w:t>
      </w:r>
      <w:r w:rsidR="006B3A5E" w:rsidRPr="00543E8E">
        <w:t xml:space="preserve"> </w:t>
      </w:r>
      <w:r w:rsidRPr="00543E8E">
        <w:t xml:space="preserve">and </w:t>
      </w:r>
      <w:r w:rsidR="006B3A5E">
        <w:t xml:space="preserve">the </w:t>
      </w:r>
      <w:r w:rsidRPr="00543E8E">
        <w:t>Roma</w:t>
      </w:r>
      <w:r w:rsidR="006B3A5E">
        <w:t xml:space="preserve"> and </w:t>
      </w:r>
      <w:r w:rsidRPr="00543E8E">
        <w:t>Egyptian communities</w:t>
      </w:r>
      <w:r w:rsidR="004F0514" w:rsidRPr="00543E8E">
        <w:t xml:space="preserve"> (</w:t>
      </w:r>
      <w:r w:rsidR="006B3A5E">
        <w:t>Sustainable Development Goal 10</w:t>
      </w:r>
      <w:r w:rsidR="004F0514" w:rsidRPr="00543E8E">
        <w:t>)</w:t>
      </w:r>
      <w:r w:rsidRPr="00543E8E">
        <w:t xml:space="preserve">. </w:t>
      </w:r>
      <w:r w:rsidR="00E57571" w:rsidRPr="00543E8E">
        <w:t xml:space="preserve">Having </w:t>
      </w:r>
      <w:r w:rsidR="006F1887" w:rsidRPr="00543E8E">
        <w:t xml:space="preserve">actively </w:t>
      </w:r>
      <w:r w:rsidR="00E57571" w:rsidRPr="00543E8E">
        <w:t xml:space="preserve">supported the articulation of the national policy </w:t>
      </w:r>
      <w:r w:rsidR="0027387E" w:rsidRPr="00543E8E">
        <w:t xml:space="preserve">and vision </w:t>
      </w:r>
      <w:r w:rsidR="00E57571" w:rsidRPr="00543E8E">
        <w:t>for social inclusion and gender equality</w:t>
      </w:r>
      <w:r w:rsidR="00B37E3A" w:rsidRPr="00543E8E">
        <w:t xml:space="preserve"> in the </w:t>
      </w:r>
      <w:r w:rsidR="006B3A5E">
        <w:t>previous</w:t>
      </w:r>
      <w:r w:rsidR="006B3A5E" w:rsidRPr="00543E8E">
        <w:t xml:space="preserve"> programm</w:t>
      </w:r>
      <w:r w:rsidR="006B3A5E">
        <w:t>e</w:t>
      </w:r>
      <w:r w:rsidR="006B3A5E" w:rsidRPr="00543E8E">
        <w:t xml:space="preserve"> </w:t>
      </w:r>
      <w:r w:rsidR="00B37E3A" w:rsidRPr="00543E8E">
        <w:t>period</w:t>
      </w:r>
      <w:r w:rsidR="00E57571" w:rsidRPr="00543E8E">
        <w:t>,</w:t>
      </w:r>
      <w:r w:rsidR="00B37E3A" w:rsidRPr="00543E8E">
        <w:rPr>
          <w:rStyle w:val="FootnoteReference"/>
        </w:rPr>
        <w:footnoteReference w:id="31"/>
      </w:r>
      <w:r w:rsidR="00E57571" w:rsidRPr="00543E8E">
        <w:t xml:space="preserve"> UNDP will support the</w:t>
      </w:r>
      <w:r w:rsidR="004F0514" w:rsidRPr="00543E8E">
        <w:t xml:space="preserve"> design and implementation of </w:t>
      </w:r>
      <w:r w:rsidR="00E57571" w:rsidRPr="00543E8E">
        <w:t xml:space="preserve">concrete </w:t>
      </w:r>
      <w:r w:rsidR="004F0514" w:rsidRPr="00543E8E">
        <w:t xml:space="preserve">social inclusion measures, especially targeting </w:t>
      </w:r>
      <w:r w:rsidR="006B3A5E">
        <w:t xml:space="preserve">the </w:t>
      </w:r>
      <w:r w:rsidR="004F0514" w:rsidRPr="00543E8E">
        <w:t xml:space="preserve">Roma and Egyptian communities and </w:t>
      </w:r>
      <w:r w:rsidR="006B3A5E">
        <w:t>persons with disabilit</w:t>
      </w:r>
      <w:r w:rsidR="001859E6">
        <w:t>i</w:t>
      </w:r>
      <w:r w:rsidR="006B3A5E">
        <w:t>es,</w:t>
      </w:r>
      <w:r w:rsidR="006B3A5E" w:rsidRPr="00543E8E">
        <w:t xml:space="preserve"> </w:t>
      </w:r>
      <w:r w:rsidR="004F0514" w:rsidRPr="00543E8E">
        <w:t xml:space="preserve">by relevant line ministries and local authorities. </w:t>
      </w:r>
      <w:r w:rsidR="00E57571" w:rsidRPr="00543E8E">
        <w:t xml:space="preserve">Noting the complex nature of social exclusion and the multiple levels of response required to address it, </w:t>
      </w:r>
      <w:r w:rsidR="00B37E3A" w:rsidRPr="00543E8E">
        <w:t xml:space="preserve">local government units will be supported to develop procedures and funding mechanisms for partnerships with non-governmental organizations </w:t>
      </w:r>
      <w:r w:rsidR="00147092" w:rsidRPr="00543E8E">
        <w:t>in</w:t>
      </w:r>
      <w:r w:rsidR="00C240B9" w:rsidRPr="00543E8E">
        <w:t xml:space="preserve"> </w:t>
      </w:r>
      <w:r w:rsidR="006B3A5E">
        <w:t xml:space="preserve">the </w:t>
      </w:r>
      <w:r w:rsidR="00B37E3A" w:rsidRPr="00543E8E">
        <w:t xml:space="preserve">planning and delivery </w:t>
      </w:r>
      <w:r w:rsidR="006B3A5E">
        <w:t xml:space="preserve">of </w:t>
      </w:r>
      <w:r w:rsidR="00B37E3A" w:rsidRPr="00543E8E">
        <w:t>social inclusion measures.</w:t>
      </w:r>
      <w:r w:rsidR="008C32EE" w:rsidRPr="00543E8E">
        <w:t xml:space="preserve"> Special support will be giver to local civil society, representing vulnerable communities. </w:t>
      </w:r>
      <w:r w:rsidRPr="00543E8E">
        <w:t xml:space="preserve">Innovative ways of social protection financing will be explored. The effectiveness and coverage of the </w:t>
      </w:r>
      <w:r w:rsidR="00DE7D75" w:rsidRPr="00543E8E">
        <w:t>cross</w:t>
      </w:r>
      <w:r w:rsidR="00DE7D75">
        <w:t>-</w:t>
      </w:r>
      <w:r w:rsidRPr="00543E8E">
        <w:t>sectoral</w:t>
      </w:r>
      <w:r w:rsidR="004F22D1">
        <w:t>,</w:t>
      </w:r>
      <w:r w:rsidRPr="00543E8E">
        <w:t xml:space="preserve"> coordinated </w:t>
      </w:r>
      <w:r w:rsidR="004F22D1">
        <w:t xml:space="preserve">mechanisms for </w:t>
      </w:r>
      <w:r w:rsidRPr="00543E8E">
        <w:t xml:space="preserve">community </w:t>
      </w:r>
      <w:r w:rsidR="00BC38D1" w:rsidRPr="00543E8E">
        <w:t xml:space="preserve">violence prevention and </w:t>
      </w:r>
      <w:r w:rsidRPr="00543E8E">
        <w:t xml:space="preserve">response </w:t>
      </w:r>
      <w:r w:rsidR="004F22D1">
        <w:t>to</w:t>
      </w:r>
      <w:r w:rsidRPr="00543E8E">
        <w:t xml:space="preserve"> address the</w:t>
      </w:r>
      <w:r w:rsidR="00BC38D1" w:rsidRPr="00543E8E">
        <w:t xml:space="preserve"> multiple</w:t>
      </w:r>
      <w:r w:rsidRPr="00543E8E">
        <w:t xml:space="preserve"> needs, including for justice, of survivors of </w:t>
      </w:r>
      <w:r w:rsidR="00B03C1B" w:rsidRPr="00543E8E">
        <w:t>gender</w:t>
      </w:r>
      <w:r w:rsidR="00B03C1B">
        <w:t>-</w:t>
      </w:r>
      <w:r w:rsidRPr="00543E8E">
        <w:t xml:space="preserve">based violence will be deepened and expanded, </w:t>
      </w:r>
      <w:r w:rsidR="00B03C1B">
        <w:t xml:space="preserve">and </w:t>
      </w:r>
      <w:r w:rsidRPr="00543E8E">
        <w:t xml:space="preserve">pilots </w:t>
      </w:r>
      <w:r w:rsidR="00B03C1B">
        <w:t xml:space="preserve">scaled up </w:t>
      </w:r>
      <w:r w:rsidRPr="00543E8E">
        <w:t xml:space="preserve">to the newly amalgamated local government units. </w:t>
      </w:r>
      <w:r w:rsidR="0027387E" w:rsidRPr="00543E8E">
        <w:rPr>
          <w:color w:val="000000" w:themeColor="text1"/>
        </w:rPr>
        <w:t xml:space="preserve"> </w:t>
      </w:r>
    </w:p>
    <w:p w14:paraId="0955F3FD" w14:textId="77777777" w:rsidR="00811450" w:rsidRPr="00D91006" w:rsidRDefault="00811450" w:rsidP="004F7071">
      <w:pPr>
        <w:pStyle w:val="ListParagraph"/>
        <w:tabs>
          <w:tab w:val="left" w:pos="180"/>
          <w:tab w:val="left" w:pos="360"/>
        </w:tabs>
        <w:spacing w:after="200"/>
        <w:ind w:left="0" w:right="65"/>
        <w:contextualSpacing/>
        <w:jc w:val="both"/>
        <w:rPr>
          <w:color w:val="000000" w:themeColor="text1"/>
          <w:sz w:val="12"/>
          <w:szCs w:val="12"/>
        </w:rPr>
      </w:pPr>
    </w:p>
    <w:p w14:paraId="366418F5" w14:textId="396B1BEA" w:rsidR="0030144D" w:rsidRPr="00543E8E" w:rsidRDefault="0030144D" w:rsidP="004F7071">
      <w:pPr>
        <w:pStyle w:val="ListParagraph"/>
        <w:numPr>
          <w:ilvl w:val="0"/>
          <w:numId w:val="36"/>
        </w:numPr>
        <w:tabs>
          <w:tab w:val="left" w:pos="180"/>
          <w:tab w:val="left" w:pos="360"/>
        </w:tabs>
        <w:ind w:left="0" w:right="65" w:firstLine="0"/>
        <w:jc w:val="both"/>
      </w:pPr>
      <w:r w:rsidRPr="00543E8E">
        <w:t xml:space="preserve">   </w:t>
      </w:r>
      <w:r w:rsidRPr="00543E8E">
        <w:rPr>
          <w:b/>
        </w:rPr>
        <w:t xml:space="preserve">Ensuring that young women and men have opportunities and skills </w:t>
      </w:r>
      <w:r w:rsidRPr="00543E8E">
        <w:t xml:space="preserve">is the </w:t>
      </w:r>
      <w:r w:rsidR="00E54191" w:rsidRPr="00543E8E">
        <w:t xml:space="preserve">third </w:t>
      </w:r>
      <w:r w:rsidRPr="00543E8E">
        <w:t>priority</w:t>
      </w:r>
      <w:r w:rsidR="00B03C1B">
        <w:t>,</w:t>
      </w:r>
      <w:r w:rsidRPr="00543E8E">
        <w:t xml:space="preserve"> in line with outcome 3</w:t>
      </w:r>
      <w:r w:rsidR="004B5F95">
        <w:t>,</w:t>
      </w:r>
      <w:r w:rsidR="004B5F95" w:rsidRPr="00543E8E" w:rsidDel="00B03C1B">
        <w:t xml:space="preserve"> </w:t>
      </w:r>
      <w:r w:rsidR="00B03C1B">
        <w:rPr>
          <w:b/>
        </w:rPr>
        <w:t>e</w:t>
      </w:r>
      <w:r w:rsidRPr="00543E8E">
        <w:t>conomic growth priorities, policies and program</w:t>
      </w:r>
      <w:r w:rsidR="00B03C1B">
        <w:t>me</w:t>
      </w:r>
      <w:r w:rsidRPr="00543E8E">
        <w:t xml:space="preserve">s of the </w:t>
      </w:r>
      <w:r w:rsidR="00B03C1B">
        <w:t>Government of Albania</w:t>
      </w:r>
      <w:r w:rsidR="00B03C1B" w:rsidRPr="00543E8E">
        <w:t xml:space="preserve"> </w:t>
      </w:r>
      <w:r w:rsidRPr="00543E8E">
        <w:t xml:space="preserve">are inclusive, sustainable and gender-responsive, with greater focus on competitiveness, decent jobs and rural development. This mirrors </w:t>
      </w:r>
      <w:r w:rsidR="00B03C1B">
        <w:t>o</w:t>
      </w:r>
      <w:r w:rsidRPr="00543E8E">
        <w:t xml:space="preserve">utcome 1 </w:t>
      </w:r>
      <w:r w:rsidR="00B03C1B">
        <w:t xml:space="preserve">of the UNDP Strategic Plan </w:t>
      </w:r>
      <w:r w:rsidRPr="00543E8E">
        <w:t xml:space="preserve">and derives from a development pathway that supports realization of the national priorities for investment in people and a competitive economy. Progress in this area will </w:t>
      </w:r>
      <w:r w:rsidR="00116BEC">
        <w:t>contribute to</w:t>
      </w:r>
      <w:r w:rsidR="00116BEC" w:rsidRPr="00543E8E">
        <w:t xml:space="preserve"> </w:t>
      </w:r>
      <w:r w:rsidR="00B03C1B">
        <w:t>Sustainable Development Goal</w:t>
      </w:r>
      <w:r w:rsidRPr="00543E8E">
        <w:t xml:space="preserve"> 8. </w:t>
      </w:r>
    </w:p>
    <w:p w14:paraId="156A7EBE" w14:textId="77777777" w:rsidR="00811450" w:rsidRPr="00D91006" w:rsidRDefault="00811450" w:rsidP="004F7071">
      <w:pPr>
        <w:pStyle w:val="ListParagraph"/>
        <w:tabs>
          <w:tab w:val="left" w:pos="360"/>
        </w:tabs>
        <w:ind w:left="0" w:right="65"/>
        <w:rPr>
          <w:sz w:val="12"/>
          <w:szCs w:val="12"/>
        </w:rPr>
      </w:pPr>
    </w:p>
    <w:p w14:paraId="391E40AD" w14:textId="5D1AC1F0" w:rsidR="0030144D" w:rsidRPr="00543E8E" w:rsidRDefault="0030144D" w:rsidP="004F7071">
      <w:pPr>
        <w:pStyle w:val="ListParagraph"/>
        <w:numPr>
          <w:ilvl w:val="0"/>
          <w:numId w:val="36"/>
        </w:numPr>
        <w:shd w:val="clear" w:color="auto" w:fill="FFFFFF"/>
        <w:tabs>
          <w:tab w:val="left" w:pos="180"/>
          <w:tab w:val="left" w:pos="360"/>
        </w:tabs>
        <w:ind w:left="0" w:right="65" w:firstLine="0"/>
        <w:contextualSpacing/>
        <w:jc w:val="both"/>
        <w:rPr>
          <w:color w:val="000000"/>
        </w:rPr>
      </w:pPr>
      <w:r w:rsidRPr="00543E8E">
        <w:rPr>
          <w:color w:val="000000" w:themeColor="text1"/>
        </w:rPr>
        <w:t xml:space="preserve">UNDP will work with the Ministry of Social </w:t>
      </w:r>
      <w:r w:rsidR="00A95E66" w:rsidRPr="00543E8E">
        <w:rPr>
          <w:color w:val="000000" w:themeColor="text1"/>
        </w:rPr>
        <w:t xml:space="preserve">Welfare </w:t>
      </w:r>
      <w:r w:rsidRPr="00543E8E">
        <w:rPr>
          <w:color w:val="000000" w:themeColor="text1"/>
        </w:rPr>
        <w:t xml:space="preserve">and Youth to help young people find viable and skills-building routes to employment, rather than relying on informal patronage networks for jobs in the public sector. UNDP will support further reforms for optimizing the fragmented </w:t>
      </w:r>
      <w:r w:rsidRPr="00543E8E">
        <w:t xml:space="preserve">network of public and private </w:t>
      </w:r>
      <w:r w:rsidR="00380643" w:rsidRPr="00543E8E">
        <w:t xml:space="preserve">vocational </w:t>
      </w:r>
      <w:r w:rsidRPr="00543E8E">
        <w:t xml:space="preserve">training providers </w:t>
      </w:r>
      <w:r w:rsidRPr="00543E8E">
        <w:rPr>
          <w:color w:val="000000" w:themeColor="text1"/>
        </w:rPr>
        <w:t xml:space="preserve">so that </w:t>
      </w:r>
      <w:r w:rsidR="00380643" w:rsidRPr="00543E8E">
        <w:rPr>
          <w:color w:val="000000" w:themeColor="text1"/>
        </w:rPr>
        <w:t xml:space="preserve">they can </w:t>
      </w:r>
      <w:r w:rsidR="00B03C1B">
        <w:rPr>
          <w:color w:val="000000" w:themeColor="text1"/>
        </w:rPr>
        <w:t>give</w:t>
      </w:r>
      <w:r w:rsidR="00B03C1B" w:rsidRPr="00543E8E">
        <w:rPr>
          <w:color w:val="000000" w:themeColor="text1"/>
        </w:rPr>
        <w:t xml:space="preserve"> </w:t>
      </w:r>
      <w:r w:rsidRPr="00543E8E">
        <w:rPr>
          <w:color w:val="000000" w:themeColor="text1"/>
        </w:rPr>
        <w:t xml:space="preserve">young people </w:t>
      </w:r>
      <w:r w:rsidR="00B70F55" w:rsidRPr="00543E8E">
        <w:rPr>
          <w:color w:val="000000" w:themeColor="text1"/>
        </w:rPr>
        <w:t xml:space="preserve">the </w:t>
      </w:r>
      <w:r w:rsidRPr="00543E8E">
        <w:rPr>
          <w:color w:val="000000" w:themeColor="text1"/>
        </w:rPr>
        <w:t>education</w:t>
      </w:r>
      <w:r w:rsidR="00380643" w:rsidRPr="00543E8E">
        <w:rPr>
          <w:color w:val="000000" w:themeColor="text1"/>
        </w:rPr>
        <w:t xml:space="preserve"> and skills </w:t>
      </w:r>
      <w:r w:rsidR="00B03C1B">
        <w:rPr>
          <w:color w:val="000000" w:themeColor="text1"/>
        </w:rPr>
        <w:t>required for</w:t>
      </w:r>
      <w:r w:rsidRPr="00543E8E">
        <w:rPr>
          <w:color w:val="000000" w:themeColor="text1"/>
        </w:rPr>
        <w:t xml:space="preserve"> Albania’s European future. UNDP will </w:t>
      </w:r>
      <w:r w:rsidR="00B03C1B">
        <w:rPr>
          <w:color w:val="000000" w:themeColor="text1"/>
        </w:rPr>
        <w:t>support</w:t>
      </w:r>
      <w:r w:rsidRPr="00543E8E">
        <w:rPr>
          <w:color w:val="000000" w:themeColor="text1"/>
        </w:rPr>
        <w:t xml:space="preserve"> partnerships </w:t>
      </w:r>
      <w:r w:rsidR="00B03C1B">
        <w:rPr>
          <w:color w:val="000000" w:themeColor="text1"/>
        </w:rPr>
        <w:t>between the</w:t>
      </w:r>
      <w:r w:rsidRPr="00543E8E">
        <w:rPr>
          <w:color w:val="000000" w:themeColor="text1"/>
        </w:rPr>
        <w:t xml:space="preserve"> vocational </w:t>
      </w:r>
      <w:r w:rsidRPr="00543E8E">
        <w:rPr>
          <w:color w:val="000000" w:themeColor="text1"/>
        </w:rPr>
        <w:lastRenderedPageBreak/>
        <w:t xml:space="preserve">education and training system </w:t>
      </w:r>
      <w:r w:rsidR="00B03C1B">
        <w:rPr>
          <w:color w:val="000000" w:themeColor="text1"/>
        </w:rPr>
        <w:t>and</w:t>
      </w:r>
      <w:r w:rsidR="00B03C1B" w:rsidRPr="00543E8E">
        <w:rPr>
          <w:color w:val="000000" w:themeColor="text1"/>
        </w:rPr>
        <w:t xml:space="preserve"> </w:t>
      </w:r>
      <w:r w:rsidRPr="00543E8E">
        <w:rPr>
          <w:color w:val="000000" w:themeColor="text1"/>
        </w:rPr>
        <w:t>business</w:t>
      </w:r>
      <w:r w:rsidR="00E54191" w:rsidRPr="00543E8E">
        <w:rPr>
          <w:color w:val="000000" w:themeColor="text1"/>
        </w:rPr>
        <w:t>es</w:t>
      </w:r>
      <w:r w:rsidRPr="00543E8E">
        <w:rPr>
          <w:color w:val="000000" w:themeColor="text1"/>
        </w:rPr>
        <w:t xml:space="preserve"> </w:t>
      </w:r>
      <w:r w:rsidR="00E54191" w:rsidRPr="00543E8E">
        <w:rPr>
          <w:color w:val="000000" w:themeColor="text1"/>
        </w:rPr>
        <w:t>through work-based learning in priority sectors such as tourism, agriculture and information technologies</w:t>
      </w:r>
      <w:r w:rsidR="00B70F55" w:rsidRPr="00543E8E">
        <w:rPr>
          <w:color w:val="000000" w:themeColor="text1"/>
        </w:rPr>
        <w:t xml:space="preserve">. </w:t>
      </w:r>
      <w:r w:rsidRPr="00543E8E">
        <w:rPr>
          <w:color w:val="000000" w:themeColor="text1"/>
        </w:rPr>
        <w:t xml:space="preserve">UNDP will continue to help </w:t>
      </w:r>
      <w:r w:rsidRPr="00543E8E">
        <w:t>improve the effectiveness and transparency of existing employment promotion policies</w:t>
      </w:r>
      <w:r w:rsidR="0007240E">
        <w:t xml:space="preserve">, e.g., </w:t>
      </w:r>
      <w:r w:rsidRPr="00543E8E">
        <w:t>cash benefits to enterprises</w:t>
      </w:r>
      <w:r w:rsidR="0007240E">
        <w:t>,</w:t>
      </w:r>
      <w:r w:rsidRPr="00543E8E">
        <w:t xml:space="preserve"> and monitor their results. Integrated approaches between </w:t>
      </w:r>
      <w:r w:rsidR="0007240E">
        <w:t xml:space="preserve">the </w:t>
      </w:r>
      <w:r w:rsidRPr="00543E8E">
        <w:t>social sector and labo</w:t>
      </w:r>
      <w:r w:rsidR="0007240E">
        <w:t>u</w:t>
      </w:r>
      <w:r w:rsidRPr="00543E8E">
        <w:t>r market will be adopted to support the inclusion of the vulnerable into</w:t>
      </w:r>
      <w:r w:rsidR="00FD7DD6" w:rsidRPr="00543E8E">
        <w:t xml:space="preserve"> the</w:t>
      </w:r>
      <w:r w:rsidRPr="00543E8E">
        <w:t xml:space="preserve"> world of work. </w:t>
      </w:r>
      <w:r w:rsidR="00073304" w:rsidRPr="00543E8E">
        <w:t>Labo</w:t>
      </w:r>
      <w:r w:rsidR="0007240E">
        <w:t>u</w:t>
      </w:r>
      <w:r w:rsidR="00073304" w:rsidRPr="00543E8E">
        <w:t>r market measures</w:t>
      </w:r>
      <w:r w:rsidR="00073304" w:rsidRPr="00543E8E">
        <w:rPr>
          <w:color w:val="000000" w:themeColor="text1"/>
        </w:rPr>
        <w:t xml:space="preserve"> </w:t>
      </w:r>
      <w:r w:rsidRPr="00543E8E">
        <w:rPr>
          <w:color w:val="000000" w:themeColor="text1"/>
        </w:rPr>
        <w:t xml:space="preserve">will be developed for hard-to-employ groups such as Roma and </w:t>
      </w:r>
      <w:r w:rsidR="0007240E">
        <w:rPr>
          <w:color w:val="000000" w:themeColor="text1"/>
        </w:rPr>
        <w:t>persons with disabilities</w:t>
      </w:r>
      <w:r w:rsidR="00073304" w:rsidRPr="00543E8E">
        <w:rPr>
          <w:color w:val="000000" w:themeColor="text1"/>
        </w:rPr>
        <w:t xml:space="preserve">. </w:t>
      </w:r>
      <w:r w:rsidRPr="00543E8E">
        <w:rPr>
          <w:color w:val="000000" w:themeColor="text1"/>
        </w:rPr>
        <w:t xml:space="preserve"> Addressing </w:t>
      </w:r>
      <w:r w:rsidR="0007240E">
        <w:rPr>
          <w:color w:val="000000" w:themeColor="text1"/>
        </w:rPr>
        <w:t xml:space="preserve">women's </w:t>
      </w:r>
      <w:r w:rsidRPr="00543E8E">
        <w:rPr>
          <w:color w:val="000000" w:themeColor="text1"/>
        </w:rPr>
        <w:t xml:space="preserve">low </w:t>
      </w:r>
      <w:r w:rsidR="0007240E">
        <w:rPr>
          <w:color w:val="000000" w:themeColor="text1"/>
        </w:rPr>
        <w:t xml:space="preserve">rates of </w:t>
      </w:r>
      <w:r w:rsidRPr="00543E8E">
        <w:rPr>
          <w:color w:val="000000" w:themeColor="text1"/>
        </w:rPr>
        <w:t xml:space="preserve">participation </w:t>
      </w:r>
      <w:r w:rsidR="0007240E">
        <w:rPr>
          <w:color w:val="000000" w:themeColor="text1"/>
        </w:rPr>
        <w:t xml:space="preserve">in the </w:t>
      </w:r>
      <w:r w:rsidR="0007240E" w:rsidRPr="00543E8E">
        <w:rPr>
          <w:color w:val="000000" w:themeColor="text1"/>
        </w:rPr>
        <w:t>labo</w:t>
      </w:r>
      <w:r w:rsidR="0007240E">
        <w:rPr>
          <w:color w:val="000000" w:themeColor="text1"/>
        </w:rPr>
        <w:t>u</w:t>
      </w:r>
      <w:r w:rsidR="0007240E" w:rsidRPr="00543E8E">
        <w:rPr>
          <w:color w:val="000000" w:themeColor="text1"/>
        </w:rPr>
        <w:t xml:space="preserve">r force </w:t>
      </w:r>
      <w:r w:rsidRPr="00543E8E">
        <w:rPr>
          <w:color w:val="000000" w:themeColor="text1"/>
        </w:rPr>
        <w:t xml:space="preserve">will have high priority. </w:t>
      </w:r>
      <w:r w:rsidR="00073304" w:rsidRPr="00543E8E">
        <w:rPr>
          <w:color w:val="000000" w:themeColor="text1"/>
        </w:rPr>
        <w:t xml:space="preserve"> </w:t>
      </w:r>
      <w:r w:rsidRPr="00543E8E">
        <w:rPr>
          <w:color w:val="000000" w:themeColor="text1"/>
        </w:rPr>
        <w:t>UNDP will complement these</w:t>
      </w:r>
      <w:r w:rsidR="00ED4BC0" w:rsidRPr="00543E8E">
        <w:rPr>
          <w:color w:val="000000" w:themeColor="text1"/>
        </w:rPr>
        <w:t xml:space="preserve"> labo</w:t>
      </w:r>
      <w:r w:rsidR="0007240E">
        <w:rPr>
          <w:color w:val="000000" w:themeColor="text1"/>
        </w:rPr>
        <w:t>u</w:t>
      </w:r>
      <w:r w:rsidR="00ED4BC0" w:rsidRPr="00543E8E">
        <w:rPr>
          <w:color w:val="000000" w:themeColor="text1"/>
        </w:rPr>
        <w:t xml:space="preserve">r market measures </w:t>
      </w:r>
      <w:r w:rsidRPr="00543E8E">
        <w:rPr>
          <w:color w:val="000000" w:themeColor="text1"/>
        </w:rPr>
        <w:t>with program</w:t>
      </w:r>
      <w:r w:rsidR="0007240E">
        <w:rPr>
          <w:color w:val="000000" w:themeColor="text1"/>
        </w:rPr>
        <w:t>me</w:t>
      </w:r>
      <w:r w:rsidRPr="00543E8E">
        <w:rPr>
          <w:color w:val="000000" w:themeColor="text1"/>
        </w:rPr>
        <w:t xml:space="preserve">s to encourage young men and women in entrepreneurial activities. </w:t>
      </w:r>
      <w:r w:rsidR="00925751" w:rsidRPr="00543E8E">
        <w:rPr>
          <w:color w:val="000000" w:themeColor="text1"/>
        </w:rPr>
        <w:t>Innovative</w:t>
      </w:r>
      <w:r w:rsidR="00450656" w:rsidRPr="00543E8E">
        <w:rPr>
          <w:color w:val="000000" w:themeColor="text1"/>
        </w:rPr>
        <w:t xml:space="preserve"> solutions to complicated issues such as young women</w:t>
      </w:r>
      <w:r w:rsidR="00116BEC">
        <w:rPr>
          <w:color w:val="000000" w:themeColor="text1"/>
        </w:rPr>
        <w:t>'s</w:t>
      </w:r>
      <w:r w:rsidR="00450656" w:rsidRPr="00543E8E">
        <w:rPr>
          <w:color w:val="000000" w:themeColor="text1"/>
        </w:rPr>
        <w:t xml:space="preserve"> care obligations and </w:t>
      </w:r>
      <w:r w:rsidR="0007240E">
        <w:rPr>
          <w:color w:val="000000" w:themeColor="text1"/>
        </w:rPr>
        <w:t xml:space="preserve">the </w:t>
      </w:r>
      <w:r w:rsidR="00450656" w:rsidRPr="00543E8E">
        <w:rPr>
          <w:color w:val="000000" w:themeColor="text1"/>
        </w:rPr>
        <w:t xml:space="preserve">potentially radicalizing exclusion </w:t>
      </w:r>
      <w:r w:rsidR="001E62B9" w:rsidRPr="00543E8E">
        <w:rPr>
          <w:color w:val="000000" w:themeColor="text1"/>
        </w:rPr>
        <w:t xml:space="preserve">and frustrations of young men </w:t>
      </w:r>
      <w:r w:rsidR="00450656" w:rsidRPr="00543E8E">
        <w:rPr>
          <w:color w:val="000000" w:themeColor="text1"/>
        </w:rPr>
        <w:t xml:space="preserve">will be </w:t>
      </w:r>
      <w:r w:rsidR="00ED4BC0" w:rsidRPr="00543E8E">
        <w:rPr>
          <w:color w:val="000000" w:themeColor="text1"/>
        </w:rPr>
        <w:t xml:space="preserve">explored and </w:t>
      </w:r>
      <w:r w:rsidR="00450656" w:rsidRPr="00543E8E">
        <w:rPr>
          <w:color w:val="000000" w:themeColor="text1"/>
        </w:rPr>
        <w:t xml:space="preserve">tested through pilots, depending on partnerships and resources. </w:t>
      </w:r>
      <w:r w:rsidR="00925751" w:rsidRPr="00543E8E">
        <w:rPr>
          <w:color w:val="000000" w:themeColor="text1"/>
        </w:rPr>
        <w:t xml:space="preserve"> </w:t>
      </w:r>
    </w:p>
    <w:p w14:paraId="15C64060" w14:textId="77777777" w:rsidR="00811450" w:rsidRPr="00D91006" w:rsidRDefault="00811450" w:rsidP="004F7071">
      <w:pPr>
        <w:pStyle w:val="ListParagraph"/>
        <w:shd w:val="clear" w:color="auto" w:fill="FFFFFF"/>
        <w:tabs>
          <w:tab w:val="left" w:pos="180"/>
          <w:tab w:val="left" w:pos="360"/>
        </w:tabs>
        <w:ind w:left="0" w:right="65"/>
        <w:contextualSpacing/>
        <w:jc w:val="both"/>
        <w:rPr>
          <w:color w:val="000000"/>
          <w:sz w:val="12"/>
          <w:szCs w:val="12"/>
        </w:rPr>
      </w:pPr>
    </w:p>
    <w:p w14:paraId="58A4063C" w14:textId="16A15972" w:rsidR="0030144D" w:rsidRPr="00543E8E" w:rsidRDefault="0030144D" w:rsidP="004F7071">
      <w:pPr>
        <w:pStyle w:val="ListParagraph"/>
        <w:numPr>
          <w:ilvl w:val="0"/>
          <w:numId w:val="36"/>
        </w:numPr>
        <w:shd w:val="clear" w:color="auto" w:fill="FFFFFF"/>
        <w:tabs>
          <w:tab w:val="left" w:pos="180"/>
          <w:tab w:val="left" w:pos="360"/>
        </w:tabs>
        <w:ind w:left="0" w:right="65" w:firstLine="0"/>
        <w:contextualSpacing/>
        <w:jc w:val="both"/>
        <w:rPr>
          <w:color w:val="000000"/>
        </w:rPr>
      </w:pPr>
      <w:r w:rsidRPr="00543E8E">
        <w:rPr>
          <w:b/>
        </w:rPr>
        <w:t xml:space="preserve">Environment and </w:t>
      </w:r>
      <w:r w:rsidR="0007240E">
        <w:rPr>
          <w:b/>
        </w:rPr>
        <w:t>c</w:t>
      </w:r>
      <w:r w:rsidR="0007240E" w:rsidRPr="00543E8E">
        <w:rPr>
          <w:b/>
        </w:rPr>
        <w:t xml:space="preserve">limate </w:t>
      </w:r>
      <w:r w:rsidR="0007240E">
        <w:rPr>
          <w:b/>
        </w:rPr>
        <w:t>c</w:t>
      </w:r>
      <w:r w:rsidR="0007240E" w:rsidRPr="00543E8E">
        <w:rPr>
          <w:b/>
        </w:rPr>
        <w:t>hange</w:t>
      </w:r>
      <w:r w:rsidR="0007240E" w:rsidRPr="00543E8E">
        <w:t xml:space="preserve"> </w:t>
      </w:r>
      <w:r w:rsidRPr="00543E8E">
        <w:t>is the fourth priority</w:t>
      </w:r>
      <w:r w:rsidR="0007240E">
        <w:t>,</w:t>
      </w:r>
      <w:r w:rsidRPr="00543E8E">
        <w:t xml:space="preserve"> deriving from </w:t>
      </w:r>
      <w:r w:rsidR="0007240E">
        <w:t>o</w:t>
      </w:r>
      <w:r w:rsidRPr="00543E8E">
        <w:t>utcome 4</w:t>
      </w:r>
      <w:r w:rsidR="004B5F95">
        <w:t>,</w:t>
      </w:r>
      <w:r w:rsidR="004B5F95" w:rsidRPr="00543E8E">
        <w:t xml:space="preserve"> </w:t>
      </w:r>
      <w:r w:rsidR="0007240E" w:rsidRPr="0007240E">
        <w:t>g</w:t>
      </w:r>
      <w:r w:rsidRPr="0007240E">
        <w:t xml:space="preserve">overnment and non-government actors adopt and implement innovative, gender-sensitive national and local actions for environmental sustainability, climate change mitigation and adaptation, and disaster risk reduction. </w:t>
      </w:r>
      <w:r w:rsidRPr="00543E8E">
        <w:rPr>
          <w:color w:val="000000"/>
        </w:rPr>
        <w:t xml:space="preserve">This mirrors </w:t>
      </w:r>
      <w:r w:rsidR="0007240E">
        <w:rPr>
          <w:color w:val="000000"/>
        </w:rPr>
        <w:t>Strategic Plan</w:t>
      </w:r>
      <w:r w:rsidRPr="00543E8E">
        <w:rPr>
          <w:color w:val="000000"/>
        </w:rPr>
        <w:t xml:space="preserve"> </w:t>
      </w:r>
      <w:r w:rsidR="0007240E">
        <w:rPr>
          <w:color w:val="000000"/>
        </w:rPr>
        <w:t>o</w:t>
      </w:r>
      <w:r w:rsidR="0007240E" w:rsidRPr="00543E8E">
        <w:rPr>
          <w:color w:val="000000"/>
        </w:rPr>
        <w:t xml:space="preserve">utcome </w:t>
      </w:r>
      <w:r w:rsidRPr="00543E8E">
        <w:rPr>
          <w:color w:val="000000"/>
        </w:rPr>
        <w:t xml:space="preserve">1 and responds to the NSDI objective of sustainable growth and provides the framework for UNDP to support national realization of a broad range of </w:t>
      </w:r>
      <w:r w:rsidR="0007240E">
        <w:rPr>
          <w:color w:val="000000"/>
        </w:rPr>
        <w:t>Sustainable Development Goals</w:t>
      </w:r>
      <w:r w:rsidRPr="00543E8E">
        <w:rPr>
          <w:color w:val="000000"/>
        </w:rPr>
        <w:t xml:space="preserve">. </w:t>
      </w:r>
    </w:p>
    <w:p w14:paraId="3117759B" w14:textId="77777777" w:rsidR="00811450" w:rsidRPr="00D91006" w:rsidRDefault="00811450" w:rsidP="004F7071">
      <w:pPr>
        <w:pStyle w:val="ListParagraph"/>
        <w:tabs>
          <w:tab w:val="left" w:pos="360"/>
        </w:tabs>
        <w:ind w:left="0" w:right="65"/>
        <w:rPr>
          <w:color w:val="000000"/>
          <w:sz w:val="12"/>
          <w:szCs w:val="12"/>
        </w:rPr>
      </w:pPr>
    </w:p>
    <w:p w14:paraId="27902063" w14:textId="253798CC" w:rsidR="0030144D" w:rsidRPr="00543E8E" w:rsidRDefault="0030144D" w:rsidP="004F7071">
      <w:pPr>
        <w:pStyle w:val="ListParagraph"/>
        <w:numPr>
          <w:ilvl w:val="0"/>
          <w:numId w:val="36"/>
        </w:numPr>
        <w:tabs>
          <w:tab w:val="left" w:pos="180"/>
          <w:tab w:val="left" w:pos="360"/>
        </w:tabs>
        <w:ind w:left="0" w:right="65" w:firstLine="0"/>
        <w:contextualSpacing/>
        <w:jc w:val="both"/>
      </w:pPr>
      <w:r w:rsidRPr="00543E8E">
        <w:t xml:space="preserve">UNDP will deliver results at two levels: </w:t>
      </w:r>
      <w:r w:rsidR="0007240E">
        <w:t xml:space="preserve">at central level, </w:t>
      </w:r>
      <w:r w:rsidRPr="00543E8E">
        <w:t>for financing mechanisms</w:t>
      </w:r>
      <w:r w:rsidR="0007240E">
        <w:t xml:space="preserve">; and </w:t>
      </w:r>
      <w:r w:rsidR="0007240E" w:rsidRPr="00543E8E">
        <w:t xml:space="preserve">at the local government unit </w:t>
      </w:r>
      <w:r w:rsidR="0007240E">
        <w:t xml:space="preserve">level, </w:t>
      </w:r>
      <w:r w:rsidRPr="00543E8E">
        <w:t xml:space="preserve">for gradually consolidating the responsibility to act for the present protection and the future resilience of the environment. </w:t>
      </w:r>
      <w:r w:rsidR="008153F5" w:rsidRPr="00543E8E">
        <w:t>UNDP will support broader ownership of the climate agenda</w:t>
      </w:r>
      <w:r w:rsidR="00A61733" w:rsidRPr="00543E8E">
        <w:t xml:space="preserve"> and work with the Ministries of Environment</w:t>
      </w:r>
      <w:r w:rsidR="0007240E">
        <w:t xml:space="preserve"> and of</w:t>
      </w:r>
      <w:r w:rsidR="00A61733" w:rsidRPr="00543E8E">
        <w:t xml:space="preserve"> Energy and others and build inter-institutional partnerships.</w:t>
      </w:r>
      <w:r w:rsidR="008153F5" w:rsidRPr="00543E8E">
        <w:rPr>
          <w:color w:val="FF0000"/>
        </w:rPr>
        <w:t xml:space="preserve"> </w:t>
      </w:r>
      <w:r w:rsidR="008153F5" w:rsidRPr="00543E8E">
        <w:t xml:space="preserve">This will provide the governance basis for the establishment of innovative funding mechanisms that can incentivize and help </w:t>
      </w:r>
      <w:r w:rsidR="0007240E">
        <w:t xml:space="preserve">to </w:t>
      </w:r>
      <w:r w:rsidR="008153F5" w:rsidRPr="00543E8E">
        <w:t xml:space="preserve">pay for improved </w:t>
      </w:r>
      <w:r w:rsidR="008153F5" w:rsidRPr="00543E8E">
        <w:rPr>
          <w:color w:val="000000"/>
        </w:rPr>
        <w:t>energy effi</w:t>
      </w:r>
      <w:r w:rsidR="007F108B" w:rsidRPr="00543E8E">
        <w:rPr>
          <w:color w:val="000000"/>
        </w:rPr>
        <w:t>ciency</w:t>
      </w:r>
      <w:r w:rsidR="00D73810" w:rsidRPr="00543E8E">
        <w:rPr>
          <w:color w:val="000000"/>
        </w:rPr>
        <w:t xml:space="preserve"> and renewable</w:t>
      </w:r>
      <w:r w:rsidR="007F108B" w:rsidRPr="00543E8E">
        <w:rPr>
          <w:color w:val="000000"/>
        </w:rPr>
        <w:t xml:space="preserve"> solutions (S</w:t>
      </w:r>
      <w:r w:rsidR="0007240E">
        <w:rPr>
          <w:color w:val="000000"/>
        </w:rPr>
        <w:t>ustainable Development Goals</w:t>
      </w:r>
      <w:r w:rsidR="007F108B" w:rsidRPr="00543E8E">
        <w:rPr>
          <w:color w:val="000000"/>
        </w:rPr>
        <w:t>13 and 7)</w:t>
      </w:r>
      <w:r w:rsidR="00D73810" w:rsidRPr="00543E8E">
        <w:rPr>
          <w:color w:val="000000"/>
        </w:rPr>
        <w:t>. It will also</w:t>
      </w:r>
      <w:r w:rsidR="007F108B" w:rsidRPr="00543E8E">
        <w:rPr>
          <w:color w:val="000000"/>
        </w:rPr>
        <w:t xml:space="preserve"> </w:t>
      </w:r>
      <w:r w:rsidR="00D73810" w:rsidRPr="00543E8E">
        <w:rPr>
          <w:color w:val="000000"/>
        </w:rPr>
        <w:t>help</w:t>
      </w:r>
      <w:r w:rsidR="007F108B" w:rsidRPr="00543E8E">
        <w:rPr>
          <w:color w:val="000000"/>
        </w:rPr>
        <w:t xml:space="preserve"> Albania</w:t>
      </w:r>
      <w:r w:rsidR="00D73810" w:rsidRPr="00543E8E">
        <w:rPr>
          <w:color w:val="000000"/>
        </w:rPr>
        <w:t xml:space="preserve"> </w:t>
      </w:r>
      <w:r w:rsidR="0007240E">
        <w:rPr>
          <w:color w:val="000000"/>
        </w:rPr>
        <w:t xml:space="preserve">to </w:t>
      </w:r>
      <w:r w:rsidR="007F108B" w:rsidRPr="00543E8E">
        <w:rPr>
          <w:color w:val="000000"/>
        </w:rPr>
        <w:t xml:space="preserve">access global climate financing. </w:t>
      </w:r>
      <w:r w:rsidR="00921BCA" w:rsidRPr="00543E8E">
        <w:rPr>
          <w:color w:val="000000"/>
        </w:rPr>
        <w:t>Synergies and p</w:t>
      </w:r>
      <w:r w:rsidR="008153F5" w:rsidRPr="00543E8E">
        <w:rPr>
          <w:color w:val="000000"/>
        </w:rPr>
        <w:t xml:space="preserve">artnerships with international </w:t>
      </w:r>
      <w:r w:rsidR="00CD01B4">
        <w:rPr>
          <w:color w:val="000000"/>
        </w:rPr>
        <w:t xml:space="preserve">and regional </w:t>
      </w:r>
      <w:r w:rsidR="0007240E" w:rsidRPr="00543E8E">
        <w:rPr>
          <w:color w:val="000000"/>
        </w:rPr>
        <w:t>financ</w:t>
      </w:r>
      <w:r w:rsidR="0007240E">
        <w:rPr>
          <w:color w:val="000000"/>
        </w:rPr>
        <w:t>ial</w:t>
      </w:r>
      <w:r w:rsidR="0007240E" w:rsidRPr="00543E8E">
        <w:rPr>
          <w:color w:val="000000"/>
        </w:rPr>
        <w:t xml:space="preserve"> </w:t>
      </w:r>
      <w:r w:rsidR="008153F5" w:rsidRPr="00543E8E">
        <w:rPr>
          <w:color w:val="000000"/>
        </w:rPr>
        <w:t>institutions will underpin such financing mechanisms</w:t>
      </w:r>
      <w:r w:rsidR="00921BCA" w:rsidRPr="00543E8E">
        <w:rPr>
          <w:color w:val="000000"/>
        </w:rPr>
        <w:t xml:space="preserve"> and help </w:t>
      </w:r>
      <w:r w:rsidR="0007240E">
        <w:rPr>
          <w:color w:val="000000"/>
        </w:rPr>
        <w:t xml:space="preserve">to </w:t>
      </w:r>
      <w:r w:rsidR="00921BCA" w:rsidRPr="00543E8E">
        <w:rPr>
          <w:color w:val="000000"/>
        </w:rPr>
        <w:t xml:space="preserve">build market </w:t>
      </w:r>
      <w:r w:rsidR="00371A50" w:rsidRPr="00543E8E">
        <w:rPr>
          <w:color w:val="000000"/>
        </w:rPr>
        <w:t xml:space="preserve">uptake </w:t>
      </w:r>
      <w:r w:rsidR="00921BCA" w:rsidRPr="00543E8E">
        <w:rPr>
          <w:color w:val="000000"/>
        </w:rPr>
        <w:t>for solutions</w:t>
      </w:r>
      <w:r w:rsidR="008153F5" w:rsidRPr="00543E8E">
        <w:rPr>
          <w:color w:val="000000"/>
        </w:rPr>
        <w:t xml:space="preserve">. </w:t>
      </w:r>
      <w:r w:rsidRPr="00543E8E">
        <w:rPr>
          <w:color w:val="000000"/>
        </w:rPr>
        <w:t xml:space="preserve">Building on </w:t>
      </w:r>
      <w:r w:rsidR="0007240E">
        <w:rPr>
          <w:color w:val="000000"/>
        </w:rPr>
        <w:t>its</w:t>
      </w:r>
      <w:r w:rsidR="0007240E" w:rsidRPr="00543E8E">
        <w:rPr>
          <w:color w:val="000000"/>
        </w:rPr>
        <w:t xml:space="preserve"> </w:t>
      </w:r>
      <w:r w:rsidRPr="00543E8E">
        <w:rPr>
          <w:color w:val="000000"/>
        </w:rPr>
        <w:t>response to the 2015 floods, UNDP will work with the scientific community to map climatic risks</w:t>
      </w:r>
      <w:r w:rsidR="00921BCA" w:rsidRPr="00543E8E">
        <w:rPr>
          <w:color w:val="000000"/>
        </w:rPr>
        <w:t xml:space="preserve"> and work with </w:t>
      </w:r>
      <w:r w:rsidRPr="00543E8E">
        <w:rPr>
          <w:color w:val="000000"/>
        </w:rPr>
        <w:t xml:space="preserve">local communities, especially women and youth, </w:t>
      </w:r>
      <w:r w:rsidR="00921BCA" w:rsidRPr="00543E8E">
        <w:rPr>
          <w:color w:val="000000"/>
        </w:rPr>
        <w:t xml:space="preserve">to help local authorities identify and implement adaptation measures </w:t>
      </w:r>
      <w:r w:rsidRPr="00543E8E">
        <w:rPr>
          <w:color w:val="000000"/>
        </w:rPr>
        <w:t>(</w:t>
      </w:r>
      <w:r w:rsidR="0007240E">
        <w:rPr>
          <w:color w:val="000000"/>
        </w:rPr>
        <w:t xml:space="preserve">Sustainable Development Goal </w:t>
      </w:r>
      <w:r w:rsidR="0007240E" w:rsidRPr="00543E8E">
        <w:rPr>
          <w:color w:val="000000"/>
        </w:rPr>
        <w:t>9</w:t>
      </w:r>
      <w:r w:rsidRPr="00543E8E">
        <w:rPr>
          <w:color w:val="000000"/>
        </w:rPr>
        <w:t xml:space="preserve">). Such practices will feed into and reinforce the development of a gender action plan on adaptation and mitigation for </w:t>
      </w:r>
      <w:r w:rsidR="00371A50" w:rsidRPr="00543E8E">
        <w:rPr>
          <w:color w:val="000000"/>
        </w:rPr>
        <w:t xml:space="preserve">adoption and further implementation by </w:t>
      </w:r>
      <w:r w:rsidR="0007240E">
        <w:rPr>
          <w:color w:val="000000"/>
        </w:rPr>
        <w:t xml:space="preserve">the </w:t>
      </w:r>
      <w:r w:rsidR="00371A50" w:rsidRPr="00543E8E">
        <w:rPr>
          <w:color w:val="000000"/>
        </w:rPr>
        <w:t>Government</w:t>
      </w:r>
      <w:r w:rsidRPr="00543E8E">
        <w:rPr>
          <w:color w:val="000000"/>
        </w:rPr>
        <w:t xml:space="preserve"> (</w:t>
      </w:r>
      <w:r w:rsidR="0007240E">
        <w:rPr>
          <w:color w:val="000000"/>
        </w:rPr>
        <w:t xml:space="preserve">Sustainable Development Goal </w:t>
      </w:r>
      <w:r w:rsidR="0007240E" w:rsidRPr="00543E8E">
        <w:rPr>
          <w:color w:val="000000"/>
        </w:rPr>
        <w:t>5</w:t>
      </w:r>
      <w:r w:rsidRPr="00543E8E">
        <w:rPr>
          <w:color w:val="000000"/>
        </w:rPr>
        <w:t xml:space="preserve">). </w:t>
      </w:r>
      <w:r w:rsidR="008153F5" w:rsidRPr="00543E8E">
        <w:t>UNDP will continue its partnership with the Ministry of Environment and promote innovative financing and co-management mechanisms for protection of natural resources</w:t>
      </w:r>
      <w:r w:rsidR="009809B1">
        <w:t>,</w:t>
      </w:r>
      <w:r w:rsidR="008153F5" w:rsidRPr="00543E8E">
        <w:t xml:space="preserve"> combined with internationally comparable performance measurements. </w:t>
      </w:r>
      <w:r w:rsidR="008153F5" w:rsidRPr="00543E8E">
        <w:rPr>
          <w:color w:val="000000"/>
        </w:rPr>
        <w:t xml:space="preserve">UNDP will institutionalize Albania’s partnerships with homologue institutions of the riparian countries of the Drin </w:t>
      </w:r>
      <w:r w:rsidR="00371A50" w:rsidRPr="00543E8E">
        <w:rPr>
          <w:color w:val="000000"/>
        </w:rPr>
        <w:t>R</w:t>
      </w:r>
      <w:r w:rsidR="008153F5" w:rsidRPr="00543E8E">
        <w:rPr>
          <w:color w:val="000000"/>
        </w:rPr>
        <w:t>iver (</w:t>
      </w:r>
      <w:r w:rsidR="009809B1">
        <w:rPr>
          <w:color w:val="000000"/>
        </w:rPr>
        <w:t>S</w:t>
      </w:r>
      <w:r w:rsidR="009809B1" w:rsidRPr="00543E8E">
        <w:rPr>
          <w:color w:val="000000"/>
        </w:rPr>
        <w:t>outh</w:t>
      </w:r>
      <w:r w:rsidR="008153F5" w:rsidRPr="00543E8E">
        <w:rPr>
          <w:color w:val="000000"/>
        </w:rPr>
        <w:t>-</w:t>
      </w:r>
      <w:r w:rsidR="009809B1">
        <w:rPr>
          <w:color w:val="000000"/>
        </w:rPr>
        <w:t>S</w:t>
      </w:r>
      <w:r w:rsidR="009809B1" w:rsidRPr="00543E8E">
        <w:rPr>
          <w:color w:val="000000"/>
        </w:rPr>
        <w:t xml:space="preserve">outh </w:t>
      </w:r>
      <w:r w:rsidR="008153F5" w:rsidRPr="00543E8E">
        <w:rPr>
          <w:color w:val="000000"/>
        </w:rPr>
        <w:t xml:space="preserve">cooperation) and </w:t>
      </w:r>
      <w:r w:rsidR="008153F5" w:rsidRPr="00543E8E">
        <w:t>develop implementing procedures for management of this transboundary basin.</w:t>
      </w:r>
    </w:p>
    <w:p w14:paraId="172CAB0A" w14:textId="77777777" w:rsidR="0030144D" w:rsidRPr="00543E8E" w:rsidRDefault="0030144D" w:rsidP="004F7071">
      <w:pPr>
        <w:tabs>
          <w:tab w:val="left" w:pos="360"/>
        </w:tabs>
        <w:ind w:right="65"/>
      </w:pPr>
    </w:p>
    <w:p w14:paraId="2440D3F7" w14:textId="6DFDF199" w:rsidR="0063402B" w:rsidRPr="00D91006" w:rsidRDefault="0063402B" w:rsidP="004F7071">
      <w:pPr>
        <w:pStyle w:val="Heading1"/>
        <w:tabs>
          <w:tab w:val="left" w:pos="360"/>
          <w:tab w:val="left" w:pos="1800"/>
        </w:tabs>
        <w:spacing w:after="120"/>
        <w:ind w:right="65" w:hanging="450"/>
        <w:jc w:val="both"/>
        <w:rPr>
          <w:rFonts w:ascii="Times New Roman" w:hAnsi="Times New Roman"/>
          <w:color w:val="000000"/>
          <w:sz w:val="24"/>
          <w:szCs w:val="24"/>
          <w:lang w:val="en-US"/>
        </w:rPr>
      </w:pPr>
      <w:r w:rsidRPr="00D91006">
        <w:rPr>
          <w:rFonts w:ascii="Times New Roman" w:hAnsi="Times New Roman"/>
          <w:color w:val="000000"/>
          <w:sz w:val="24"/>
          <w:szCs w:val="24"/>
        </w:rPr>
        <w:t>I</w:t>
      </w:r>
      <w:r w:rsidRPr="00D91006">
        <w:rPr>
          <w:rFonts w:ascii="Times New Roman" w:hAnsi="Times New Roman"/>
          <w:color w:val="000000"/>
          <w:sz w:val="24"/>
          <w:szCs w:val="24"/>
          <w:lang w:val="en-US"/>
        </w:rPr>
        <w:t>II</w:t>
      </w:r>
      <w:r w:rsidRPr="00D91006">
        <w:rPr>
          <w:rFonts w:ascii="Times New Roman" w:hAnsi="Times New Roman"/>
          <w:color w:val="000000"/>
          <w:sz w:val="24"/>
          <w:szCs w:val="24"/>
        </w:rPr>
        <w:t>.</w:t>
      </w:r>
      <w:r w:rsidR="00D91006">
        <w:rPr>
          <w:rFonts w:ascii="Times New Roman" w:hAnsi="Times New Roman"/>
          <w:color w:val="000000"/>
          <w:sz w:val="24"/>
          <w:szCs w:val="24"/>
        </w:rPr>
        <w:tab/>
      </w:r>
      <w:r w:rsidRPr="00D91006">
        <w:rPr>
          <w:rFonts w:ascii="Times New Roman" w:hAnsi="Times New Roman"/>
          <w:color w:val="000000"/>
          <w:sz w:val="24"/>
          <w:szCs w:val="24"/>
          <w:lang w:val="en-US"/>
        </w:rPr>
        <w:t xml:space="preserve">Programme and </w:t>
      </w:r>
      <w:r w:rsidR="00D91006">
        <w:rPr>
          <w:rFonts w:ascii="Times New Roman" w:hAnsi="Times New Roman"/>
          <w:color w:val="000000"/>
          <w:sz w:val="24"/>
          <w:szCs w:val="24"/>
          <w:lang w:val="en-US"/>
        </w:rPr>
        <w:t>r</w:t>
      </w:r>
      <w:r w:rsidRPr="00D91006">
        <w:rPr>
          <w:rFonts w:ascii="Times New Roman" w:hAnsi="Times New Roman"/>
          <w:color w:val="000000"/>
          <w:sz w:val="24"/>
          <w:szCs w:val="24"/>
          <w:lang w:val="en-US"/>
        </w:rPr>
        <w:t>isk</w:t>
      </w:r>
      <w:r w:rsidR="00AC1BE7" w:rsidRPr="00D91006">
        <w:rPr>
          <w:rFonts w:ascii="Times New Roman" w:hAnsi="Times New Roman"/>
          <w:color w:val="000000"/>
          <w:sz w:val="24"/>
          <w:szCs w:val="24"/>
          <w:lang w:val="en-US"/>
        </w:rPr>
        <w:t xml:space="preserve"> </w:t>
      </w:r>
      <w:r w:rsidR="00D91006">
        <w:rPr>
          <w:rFonts w:ascii="Times New Roman" w:hAnsi="Times New Roman"/>
          <w:color w:val="000000"/>
          <w:sz w:val="24"/>
          <w:szCs w:val="24"/>
          <w:lang w:val="en-US"/>
        </w:rPr>
        <w:t>m</w:t>
      </w:r>
      <w:r w:rsidR="001C6C08" w:rsidRPr="00D91006">
        <w:rPr>
          <w:rFonts w:ascii="Times New Roman" w:hAnsi="Times New Roman"/>
          <w:color w:val="000000"/>
          <w:sz w:val="24"/>
          <w:szCs w:val="24"/>
          <w:lang w:val="en-US"/>
        </w:rPr>
        <w:t>anagement</w:t>
      </w:r>
      <w:r w:rsidRPr="00D91006">
        <w:rPr>
          <w:rFonts w:ascii="Times New Roman" w:hAnsi="Times New Roman"/>
          <w:color w:val="000000"/>
          <w:sz w:val="24"/>
          <w:szCs w:val="24"/>
        </w:rPr>
        <w:t xml:space="preserve"> </w:t>
      </w:r>
    </w:p>
    <w:p w14:paraId="1BD02A5F" w14:textId="6C200141" w:rsidR="0028664B" w:rsidRPr="00543E8E" w:rsidRDefault="0030144D" w:rsidP="004F7071">
      <w:pPr>
        <w:pStyle w:val="ListParagraph"/>
        <w:numPr>
          <w:ilvl w:val="0"/>
          <w:numId w:val="36"/>
        </w:numPr>
        <w:tabs>
          <w:tab w:val="left" w:pos="360"/>
        </w:tabs>
        <w:ind w:left="0" w:firstLine="0"/>
        <w:jc w:val="both"/>
      </w:pPr>
      <w:r w:rsidRPr="00FF7F15">
        <w:rPr>
          <w:color w:val="000000" w:themeColor="text1"/>
        </w:rPr>
        <w:t xml:space="preserve">The </w:t>
      </w:r>
      <w:r w:rsidR="009809B1" w:rsidRPr="00FF7F15">
        <w:rPr>
          <w:color w:val="000000" w:themeColor="text1"/>
        </w:rPr>
        <w:t xml:space="preserve">country programme </w:t>
      </w:r>
      <w:r w:rsidRPr="00FF7F15">
        <w:rPr>
          <w:iCs/>
          <w:color w:val="000000" w:themeColor="text1"/>
        </w:rPr>
        <w:t xml:space="preserve">will be nationally executed. The </w:t>
      </w:r>
      <w:r w:rsidR="009809B1" w:rsidRPr="00FF7F15">
        <w:rPr>
          <w:iCs/>
          <w:color w:val="000000" w:themeColor="text1"/>
        </w:rPr>
        <w:t xml:space="preserve">Government's coordinating agency </w:t>
      </w:r>
      <w:r w:rsidRPr="00FF7F15">
        <w:rPr>
          <w:iCs/>
          <w:color w:val="000000" w:themeColor="text1"/>
        </w:rPr>
        <w:t xml:space="preserve">will be the Department of Donor Coordination of the Prime Ministry. The </w:t>
      </w:r>
      <w:r w:rsidR="009809B1" w:rsidRPr="00FF7F15">
        <w:rPr>
          <w:iCs/>
          <w:color w:val="000000" w:themeColor="text1"/>
        </w:rPr>
        <w:t>integrated policy management g</w:t>
      </w:r>
      <w:r w:rsidRPr="00FF7F15">
        <w:rPr>
          <w:iCs/>
          <w:color w:val="000000" w:themeColor="text1"/>
        </w:rPr>
        <w:t xml:space="preserve">roups architecture, led by </w:t>
      </w:r>
      <w:r w:rsidR="003C1083" w:rsidRPr="00FF7F15">
        <w:rPr>
          <w:iCs/>
          <w:color w:val="000000" w:themeColor="text1"/>
        </w:rPr>
        <w:t xml:space="preserve">the </w:t>
      </w:r>
      <w:r w:rsidRPr="00FF7F15">
        <w:rPr>
          <w:iCs/>
          <w:color w:val="000000" w:themeColor="text1"/>
        </w:rPr>
        <w:t>Government, provides the coordination mechanism for UNDP and other international partners contributing to results in key reform areas linked to EU sector</w:t>
      </w:r>
      <w:r w:rsidR="00116BEC" w:rsidRPr="00FF7F15">
        <w:rPr>
          <w:iCs/>
          <w:color w:val="000000" w:themeColor="text1"/>
        </w:rPr>
        <w:t>al</w:t>
      </w:r>
      <w:r w:rsidRPr="00FF7F15">
        <w:rPr>
          <w:iCs/>
          <w:color w:val="000000" w:themeColor="text1"/>
        </w:rPr>
        <w:t xml:space="preserve"> program</w:t>
      </w:r>
      <w:r w:rsidR="009809B1" w:rsidRPr="00FF7F15">
        <w:rPr>
          <w:iCs/>
          <w:color w:val="000000" w:themeColor="text1"/>
        </w:rPr>
        <w:t>me</w:t>
      </w:r>
      <w:r w:rsidRPr="00FF7F15">
        <w:rPr>
          <w:iCs/>
          <w:color w:val="000000" w:themeColor="text1"/>
        </w:rPr>
        <w:t xml:space="preserve">s. </w:t>
      </w:r>
      <w:r w:rsidR="00FF7F15">
        <w:t>UNDP will work with this</w:t>
      </w:r>
      <w:r w:rsidR="00D6690D">
        <w:t xml:space="preserve"> Department to develop </w:t>
      </w:r>
      <w:r w:rsidR="000E26F2">
        <w:t>cross-</w:t>
      </w:r>
      <w:r w:rsidR="00D6690D">
        <w:t>sector</w:t>
      </w:r>
      <w:r w:rsidR="00FF7F15">
        <w:t>al programs and establish</w:t>
      </w:r>
      <w:r w:rsidR="00FF7F15" w:rsidRPr="00FF7F15">
        <w:rPr>
          <w:color w:val="1F497D"/>
        </w:rPr>
        <w:t> </w:t>
      </w:r>
      <w:r w:rsidR="00FF7F15">
        <w:t xml:space="preserve">cooperation mechanisms </w:t>
      </w:r>
      <w:r w:rsidR="000E26F2">
        <w:t>for</w:t>
      </w:r>
      <w:r w:rsidR="00FF7F15">
        <w:t xml:space="preserve"> their implementation. </w:t>
      </w:r>
      <w:r w:rsidRPr="00FF7F15">
        <w:rPr>
          <w:iCs/>
          <w:color w:val="000000" w:themeColor="text1"/>
        </w:rPr>
        <w:t>Other national</w:t>
      </w:r>
      <w:r w:rsidR="009809B1" w:rsidRPr="00FF7F15">
        <w:rPr>
          <w:iCs/>
          <w:color w:val="000000" w:themeColor="text1"/>
        </w:rPr>
        <w:t xml:space="preserve"> and </w:t>
      </w:r>
      <w:r w:rsidRPr="00FF7F15">
        <w:rPr>
          <w:iCs/>
          <w:color w:val="000000" w:themeColor="text1"/>
        </w:rPr>
        <w:t>subnational authorities</w:t>
      </w:r>
      <w:r w:rsidR="00FF7F15" w:rsidRPr="00FF7F15">
        <w:rPr>
          <w:iCs/>
          <w:color w:val="000000" w:themeColor="text1"/>
        </w:rPr>
        <w:t xml:space="preserve"> </w:t>
      </w:r>
      <w:r w:rsidRPr="00FF7F15">
        <w:rPr>
          <w:iCs/>
          <w:color w:val="000000" w:themeColor="text1"/>
        </w:rPr>
        <w:t xml:space="preserve">and civil society organizations will be implementing partners, as defined in the </w:t>
      </w:r>
      <w:r w:rsidR="009809B1" w:rsidRPr="00FF7F15">
        <w:rPr>
          <w:iCs/>
          <w:color w:val="000000" w:themeColor="text1"/>
        </w:rPr>
        <w:t>results f</w:t>
      </w:r>
      <w:r w:rsidR="00E52B8C" w:rsidRPr="00FF7F15">
        <w:rPr>
          <w:iCs/>
          <w:color w:val="000000" w:themeColor="text1"/>
        </w:rPr>
        <w:t>r</w:t>
      </w:r>
      <w:r w:rsidR="009809B1" w:rsidRPr="00FF7F15">
        <w:rPr>
          <w:iCs/>
          <w:color w:val="000000" w:themeColor="text1"/>
        </w:rPr>
        <w:t>amework</w:t>
      </w:r>
      <w:r w:rsidRPr="00FF7F15">
        <w:rPr>
          <w:iCs/>
          <w:color w:val="000000" w:themeColor="text1"/>
        </w:rPr>
        <w:t xml:space="preserve">. </w:t>
      </w:r>
      <w:r w:rsidRPr="00FF7F15">
        <w:rPr>
          <w:color w:val="000000" w:themeColor="text1"/>
        </w:rPr>
        <w:t>Direct execution will be used in exceptional situations. UNDP will continue to provide implementation support services at the request of the Government</w:t>
      </w:r>
      <w:r w:rsidR="009B59F0" w:rsidRPr="00FF7F15">
        <w:rPr>
          <w:color w:val="000000" w:themeColor="text1"/>
        </w:rPr>
        <w:t xml:space="preserve"> and </w:t>
      </w:r>
      <w:r w:rsidR="004F52EB" w:rsidRPr="00FF7F15">
        <w:rPr>
          <w:color w:val="000000" w:themeColor="text1"/>
        </w:rPr>
        <w:t xml:space="preserve">apply Executive </w:t>
      </w:r>
      <w:r w:rsidR="009809B1" w:rsidRPr="00FF7F15">
        <w:rPr>
          <w:color w:val="000000" w:themeColor="text1"/>
        </w:rPr>
        <w:t>Board-</w:t>
      </w:r>
      <w:r w:rsidR="004F52EB" w:rsidRPr="00FF7F15">
        <w:rPr>
          <w:color w:val="000000" w:themeColor="text1"/>
        </w:rPr>
        <w:t>approved</w:t>
      </w:r>
      <w:r w:rsidR="006A174E" w:rsidRPr="00FF7F15">
        <w:rPr>
          <w:color w:val="000000" w:themeColor="text1"/>
        </w:rPr>
        <w:t xml:space="preserve"> </w:t>
      </w:r>
      <w:r w:rsidR="006A174E" w:rsidRPr="00FF7F15">
        <w:rPr>
          <w:iCs/>
        </w:rPr>
        <w:t>program</w:t>
      </w:r>
      <w:r w:rsidR="009809B1" w:rsidRPr="00FF7F15">
        <w:rPr>
          <w:iCs/>
        </w:rPr>
        <w:t>me</w:t>
      </w:r>
      <w:r w:rsidR="006A174E" w:rsidRPr="00FF7F15">
        <w:rPr>
          <w:iCs/>
        </w:rPr>
        <w:t xml:space="preserve"> and development effectiveness charges to concerned projects.</w:t>
      </w:r>
      <w:r w:rsidR="004F52EB" w:rsidRPr="00FF7F15">
        <w:rPr>
          <w:color w:val="000000" w:themeColor="text1"/>
        </w:rPr>
        <w:t xml:space="preserve"> </w:t>
      </w:r>
      <w:r w:rsidR="00FF7F15">
        <w:rPr>
          <w:iCs/>
          <w:color w:val="000000" w:themeColor="text1"/>
        </w:rPr>
        <w:t xml:space="preserve"> </w:t>
      </w:r>
    </w:p>
    <w:p w14:paraId="5010B244" w14:textId="77777777" w:rsidR="0028664B" w:rsidRPr="00D91006" w:rsidRDefault="0028664B" w:rsidP="004F7071">
      <w:pPr>
        <w:pStyle w:val="ListParagraph"/>
        <w:tabs>
          <w:tab w:val="left" w:pos="180"/>
          <w:tab w:val="left" w:pos="360"/>
        </w:tabs>
        <w:ind w:left="0" w:right="65"/>
        <w:contextualSpacing/>
        <w:jc w:val="both"/>
        <w:rPr>
          <w:sz w:val="12"/>
          <w:szCs w:val="12"/>
        </w:rPr>
      </w:pPr>
    </w:p>
    <w:p w14:paraId="3F0B2A11" w14:textId="7415FDF7" w:rsidR="0030144D" w:rsidRPr="00543E8E" w:rsidRDefault="009809B1" w:rsidP="004F7071">
      <w:pPr>
        <w:pStyle w:val="ListParagraph"/>
        <w:numPr>
          <w:ilvl w:val="0"/>
          <w:numId w:val="36"/>
        </w:numPr>
        <w:tabs>
          <w:tab w:val="left" w:pos="180"/>
          <w:tab w:val="left" w:pos="360"/>
        </w:tabs>
        <w:ind w:left="0" w:right="65" w:firstLine="0"/>
        <w:contextualSpacing/>
        <w:jc w:val="both"/>
      </w:pPr>
      <w:r>
        <w:rPr>
          <w:iCs/>
          <w:color w:val="000000" w:themeColor="text1"/>
        </w:rPr>
        <w:t>The s</w:t>
      </w:r>
      <w:r w:rsidRPr="00543E8E">
        <w:rPr>
          <w:iCs/>
          <w:color w:val="000000" w:themeColor="text1"/>
        </w:rPr>
        <w:t xml:space="preserve">ervice </w:t>
      </w:r>
      <w:r w:rsidR="0030144D" w:rsidRPr="00543E8E">
        <w:rPr>
          <w:iCs/>
          <w:color w:val="000000" w:themeColor="text1"/>
        </w:rPr>
        <w:t>delivery orientation of the program</w:t>
      </w:r>
      <w:r>
        <w:rPr>
          <w:iCs/>
          <w:color w:val="000000" w:themeColor="text1"/>
        </w:rPr>
        <w:t>me</w:t>
      </w:r>
      <w:r w:rsidR="0030144D" w:rsidRPr="00543E8E">
        <w:rPr>
          <w:iCs/>
          <w:color w:val="000000" w:themeColor="text1"/>
        </w:rPr>
        <w:t xml:space="preserve"> is the basis for co-management</w:t>
      </w:r>
      <w:r w:rsidR="0028664B" w:rsidRPr="00543E8E">
        <w:rPr>
          <w:iCs/>
          <w:color w:val="000000" w:themeColor="text1"/>
        </w:rPr>
        <w:t xml:space="preserve"> with </w:t>
      </w:r>
      <w:r>
        <w:rPr>
          <w:iCs/>
          <w:color w:val="000000" w:themeColor="text1"/>
        </w:rPr>
        <w:t xml:space="preserve">the </w:t>
      </w:r>
      <w:r w:rsidR="0028664B" w:rsidRPr="00543E8E">
        <w:rPr>
          <w:iCs/>
          <w:color w:val="000000" w:themeColor="text1"/>
        </w:rPr>
        <w:t xml:space="preserve">Government and increasing national </w:t>
      </w:r>
      <w:r w:rsidR="0030144D" w:rsidRPr="00543E8E">
        <w:rPr>
          <w:iCs/>
          <w:color w:val="000000" w:themeColor="text1"/>
        </w:rPr>
        <w:t xml:space="preserve">cost-sharing </w:t>
      </w:r>
      <w:r w:rsidR="0028664B" w:rsidRPr="00543E8E">
        <w:rPr>
          <w:iCs/>
          <w:color w:val="000000" w:themeColor="text1"/>
        </w:rPr>
        <w:t>for achievement of results</w:t>
      </w:r>
      <w:r w:rsidR="0030144D" w:rsidRPr="00543E8E">
        <w:rPr>
          <w:iCs/>
          <w:color w:val="000000" w:themeColor="text1"/>
        </w:rPr>
        <w:t xml:space="preserve">. </w:t>
      </w:r>
      <w:r w:rsidR="00E765D5" w:rsidRPr="00543E8E">
        <w:rPr>
          <w:color w:val="000000" w:themeColor="text1"/>
        </w:rPr>
        <w:t xml:space="preserve">Bilateral development partners and the </w:t>
      </w:r>
      <w:r w:rsidR="0030144D" w:rsidRPr="00543E8E">
        <w:rPr>
          <w:color w:val="000000" w:themeColor="text1"/>
        </w:rPr>
        <w:t xml:space="preserve">EU are strategic partners for </w:t>
      </w:r>
      <w:r>
        <w:rPr>
          <w:color w:val="000000" w:themeColor="text1"/>
        </w:rPr>
        <w:t xml:space="preserve">setting the </w:t>
      </w:r>
      <w:r w:rsidR="0030144D" w:rsidRPr="00543E8E">
        <w:rPr>
          <w:color w:val="000000" w:themeColor="text1"/>
        </w:rPr>
        <w:t>joint policy</w:t>
      </w:r>
      <w:r w:rsidR="0028664B" w:rsidRPr="00543E8E">
        <w:rPr>
          <w:color w:val="000000" w:themeColor="text1"/>
        </w:rPr>
        <w:t xml:space="preserve"> agenda and</w:t>
      </w:r>
      <w:r w:rsidR="0030144D" w:rsidRPr="00543E8E">
        <w:rPr>
          <w:color w:val="000000" w:themeColor="text1"/>
        </w:rPr>
        <w:t xml:space="preserve"> knowledge</w:t>
      </w:r>
      <w:r w:rsidR="00E765D5" w:rsidRPr="00543E8E">
        <w:rPr>
          <w:color w:val="000000" w:themeColor="text1"/>
        </w:rPr>
        <w:t xml:space="preserve"> </w:t>
      </w:r>
      <w:r w:rsidR="0028664B" w:rsidRPr="00543E8E">
        <w:rPr>
          <w:color w:val="000000" w:themeColor="text1"/>
        </w:rPr>
        <w:t xml:space="preserve">generation. They are also partners for </w:t>
      </w:r>
      <w:r w:rsidR="00E765D5" w:rsidRPr="00543E8E">
        <w:rPr>
          <w:color w:val="000000" w:themeColor="text1"/>
        </w:rPr>
        <w:t xml:space="preserve">co-funding and </w:t>
      </w:r>
      <w:r w:rsidR="0030144D" w:rsidRPr="00543E8E">
        <w:rPr>
          <w:color w:val="000000" w:themeColor="text1"/>
        </w:rPr>
        <w:t>pool funding</w:t>
      </w:r>
      <w:r w:rsidR="00E765D5" w:rsidRPr="00543E8E">
        <w:rPr>
          <w:color w:val="000000" w:themeColor="text1"/>
        </w:rPr>
        <w:t xml:space="preserve"> </w:t>
      </w:r>
      <w:r w:rsidR="0028664B" w:rsidRPr="00543E8E">
        <w:rPr>
          <w:color w:val="000000" w:themeColor="text1"/>
        </w:rPr>
        <w:t xml:space="preserve">of national reforms supported by UNDP.  </w:t>
      </w:r>
      <w:r>
        <w:rPr>
          <w:color w:val="000000" w:themeColor="text1"/>
        </w:rPr>
        <w:t xml:space="preserve">The </w:t>
      </w:r>
      <w:r>
        <w:rPr>
          <w:color w:val="000000" w:themeColor="text1"/>
        </w:rPr>
        <w:lastRenderedPageBreak/>
        <w:t>Global Environment Facility</w:t>
      </w:r>
      <w:r w:rsidR="00E765D5" w:rsidRPr="00543E8E">
        <w:rPr>
          <w:color w:val="000000" w:themeColor="text1"/>
        </w:rPr>
        <w:t xml:space="preserve"> will be </w:t>
      </w:r>
      <w:r>
        <w:rPr>
          <w:color w:val="000000" w:themeColor="text1"/>
        </w:rPr>
        <w:t xml:space="preserve">a </w:t>
      </w:r>
      <w:r w:rsidRPr="00543E8E">
        <w:rPr>
          <w:color w:val="000000" w:themeColor="text1"/>
        </w:rPr>
        <w:t>cataly</w:t>
      </w:r>
      <w:r>
        <w:rPr>
          <w:color w:val="000000" w:themeColor="text1"/>
        </w:rPr>
        <w:t>st</w:t>
      </w:r>
      <w:r w:rsidRPr="00543E8E">
        <w:rPr>
          <w:color w:val="000000" w:themeColor="text1"/>
        </w:rPr>
        <w:t xml:space="preserve"> </w:t>
      </w:r>
      <w:r w:rsidR="00E765D5" w:rsidRPr="00543E8E">
        <w:rPr>
          <w:color w:val="000000" w:themeColor="text1"/>
        </w:rPr>
        <w:t xml:space="preserve">for building innovative funding mechanisms for both protection and climate change adaptation and mitigation. </w:t>
      </w:r>
      <w:r w:rsidR="0028664B" w:rsidRPr="00543E8E">
        <w:rPr>
          <w:color w:val="000000" w:themeColor="text1"/>
        </w:rPr>
        <w:t>T</w:t>
      </w:r>
      <w:r w:rsidR="00E765D5" w:rsidRPr="00543E8E">
        <w:rPr>
          <w:color w:val="000000" w:themeColor="text1"/>
        </w:rPr>
        <w:t xml:space="preserve">he joint </w:t>
      </w:r>
      <w:r>
        <w:rPr>
          <w:color w:val="000000" w:themeColor="text1"/>
        </w:rPr>
        <w:t>r</w:t>
      </w:r>
      <w:r w:rsidRPr="00543E8E">
        <w:rPr>
          <w:color w:val="000000" w:themeColor="text1"/>
        </w:rPr>
        <w:t xml:space="preserve">esource </w:t>
      </w:r>
      <w:r>
        <w:rPr>
          <w:color w:val="000000" w:themeColor="text1"/>
        </w:rPr>
        <w:t>m</w:t>
      </w:r>
      <w:r w:rsidRPr="00543E8E">
        <w:rPr>
          <w:color w:val="000000" w:themeColor="text1"/>
        </w:rPr>
        <w:t xml:space="preserve">obilization </w:t>
      </w:r>
      <w:r w:rsidR="00E765D5" w:rsidRPr="00543E8E">
        <w:rPr>
          <w:color w:val="000000" w:themeColor="text1"/>
        </w:rPr>
        <w:t xml:space="preserve">strategy of the One </w:t>
      </w:r>
      <w:r w:rsidR="00A61733" w:rsidRPr="00543E8E">
        <w:rPr>
          <w:color w:val="000000" w:themeColor="text1"/>
        </w:rPr>
        <w:t>U</w:t>
      </w:r>
      <w:r>
        <w:rPr>
          <w:color w:val="000000" w:themeColor="text1"/>
        </w:rPr>
        <w:t xml:space="preserve">nited </w:t>
      </w:r>
      <w:r w:rsidR="00A61733" w:rsidRPr="00543E8E">
        <w:rPr>
          <w:color w:val="000000" w:themeColor="text1"/>
        </w:rPr>
        <w:t>N</w:t>
      </w:r>
      <w:r>
        <w:rPr>
          <w:color w:val="000000" w:themeColor="text1"/>
        </w:rPr>
        <w:t>ations</w:t>
      </w:r>
      <w:r w:rsidR="00A61733" w:rsidRPr="00543E8E">
        <w:rPr>
          <w:color w:val="000000" w:themeColor="text1"/>
        </w:rPr>
        <w:t xml:space="preserve"> Coherence </w:t>
      </w:r>
      <w:r w:rsidR="00E765D5" w:rsidRPr="00543E8E">
        <w:rPr>
          <w:color w:val="000000" w:themeColor="text1"/>
        </w:rPr>
        <w:t xml:space="preserve">Fund for the </w:t>
      </w:r>
      <w:r>
        <w:rPr>
          <w:color w:val="000000" w:themeColor="text1"/>
        </w:rPr>
        <w:t>programme of cooperation</w:t>
      </w:r>
      <w:r w:rsidRPr="00543E8E">
        <w:rPr>
          <w:color w:val="000000" w:themeColor="text1"/>
        </w:rPr>
        <w:t xml:space="preserve"> </w:t>
      </w:r>
      <w:r w:rsidR="0028664B" w:rsidRPr="00543E8E">
        <w:rPr>
          <w:color w:val="000000" w:themeColor="text1"/>
        </w:rPr>
        <w:t xml:space="preserve">will </w:t>
      </w:r>
      <w:r w:rsidR="00E765D5" w:rsidRPr="00543E8E">
        <w:rPr>
          <w:color w:val="000000" w:themeColor="text1"/>
        </w:rPr>
        <w:t>support</w:t>
      </w:r>
      <w:r w:rsidR="00E845D0" w:rsidRPr="00543E8E">
        <w:rPr>
          <w:color w:val="000000" w:themeColor="text1"/>
        </w:rPr>
        <w:t xml:space="preserve"> UNDP results in</w:t>
      </w:r>
      <w:r w:rsidR="00E765D5" w:rsidRPr="00543E8E">
        <w:rPr>
          <w:color w:val="000000" w:themeColor="text1"/>
        </w:rPr>
        <w:t xml:space="preserve"> joint programming with U</w:t>
      </w:r>
      <w:r>
        <w:rPr>
          <w:color w:val="000000" w:themeColor="text1"/>
        </w:rPr>
        <w:t xml:space="preserve">nited </w:t>
      </w:r>
      <w:r w:rsidR="00E765D5" w:rsidRPr="00543E8E">
        <w:rPr>
          <w:color w:val="000000" w:themeColor="text1"/>
        </w:rPr>
        <w:t>N</w:t>
      </w:r>
      <w:r>
        <w:rPr>
          <w:color w:val="000000" w:themeColor="text1"/>
        </w:rPr>
        <w:t>ations</w:t>
      </w:r>
      <w:r w:rsidR="00E765D5" w:rsidRPr="00543E8E">
        <w:rPr>
          <w:color w:val="000000" w:themeColor="text1"/>
        </w:rPr>
        <w:t xml:space="preserve"> agency partners. </w:t>
      </w:r>
      <w:r w:rsidR="006A174E" w:rsidRPr="00543E8E">
        <w:rPr>
          <w:color w:val="000000" w:themeColor="text1"/>
        </w:rPr>
        <w:t xml:space="preserve"> </w:t>
      </w:r>
    </w:p>
    <w:p w14:paraId="5E2F7B5D" w14:textId="77777777" w:rsidR="00811450" w:rsidRPr="00D91006" w:rsidRDefault="00811450" w:rsidP="004F7071">
      <w:pPr>
        <w:pStyle w:val="ListParagraph"/>
        <w:tabs>
          <w:tab w:val="left" w:pos="180"/>
          <w:tab w:val="left" w:pos="360"/>
        </w:tabs>
        <w:ind w:left="0" w:right="65"/>
        <w:contextualSpacing/>
        <w:jc w:val="both"/>
        <w:rPr>
          <w:sz w:val="12"/>
          <w:szCs w:val="12"/>
        </w:rPr>
      </w:pPr>
    </w:p>
    <w:p w14:paraId="0F0AA9A2" w14:textId="2B608061" w:rsidR="0030144D" w:rsidRPr="00543E8E" w:rsidRDefault="0030144D" w:rsidP="004F7071">
      <w:pPr>
        <w:pStyle w:val="ListParagraph"/>
        <w:numPr>
          <w:ilvl w:val="0"/>
          <w:numId w:val="36"/>
        </w:numPr>
        <w:tabs>
          <w:tab w:val="left" w:pos="180"/>
          <w:tab w:val="left" w:pos="360"/>
        </w:tabs>
        <w:ind w:left="0" w:right="65" w:firstLine="0"/>
        <w:contextualSpacing/>
        <w:jc w:val="both"/>
      </w:pPr>
      <w:r w:rsidRPr="00543E8E">
        <w:rPr>
          <w:color w:val="000000" w:themeColor="text1"/>
        </w:rPr>
        <w:t>The country office will need to manage two main risks. The most important is the reform agenda. Partisan</w:t>
      </w:r>
      <w:r w:rsidR="0053528D" w:rsidRPr="00543E8E">
        <w:rPr>
          <w:color w:val="000000" w:themeColor="text1"/>
        </w:rPr>
        <w:t xml:space="preserve"> polarization risks blocking </w:t>
      </w:r>
      <w:r w:rsidRPr="00543E8E">
        <w:rPr>
          <w:color w:val="000000" w:themeColor="text1"/>
        </w:rPr>
        <w:t xml:space="preserve">core </w:t>
      </w:r>
      <w:r w:rsidR="009809B1">
        <w:rPr>
          <w:color w:val="000000" w:themeColor="text1"/>
        </w:rPr>
        <w:t>refo</w:t>
      </w:r>
      <w:r w:rsidR="00CD01B4">
        <w:rPr>
          <w:color w:val="000000" w:themeColor="text1"/>
        </w:rPr>
        <w:t>r</w:t>
      </w:r>
      <w:r w:rsidR="009809B1">
        <w:rPr>
          <w:color w:val="000000" w:themeColor="text1"/>
        </w:rPr>
        <w:t xml:space="preserve">ms in the areas of </w:t>
      </w:r>
      <w:r w:rsidRPr="00543E8E">
        <w:rPr>
          <w:color w:val="000000" w:themeColor="text1"/>
        </w:rPr>
        <w:t>governance and rule of law ne</w:t>
      </w:r>
      <w:r w:rsidR="009809B1">
        <w:rPr>
          <w:color w:val="000000" w:themeColor="text1"/>
        </w:rPr>
        <w:t>cessary</w:t>
      </w:r>
      <w:r w:rsidRPr="00543E8E">
        <w:rPr>
          <w:color w:val="000000" w:themeColor="text1"/>
        </w:rPr>
        <w:t xml:space="preserve"> for EU accession. </w:t>
      </w:r>
      <w:r w:rsidR="0053528D" w:rsidRPr="00543E8E">
        <w:rPr>
          <w:color w:val="000000" w:themeColor="text1"/>
        </w:rPr>
        <w:t>To advocate momentum for key reforms, UNDP will actively build bipartisan dialogue based on independent evidence and monitoring with civil society, e.g.</w:t>
      </w:r>
      <w:r w:rsidR="009809B1">
        <w:rPr>
          <w:color w:val="000000" w:themeColor="text1"/>
        </w:rPr>
        <w:t>,</w:t>
      </w:r>
      <w:r w:rsidR="0053528D" w:rsidRPr="00543E8E">
        <w:rPr>
          <w:color w:val="000000" w:themeColor="text1"/>
        </w:rPr>
        <w:t xml:space="preserve"> through open government and data partnerships. This will help </w:t>
      </w:r>
      <w:r w:rsidR="00116BEC">
        <w:rPr>
          <w:color w:val="000000" w:themeColor="text1"/>
        </w:rPr>
        <w:t xml:space="preserve">UNDP </w:t>
      </w:r>
      <w:r w:rsidR="009809B1">
        <w:rPr>
          <w:color w:val="000000" w:themeColor="text1"/>
        </w:rPr>
        <w:t xml:space="preserve">to </w:t>
      </w:r>
      <w:r w:rsidR="0053528D" w:rsidRPr="00543E8E">
        <w:rPr>
          <w:color w:val="000000" w:themeColor="text1"/>
        </w:rPr>
        <w:t xml:space="preserve">maintain a </w:t>
      </w:r>
      <w:r w:rsidRPr="00543E8E">
        <w:rPr>
          <w:color w:val="000000" w:themeColor="text1"/>
        </w:rPr>
        <w:t xml:space="preserve">firmly non-partisan stance and focus on bringing tangible improvements to people’s lives. The second risk, linked to the first, is funding. </w:t>
      </w:r>
      <w:r w:rsidR="009809B1">
        <w:rPr>
          <w:color w:val="000000" w:themeColor="text1"/>
        </w:rPr>
        <w:t>A c</w:t>
      </w:r>
      <w:r w:rsidR="009809B1" w:rsidRPr="00543E8E">
        <w:rPr>
          <w:color w:val="000000" w:themeColor="text1"/>
        </w:rPr>
        <w:t xml:space="preserve">hange </w:t>
      </w:r>
      <w:r w:rsidRPr="00543E8E">
        <w:rPr>
          <w:color w:val="000000" w:themeColor="text1"/>
        </w:rPr>
        <w:t xml:space="preserve">of focus from the reform agenda for EU accession towards </w:t>
      </w:r>
      <w:r w:rsidR="009809B1" w:rsidRPr="00543E8E">
        <w:rPr>
          <w:color w:val="000000" w:themeColor="text1"/>
        </w:rPr>
        <w:t>shorter</w:t>
      </w:r>
      <w:r w:rsidR="009809B1">
        <w:rPr>
          <w:color w:val="000000" w:themeColor="text1"/>
        </w:rPr>
        <w:t>-</w:t>
      </w:r>
      <w:r w:rsidRPr="00543E8E">
        <w:rPr>
          <w:color w:val="000000" w:themeColor="text1"/>
        </w:rPr>
        <w:t>term partisan considerations will undermine the commitment of international partners. Further financial prudence will be maintained to prepare for potential reversals in funding commitments.</w:t>
      </w:r>
      <w:r w:rsidR="005E6493" w:rsidRPr="00543E8E">
        <w:rPr>
          <w:color w:val="000000" w:themeColor="text1"/>
        </w:rPr>
        <w:t xml:space="preserve"> </w:t>
      </w:r>
    </w:p>
    <w:p w14:paraId="5E9C7EB1" w14:textId="77777777" w:rsidR="00811450" w:rsidRPr="00D91006" w:rsidRDefault="00811450" w:rsidP="004F7071">
      <w:pPr>
        <w:pStyle w:val="ListParagraph"/>
        <w:tabs>
          <w:tab w:val="left" w:pos="180"/>
          <w:tab w:val="left" w:pos="360"/>
        </w:tabs>
        <w:ind w:left="0" w:right="65"/>
        <w:contextualSpacing/>
        <w:jc w:val="both"/>
        <w:rPr>
          <w:sz w:val="12"/>
          <w:szCs w:val="12"/>
        </w:rPr>
      </w:pPr>
    </w:p>
    <w:p w14:paraId="24EB7051" w14:textId="2382C88E" w:rsidR="001F64B7" w:rsidRPr="00543E8E" w:rsidRDefault="009F4860" w:rsidP="004F7071">
      <w:pPr>
        <w:pStyle w:val="ListParagraph"/>
        <w:numPr>
          <w:ilvl w:val="0"/>
          <w:numId w:val="36"/>
        </w:numPr>
        <w:tabs>
          <w:tab w:val="left" w:pos="180"/>
          <w:tab w:val="left" w:pos="360"/>
        </w:tabs>
        <w:ind w:left="0" w:right="65" w:firstLine="0"/>
        <w:contextualSpacing/>
        <w:jc w:val="both"/>
        <w:rPr>
          <w:color w:val="000000"/>
        </w:rPr>
      </w:pPr>
      <w:r w:rsidRPr="00543E8E">
        <w:rPr>
          <w:color w:val="000000"/>
        </w:rPr>
        <w:t xml:space="preserve">This country programme document outlines </w:t>
      </w:r>
      <w:r w:rsidR="009809B1">
        <w:rPr>
          <w:color w:val="000000"/>
        </w:rPr>
        <w:t xml:space="preserve">the </w:t>
      </w:r>
      <w:r w:rsidRPr="00543E8E">
        <w:rPr>
          <w:color w:val="000000"/>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9809B1">
        <w:rPr>
          <w:color w:val="000000"/>
        </w:rPr>
        <w:t>are</w:t>
      </w:r>
      <w:r w:rsidR="009809B1" w:rsidRPr="00543E8E">
        <w:rPr>
          <w:color w:val="000000"/>
        </w:rPr>
        <w:t xml:space="preserve"> </w:t>
      </w:r>
      <w:r w:rsidRPr="00543E8E">
        <w:rPr>
          <w:color w:val="000000"/>
        </w:rPr>
        <w:t xml:space="preserve">prescribed in the organization’s </w:t>
      </w:r>
      <w:hyperlink r:id="rId22" w:history="1">
        <w:r w:rsidRPr="00543E8E">
          <w:rPr>
            <w:color w:val="000000"/>
          </w:rPr>
          <w:t>programme and operations polic</w:t>
        </w:r>
        <w:r w:rsidR="00287E07" w:rsidRPr="00543E8E">
          <w:rPr>
            <w:color w:val="000000"/>
          </w:rPr>
          <w:t>ies and procedures</w:t>
        </w:r>
      </w:hyperlink>
      <w:r w:rsidRPr="00543E8E">
        <w:rPr>
          <w:color w:val="000000"/>
        </w:rPr>
        <w:t xml:space="preserve"> and the </w:t>
      </w:r>
      <w:hyperlink r:id="rId23" w:history="1">
        <w:r w:rsidRPr="00543E8E">
          <w:rPr>
            <w:color w:val="000000"/>
          </w:rPr>
          <w:t>internal c</w:t>
        </w:r>
        <w:r w:rsidR="00287E07" w:rsidRPr="00543E8E">
          <w:rPr>
            <w:color w:val="000000"/>
          </w:rPr>
          <w:t>ontrols framework</w:t>
        </w:r>
      </w:hyperlink>
      <w:r w:rsidRPr="00543E8E">
        <w:rPr>
          <w:color w:val="000000"/>
        </w:rPr>
        <w:t>.</w:t>
      </w:r>
    </w:p>
    <w:p w14:paraId="04BFF859" w14:textId="77777777" w:rsidR="001F64B7" w:rsidRPr="00543E8E" w:rsidRDefault="001F64B7" w:rsidP="004F7071">
      <w:pPr>
        <w:pStyle w:val="ListParagraph"/>
        <w:tabs>
          <w:tab w:val="left" w:pos="360"/>
        </w:tabs>
        <w:ind w:left="0" w:right="65"/>
        <w:rPr>
          <w:color w:val="000000" w:themeColor="text1"/>
        </w:rPr>
      </w:pPr>
    </w:p>
    <w:p w14:paraId="6FFF1148" w14:textId="669E8EF2" w:rsidR="001F64B7" w:rsidRPr="007C709B" w:rsidRDefault="001F64B7" w:rsidP="004F7071">
      <w:pPr>
        <w:pStyle w:val="Heading1"/>
        <w:numPr>
          <w:ilvl w:val="0"/>
          <w:numId w:val="41"/>
        </w:numPr>
        <w:tabs>
          <w:tab w:val="clear" w:pos="1296"/>
          <w:tab w:val="num" w:pos="0"/>
          <w:tab w:val="left" w:pos="360"/>
          <w:tab w:val="left" w:pos="1800"/>
        </w:tabs>
        <w:ind w:right="65" w:hanging="1476"/>
        <w:jc w:val="both"/>
        <w:rPr>
          <w:rFonts w:ascii="Times New Roman" w:hAnsi="Times New Roman"/>
          <w:color w:val="000000" w:themeColor="text1"/>
          <w:sz w:val="24"/>
          <w:szCs w:val="24"/>
          <w:lang w:val="en-US"/>
        </w:rPr>
      </w:pPr>
      <w:r w:rsidRPr="007C709B">
        <w:rPr>
          <w:rFonts w:ascii="Times New Roman" w:hAnsi="Times New Roman"/>
          <w:color w:val="000000" w:themeColor="text1"/>
          <w:sz w:val="24"/>
          <w:szCs w:val="24"/>
        </w:rPr>
        <w:t xml:space="preserve">Monitoring and </w:t>
      </w:r>
      <w:r w:rsidR="007C709B">
        <w:rPr>
          <w:rFonts w:ascii="Times New Roman" w:hAnsi="Times New Roman"/>
          <w:color w:val="000000" w:themeColor="text1"/>
          <w:sz w:val="24"/>
          <w:szCs w:val="24"/>
          <w:lang w:val="en-US"/>
        </w:rPr>
        <w:t>e</w:t>
      </w:r>
      <w:r w:rsidRPr="007C709B">
        <w:rPr>
          <w:rFonts w:ascii="Times New Roman" w:hAnsi="Times New Roman"/>
          <w:color w:val="000000" w:themeColor="text1"/>
          <w:sz w:val="24"/>
          <w:szCs w:val="24"/>
          <w:lang w:val="en-US"/>
        </w:rPr>
        <w:t>valuation</w:t>
      </w:r>
    </w:p>
    <w:p w14:paraId="2746E959" w14:textId="77777777" w:rsidR="001F64B7" w:rsidRPr="00543E8E" w:rsidRDefault="001F64B7" w:rsidP="004F7071">
      <w:pPr>
        <w:pStyle w:val="ListParagraph"/>
        <w:tabs>
          <w:tab w:val="left" w:pos="360"/>
        </w:tabs>
        <w:ind w:left="0" w:right="65"/>
        <w:rPr>
          <w:color w:val="000000" w:themeColor="text1"/>
        </w:rPr>
      </w:pPr>
    </w:p>
    <w:p w14:paraId="2F16AC5B" w14:textId="58BE2319" w:rsidR="001F64B7" w:rsidRPr="00543E8E" w:rsidRDefault="001F64B7" w:rsidP="004F7071">
      <w:pPr>
        <w:pStyle w:val="ListParagraph"/>
        <w:numPr>
          <w:ilvl w:val="0"/>
          <w:numId w:val="36"/>
        </w:numPr>
        <w:tabs>
          <w:tab w:val="left" w:pos="180"/>
          <w:tab w:val="left" w:pos="360"/>
        </w:tabs>
        <w:ind w:left="0" w:right="65" w:firstLine="0"/>
        <w:contextualSpacing/>
        <w:jc w:val="both"/>
        <w:rPr>
          <w:color w:val="000000"/>
        </w:rPr>
      </w:pPr>
      <w:r w:rsidRPr="00543E8E">
        <w:rPr>
          <w:color w:val="000000" w:themeColor="text1"/>
        </w:rPr>
        <w:t>Outcome and output indicators have been selected to ensure that they can be measured easily and m</w:t>
      </w:r>
      <w:r w:rsidRPr="00543E8E">
        <w:t>onitored on a regular basis. In some cases, UNDP will derive the data through commissioned surveys, e.g.</w:t>
      </w:r>
      <w:r w:rsidR="009809B1">
        <w:t>,</w:t>
      </w:r>
      <w:r w:rsidRPr="00543E8E">
        <w:t xml:space="preserve"> </w:t>
      </w:r>
      <w:r w:rsidR="009809B1">
        <w:t xml:space="preserve">the </w:t>
      </w:r>
      <w:r w:rsidRPr="00543E8E">
        <w:t>Open Government Partnership. The program</w:t>
      </w:r>
      <w:r w:rsidR="009809B1">
        <w:t>me</w:t>
      </w:r>
      <w:r w:rsidRPr="00543E8E">
        <w:t xml:space="preserve"> strategy focusing on service delivery and ensuring that performance monitoring tools are used at local levels creates</w:t>
      </w:r>
      <w:r w:rsidR="009809B1">
        <w:t xml:space="preserve"> possibilities for </w:t>
      </w:r>
      <w:r w:rsidRPr="00543E8E">
        <w:t xml:space="preserve">self-evaluation. It also keeps the focus firmly on the lives of </w:t>
      </w:r>
      <w:r w:rsidR="009809B1">
        <w:t xml:space="preserve">the </w:t>
      </w:r>
      <w:r w:rsidRPr="00543E8E">
        <w:t>people serve</w:t>
      </w:r>
      <w:r w:rsidR="009809B1">
        <w:t>d by UNDP</w:t>
      </w:r>
      <w:r w:rsidRPr="00543E8E">
        <w:t>. During the program</w:t>
      </w:r>
      <w:r w:rsidR="009809B1">
        <w:t>me</w:t>
      </w:r>
      <w:r w:rsidRPr="00543E8E">
        <w:t xml:space="preserve"> period, the Institute of National Statistics will transition fully to European methodologies, notably the EU Statistics on Income and Living Conditions. When adopted</w:t>
      </w:r>
      <w:r w:rsidR="009809B1">
        <w:t>, the latter</w:t>
      </w:r>
      <w:r w:rsidRPr="00543E8E">
        <w:t xml:space="preserve"> will provide much needed metrics for measuring poverty, inequalities and social exclusion. During the program</w:t>
      </w:r>
      <w:r w:rsidR="009809B1">
        <w:t>me</w:t>
      </w:r>
      <w:r w:rsidRPr="00543E8E">
        <w:t xml:space="preserve"> period, the establishment of a </w:t>
      </w:r>
      <w:r w:rsidR="009809B1">
        <w:t>s</w:t>
      </w:r>
      <w:r w:rsidR="009809B1" w:rsidRPr="00543E8E">
        <w:t xml:space="preserve">tatistical </w:t>
      </w:r>
      <w:r w:rsidR="009809B1">
        <w:t>i</w:t>
      </w:r>
      <w:r w:rsidR="009809B1" w:rsidRPr="00543E8E">
        <w:t xml:space="preserve">ndicators </w:t>
      </w:r>
      <w:r w:rsidRPr="00543E8E">
        <w:t xml:space="preserve">and </w:t>
      </w:r>
      <w:r w:rsidR="009809B1">
        <w:t>i</w:t>
      </w:r>
      <w:r w:rsidR="009809B1" w:rsidRPr="00543E8E">
        <w:t xml:space="preserve">ntegrity </w:t>
      </w:r>
      <w:r w:rsidR="009809B1">
        <w:t>g</w:t>
      </w:r>
      <w:r w:rsidR="009809B1" w:rsidRPr="00543E8E">
        <w:t>roup</w:t>
      </w:r>
      <w:r w:rsidR="009809B1">
        <w:t xml:space="preserve">, </w:t>
      </w:r>
      <w:r w:rsidR="009809B1" w:rsidRPr="00543E8E">
        <w:t>with UNDP support</w:t>
      </w:r>
      <w:r w:rsidR="009809B1">
        <w:t>,</w:t>
      </w:r>
      <w:r w:rsidRPr="00543E8E">
        <w:t xml:space="preserve"> will provide the institutional basis for monitoring inequalities (</w:t>
      </w:r>
      <w:r w:rsidR="009809B1">
        <w:t>Sustainable Development Goal</w:t>
      </w:r>
      <w:r w:rsidRPr="00543E8E">
        <w:t xml:space="preserve"> 10). </w:t>
      </w:r>
      <w:r w:rsidRPr="00543E8E">
        <w:rPr>
          <w:color w:val="984806" w:themeColor="accent6" w:themeShade="80"/>
        </w:rPr>
        <w:t xml:space="preserve">  </w:t>
      </w:r>
    </w:p>
    <w:p w14:paraId="34B53953" w14:textId="77777777" w:rsidR="00811450" w:rsidRPr="004E05B6" w:rsidRDefault="00811450" w:rsidP="004F7071">
      <w:pPr>
        <w:tabs>
          <w:tab w:val="left" w:pos="180"/>
          <w:tab w:val="left" w:pos="360"/>
        </w:tabs>
        <w:ind w:right="65"/>
        <w:contextualSpacing/>
        <w:jc w:val="both"/>
        <w:rPr>
          <w:sz w:val="12"/>
          <w:szCs w:val="12"/>
        </w:rPr>
      </w:pPr>
    </w:p>
    <w:p w14:paraId="0ED0A1C0" w14:textId="53E9FCFC" w:rsidR="0030144D" w:rsidRPr="00543E8E" w:rsidRDefault="0030144D" w:rsidP="004F7071">
      <w:pPr>
        <w:pStyle w:val="ListParagraph"/>
        <w:numPr>
          <w:ilvl w:val="0"/>
          <w:numId w:val="36"/>
        </w:numPr>
        <w:tabs>
          <w:tab w:val="left" w:pos="180"/>
          <w:tab w:val="left" w:pos="360"/>
        </w:tabs>
        <w:ind w:left="0" w:right="65" w:firstLine="0"/>
        <w:contextualSpacing/>
        <w:jc w:val="both"/>
      </w:pPr>
      <w:r w:rsidRPr="00543E8E">
        <w:rPr>
          <w:color w:val="000000" w:themeColor="text1"/>
        </w:rPr>
        <w:t xml:space="preserve">The </w:t>
      </w:r>
      <w:r w:rsidR="009809B1">
        <w:rPr>
          <w:color w:val="000000" w:themeColor="text1"/>
        </w:rPr>
        <w:t>a</w:t>
      </w:r>
      <w:r w:rsidR="009809B1" w:rsidRPr="00543E8E">
        <w:rPr>
          <w:color w:val="000000" w:themeColor="text1"/>
        </w:rPr>
        <w:t xml:space="preserve">ssessment </w:t>
      </w:r>
      <w:r w:rsidRPr="00543E8E">
        <w:rPr>
          <w:color w:val="000000" w:themeColor="text1"/>
        </w:rPr>
        <w:t xml:space="preserve">of </w:t>
      </w:r>
      <w:r w:rsidR="009809B1">
        <w:rPr>
          <w:color w:val="000000" w:themeColor="text1"/>
        </w:rPr>
        <w:t>d</w:t>
      </w:r>
      <w:r w:rsidR="009809B1" w:rsidRPr="00543E8E">
        <w:rPr>
          <w:color w:val="000000" w:themeColor="text1"/>
        </w:rPr>
        <w:t xml:space="preserve">evelopment </w:t>
      </w:r>
      <w:r w:rsidR="009809B1">
        <w:rPr>
          <w:color w:val="000000" w:themeColor="text1"/>
        </w:rPr>
        <w:t>r</w:t>
      </w:r>
      <w:r w:rsidR="009809B1" w:rsidRPr="00543E8E">
        <w:rPr>
          <w:color w:val="000000" w:themeColor="text1"/>
        </w:rPr>
        <w:t xml:space="preserve">esults </w:t>
      </w:r>
      <w:r w:rsidRPr="00543E8E">
        <w:rPr>
          <w:color w:val="000000" w:themeColor="text1"/>
        </w:rPr>
        <w:t xml:space="preserve">and </w:t>
      </w:r>
      <w:r w:rsidR="009809B1">
        <w:rPr>
          <w:color w:val="000000" w:themeColor="text1"/>
        </w:rPr>
        <w:t xml:space="preserve">evaluation of the United Nations Development Assistance Framework </w:t>
      </w:r>
      <w:r w:rsidRPr="00543E8E">
        <w:rPr>
          <w:color w:val="000000" w:themeColor="text1"/>
        </w:rPr>
        <w:t xml:space="preserve">inform the scope and trajectory of the proposed </w:t>
      </w:r>
      <w:r w:rsidR="009809B1">
        <w:rPr>
          <w:color w:val="000000" w:themeColor="text1"/>
        </w:rPr>
        <w:t xml:space="preserve">country </w:t>
      </w:r>
      <w:r w:rsidRPr="00543E8E">
        <w:rPr>
          <w:color w:val="000000" w:themeColor="text1"/>
        </w:rPr>
        <w:t>program</w:t>
      </w:r>
      <w:r w:rsidR="009809B1">
        <w:rPr>
          <w:color w:val="000000" w:themeColor="text1"/>
        </w:rPr>
        <w:t>me</w:t>
      </w:r>
      <w:r w:rsidRPr="00543E8E">
        <w:rPr>
          <w:color w:val="000000" w:themeColor="text1"/>
        </w:rPr>
        <w:t>. Given the program</w:t>
      </w:r>
      <w:r w:rsidR="009809B1">
        <w:rPr>
          <w:color w:val="000000" w:themeColor="text1"/>
        </w:rPr>
        <w:t>me</w:t>
      </w:r>
      <w:r w:rsidRPr="00543E8E">
        <w:rPr>
          <w:color w:val="000000" w:themeColor="text1"/>
        </w:rPr>
        <w:t xml:space="preserve"> structure, future evaluations will include outcome and project evaluations especially where projects represent </w:t>
      </w:r>
      <w:r w:rsidR="00515E41">
        <w:rPr>
          <w:color w:val="000000" w:themeColor="text1"/>
        </w:rPr>
        <w:t xml:space="preserve">the contributions of </w:t>
      </w:r>
      <w:r w:rsidRPr="00543E8E">
        <w:rPr>
          <w:color w:val="000000" w:themeColor="text1"/>
        </w:rPr>
        <w:t xml:space="preserve">multiple donors to broad reforms.  </w:t>
      </w:r>
    </w:p>
    <w:p w14:paraId="0DF3F2D1" w14:textId="77777777" w:rsidR="000A59A8" w:rsidRPr="000A59A8" w:rsidRDefault="000A59A8" w:rsidP="000A59A8">
      <w:pPr>
        <w:pStyle w:val="ListParagraph"/>
        <w:rPr>
          <w:sz w:val="24"/>
          <w:szCs w:val="24"/>
        </w:rPr>
      </w:pPr>
    </w:p>
    <w:p w14:paraId="2D4CC51F" w14:textId="77777777" w:rsidR="000A59A8" w:rsidRDefault="000A59A8" w:rsidP="000A59A8">
      <w:pPr>
        <w:tabs>
          <w:tab w:val="left" w:pos="180"/>
        </w:tabs>
        <w:ind w:right="130"/>
        <w:contextualSpacing/>
        <w:jc w:val="both"/>
        <w:rPr>
          <w:sz w:val="24"/>
          <w:szCs w:val="24"/>
        </w:rPr>
      </w:pPr>
    </w:p>
    <w:p w14:paraId="565105E3" w14:textId="77777777" w:rsidR="00F73405" w:rsidRDefault="00F73405" w:rsidP="000A59A8">
      <w:pPr>
        <w:spacing w:before="240" w:after="120"/>
        <w:outlineLvl w:val="3"/>
        <w:rPr>
          <w:rFonts w:ascii="Calibri" w:hAnsi="Calibri"/>
          <w:b/>
          <w:bCs/>
          <w:color w:val="000000"/>
          <w:sz w:val="22"/>
          <w:szCs w:val="22"/>
        </w:rPr>
        <w:sectPr w:rsidR="00F73405" w:rsidSect="00543E8E">
          <w:headerReference w:type="even" r:id="rId24"/>
          <w:footerReference w:type="even" r:id="rId25"/>
          <w:footnotePr>
            <w:numRestart w:val="eachSect"/>
          </w:footnotePr>
          <w:endnotePr>
            <w:numFmt w:val="decimal"/>
            <w:numStart w:val="7"/>
          </w:endnotePr>
          <w:type w:val="continuous"/>
          <w:pgSz w:w="12240" w:h="15840" w:code="1"/>
          <w:pgMar w:top="1166" w:right="1980" w:bottom="1440" w:left="1890" w:header="576" w:footer="1037" w:gutter="0"/>
          <w:cols w:space="720"/>
          <w:noEndnote/>
          <w:titlePg/>
          <w:docGrid w:linePitch="272"/>
        </w:sectPr>
      </w:pPr>
    </w:p>
    <w:p w14:paraId="786A94C5" w14:textId="75118A6B" w:rsidR="00A7476B" w:rsidRDefault="00A7476B" w:rsidP="00A7476B">
      <w:pPr>
        <w:jc w:val="both"/>
        <w:rPr>
          <w:b/>
          <w:bCs/>
          <w:color w:val="000000"/>
          <w:sz w:val="28"/>
          <w:szCs w:val="28"/>
        </w:rPr>
      </w:pPr>
      <w:r w:rsidRPr="001D58F5">
        <w:rPr>
          <w:b/>
          <w:bCs/>
          <w:color w:val="000000"/>
          <w:sz w:val="28"/>
          <w:szCs w:val="28"/>
        </w:rPr>
        <w:lastRenderedPageBreak/>
        <w:t>Annex. Resul</w:t>
      </w:r>
      <w:r>
        <w:rPr>
          <w:b/>
          <w:bCs/>
          <w:color w:val="000000"/>
          <w:sz w:val="28"/>
          <w:szCs w:val="28"/>
        </w:rPr>
        <w:t>ts and resources framework for Albania (2017-2021)</w:t>
      </w:r>
    </w:p>
    <w:p w14:paraId="3CF818A4" w14:textId="77777777" w:rsidR="00A7476B" w:rsidRPr="003B3A59" w:rsidRDefault="00A7476B" w:rsidP="00A7476B">
      <w:pPr>
        <w:jc w:val="both"/>
        <w:rPr>
          <w:bCs/>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3103"/>
        <w:gridCol w:w="821"/>
        <w:gridCol w:w="1081"/>
        <w:gridCol w:w="264"/>
        <w:gridCol w:w="261"/>
        <w:gridCol w:w="4256"/>
        <w:gridCol w:w="84"/>
        <w:gridCol w:w="2260"/>
        <w:gridCol w:w="21"/>
        <w:gridCol w:w="24"/>
        <w:gridCol w:w="1053"/>
      </w:tblGrid>
      <w:tr w:rsidR="000A59A8" w:rsidRPr="00B83CEB" w14:paraId="79CF4023" w14:textId="77777777" w:rsidTr="006819F7">
        <w:tc>
          <w:tcPr>
            <w:tcW w:w="0" w:type="auto"/>
            <w:gridSpan w:val="11"/>
            <w:tcBorders>
              <w:top w:val="single" w:sz="2" w:space="0" w:color="000000"/>
              <w:left w:val="single" w:sz="2" w:space="0" w:color="000000"/>
              <w:bottom w:val="single" w:sz="6" w:space="0" w:color="000000"/>
              <w:right w:val="single" w:sz="2" w:space="0" w:color="000000"/>
            </w:tcBorders>
            <w:shd w:val="clear" w:color="auto" w:fill="auto"/>
            <w:tcMar>
              <w:top w:w="105" w:type="dxa"/>
              <w:left w:w="105" w:type="dxa"/>
              <w:bottom w:w="105" w:type="dxa"/>
              <w:right w:w="105" w:type="dxa"/>
            </w:tcMar>
            <w:hideMark/>
          </w:tcPr>
          <w:p w14:paraId="066207BB" w14:textId="72727E67" w:rsidR="000A59A8" w:rsidRPr="003A41D8" w:rsidRDefault="000A59A8" w:rsidP="00035536">
            <w:pPr>
              <w:rPr>
                <w:b/>
                <w:bCs/>
                <w:color w:val="000000"/>
                <w:sz w:val="17"/>
                <w:szCs w:val="17"/>
              </w:rPr>
            </w:pPr>
            <w:r w:rsidRPr="00B83CEB">
              <w:rPr>
                <w:b/>
                <w:bCs/>
                <w:color w:val="000000"/>
                <w:sz w:val="17"/>
                <w:szCs w:val="17"/>
              </w:rPr>
              <w:t>N</w:t>
            </w:r>
            <w:r w:rsidR="00515E41" w:rsidRPr="00B83CEB">
              <w:rPr>
                <w:b/>
                <w:bCs/>
                <w:color w:val="000000"/>
                <w:sz w:val="17"/>
                <w:szCs w:val="17"/>
              </w:rPr>
              <w:t>ational</w:t>
            </w:r>
            <w:r w:rsidRPr="00B83CEB">
              <w:rPr>
                <w:b/>
                <w:bCs/>
                <w:color w:val="000000"/>
                <w:sz w:val="17"/>
                <w:szCs w:val="17"/>
              </w:rPr>
              <w:t xml:space="preserve"> </w:t>
            </w:r>
            <w:r w:rsidR="00515E41" w:rsidRPr="00B83CEB">
              <w:rPr>
                <w:b/>
                <w:bCs/>
                <w:color w:val="000000"/>
                <w:sz w:val="17"/>
                <w:szCs w:val="17"/>
              </w:rPr>
              <w:t>priority</w:t>
            </w:r>
            <w:r w:rsidRPr="00B83CEB">
              <w:rPr>
                <w:b/>
                <w:bCs/>
                <w:color w:val="000000"/>
                <w:sz w:val="17"/>
                <w:szCs w:val="17"/>
              </w:rPr>
              <w:t xml:space="preserve">: </w:t>
            </w:r>
            <w:r w:rsidR="003A41D8" w:rsidRPr="003A41D8">
              <w:rPr>
                <w:bCs/>
                <w:color w:val="000000"/>
                <w:sz w:val="17"/>
                <w:szCs w:val="17"/>
              </w:rPr>
              <w:t>G</w:t>
            </w:r>
            <w:r w:rsidR="00515E41" w:rsidRPr="003A41D8">
              <w:rPr>
                <w:bCs/>
                <w:color w:val="000000"/>
                <w:sz w:val="17"/>
                <w:szCs w:val="17"/>
              </w:rPr>
              <w:t xml:space="preserve">ood </w:t>
            </w:r>
            <w:r w:rsidRPr="003A41D8">
              <w:rPr>
                <w:bCs/>
                <w:color w:val="000000"/>
                <w:sz w:val="17"/>
                <w:szCs w:val="17"/>
              </w:rPr>
              <w:t>governance, democracy and rule of law</w:t>
            </w:r>
            <w:r w:rsidR="00035536">
              <w:rPr>
                <w:bCs/>
                <w:color w:val="000000"/>
                <w:sz w:val="17"/>
                <w:szCs w:val="17"/>
              </w:rPr>
              <w:t xml:space="preserve">; </w:t>
            </w:r>
            <w:r w:rsidR="003A41D8">
              <w:rPr>
                <w:bCs/>
                <w:color w:val="000000"/>
                <w:sz w:val="17"/>
                <w:szCs w:val="17"/>
              </w:rPr>
              <w:t xml:space="preserve"> Sustainable Development Goals</w:t>
            </w:r>
            <w:r w:rsidR="003A41D8" w:rsidRPr="003A41D8">
              <w:rPr>
                <w:bCs/>
                <w:color w:val="000000"/>
                <w:sz w:val="17"/>
                <w:szCs w:val="17"/>
              </w:rPr>
              <w:t xml:space="preserve"> 5, 10, 11, 16</w:t>
            </w:r>
          </w:p>
        </w:tc>
      </w:tr>
      <w:tr w:rsidR="003A41D8" w:rsidRPr="00B83CEB" w14:paraId="5B966F04" w14:textId="77777777" w:rsidTr="006819F7">
        <w:tc>
          <w:tcPr>
            <w:tcW w:w="0" w:type="auto"/>
            <w:gridSpan w:val="11"/>
            <w:tcBorders>
              <w:top w:val="single" w:sz="2" w:space="0" w:color="000000"/>
              <w:left w:val="single" w:sz="2" w:space="0" w:color="000000"/>
              <w:bottom w:val="single" w:sz="6" w:space="0" w:color="000000"/>
              <w:right w:val="single" w:sz="2" w:space="0" w:color="000000"/>
            </w:tcBorders>
            <w:shd w:val="clear" w:color="auto" w:fill="auto"/>
            <w:tcMar>
              <w:top w:w="105" w:type="dxa"/>
              <w:left w:w="105" w:type="dxa"/>
              <w:bottom w:w="105" w:type="dxa"/>
              <w:right w:w="105" w:type="dxa"/>
            </w:tcMar>
          </w:tcPr>
          <w:p w14:paraId="51CA5E74" w14:textId="561B300E" w:rsidR="003A41D8" w:rsidRPr="00B83CEB" w:rsidRDefault="003A41D8" w:rsidP="00515E41">
            <w:pPr>
              <w:rPr>
                <w:b/>
                <w:bCs/>
                <w:color w:val="000000"/>
                <w:sz w:val="17"/>
                <w:szCs w:val="17"/>
              </w:rPr>
            </w:pPr>
            <w:r w:rsidRPr="00B83CEB">
              <w:rPr>
                <w:b/>
                <w:bCs/>
                <w:color w:val="000000"/>
                <w:sz w:val="17"/>
                <w:szCs w:val="17"/>
              </w:rPr>
              <w:t xml:space="preserve">UNDAF outcome 1: </w:t>
            </w:r>
            <w:r w:rsidRPr="00B83CEB">
              <w:rPr>
                <w:bCs/>
                <w:color w:val="000000"/>
                <w:sz w:val="17"/>
                <w:szCs w:val="17"/>
              </w:rPr>
              <w:t>State and civil society organization perform effectively and with accountability for consolidated democracy in line with international norms and standards</w:t>
            </w:r>
          </w:p>
        </w:tc>
      </w:tr>
      <w:tr w:rsidR="00D523D0" w:rsidRPr="00B83312" w14:paraId="08BC34A0" w14:textId="77777777" w:rsidTr="006819F7">
        <w:tc>
          <w:tcPr>
            <w:tcW w:w="0" w:type="auto"/>
            <w:gridSpan w:val="11"/>
            <w:tcBorders>
              <w:top w:val="single" w:sz="6" w:space="0" w:color="000000"/>
              <w:left w:val="single" w:sz="2" w:space="0" w:color="000000"/>
              <w:bottom w:val="single" w:sz="6" w:space="0" w:color="000000"/>
              <w:right w:val="single" w:sz="2" w:space="0" w:color="000000"/>
            </w:tcBorders>
            <w:shd w:val="clear" w:color="auto" w:fill="auto"/>
            <w:tcMar>
              <w:top w:w="105" w:type="dxa"/>
              <w:left w:w="105" w:type="dxa"/>
              <w:bottom w:w="105" w:type="dxa"/>
              <w:right w:w="105" w:type="dxa"/>
            </w:tcMar>
            <w:hideMark/>
          </w:tcPr>
          <w:p w14:paraId="1EDC6931" w14:textId="1672C792" w:rsidR="000A59A8" w:rsidRPr="00B83312" w:rsidRDefault="00851AE4" w:rsidP="00851AE4">
            <w:pPr>
              <w:rPr>
                <w:b/>
                <w:bCs/>
                <w:sz w:val="17"/>
                <w:szCs w:val="17"/>
              </w:rPr>
            </w:pPr>
            <w:r w:rsidRPr="00B83312">
              <w:rPr>
                <w:b/>
                <w:bCs/>
                <w:sz w:val="17"/>
                <w:szCs w:val="17"/>
                <w:lang w:val="en-GB"/>
              </w:rPr>
              <w:t xml:space="preserve">Related </w:t>
            </w:r>
            <w:r w:rsidR="003A41D8" w:rsidRPr="00B83312">
              <w:rPr>
                <w:b/>
                <w:bCs/>
                <w:sz w:val="17"/>
                <w:szCs w:val="17"/>
                <w:lang w:val="en-GB"/>
              </w:rPr>
              <w:t xml:space="preserve">Strategic Plan </w:t>
            </w:r>
            <w:r w:rsidR="004A67F9" w:rsidRPr="00B83312">
              <w:rPr>
                <w:b/>
                <w:bCs/>
                <w:sz w:val="17"/>
                <w:szCs w:val="17"/>
                <w:lang w:val="en-GB"/>
              </w:rPr>
              <w:t>(</w:t>
            </w:r>
            <w:r w:rsidR="003A41D8" w:rsidRPr="00B83312">
              <w:rPr>
                <w:b/>
                <w:bCs/>
                <w:sz w:val="17"/>
                <w:szCs w:val="17"/>
                <w:lang w:val="en-GB"/>
              </w:rPr>
              <w:t>2014-2017) Outcome:</w:t>
            </w:r>
            <w:r w:rsidR="00035536" w:rsidRPr="00B83312">
              <w:rPr>
                <w:b/>
                <w:bCs/>
                <w:sz w:val="17"/>
                <w:szCs w:val="17"/>
                <w:lang w:val="en-GB"/>
              </w:rPr>
              <w:t xml:space="preserve"> 2. </w:t>
            </w:r>
            <w:r w:rsidR="003A41D8" w:rsidRPr="00B83312">
              <w:rPr>
                <w:b/>
                <w:bCs/>
                <w:sz w:val="17"/>
                <w:szCs w:val="17"/>
                <w:lang w:val="en-GB"/>
              </w:rPr>
              <w:t xml:space="preserve"> </w:t>
            </w:r>
            <w:r w:rsidR="004A67F9" w:rsidRPr="00B83312">
              <w:rPr>
                <w:rFonts w:eastAsiaTheme="majorEastAsia" w:cstheme="majorBidi"/>
                <w:b/>
                <w:sz w:val="17"/>
                <w:szCs w:val="17"/>
              </w:rPr>
              <w:t>Citizen expectations for voice, development, the rule of law and accountability are met by stronger systems of democratic governance</w:t>
            </w:r>
          </w:p>
        </w:tc>
      </w:tr>
      <w:tr w:rsidR="001072E2" w:rsidRPr="00B83CEB" w14:paraId="447C49B4" w14:textId="77777777" w:rsidTr="00D523D0">
        <w:tc>
          <w:tcPr>
            <w:tcW w:w="3177" w:type="dxa"/>
            <w:tcBorders>
              <w:top w:val="single" w:sz="6" w:space="0" w:color="000000"/>
              <w:left w:val="single" w:sz="2"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5C7DCE6F" w14:textId="77777777" w:rsidR="004251A4" w:rsidRPr="00B83CEB" w:rsidRDefault="004251A4" w:rsidP="004251A4">
            <w:pPr>
              <w:rPr>
                <w:b/>
                <w:bCs/>
                <w:color w:val="000000"/>
                <w:sz w:val="17"/>
                <w:szCs w:val="17"/>
              </w:rPr>
            </w:pPr>
            <w:r w:rsidRPr="00B83CEB">
              <w:rPr>
                <w:b/>
                <w:bCs/>
                <w:color w:val="000000"/>
                <w:sz w:val="17"/>
                <w:szCs w:val="17"/>
              </w:rPr>
              <w:t xml:space="preserve">UNDAF  outcome indicators, baselines, and targets </w:t>
            </w:r>
          </w:p>
        </w:tc>
        <w:tc>
          <w:tcPr>
            <w:tcW w:w="1788" w:type="dxa"/>
            <w:gridSpan w:val="2"/>
            <w:tcBorders>
              <w:top w:val="single" w:sz="2" w:space="0" w:color="000000"/>
              <w:left w:val="single" w:sz="6" w:space="0" w:color="000000"/>
              <w:bottom w:val="single" w:sz="6" w:space="0" w:color="000000"/>
              <w:right w:val="single" w:sz="6" w:space="0" w:color="000000"/>
            </w:tcBorders>
            <w:shd w:val="clear" w:color="auto" w:fill="auto"/>
            <w:tcMar>
              <w:top w:w="105" w:type="dxa"/>
              <w:left w:w="15" w:type="dxa"/>
              <w:bottom w:w="105" w:type="dxa"/>
              <w:right w:w="15" w:type="dxa"/>
            </w:tcMar>
            <w:hideMark/>
          </w:tcPr>
          <w:p w14:paraId="61655CBA" w14:textId="77777777" w:rsidR="004251A4" w:rsidRPr="00B83CEB" w:rsidRDefault="004251A4" w:rsidP="003A41D8">
            <w:pPr>
              <w:rPr>
                <w:b/>
                <w:bCs/>
                <w:color w:val="000000"/>
                <w:sz w:val="17"/>
                <w:szCs w:val="17"/>
              </w:rPr>
            </w:pPr>
            <w:r w:rsidRPr="00B83CEB">
              <w:rPr>
                <w:b/>
                <w:bCs/>
                <w:color w:val="000000"/>
                <w:sz w:val="17"/>
                <w:szCs w:val="17"/>
              </w:rPr>
              <w:t>Data source, frequency of data collection, and responsibilities</w:t>
            </w:r>
          </w:p>
        </w:tc>
        <w:tc>
          <w:tcPr>
            <w:tcW w:w="5068" w:type="dxa"/>
            <w:gridSpan w:val="4"/>
            <w:tcBorders>
              <w:top w:val="single" w:sz="2"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08A334B3" w14:textId="77777777" w:rsidR="004251A4" w:rsidRPr="00B83CEB" w:rsidRDefault="004251A4" w:rsidP="004251A4">
            <w:pPr>
              <w:rPr>
                <w:b/>
                <w:bCs/>
                <w:color w:val="000000"/>
                <w:sz w:val="17"/>
                <w:szCs w:val="17"/>
              </w:rPr>
            </w:pPr>
            <w:r w:rsidRPr="00B83CEB">
              <w:rPr>
                <w:b/>
                <w:bCs/>
                <w:color w:val="000000"/>
                <w:sz w:val="17"/>
                <w:szCs w:val="17"/>
              </w:rPr>
              <w:t>Indicative country programme outputs</w:t>
            </w:r>
          </w:p>
          <w:p w14:paraId="7829646E" w14:textId="730B9186" w:rsidR="004251A4" w:rsidRPr="00B83CEB" w:rsidRDefault="004A67F9" w:rsidP="004251A4">
            <w:pPr>
              <w:rPr>
                <w:b/>
                <w:bCs/>
                <w:color w:val="000000"/>
                <w:sz w:val="17"/>
                <w:szCs w:val="17"/>
              </w:rPr>
            </w:pPr>
            <w:r>
              <w:rPr>
                <w:b/>
                <w:bCs/>
                <w:color w:val="000000"/>
                <w:sz w:val="17"/>
                <w:szCs w:val="17"/>
              </w:rPr>
              <w:t xml:space="preserve"> </w:t>
            </w:r>
          </w:p>
        </w:tc>
        <w:tc>
          <w:tcPr>
            <w:tcW w:w="2313" w:type="dxa"/>
            <w:tcBorders>
              <w:top w:val="single" w:sz="2" w:space="0" w:color="000000"/>
              <w:left w:val="single" w:sz="6" w:space="0" w:color="000000"/>
              <w:bottom w:val="single" w:sz="6" w:space="0" w:color="000000"/>
              <w:right w:val="single" w:sz="6" w:space="0" w:color="000000"/>
            </w:tcBorders>
            <w:shd w:val="clear" w:color="auto" w:fill="auto"/>
            <w:tcMar>
              <w:top w:w="105" w:type="dxa"/>
              <w:left w:w="15" w:type="dxa"/>
              <w:bottom w:w="105" w:type="dxa"/>
              <w:right w:w="15" w:type="dxa"/>
            </w:tcMar>
            <w:hideMark/>
          </w:tcPr>
          <w:p w14:paraId="66FED302" w14:textId="77777777" w:rsidR="004251A4" w:rsidRPr="00B83CEB" w:rsidRDefault="004251A4" w:rsidP="004251A4">
            <w:pPr>
              <w:rPr>
                <w:b/>
                <w:bCs/>
                <w:color w:val="000000"/>
                <w:sz w:val="17"/>
                <w:szCs w:val="17"/>
              </w:rPr>
            </w:pPr>
            <w:r w:rsidRPr="00B83CEB">
              <w:rPr>
                <w:b/>
                <w:bCs/>
                <w:color w:val="000000"/>
                <w:sz w:val="17"/>
                <w:szCs w:val="17"/>
              </w:rPr>
              <w:t>Major partners,</w:t>
            </w:r>
          </w:p>
          <w:p w14:paraId="58F1E817" w14:textId="77777777" w:rsidR="004251A4" w:rsidRPr="00B83CEB" w:rsidRDefault="004251A4" w:rsidP="004251A4">
            <w:pPr>
              <w:rPr>
                <w:b/>
                <w:bCs/>
                <w:color w:val="000000"/>
                <w:sz w:val="17"/>
                <w:szCs w:val="17"/>
              </w:rPr>
            </w:pPr>
            <w:r w:rsidRPr="00B83CEB">
              <w:rPr>
                <w:b/>
                <w:bCs/>
                <w:color w:val="000000"/>
                <w:sz w:val="17"/>
                <w:szCs w:val="17"/>
              </w:rPr>
              <w:t>partnerships,</w:t>
            </w:r>
          </w:p>
          <w:p w14:paraId="53619791" w14:textId="77777777" w:rsidR="004251A4" w:rsidRPr="00B83CEB" w:rsidRDefault="004251A4" w:rsidP="004251A4">
            <w:pPr>
              <w:rPr>
                <w:b/>
                <w:bCs/>
                <w:color w:val="000000"/>
                <w:sz w:val="17"/>
                <w:szCs w:val="17"/>
              </w:rPr>
            </w:pPr>
            <w:r w:rsidRPr="00B83CEB">
              <w:rPr>
                <w:b/>
                <w:bCs/>
                <w:color w:val="000000"/>
                <w:sz w:val="17"/>
                <w:szCs w:val="17"/>
              </w:rPr>
              <w:t>frameworks</w:t>
            </w:r>
          </w:p>
        </w:tc>
        <w:tc>
          <w:tcPr>
            <w:tcW w:w="0" w:type="auto"/>
            <w:gridSpan w:val="3"/>
            <w:tcBorders>
              <w:top w:val="single" w:sz="2" w:space="0" w:color="000000"/>
              <w:left w:val="single" w:sz="6" w:space="0" w:color="000000"/>
              <w:bottom w:val="single" w:sz="6" w:space="0" w:color="000000"/>
              <w:right w:val="single" w:sz="2" w:space="0" w:color="000000"/>
            </w:tcBorders>
            <w:shd w:val="clear" w:color="auto" w:fill="auto"/>
            <w:tcMar>
              <w:top w:w="15" w:type="dxa"/>
              <w:left w:w="105" w:type="dxa"/>
              <w:bottom w:w="105" w:type="dxa"/>
              <w:right w:w="105" w:type="dxa"/>
            </w:tcMar>
            <w:hideMark/>
          </w:tcPr>
          <w:p w14:paraId="62006E04" w14:textId="77777777" w:rsidR="004251A4" w:rsidRPr="00B83CEB" w:rsidRDefault="004251A4" w:rsidP="003A41D8">
            <w:pPr>
              <w:rPr>
                <w:b/>
                <w:bCs/>
                <w:color w:val="000000"/>
                <w:sz w:val="17"/>
                <w:szCs w:val="17"/>
              </w:rPr>
            </w:pPr>
            <w:r w:rsidRPr="00B83CEB">
              <w:rPr>
                <w:b/>
                <w:bCs/>
                <w:color w:val="000000"/>
                <w:sz w:val="17"/>
                <w:szCs w:val="17"/>
              </w:rPr>
              <w:t xml:space="preserve">Indicative resources, </w:t>
            </w:r>
          </w:p>
          <w:p w14:paraId="45896F36" w14:textId="77777777" w:rsidR="004251A4" w:rsidRPr="00B83CEB" w:rsidRDefault="004251A4" w:rsidP="003A41D8">
            <w:pPr>
              <w:rPr>
                <w:b/>
                <w:bCs/>
                <w:color w:val="000000"/>
                <w:sz w:val="17"/>
                <w:szCs w:val="17"/>
              </w:rPr>
            </w:pPr>
            <w:r w:rsidRPr="00B83CEB">
              <w:rPr>
                <w:b/>
                <w:bCs/>
                <w:color w:val="000000"/>
                <w:sz w:val="17"/>
                <w:szCs w:val="17"/>
              </w:rPr>
              <w:t xml:space="preserve">by outcome </w:t>
            </w:r>
          </w:p>
        </w:tc>
      </w:tr>
      <w:tr w:rsidR="00E64C49" w:rsidRPr="00B83CEB" w14:paraId="2169B034" w14:textId="77777777" w:rsidTr="00D523D0">
        <w:tc>
          <w:tcPr>
            <w:tcW w:w="3177" w:type="dxa"/>
            <w:vMerge w:val="restart"/>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65CB22A8" w14:textId="02DBC792" w:rsidR="000A59A8" w:rsidRPr="00B83CEB" w:rsidRDefault="000A59A8" w:rsidP="00AB4135">
            <w:pPr>
              <w:rPr>
                <w:sz w:val="17"/>
                <w:szCs w:val="17"/>
              </w:rPr>
            </w:pPr>
            <w:r w:rsidRPr="00B83CEB">
              <w:rPr>
                <w:iCs/>
                <w:color w:val="000000"/>
                <w:sz w:val="17"/>
                <w:szCs w:val="17"/>
              </w:rPr>
              <w:t>1.1</w:t>
            </w:r>
            <w:r w:rsidR="005F1FAE" w:rsidRPr="00B83CEB">
              <w:rPr>
                <w:iCs/>
                <w:color w:val="000000"/>
                <w:sz w:val="17"/>
                <w:szCs w:val="17"/>
              </w:rPr>
              <w:t xml:space="preserve"> </w:t>
            </w:r>
            <w:r w:rsidRPr="00B83CEB">
              <w:rPr>
                <w:iCs/>
                <w:color w:val="000000"/>
                <w:sz w:val="17"/>
                <w:szCs w:val="17"/>
              </w:rPr>
              <w:t xml:space="preserve">% </w:t>
            </w:r>
            <w:r w:rsidR="00515E41" w:rsidRPr="00B83CEB">
              <w:rPr>
                <w:iCs/>
                <w:color w:val="000000"/>
                <w:sz w:val="17"/>
                <w:szCs w:val="17"/>
              </w:rPr>
              <w:t>Members of Parliament</w:t>
            </w:r>
            <w:r w:rsidRPr="00B83CEB">
              <w:rPr>
                <w:iCs/>
                <w:color w:val="000000"/>
                <w:sz w:val="17"/>
                <w:szCs w:val="17"/>
              </w:rPr>
              <w:t xml:space="preserve">, municipal </w:t>
            </w:r>
            <w:r w:rsidR="00623F98" w:rsidRPr="00B83CEB">
              <w:rPr>
                <w:iCs/>
                <w:color w:val="000000"/>
                <w:sz w:val="17"/>
                <w:szCs w:val="17"/>
              </w:rPr>
              <w:t>councilor</w:t>
            </w:r>
            <w:r w:rsidRPr="00B83CEB">
              <w:rPr>
                <w:iCs/>
                <w:color w:val="000000"/>
                <w:sz w:val="17"/>
                <w:szCs w:val="17"/>
              </w:rPr>
              <w:t xml:space="preserve"> positions held by women</w:t>
            </w:r>
          </w:p>
          <w:p w14:paraId="3CFD7B18" w14:textId="33832D1B" w:rsidR="000A59A8" w:rsidRPr="00B83CEB" w:rsidRDefault="000A59A8" w:rsidP="00AB4135">
            <w:pPr>
              <w:rPr>
                <w:sz w:val="17"/>
                <w:szCs w:val="17"/>
              </w:rPr>
            </w:pPr>
            <w:r w:rsidRPr="00B83CEB">
              <w:rPr>
                <w:iCs/>
                <w:color w:val="000000"/>
                <w:sz w:val="17"/>
                <w:szCs w:val="17"/>
                <w:u w:val="single"/>
              </w:rPr>
              <w:t>Baseline</w:t>
            </w:r>
            <w:r w:rsidR="00EE2A01" w:rsidRPr="00B83CEB">
              <w:rPr>
                <w:iCs/>
                <w:color w:val="000000"/>
                <w:sz w:val="17"/>
                <w:szCs w:val="17"/>
                <w:u w:val="single"/>
              </w:rPr>
              <w:t xml:space="preserve"> </w:t>
            </w:r>
            <w:r w:rsidRPr="00B83CEB">
              <w:rPr>
                <w:iCs/>
                <w:color w:val="000000"/>
                <w:sz w:val="17"/>
                <w:szCs w:val="17"/>
                <w:u w:val="single"/>
              </w:rPr>
              <w:t>(2015):</w:t>
            </w:r>
            <w:r w:rsidRPr="00B83CEB">
              <w:rPr>
                <w:iCs/>
                <w:color w:val="000000"/>
                <w:sz w:val="17"/>
                <w:szCs w:val="17"/>
              </w:rPr>
              <w:t xml:space="preserve">    </w:t>
            </w:r>
            <w:r w:rsidRPr="00B83CEB">
              <w:rPr>
                <w:iCs/>
                <w:color w:val="000000"/>
                <w:sz w:val="17"/>
                <w:szCs w:val="17"/>
                <w:u w:val="single"/>
              </w:rPr>
              <w:t>Target:</w:t>
            </w:r>
          </w:p>
          <w:p w14:paraId="63682F6B" w14:textId="77777777" w:rsidR="000A59A8" w:rsidRPr="00B83CEB" w:rsidRDefault="000A59A8" w:rsidP="00AB4135">
            <w:pPr>
              <w:rPr>
                <w:sz w:val="17"/>
                <w:szCs w:val="17"/>
              </w:rPr>
            </w:pPr>
            <w:r w:rsidRPr="00B83CEB">
              <w:rPr>
                <w:iCs/>
                <w:color w:val="000000"/>
                <w:sz w:val="17"/>
                <w:szCs w:val="17"/>
              </w:rPr>
              <w:t>MPs</w:t>
            </w:r>
          </w:p>
          <w:p w14:paraId="2EF004B2" w14:textId="77777777" w:rsidR="000A59A8" w:rsidRPr="00B83CEB" w:rsidRDefault="000A59A8" w:rsidP="00AB4135">
            <w:pPr>
              <w:rPr>
                <w:sz w:val="17"/>
                <w:szCs w:val="17"/>
              </w:rPr>
            </w:pPr>
            <w:r w:rsidRPr="00B83CEB">
              <w:rPr>
                <w:iCs/>
                <w:color w:val="000000"/>
                <w:sz w:val="17"/>
                <w:szCs w:val="17"/>
              </w:rPr>
              <w:t>21%                         30%</w:t>
            </w:r>
          </w:p>
          <w:p w14:paraId="48F0FEEC" w14:textId="656BC67D" w:rsidR="000A59A8" w:rsidRPr="00B83CEB" w:rsidRDefault="00515E41" w:rsidP="00AB4135">
            <w:pPr>
              <w:rPr>
                <w:sz w:val="17"/>
                <w:szCs w:val="17"/>
              </w:rPr>
            </w:pPr>
            <w:r w:rsidRPr="00B83CEB">
              <w:rPr>
                <w:iCs/>
                <w:color w:val="000000"/>
                <w:sz w:val="17"/>
                <w:szCs w:val="17"/>
              </w:rPr>
              <w:t xml:space="preserve">municipal </w:t>
            </w:r>
            <w:r w:rsidR="00623F98" w:rsidRPr="00B83CEB">
              <w:rPr>
                <w:iCs/>
                <w:color w:val="000000"/>
                <w:sz w:val="17"/>
                <w:szCs w:val="17"/>
              </w:rPr>
              <w:t>councilors</w:t>
            </w:r>
          </w:p>
          <w:p w14:paraId="607090E7" w14:textId="77777777" w:rsidR="000A59A8" w:rsidRPr="00B83CEB" w:rsidRDefault="000A59A8" w:rsidP="00AB4135">
            <w:pPr>
              <w:rPr>
                <w:sz w:val="17"/>
                <w:szCs w:val="17"/>
              </w:rPr>
            </w:pPr>
            <w:r w:rsidRPr="00B83CEB">
              <w:rPr>
                <w:iCs/>
                <w:color w:val="000000"/>
                <w:sz w:val="17"/>
                <w:szCs w:val="17"/>
              </w:rPr>
              <w:t>35%                         50%</w:t>
            </w:r>
          </w:p>
          <w:p w14:paraId="5973E0B5" w14:textId="77777777" w:rsidR="000A59A8" w:rsidRPr="00B83CEB" w:rsidRDefault="000A59A8" w:rsidP="00AB4135">
            <w:pPr>
              <w:rPr>
                <w:iCs/>
                <w:color w:val="000000"/>
                <w:sz w:val="17"/>
                <w:szCs w:val="17"/>
                <w:u w:val="single"/>
              </w:rPr>
            </w:pPr>
          </w:p>
          <w:p w14:paraId="4D806415" w14:textId="39D39F09" w:rsidR="000A59A8" w:rsidRPr="00B83CEB" w:rsidRDefault="000A59A8" w:rsidP="00AB4135">
            <w:pPr>
              <w:rPr>
                <w:sz w:val="17"/>
                <w:szCs w:val="17"/>
              </w:rPr>
            </w:pPr>
            <w:r w:rsidRPr="00B83CEB">
              <w:rPr>
                <w:iCs/>
                <w:color w:val="000000"/>
                <w:sz w:val="17"/>
                <w:szCs w:val="17"/>
              </w:rPr>
              <w:t>1.2</w:t>
            </w:r>
            <w:r w:rsidR="001372D4" w:rsidRPr="00B83CEB">
              <w:rPr>
                <w:iCs/>
                <w:color w:val="000000"/>
                <w:sz w:val="17"/>
                <w:szCs w:val="17"/>
              </w:rPr>
              <w:t xml:space="preserve"> </w:t>
            </w:r>
            <w:r w:rsidRPr="00B83CEB">
              <w:rPr>
                <w:iCs/>
                <w:color w:val="000000"/>
                <w:sz w:val="17"/>
                <w:szCs w:val="17"/>
              </w:rPr>
              <w:t>Annual rating of democratic change in Albania (composite)</w:t>
            </w:r>
          </w:p>
          <w:p w14:paraId="518C5BC9" w14:textId="02974C46" w:rsidR="000A59A8" w:rsidRPr="00B83CEB" w:rsidRDefault="000A59A8" w:rsidP="00AB4135">
            <w:pPr>
              <w:rPr>
                <w:sz w:val="17"/>
                <w:szCs w:val="17"/>
              </w:rPr>
            </w:pPr>
            <w:r w:rsidRPr="00B83CEB">
              <w:rPr>
                <w:iCs/>
                <w:color w:val="000000"/>
                <w:sz w:val="17"/>
                <w:szCs w:val="17"/>
                <w:u w:val="single"/>
              </w:rPr>
              <w:t>Baseline</w:t>
            </w:r>
            <w:r w:rsidR="00515E41" w:rsidRPr="00B83CEB">
              <w:rPr>
                <w:iCs/>
                <w:color w:val="000000"/>
                <w:sz w:val="17"/>
                <w:szCs w:val="17"/>
                <w:u w:val="single"/>
              </w:rPr>
              <w:t xml:space="preserve"> (2015)</w:t>
            </w:r>
            <w:r w:rsidRPr="00B83CEB">
              <w:rPr>
                <w:iCs/>
                <w:color w:val="000000"/>
                <w:sz w:val="17"/>
                <w:szCs w:val="17"/>
                <w:u w:val="single"/>
              </w:rPr>
              <w:t>:</w:t>
            </w:r>
            <w:r w:rsidRPr="00B83CEB">
              <w:rPr>
                <w:iCs/>
                <w:color w:val="000000"/>
                <w:sz w:val="17"/>
                <w:szCs w:val="17"/>
              </w:rPr>
              <w:t xml:space="preserve">                  </w:t>
            </w:r>
            <w:r w:rsidRPr="00B83CEB">
              <w:rPr>
                <w:iCs/>
                <w:color w:val="000000"/>
                <w:sz w:val="17"/>
                <w:szCs w:val="17"/>
                <w:u w:val="single"/>
              </w:rPr>
              <w:t>Target:</w:t>
            </w:r>
          </w:p>
          <w:p w14:paraId="10AA05EA" w14:textId="0688F0A5" w:rsidR="000A59A8" w:rsidRPr="00B83CEB" w:rsidRDefault="000A59A8" w:rsidP="00AB4135">
            <w:pPr>
              <w:rPr>
                <w:sz w:val="17"/>
                <w:szCs w:val="17"/>
              </w:rPr>
            </w:pPr>
            <w:r w:rsidRPr="00B83CEB">
              <w:rPr>
                <w:iCs/>
                <w:color w:val="000000"/>
                <w:sz w:val="17"/>
                <w:szCs w:val="17"/>
              </w:rPr>
              <w:t xml:space="preserve">4.14/7          3.9 </w:t>
            </w:r>
          </w:p>
          <w:p w14:paraId="65B197F4" w14:textId="77777777" w:rsidR="000A59A8" w:rsidRPr="00B83CEB" w:rsidRDefault="000A59A8" w:rsidP="00AB4135">
            <w:pPr>
              <w:rPr>
                <w:iCs/>
                <w:color w:val="000000"/>
                <w:sz w:val="17"/>
                <w:szCs w:val="17"/>
              </w:rPr>
            </w:pPr>
          </w:p>
          <w:p w14:paraId="691F6373" w14:textId="69DF3025" w:rsidR="000A59A8" w:rsidRPr="00B83CEB" w:rsidRDefault="000A59A8" w:rsidP="00AB4135">
            <w:pPr>
              <w:rPr>
                <w:iCs/>
                <w:color w:val="000000"/>
                <w:sz w:val="17"/>
                <w:szCs w:val="17"/>
              </w:rPr>
            </w:pPr>
            <w:r w:rsidRPr="00B83CEB">
              <w:rPr>
                <w:iCs/>
                <w:color w:val="000000"/>
                <w:sz w:val="17"/>
                <w:szCs w:val="17"/>
              </w:rPr>
              <w:t>1.3</w:t>
            </w:r>
            <w:r w:rsidR="001372D4" w:rsidRPr="00B83CEB">
              <w:rPr>
                <w:iCs/>
                <w:color w:val="000000"/>
                <w:sz w:val="17"/>
                <w:szCs w:val="17"/>
              </w:rPr>
              <w:t xml:space="preserve"> </w:t>
            </w:r>
            <w:r w:rsidRPr="00B83CEB">
              <w:rPr>
                <w:iCs/>
                <w:color w:val="000000"/>
                <w:sz w:val="17"/>
                <w:szCs w:val="17"/>
              </w:rPr>
              <w:t>Annual rating of W</w:t>
            </w:r>
            <w:r w:rsidR="00515E41" w:rsidRPr="00B83CEB">
              <w:rPr>
                <w:iCs/>
                <w:color w:val="000000"/>
                <w:sz w:val="17"/>
                <w:szCs w:val="17"/>
              </w:rPr>
              <w:t>orld Justice Project (</w:t>
            </w:r>
            <w:r w:rsidR="00EE2A01" w:rsidRPr="00B83CEB">
              <w:rPr>
                <w:iCs/>
                <w:color w:val="000000"/>
                <w:sz w:val="17"/>
                <w:szCs w:val="17"/>
              </w:rPr>
              <w:t>W</w:t>
            </w:r>
            <w:r w:rsidRPr="00B83CEB">
              <w:rPr>
                <w:iCs/>
                <w:color w:val="000000"/>
                <w:sz w:val="17"/>
                <w:szCs w:val="17"/>
              </w:rPr>
              <w:t>JP</w:t>
            </w:r>
            <w:r w:rsidR="00515E41" w:rsidRPr="00B83CEB">
              <w:rPr>
                <w:iCs/>
                <w:color w:val="000000"/>
                <w:sz w:val="17"/>
                <w:szCs w:val="17"/>
              </w:rPr>
              <w:t>)</w:t>
            </w:r>
            <w:r w:rsidRPr="00B83CEB">
              <w:rPr>
                <w:iCs/>
                <w:color w:val="000000"/>
                <w:sz w:val="17"/>
                <w:szCs w:val="17"/>
              </w:rPr>
              <w:t xml:space="preserve"> </w:t>
            </w:r>
            <w:r w:rsidR="00CB68D8" w:rsidRPr="00B83CEB">
              <w:rPr>
                <w:iCs/>
                <w:color w:val="000000"/>
                <w:sz w:val="17"/>
                <w:szCs w:val="17"/>
              </w:rPr>
              <w:t>Rule of Law</w:t>
            </w:r>
            <w:r w:rsidRPr="00B83CEB">
              <w:rPr>
                <w:iCs/>
                <w:color w:val="000000"/>
                <w:sz w:val="17"/>
                <w:szCs w:val="17"/>
              </w:rPr>
              <w:t xml:space="preserve"> Index (composite)</w:t>
            </w:r>
          </w:p>
          <w:p w14:paraId="4B97CD2D" w14:textId="77777777" w:rsidR="00377C4E" w:rsidRPr="00B83CEB" w:rsidRDefault="00377C4E" w:rsidP="00AB4135">
            <w:pPr>
              <w:rPr>
                <w:sz w:val="17"/>
                <w:szCs w:val="17"/>
              </w:rPr>
            </w:pPr>
          </w:p>
          <w:p w14:paraId="74371D9F" w14:textId="56328BD2" w:rsidR="000A59A8" w:rsidRPr="00B83CEB" w:rsidRDefault="000A59A8" w:rsidP="00AB4135">
            <w:pPr>
              <w:rPr>
                <w:sz w:val="17"/>
                <w:szCs w:val="17"/>
              </w:rPr>
            </w:pPr>
            <w:r w:rsidRPr="00B83CEB">
              <w:rPr>
                <w:iCs/>
                <w:color w:val="000000"/>
                <w:sz w:val="17"/>
                <w:szCs w:val="17"/>
                <w:u w:val="single"/>
              </w:rPr>
              <w:t>Baseline</w:t>
            </w:r>
            <w:r w:rsidR="00515E41" w:rsidRPr="00B83CEB">
              <w:rPr>
                <w:iCs/>
                <w:color w:val="000000"/>
                <w:sz w:val="17"/>
                <w:szCs w:val="17"/>
                <w:u w:val="single"/>
              </w:rPr>
              <w:t xml:space="preserve"> (2015)</w:t>
            </w:r>
            <w:r w:rsidRPr="00B83CEB">
              <w:rPr>
                <w:iCs/>
                <w:color w:val="000000"/>
                <w:sz w:val="17"/>
                <w:szCs w:val="17"/>
                <w:u w:val="single"/>
              </w:rPr>
              <w:t>:</w:t>
            </w:r>
            <w:r w:rsidRPr="00B83CEB">
              <w:rPr>
                <w:iCs/>
                <w:color w:val="000000"/>
                <w:sz w:val="17"/>
                <w:szCs w:val="17"/>
              </w:rPr>
              <w:t xml:space="preserve">             </w:t>
            </w:r>
            <w:r w:rsidRPr="00B83CEB">
              <w:rPr>
                <w:iCs/>
                <w:color w:val="000000"/>
                <w:sz w:val="17"/>
                <w:szCs w:val="17"/>
                <w:u w:val="single"/>
              </w:rPr>
              <w:t>Target</w:t>
            </w:r>
            <w:r w:rsidR="00515E41" w:rsidRPr="00B83CEB">
              <w:rPr>
                <w:iCs/>
                <w:color w:val="000000"/>
                <w:sz w:val="17"/>
                <w:szCs w:val="17"/>
                <w:u w:val="single"/>
              </w:rPr>
              <w:t xml:space="preserve"> (2021)</w:t>
            </w:r>
            <w:r w:rsidRPr="00B83CEB">
              <w:rPr>
                <w:iCs/>
                <w:color w:val="000000"/>
                <w:sz w:val="17"/>
                <w:szCs w:val="17"/>
                <w:u w:val="single"/>
              </w:rPr>
              <w:t>:</w:t>
            </w:r>
          </w:p>
          <w:p w14:paraId="01785DB8" w14:textId="3246F01B" w:rsidR="000A59A8" w:rsidRPr="00B83CEB" w:rsidRDefault="000A59A8" w:rsidP="00AB4135">
            <w:pPr>
              <w:rPr>
                <w:sz w:val="17"/>
                <w:szCs w:val="17"/>
              </w:rPr>
            </w:pPr>
            <w:r w:rsidRPr="00B83CEB">
              <w:rPr>
                <w:iCs/>
                <w:color w:val="000000"/>
                <w:sz w:val="17"/>
                <w:szCs w:val="17"/>
              </w:rPr>
              <w:t xml:space="preserve">0.52/1          </w:t>
            </w:r>
            <w:r w:rsidR="00377C4E" w:rsidRPr="00B83CEB">
              <w:rPr>
                <w:iCs/>
                <w:color w:val="000000"/>
                <w:sz w:val="17"/>
                <w:szCs w:val="17"/>
              </w:rPr>
              <w:t xml:space="preserve">                    </w:t>
            </w:r>
            <w:r w:rsidRPr="00B83CEB">
              <w:rPr>
                <w:iCs/>
                <w:color w:val="000000"/>
                <w:sz w:val="17"/>
                <w:szCs w:val="17"/>
              </w:rPr>
              <w:t>0.60</w:t>
            </w:r>
          </w:p>
          <w:p w14:paraId="01B00030" w14:textId="77777777" w:rsidR="000A59A8" w:rsidRPr="00B83CEB" w:rsidRDefault="000A59A8" w:rsidP="00AB4135">
            <w:pPr>
              <w:rPr>
                <w:rFonts w:eastAsia="Calibri"/>
                <w:color w:val="000000"/>
                <w:sz w:val="17"/>
                <w:szCs w:val="17"/>
                <w:u w:val="single"/>
              </w:rPr>
            </w:pPr>
          </w:p>
          <w:p w14:paraId="5803E896" w14:textId="2ACB05B5" w:rsidR="000A59A8" w:rsidRPr="00B83CEB" w:rsidRDefault="000A59A8" w:rsidP="00AB4135">
            <w:pPr>
              <w:rPr>
                <w:color w:val="000000"/>
                <w:sz w:val="17"/>
                <w:szCs w:val="17"/>
              </w:rPr>
            </w:pPr>
            <w:r w:rsidRPr="00B83CEB">
              <w:rPr>
                <w:color w:val="000000"/>
                <w:sz w:val="17"/>
                <w:szCs w:val="17"/>
              </w:rPr>
              <w:t>1.4</w:t>
            </w:r>
            <w:r w:rsidR="001372D4" w:rsidRPr="00B83CEB">
              <w:rPr>
                <w:color w:val="000000"/>
                <w:sz w:val="17"/>
                <w:szCs w:val="17"/>
              </w:rPr>
              <w:t xml:space="preserve"> </w:t>
            </w:r>
            <w:r w:rsidRPr="00B83CEB">
              <w:rPr>
                <w:color w:val="000000"/>
                <w:sz w:val="17"/>
                <w:szCs w:val="17"/>
              </w:rPr>
              <w:t xml:space="preserve">Perceptions of trust in core public institutions </w:t>
            </w:r>
          </w:p>
          <w:p w14:paraId="4FE9B430" w14:textId="11CFEA8D" w:rsidR="00EE2A01" w:rsidRPr="00B83CEB" w:rsidRDefault="000A59A8" w:rsidP="00AB4135">
            <w:pPr>
              <w:rPr>
                <w:color w:val="000000"/>
                <w:sz w:val="17"/>
                <w:szCs w:val="17"/>
              </w:rPr>
            </w:pPr>
            <w:r w:rsidRPr="00B83CEB">
              <w:rPr>
                <w:color w:val="000000"/>
                <w:sz w:val="17"/>
                <w:szCs w:val="17"/>
                <w:u w:val="single"/>
              </w:rPr>
              <w:t>Baseline</w:t>
            </w:r>
            <w:r w:rsidR="001372D4" w:rsidRPr="00B83CEB">
              <w:rPr>
                <w:color w:val="000000"/>
                <w:sz w:val="17"/>
                <w:szCs w:val="17"/>
                <w:u w:val="single"/>
              </w:rPr>
              <w:t xml:space="preserve"> </w:t>
            </w:r>
            <w:r w:rsidRPr="00B83CEB">
              <w:rPr>
                <w:color w:val="000000"/>
                <w:sz w:val="17"/>
                <w:szCs w:val="17"/>
                <w:u w:val="single"/>
              </w:rPr>
              <w:t>(2015):</w:t>
            </w:r>
            <w:r w:rsidRPr="00B83CEB">
              <w:rPr>
                <w:color w:val="000000"/>
                <w:sz w:val="17"/>
                <w:szCs w:val="17"/>
              </w:rPr>
              <w:t xml:space="preserve">    </w:t>
            </w:r>
          </w:p>
          <w:p w14:paraId="20ED720C" w14:textId="025BA8B3" w:rsidR="00EE2A01" w:rsidRPr="00B83CEB" w:rsidRDefault="000A59A8" w:rsidP="00AB4135">
            <w:pPr>
              <w:rPr>
                <w:color w:val="000000"/>
                <w:sz w:val="17"/>
                <w:szCs w:val="17"/>
              </w:rPr>
            </w:pPr>
            <w:r w:rsidRPr="00B83CEB">
              <w:rPr>
                <w:color w:val="000000"/>
                <w:sz w:val="17"/>
                <w:szCs w:val="17"/>
              </w:rPr>
              <w:t>Trust</w:t>
            </w:r>
            <w:r w:rsidR="00EE2A01" w:rsidRPr="00B83CEB">
              <w:rPr>
                <w:color w:val="000000"/>
                <w:sz w:val="17"/>
                <w:szCs w:val="17"/>
              </w:rPr>
              <w:t xml:space="preserve"> in:</w:t>
            </w:r>
          </w:p>
          <w:p w14:paraId="4AAD746D" w14:textId="1B13A4CB" w:rsidR="000A59A8" w:rsidRPr="00B83CEB" w:rsidRDefault="000A59A8" w:rsidP="00AB4135">
            <w:pPr>
              <w:rPr>
                <w:color w:val="000000"/>
                <w:sz w:val="17"/>
                <w:szCs w:val="17"/>
              </w:rPr>
            </w:pPr>
            <w:r w:rsidRPr="00B83CEB">
              <w:rPr>
                <w:color w:val="000000"/>
                <w:sz w:val="17"/>
                <w:szCs w:val="17"/>
              </w:rPr>
              <w:t>Government (34%)</w:t>
            </w:r>
          </w:p>
          <w:p w14:paraId="7B5853F5" w14:textId="5BA5D1A4" w:rsidR="000A59A8" w:rsidRPr="00B83CEB" w:rsidRDefault="000A59A8" w:rsidP="00AB4135">
            <w:pPr>
              <w:rPr>
                <w:color w:val="000000"/>
                <w:sz w:val="17"/>
                <w:szCs w:val="17"/>
              </w:rPr>
            </w:pPr>
            <w:r w:rsidRPr="00B83CEB">
              <w:rPr>
                <w:color w:val="000000"/>
                <w:sz w:val="17"/>
                <w:szCs w:val="17"/>
              </w:rPr>
              <w:t>Parliament (22%)</w:t>
            </w:r>
          </w:p>
          <w:p w14:paraId="0699E075" w14:textId="5A183F43" w:rsidR="000A59A8" w:rsidRPr="00B83CEB" w:rsidRDefault="00623F98" w:rsidP="00AB4135">
            <w:pPr>
              <w:rPr>
                <w:color w:val="000000"/>
                <w:sz w:val="17"/>
                <w:szCs w:val="17"/>
              </w:rPr>
            </w:pPr>
            <w:r w:rsidRPr="00B83CEB">
              <w:rPr>
                <w:color w:val="000000"/>
                <w:sz w:val="17"/>
                <w:szCs w:val="17"/>
              </w:rPr>
              <w:t>Judiciary</w:t>
            </w:r>
            <w:r w:rsidR="00EE2A01" w:rsidRPr="00B83CEB">
              <w:rPr>
                <w:color w:val="000000"/>
                <w:sz w:val="17"/>
                <w:szCs w:val="17"/>
              </w:rPr>
              <w:t xml:space="preserve"> </w:t>
            </w:r>
            <w:r w:rsidR="000A59A8" w:rsidRPr="00B83CEB">
              <w:rPr>
                <w:color w:val="000000"/>
                <w:sz w:val="17"/>
                <w:szCs w:val="17"/>
              </w:rPr>
              <w:t>(17%)</w:t>
            </w:r>
          </w:p>
          <w:p w14:paraId="5844A51F" w14:textId="77777777" w:rsidR="000A59A8" w:rsidRPr="00B83CEB" w:rsidRDefault="000A59A8" w:rsidP="00AB4135">
            <w:pPr>
              <w:rPr>
                <w:color w:val="000000"/>
                <w:sz w:val="17"/>
                <w:szCs w:val="17"/>
              </w:rPr>
            </w:pPr>
          </w:p>
          <w:p w14:paraId="7D608E23" w14:textId="5872493C" w:rsidR="00EE2A01" w:rsidRPr="00B83CEB" w:rsidRDefault="000A59A8" w:rsidP="00AB4135">
            <w:pPr>
              <w:rPr>
                <w:color w:val="000000"/>
                <w:sz w:val="17"/>
                <w:szCs w:val="17"/>
                <w:u w:val="single"/>
              </w:rPr>
            </w:pPr>
            <w:r w:rsidRPr="00B83CEB">
              <w:rPr>
                <w:color w:val="000000"/>
                <w:sz w:val="17"/>
                <w:szCs w:val="17"/>
                <w:u w:val="single"/>
              </w:rPr>
              <w:t>Target:</w:t>
            </w:r>
          </w:p>
          <w:p w14:paraId="33AF37F1" w14:textId="3370760A" w:rsidR="00EE2A01" w:rsidRPr="00B83CEB" w:rsidRDefault="000A59A8" w:rsidP="00AB4135">
            <w:pPr>
              <w:rPr>
                <w:color w:val="000000"/>
                <w:sz w:val="17"/>
                <w:szCs w:val="17"/>
              </w:rPr>
            </w:pPr>
            <w:r w:rsidRPr="00B83CEB">
              <w:rPr>
                <w:color w:val="000000"/>
                <w:sz w:val="17"/>
                <w:szCs w:val="17"/>
              </w:rPr>
              <w:t>Trust in</w:t>
            </w:r>
            <w:r w:rsidR="00EE2A01" w:rsidRPr="00B83CEB">
              <w:rPr>
                <w:color w:val="000000"/>
                <w:sz w:val="17"/>
                <w:szCs w:val="17"/>
              </w:rPr>
              <w:t>:</w:t>
            </w:r>
            <w:r w:rsidRPr="00B83CEB">
              <w:rPr>
                <w:color w:val="000000"/>
                <w:sz w:val="17"/>
                <w:szCs w:val="17"/>
              </w:rPr>
              <w:t xml:space="preserve"> </w:t>
            </w:r>
          </w:p>
          <w:p w14:paraId="5C7F6E14" w14:textId="6401DB63" w:rsidR="000A59A8" w:rsidRPr="00B83CEB" w:rsidRDefault="000A59A8" w:rsidP="00AB4135">
            <w:pPr>
              <w:rPr>
                <w:color w:val="000000"/>
                <w:sz w:val="17"/>
                <w:szCs w:val="17"/>
              </w:rPr>
            </w:pPr>
            <w:r w:rsidRPr="00B83CEB">
              <w:rPr>
                <w:color w:val="000000"/>
                <w:sz w:val="17"/>
                <w:szCs w:val="17"/>
              </w:rPr>
              <w:lastRenderedPageBreak/>
              <w:t>Government (45%)</w:t>
            </w:r>
          </w:p>
          <w:p w14:paraId="1FAECA9C" w14:textId="597AB4F4" w:rsidR="000A59A8" w:rsidRPr="00B83CEB" w:rsidRDefault="000A59A8" w:rsidP="00AB4135">
            <w:pPr>
              <w:rPr>
                <w:color w:val="000000"/>
                <w:sz w:val="17"/>
                <w:szCs w:val="17"/>
              </w:rPr>
            </w:pPr>
            <w:r w:rsidRPr="00B83CEB">
              <w:rPr>
                <w:color w:val="000000"/>
                <w:sz w:val="17"/>
                <w:szCs w:val="17"/>
              </w:rPr>
              <w:t>Parliament (45%)</w:t>
            </w:r>
          </w:p>
          <w:p w14:paraId="0F9F983E" w14:textId="7DE59493" w:rsidR="000A59A8" w:rsidRPr="00B83CEB" w:rsidRDefault="00623F98" w:rsidP="00AB4135">
            <w:pPr>
              <w:rPr>
                <w:color w:val="000000"/>
                <w:sz w:val="17"/>
                <w:szCs w:val="17"/>
              </w:rPr>
            </w:pPr>
            <w:r w:rsidRPr="00B83CEB">
              <w:rPr>
                <w:color w:val="000000"/>
                <w:sz w:val="17"/>
                <w:szCs w:val="17"/>
              </w:rPr>
              <w:t>Judiciary</w:t>
            </w:r>
            <w:r w:rsidR="000A59A8" w:rsidRPr="00B83CEB">
              <w:rPr>
                <w:color w:val="000000"/>
                <w:sz w:val="17"/>
                <w:szCs w:val="17"/>
              </w:rPr>
              <w:t xml:space="preserve"> (50%)</w:t>
            </w:r>
          </w:p>
          <w:p w14:paraId="78A046A1" w14:textId="77777777" w:rsidR="000A59A8" w:rsidRPr="00B83CEB" w:rsidRDefault="000A59A8" w:rsidP="00AB4135">
            <w:pPr>
              <w:rPr>
                <w:color w:val="000000"/>
                <w:sz w:val="17"/>
                <w:szCs w:val="17"/>
              </w:rPr>
            </w:pPr>
          </w:p>
          <w:p w14:paraId="37C292F6" w14:textId="77777777" w:rsidR="000A59A8" w:rsidRPr="00B83CEB" w:rsidRDefault="000A59A8" w:rsidP="00AB4135">
            <w:pPr>
              <w:rPr>
                <w:color w:val="000000"/>
                <w:sz w:val="17"/>
                <w:szCs w:val="17"/>
              </w:rPr>
            </w:pPr>
          </w:p>
          <w:p w14:paraId="47569056" w14:textId="7C259785" w:rsidR="000A59A8" w:rsidRPr="00B83CEB" w:rsidRDefault="000A59A8" w:rsidP="00AB4135">
            <w:pPr>
              <w:contextualSpacing/>
              <w:rPr>
                <w:rFonts w:eastAsia="Calibri"/>
                <w:sz w:val="17"/>
                <w:szCs w:val="17"/>
              </w:rPr>
            </w:pPr>
            <w:r w:rsidRPr="00B83CEB">
              <w:rPr>
                <w:rFonts w:eastAsia="Calibri"/>
                <w:sz w:val="17"/>
                <w:szCs w:val="17"/>
              </w:rPr>
              <w:t>1.5</w:t>
            </w:r>
            <w:r w:rsidR="001372D4" w:rsidRPr="00B83CEB">
              <w:rPr>
                <w:rFonts w:eastAsia="Calibri"/>
                <w:sz w:val="17"/>
                <w:szCs w:val="17"/>
              </w:rPr>
              <w:t xml:space="preserve"> </w:t>
            </w:r>
            <w:r w:rsidRPr="00B83CEB">
              <w:rPr>
                <w:rFonts w:eastAsia="Calibri"/>
                <w:sz w:val="17"/>
                <w:szCs w:val="17"/>
              </w:rPr>
              <w:t>Level of citizen perception of corruption manifestations in public institutions</w:t>
            </w:r>
          </w:p>
          <w:p w14:paraId="25F1BC56" w14:textId="77777777" w:rsidR="00EE2A01" w:rsidRPr="00B83CEB" w:rsidRDefault="000A59A8" w:rsidP="00AB4135">
            <w:pPr>
              <w:contextualSpacing/>
              <w:rPr>
                <w:rFonts w:eastAsia="Calibri"/>
                <w:color w:val="000000"/>
                <w:sz w:val="17"/>
                <w:szCs w:val="17"/>
              </w:rPr>
            </w:pPr>
            <w:r w:rsidRPr="00B83CEB">
              <w:rPr>
                <w:rFonts w:eastAsia="Calibri"/>
                <w:color w:val="000000"/>
                <w:sz w:val="17"/>
                <w:szCs w:val="17"/>
                <w:u w:val="single"/>
              </w:rPr>
              <w:t>Baseline (2015):</w:t>
            </w:r>
            <w:r w:rsidRPr="00B83CEB">
              <w:rPr>
                <w:rFonts w:eastAsia="Calibri"/>
                <w:color w:val="000000"/>
                <w:sz w:val="17"/>
                <w:szCs w:val="17"/>
              </w:rPr>
              <w:t xml:space="preserve"> </w:t>
            </w:r>
            <w:r w:rsidRPr="00B83CEB">
              <w:rPr>
                <w:rFonts w:eastAsia="Calibri"/>
                <w:color w:val="000000"/>
                <w:sz w:val="17"/>
                <w:szCs w:val="17"/>
              </w:rPr>
              <w:tab/>
            </w:r>
          </w:p>
          <w:p w14:paraId="5EEC018A" w14:textId="6B81D93D" w:rsidR="000A59A8" w:rsidRPr="00B83CEB" w:rsidRDefault="00623F98" w:rsidP="00AB4135">
            <w:pPr>
              <w:contextualSpacing/>
              <w:rPr>
                <w:rFonts w:eastAsia="Calibri"/>
                <w:color w:val="000000"/>
                <w:sz w:val="17"/>
                <w:szCs w:val="17"/>
              </w:rPr>
            </w:pPr>
            <w:r w:rsidRPr="00B83CEB">
              <w:rPr>
                <w:rFonts w:eastAsia="Calibri"/>
                <w:color w:val="000000"/>
                <w:sz w:val="17"/>
                <w:szCs w:val="17"/>
              </w:rPr>
              <w:t>Central</w:t>
            </w:r>
            <w:r w:rsidR="000A59A8" w:rsidRPr="00B83CEB">
              <w:rPr>
                <w:rFonts w:eastAsia="Calibri"/>
                <w:color w:val="000000"/>
                <w:sz w:val="17"/>
                <w:szCs w:val="17"/>
              </w:rPr>
              <w:t xml:space="preserve"> government (34%)  </w:t>
            </w:r>
          </w:p>
          <w:p w14:paraId="1F040438" w14:textId="6F77F384" w:rsidR="000A59A8" w:rsidRPr="00B83CEB" w:rsidRDefault="00623F98" w:rsidP="00AB4135">
            <w:pPr>
              <w:contextualSpacing/>
              <w:rPr>
                <w:rFonts w:eastAsia="Calibri"/>
                <w:color w:val="000000"/>
                <w:sz w:val="17"/>
                <w:szCs w:val="17"/>
              </w:rPr>
            </w:pPr>
            <w:r w:rsidRPr="00B83CEB">
              <w:rPr>
                <w:rFonts w:eastAsia="Calibri"/>
                <w:color w:val="000000"/>
                <w:sz w:val="17"/>
                <w:szCs w:val="17"/>
              </w:rPr>
              <w:t>Local</w:t>
            </w:r>
            <w:r w:rsidR="000A59A8" w:rsidRPr="00B83CEB">
              <w:rPr>
                <w:rFonts w:eastAsia="Calibri"/>
                <w:color w:val="000000"/>
                <w:sz w:val="17"/>
                <w:szCs w:val="17"/>
              </w:rPr>
              <w:t xml:space="preserve"> governments (41%)</w:t>
            </w:r>
          </w:p>
          <w:p w14:paraId="7822A032" w14:textId="77777777" w:rsidR="000A59A8" w:rsidRPr="00B83CEB" w:rsidRDefault="000A59A8" w:rsidP="00AB4135">
            <w:pPr>
              <w:contextualSpacing/>
              <w:rPr>
                <w:rFonts w:eastAsia="Calibri"/>
                <w:color w:val="000000"/>
                <w:sz w:val="17"/>
                <w:szCs w:val="17"/>
              </w:rPr>
            </w:pPr>
          </w:p>
          <w:p w14:paraId="35B8E169" w14:textId="77777777" w:rsidR="00EE2A01" w:rsidRPr="00B83CEB" w:rsidRDefault="000A59A8" w:rsidP="00AB4135">
            <w:pPr>
              <w:contextualSpacing/>
              <w:rPr>
                <w:rFonts w:eastAsia="Calibri"/>
                <w:color w:val="000000"/>
                <w:sz w:val="17"/>
                <w:szCs w:val="17"/>
              </w:rPr>
            </w:pPr>
            <w:r w:rsidRPr="00B83CEB">
              <w:rPr>
                <w:rFonts w:eastAsia="Calibri"/>
                <w:color w:val="000000"/>
                <w:sz w:val="17"/>
                <w:szCs w:val="17"/>
                <w:u w:val="single"/>
              </w:rPr>
              <w:t>Target:</w:t>
            </w:r>
            <w:r w:rsidRPr="00B83CEB">
              <w:rPr>
                <w:rFonts w:eastAsia="Calibri"/>
                <w:color w:val="000000"/>
                <w:sz w:val="17"/>
                <w:szCs w:val="17"/>
              </w:rPr>
              <w:t xml:space="preserve"> </w:t>
            </w:r>
            <w:r w:rsidRPr="00B83CEB">
              <w:rPr>
                <w:rFonts w:eastAsia="Calibri"/>
                <w:color w:val="000000"/>
                <w:sz w:val="17"/>
                <w:szCs w:val="17"/>
              </w:rPr>
              <w:tab/>
              <w:t xml:space="preserve">                 </w:t>
            </w:r>
          </w:p>
          <w:p w14:paraId="6368A5C8" w14:textId="67C6009E" w:rsidR="000A59A8" w:rsidRPr="00B83CEB" w:rsidRDefault="00623F98" w:rsidP="00AB4135">
            <w:pPr>
              <w:contextualSpacing/>
              <w:rPr>
                <w:rFonts w:eastAsia="Calibri"/>
                <w:color w:val="000000"/>
                <w:sz w:val="17"/>
                <w:szCs w:val="17"/>
              </w:rPr>
            </w:pPr>
            <w:r w:rsidRPr="00B83CEB">
              <w:rPr>
                <w:rFonts w:eastAsia="Calibri"/>
                <w:color w:val="000000"/>
                <w:sz w:val="17"/>
                <w:szCs w:val="17"/>
              </w:rPr>
              <w:t>Central</w:t>
            </w:r>
            <w:r w:rsidR="000A59A8" w:rsidRPr="00B83CEB">
              <w:rPr>
                <w:rFonts w:eastAsia="Calibri"/>
                <w:color w:val="000000"/>
                <w:sz w:val="17"/>
                <w:szCs w:val="17"/>
              </w:rPr>
              <w:t xml:space="preserve"> government (20%)  </w:t>
            </w:r>
          </w:p>
          <w:p w14:paraId="40ACE12B" w14:textId="32129C5E" w:rsidR="000A59A8" w:rsidRPr="00B83CEB" w:rsidRDefault="00623F98" w:rsidP="00AB4135">
            <w:pPr>
              <w:contextualSpacing/>
              <w:rPr>
                <w:rFonts w:eastAsia="Calibri"/>
                <w:color w:val="000000"/>
                <w:sz w:val="17"/>
                <w:szCs w:val="17"/>
              </w:rPr>
            </w:pPr>
            <w:r w:rsidRPr="00B83CEB">
              <w:rPr>
                <w:rFonts w:eastAsia="Calibri"/>
                <w:color w:val="000000"/>
                <w:sz w:val="17"/>
                <w:szCs w:val="17"/>
              </w:rPr>
              <w:t>Local</w:t>
            </w:r>
            <w:r w:rsidR="000A59A8" w:rsidRPr="00B83CEB">
              <w:rPr>
                <w:rFonts w:eastAsia="Calibri"/>
                <w:color w:val="000000"/>
                <w:sz w:val="17"/>
                <w:szCs w:val="17"/>
              </w:rPr>
              <w:t xml:space="preserve"> governments (20%)</w:t>
            </w:r>
          </w:p>
          <w:p w14:paraId="4346FD98" w14:textId="77777777" w:rsidR="000A59A8" w:rsidRPr="00B83CEB" w:rsidRDefault="000A59A8" w:rsidP="00AB4135">
            <w:pPr>
              <w:rPr>
                <w:rFonts w:eastAsia="Calibri"/>
                <w:color w:val="000000"/>
                <w:sz w:val="17"/>
                <w:szCs w:val="17"/>
              </w:rPr>
            </w:pPr>
          </w:p>
          <w:p w14:paraId="157B9B4B" w14:textId="77777777" w:rsidR="000A59A8" w:rsidRPr="00B83CEB" w:rsidRDefault="000A59A8" w:rsidP="00AB4135">
            <w:pPr>
              <w:rPr>
                <w:sz w:val="17"/>
                <w:szCs w:val="17"/>
              </w:rPr>
            </w:pPr>
          </w:p>
        </w:tc>
        <w:tc>
          <w:tcPr>
            <w:tcW w:w="1788" w:type="dxa"/>
            <w:gridSpan w:val="2"/>
            <w:vMerge w:val="restart"/>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42015560" w14:textId="2D61BC62" w:rsidR="000A59A8" w:rsidRPr="00B83CEB" w:rsidRDefault="000A59A8" w:rsidP="00AB4135">
            <w:pPr>
              <w:rPr>
                <w:sz w:val="17"/>
                <w:szCs w:val="17"/>
              </w:rPr>
            </w:pPr>
            <w:r w:rsidRPr="00B83CEB">
              <w:rPr>
                <w:bCs/>
                <w:iCs/>
                <w:color w:val="000000"/>
                <w:sz w:val="17"/>
                <w:szCs w:val="17"/>
              </w:rPr>
              <w:lastRenderedPageBreak/>
              <w:t>C</w:t>
            </w:r>
            <w:r w:rsidR="000D73C4" w:rsidRPr="00B83CEB">
              <w:rPr>
                <w:bCs/>
                <w:iCs/>
                <w:color w:val="000000"/>
                <w:sz w:val="17"/>
                <w:szCs w:val="17"/>
              </w:rPr>
              <w:t xml:space="preserve">entral </w:t>
            </w:r>
            <w:r w:rsidRPr="00B83CEB">
              <w:rPr>
                <w:bCs/>
                <w:iCs/>
                <w:color w:val="000000"/>
                <w:sz w:val="17"/>
                <w:szCs w:val="17"/>
              </w:rPr>
              <w:t>E</w:t>
            </w:r>
            <w:r w:rsidR="000D73C4" w:rsidRPr="00B83CEB">
              <w:rPr>
                <w:bCs/>
                <w:iCs/>
                <w:color w:val="000000"/>
                <w:sz w:val="17"/>
                <w:szCs w:val="17"/>
              </w:rPr>
              <w:t xml:space="preserve">lectoral </w:t>
            </w:r>
            <w:r w:rsidRPr="00B83CEB">
              <w:rPr>
                <w:bCs/>
                <w:iCs/>
                <w:color w:val="000000"/>
                <w:sz w:val="17"/>
                <w:szCs w:val="17"/>
              </w:rPr>
              <w:t>C</w:t>
            </w:r>
            <w:r w:rsidR="000D73C4" w:rsidRPr="00B83CEB">
              <w:rPr>
                <w:bCs/>
                <w:iCs/>
                <w:color w:val="000000"/>
                <w:sz w:val="17"/>
                <w:szCs w:val="17"/>
              </w:rPr>
              <w:t>ommission</w:t>
            </w:r>
            <w:r w:rsidRPr="00B83CEB">
              <w:rPr>
                <w:bCs/>
                <w:iCs/>
                <w:color w:val="000000"/>
                <w:sz w:val="17"/>
                <w:szCs w:val="17"/>
              </w:rPr>
              <w:t xml:space="preserve"> </w:t>
            </w:r>
            <w:r w:rsidR="000D73C4" w:rsidRPr="00B83CEB">
              <w:rPr>
                <w:bCs/>
                <w:iCs/>
                <w:color w:val="000000"/>
                <w:sz w:val="17"/>
                <w:szCs w:val="17"/>
              </w:rPr>
              <w:t xml:space="preserve">(CEC) </w:t>
            </w:r>
            <w:r w:rsidRPr="00B83CEB">
              <w:rPr>
                <w:bCs/>
                <w:iCs/>
                <w:color w:val="000000"/>
                <w:sz w:val="17"/>
                <w:szCs w:val="17"/>
              </w:rPr>
              <w:t>website</w:t>
            </w:r>
          </w:p>
          <w:p w14:paraId="48352881" w14:textId="77777777" w:rsidR="000A59A8" w:rsidRPr="00B83CEB" w:rsidRDefault="000A59A8" w:rsidP="00AB4135">
            <w:pPr>
              <w:rPr>
                <w:sz w:val="17"/>
                <w:szCs w:val="17"/>
              </w:rPr>
            </w:pPr>
            <w:r w:rsidRPr="00B83CEB">
              <w:rPr>
                <w:sz w:val="17"/>
                <w:szCs w:val="17"/>
              </w:rPr>
              <w:br/>
            </w:r>
            <w:r w:rsidRPr="00B83CEB">
              <w:rPr>
                <w:sz w:val="17"/>
                <w:szCs w:val="17"/>
              </w:rPr>
              <w:br/>
            </w:r>
          </w:p>
          <w:p w14:paraId="3A5FB488" w14:textId="77777777" w:rsidR="000A59A8" w:rsidRPr="00B83CEB" w:rsidRDefault="000A59A8" w:rsidP="00AB4135">
            <w:pPr>
              <w:rPr>
                <w:rFonts w:eastAsia="Calibri"/>
                <w:sz w:val="17"/>
                <w:szCs w:val="17"/>
              </w:rPr>
            </w:pPr>
          </w:p>
          <w:p w14:paraId="049D8CD1" w14:textId="77777777" w:rsidR="000A59A8" w:rsidRDefault="000A59A8" w:rsidP="00AB4135">
            <w:pPr>
              <w:rPr>
                <w:rFonts w:eastAsia="Calibri"/>
                <w:sz w:val="17"/>
                <w:szCs w:val="17"/>
              </w:rPr>
            </w:pPr>
          </w:p>
          <w:p w14:paraId="136A6F1C" w14:textId="77777777" w:rsidR="00D523D0" w:rsidRPr="00B83CEB" w:rsidRDefault="00D523D0" w:rsidP="00AB4135">
            <w:pPr>
              <w:rPr>
                <w:rFonts w:eastAsia="Calibri"/>
                <w:sz w:val="17"/>
                <w:szCs w:val="17"/>
              </w:rPr>
            </w:pPr>
          </w:p>
          <w:p w14:paraId="2B2FE560" w14:textId="77777777" w:rsidR="000A59A8" w:rsidRPr="00B83CEB" w:rsidRDefault="0080471D" w:rsidP="00AB4135">
            <w:pPr>
              <w:rPr>
                <w:sz w:val="17"/>
                <w:szCs w:val="17"/>
              </w:rPr>
            </w:pPr>
            <w:hyperlink r:id="rId26" w:history="1">
              <w:r w:rsidR="000A59A8" w:rsidRPr="00B83CEB">
                <w:rPr>
                  <w:bCs/>
                  <w:iCs/>
                  <w:color w:val="000000"/>
                  <w:sz w:val="17"/>
                  <w:szCs w:val="17"/>
                </w:rPr>
                <w:t>Freedom House</w:t>
              </w:r>
            </w:hyperlink>
            <w:r w:rsidR="000A59A8" w:rsidRPr="00B83CEB">
              <w:rPr>
                <w:bCs/>
                <w:iCs/>
                <w:color w:val="000000"/>
                <w:sz w:val="17"/>
                <w:szCs w:val="17"/>
              </w:rPr>
              <w:t xml:space="preserve"> (annually)</w:t>
            </w:r>
          </w:p>
          <w:p w14:paraId="677F573C" w14:textId="77777777" w:rsidR="000A59A8" w:rsidRPr="00B83CEB" w:rsidRDefault="000A59A8" w:rsidP="00AB4135">
            <w:pPr>
              <w:rPr>
                <w:rFonts w:eastAsia="Calibri"/>
                <w:sz w:val="17"/>
                <w:szCs w:val="17"/>
              </w:rPr>
            </w:pPr>
          </w:p>
          <w:p w14:paraId="1B427DF4" w14:textId="77777777" w:rsidR="000A59A8" w:rsidRPr="00B83CEB" w:rsidRDefault="000A59A8" w:rsidP="00AB4135">
            <w:pPr>
              <w:rPr>
                <w:rFonts w:eastAsia="Calibri"/>
                <w:sz w:val="17"/>
                <w:szCs w:val="17"/>
              </w:rPr>
            </w:pPr>
          </w:p>
          <w:p w14:paraId="60E6B55B" w14:textId="56CD1015" w:rsidR="000A59A8" w:rsidRPr="00B83CEB" w:rsidRDefault="0080471D" w:rsidP="00AB4135">
            <w:pPr>
              <w:rPr>
                <w:bCs/>
                <w:iCs/>
                <w:color w:val="000000"/>
                <w:sz w:val="17"/>
                <w:szCs w:val="17"/>
              </w:rPr>
            </w:pPr>
            <w:hyperlink r:id="rId27" w:history="1">
              <w:r w:rsidR="000A59A8" w:rsidRPr="00B83CEB">
                <w:rPr>
                  <w:bCs/>
                  <w:iCs/>
                  <w:color w:val="000000"/>
                  <w:sz w:val="17"/>
                  <w:szCs w:val="17"/>
                </w:rPr>
                <w:t xml:space="preserve">WJP </w:t>
              </w:r>
              <w:r w:rsidR="00CB68D8" w:rsidRPr="00B83CEB">
                <w:rPr>
                  <w:bCs/>
                  <w:iCs/>
                  <w:color w:val="000000"/>
                  <w:sz w:val="17"/>
                  <w:szCs w:val="17"/>
                </w:rPr>
                <w:t>Rule of Law</w:t>
              </w:r>
              <w:r w:rsidR="000A59A8" w:rsidRPr="00B83CEB">
                <w:rPr>
                  <w:bCs/>
                  <w:iCs/>
                  <w:color w:val="000000"/>
                  <w:sz w:val="17"/>
                  <w:szCs w:val="17"/>
                </w:rPr>
                <w:t xml:space="preserve"> </w:t>
              </w:r>
              <w:r w:rsidR="00377C4E" w:rsidRPr="00B83CEB">
                <w:rPr>
                  <w:bCs/>
                  <w:iCs/>
                  <w:color w:val="000000"/>
                  <w:sz w:val="17"/>
                  <w:szCs w:val="17"/>
                </w:rPr>
                <w:t>I</w:t>
              </w:r>
              <w:r w:rsidR="000A59A8" w:rsidRPr="00B83CEB">
                <w:rPr>
                  <w:bCs/>
                  <w:iCs/>
                  <w:color w:val="000000"/>
                  <w:sz w:val="17"/>
                  <w:szCs w:val="17"/>
                </w:rPr>
                <w:t>ndex</w:t>
              </w:r>
            </w:hyperlink>
            <w:r w:rsidR="000A59A8" w:rsidRPr="00B83CEB">
              <w:rPr>
                <w:bCs/>
                <w:iCs/>
                <w:color w:val="000000"/>
                <w:sz w:val="17"/>
                <w:szCs w:val="17"/>
              </w:rPr>
              <w:t>,2015 (annually)</w:t>
            </w:r>
          </w:p>
          <w:p w14:paraId="0DC85B59" w14:textId="77777777" w:rsidR="000A59A8" w:rsidRPr="00B83CEB" w:rsidRDefault="000A59A8" w:rsidP="00AB4135">
            <w:pPr>
              <w:rPr>
                <w:bCs/>
                <w:iCs/>
                <w:color w:val="000000"/>
                <w:sz w:val="17"/>
                <w:szCs w:val="17"/>
              </w:rPr>
            </w:pPr>
          </w:p>
          <w:p w14:paraId="5A651F66" w14:textId="77777777" w:rsidR="000A59A8" w:rsidRPr="00B83CEB" w:rsidRDefault="000A59A8" w:rsidP="00AB4135">
            <w:pPr>
              <w:rPr>
                <w:bCs/>
                <w:iCs/>
                <w:color w:val="000000"/>
                <w:sz w:val="17"/>
                <w:szCs w:val="17"/>
              </w:rPr>
            </w:pPr>
          </w:p>
          <w:p w14:paraId="7472837D" w14:textId="77777777" w:rsidR="000A59A8" w:rsidRPr="00B83CEB" w:rsidRDefault="000A59A8" w:rsidP="00AB4135">
            <w:pPr>
              <w:rPr>
                <w:bCs/>
                <w:iCs/>
                <w:color w:val="000000"/>
                <w:sz w:val="17"/>
                <w:szCs w:val="17"/>
              </w:rPr>
            </w:pPr>
          </w:p>
          <w:p w14:paraId="682B40C7" w14:textId="77777777" w:rsidR="000A59A8" w:rsidRPr="00B83CEB" w:rsidRDefault="000A59A8" w:rsidP="00AB4135">
            <w:pPr>
              <w:rPr>
                <w:bCs/>
                <w:iCs/>
                <w:color w:val="000000"/>
                <w:sz w:val="17"/>
                <w:szCs w:val="17"/>
              </w:rPr>
            </w:pPr>
          </w:p>
          <w:p w14:paraId="5E61018F" w14:textId="62EF0AA9" w:rsidR="000A59A8" w:rsidRPr="00B83CEB" w:rsidRDefault="00CB68D8" w:rsidP="00AB4135">
            <w:pPr>
              <w:rPr>
                <w:bCs/>
                <w:iCs/>
                <w:color w:val="000000"/>
                <w:sz w:val="17"/>
                <w:szCs w:val="17"/>
              </w:rPr>
            </w:pPr>
            <w:r w:rsidRPr="00B83CEB">
              <w:rPr>
                <w:bCs/>
                <w:iCs/>
                <w:color w:val="000000"/>
                <w:sz w:val="17"/>
                <w:szCs w:val="17"/>
              </w:rPr>
              <w:t>Open Government Partnership (OGP)</w:t>
            </w:r>
            <w:r w:rsidR="000D73C4" w:rsidRPr="00B83CEB">
              <w:rPr>
                <w:bCs/>
                <w:iCs/>
                <w:color w:val="000000"/>
                <w:sz w:val="17"/>
                <w:szCs w:val="17"/>
              </w:rPr>
              <w:t xml:space="preserve"> Trust in Institutions Survey </w:t>
            </w:r>
            <w:r w:rsidR="000A59A8" w:rsidRPr="00B83CEB">
              <w:rPr>
                <w:bCs/>
                <w:iCs/>
                <w:color w:val="000000"/>
                <w:sz w:val="17"/>
                <w:szCs w:val="17"/>
              </w:rPr>
              <w:t>(annually)</w:t>
            </w:r>
          </w:p>
          <w:p w14:paraId="4A85C109" w14:textId="77777777" w:rsidR="000A59A8" w:rsidRPr="00B83CEB" w:rsidRDefault="000A59A8" w:rsidP="00AB4135">
            <w:pPr>
              <w:rPr>
                <w:bCs/>
                <w:iCs/>
                <w:color w:val="000000"/>
                <w:sz w:val="17"/>
                <w:szCs w:val="17"/>
              </w:rPr>
            </w:pPr>
          </w:p>
          <w:p w14:paraId="084B5A4D" w14:textId="77777777" w:rsidR="000A59A8" w:rsidRPr="00B83CEB" w:rsidRDefault="000A59A8" w:rsidP="00AB4135">
            <w:pPr>
              <w:rPr>
                <w:bCs/>
                <w:iCs/>
                <w:color w:val="000000"/>
                <w:sz w:val="17"/>
                <w:szCs w:val="17"/>
              </w:rPr>
            </w:pPr>
          </w:p>
          <w:p w14:paraId="4DD40241" w14:textId="77777777" w:rsidR="000A59A8" w:rsidRPr="00B83CEB" w:rsidRDefault="000A59A8" w:rsidP="00AB4135">
            <w:pPr>
              <w:rPr>
                <w:bCs/>
                <w:iCs/>
                <w:color w:val="000000"/>
                <w:sz w:val="17"/>
                <w:szCs w:val="17"/>
              </w:rPr>
            </w:pPr>
          </w:p>
          <w:p w14:paraId="59675FFD" w14:textId="77777777" w:rsidR="000A59A8" w:rsidRPr="00B83CEB" w:rsidRDefault="000A59A8" w:rsidP="00AB4135">
            <w:pPr>
              <w:rPr>
                <w:bCs/>
                <w:iCs/>
                <w:color w:val="000000"/>
                <w:sz w:val="17"/>
                <w:szCs w:val="17"/>
              </w:rPr>
            </w:pPr>
          </w:p>
          <w:p w14:paraId="6DDA47B9" w14:textId="77777777" w:rsidR="000A59A8" w:rsidRPr="00B83CEB" w:rsidRDefault="000A59A8" w:rsidP="00AB4135">
            <w:pPr>
              <w:rPr>
                <w:bCs/>
                <w:iCs/>
                <w:color w:val="000000"/>
                <w:sz w:val="17"/>
                <w:szCs w:val="17"/>
              </w:rPr>
            </w:pPr>
          </w:p>
          <w:p w14:paraId="69FE63BD" w14:textId="77777777" w:rsidR="000A59A8" w:rsidRPr="00B83CEB" w:rsidRDefault="000A59A8" w:rsidP="00AB4135">
            <w:pPr>
              <w:rPr>
                <w:bCs/>
                <w:iCs/>
                <w:color w:val="000000"/>
                <w:sz w:val="17"/>
                <w:szCs w:val="17"/>
              </w:rPr>
            </w:pPr>
          </w:p>
          <w:p w14:paraId="5F453A47" w14:textId="77777777" w:rsidR="000A59A8" w:rsidRPr="00B83CEB" w:rsidRDefault="000A59A8" w:rsidP="00AB4135">
            <w:pPr>
              <w:rPr>
                <w:bCs/>
                <w:iCs/>
                <w:color w:val="000000"/>
                <w:sz w:val="17"/>
                <w:szCs w:val="17"/>
              </w:rPr>
            </w:pPr>
          </w:p>
          <w:p w14:paraId="7DD98FDA" w14:textId="77777777" w:rsidR="000A59A8" w:rsidRPr="00B83CEB" w:rsidRDefault="000A59A8" w:rsidP="00AB4135">
            <w:pPr>
              <w:rPr>
                <w:bCs/>
                <w:iCs/>
                <w:color w:val="000000"/>
                <w:sz w:val="17"/>
                <w:szCs w:val="17"/>
              </w:rPr>
            </w:pPr>
          </w:p>
          <w:p w14:paraId="1E70AB23" w14:textId="77777777" w:rsidR="000A59A8" w:rsidRPr="00B83CEB" w:rsidRDefault="000A59A8" w:rsidP="00AB4135">
            <w:pPr>
              <w:rPr>
                <w:bCs/>
                <w:iCs/>
                <w:color w:val="000000"/>
                <w:sz w:val="17"/>
                <w:szCs w:val="17"/>
              </w:rPr>
            </w:pPr>
          </w:p>
          <w:p w14:paraId="63622AD0" w14:textId="77777777" w:rsidR="000A59A8" w:rsidRPr="00B83CEB" w:rsidRDefault="000A59A8" w:rsidP="00AB4135">
            <w:pPr>
              <w:rPr>
                <w:bCs/>
                <w:iCs/>
                <w:color w:val="000000"/>
                <w:sz w:val="17"/>
                <w:szCs w:val="17"/>
              </w:rPr>
            </w:pPr>
          </w:p>
          <w:p w14:paraId="48116A3E" w14:textId="77777777" w:rsidR="000A59A8" w:rsidRPr="00B83CEB" w:rsidRDefault="000A59A8" w:rsidP="00AB4135">
            <w:pPr>
              <w:rPr>
                <w:bCs/>
                <w:iCs/>
                <w:color w:val="000000"/>
                <w:sz w:val="17"/>
                <w:szCs w:val="17"/>
              </w:rPr>
            </w:pPr>
          </w:p>
          <w:p w14:paraId="5F25AFF4" w14:textId="77777777" w:rsidR="000A59A8" w:rsidRPr="00B83CEB" w:rsidRDefault="000A59A8" w:rsidP="00AB4135">
            <w:pPr>
              <w:rPr>
                <w:bCs/>
                <w:iCs/>
                <w:color w:val="000000"/>
                <w:sz w:val="17"/>
                <w:szCs w:val="17"/>
              </w:rPr>
            </w:pPr>
          </w:p>
          <w:p w14:paraId="43DBFEE7" w14:textId="77777777" w:rsidR="000A59A8" w:rsidRPr="00B83CEB" w:rsidRDefault="000A59A8" w:rsidP="00AB4135">
            <w:pPr>
              <w:rPr>
                <w:bCs/>
                <w:iCs/>
                <w:color w:val="000000"/>
                <w:sz w:val="17"/>
                <w:szCs w:val="17"/>
              </w:rPr>
            </w:pPr>
          </w:p>
          <w:p w14:paraId="69CEC6E5" w14:textId="77777777" w:rsidR="000A59A8" w:rsidRPr="00B83CEB" w:rsidRDefault="000A59A8" w:rsidP="00AB4135">
            <w:pPr>
              <w:rPr>
                <w:bCs/>
                <w:iCs/>
                <w:color w:val="000000"/>
                <w:sz w:val="17"/>
                <w:szCs w:val="17"/>
              </w:rPr>
            </w:pPr>
          </w:p>
          <w:p w14:paraId="3CB13D5F" w14:textId="77777777" w:rsidR="000A59A8" w:rsidRPr="00B83CEB" w:rsidRDefault="000A59A8" w:rsidP="00AB4135">
            <w:pPr>
              <w:rPr>
                <w:bCs/>
                <w:iCs/>
                <w:color w:val="000000"/>
                <w:sz w:val="17"/>
                <w:szCs w:val="17"/>
              </w:rPr>
            </w:pPr>
          </w:p>
          <w:p w14:paraId="768C3ADA" w14:textId="77777777" w:rsidR="000A59A8" w:rsidRPr="00B83CEB" w:rsidRDefault="000A59A8" w:rsidP="00AB4135">
            <w:pPr>
              <w:rPr>
                <w:bCs/>
                <w:iCs/>
                <w:color w:val="000000"/>
                <w:sz w:val="17"/>
                <w:szCs w:val="17"/>
              </w:rPr>
            </w:pPr>
          </w:p>
          <w:p w14:paraId="7CBAB920" w14:textId="77777777" w:rsidR="000A59A8" w:rsidRPr="00B83CEB" w:rsidRDefault="000A59A8" w:rsidP="00AB4135">
            <w:pPr>
              <w:rPr>
                <w:bCs/>
                <w:iCs/>
                <w:color w:val="000000"/>
                <w:sz w:val="17"/>
                <w:szCs w:val="17"/>
              </w:rPr>
            </w:pPr>
            <w:r w:rsidRPr="00B83CEB">
              <w:rPr>
                <w:bCs/>
                <w:iCs/>
                <w:color w:val="000000"/>
                <w:sz w:val="17"/>
                <w:szCs w:val="17"/>
              </w:rPr>
              <w:t>OGP National Survey (annually)</w:t>
            </w:r>
          </w:p>
          <w:p w14:paraId="225CEB40" w14:textId="77777777" w:rsidR="000A59A8" w:rsidRPr="00B83CEB" w:rsidRDefault="000A59A8" w:rsidP="00AB4135">
            <w:pPr>
              <w:rPr>
                <w:sz w:val="17"/>
                <w:szCs w:val="17"/>
              </w:rPr>
            </w:pPr>
          </w:p>
          <w:p w14:paraId="61B9BC02" w14:textId="77777777" w:rsidR="000A59A8" w:rsidRPr="00B83CEB" w:rsidRDefault="000A59A8" w:rsidP="00AB4135">
            <w:pPr>
              <w:rPr>
                <w:sz w:val="17"/>
                <w:szCs w:val="17"/>
              </w:rPr>
            </w:pPr>
          </w:p>
        </w:tc>
        <w:tc>
          <w:tcPr>
            <w:tcW w:w="5068" w:type="dxa"/>
            <w:gridSpan w:val="4"/>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6E76B0" w14:textId="4D5C6093" w:rsidR="000A59A8" w:rsidRPr="00B83CEB" w:rsidRDefault="000A59A8" w:rsidP="00CC3210">
            <w:pPr>
              <w:rPr>
                <w:sz w:val="17"/>
                <w:szCs w:val="17"/>
              </w:rPr>
            </w:pPr>
            <w:r w:rsidRPr="00B83CEB">
              <w:rPr>
                <w:b/>
                <w:bCs/>
                <w:color w:val="000000"/>
                <w:sz w:val="17"/>
                <w:szCs w:val="17"/>
                <w:u w:val="single"/>
              </w:rPr>
              <w:lastRenderedPageBreak/>
              <w:t>Output</w:t>
            </w:r>
            <w:r w:rsidR="001372D4" w:rsidRPr="00B83CEB">
              <w:rPr>
                <w:b/>
                <w:bCs/>
                <w:color w:val="000000"/>
                <w:sz w:val="17"/>
                <w:szCs w:val="17"/>
                <w:u w:val="single"/>
              </w:rPr>
              <w:t xml:space="preserve"> </w:t>
            </w:r>
            <w:r w:rsidRPr="00B83CEB">
              <w:rPr>
                <w:b/>
                <w:bCs/>
                <w:color w:val="000000"/>
                <w:sz w:val="17"/>
                <w:szCs w:val="17"/>
                <w:u w:val="single"/>
              </w:rPr>
              <w:t>1.1</w:t>
            </w:r>
            <w:r w:rsidRPr="00B83CEB">
              <w:rPr>
                <w:b/>
                <w:bCs/>
                <w:color w:val="000000"/>
                <w:sz w:val="17"/>
                <w:szCs w:val="17"/>
              </w:rPr>
              <w:t xml:space="preserve"> Constitutional, parliamentary and independent bodies are reinforced to carry out core functions.</w:t>
            </w:r>
          </w:p>
          <w:p w14:paraId="01CC0F3D" w14:textId="77777777" w:rsidR="000A59A8" w:rsidRPr="00B83CEB" w:rsidRDefault="000A59A8" w:rsidP="00CC3210">
            <w:pPr>
              <w:rPr>
                <w:color w:val="000000"/>
                <w:sz w:val="17"/>
                <w:szCs w:val="17"/>
                <w:u w:val="single"/>
              </w:rPr>
            </w:pPr>
          </w:p>
          <w:p w14:paraId="06E51DE9" w14:textId="180C45BD" w:rsidR="00EE2A01" w:rsidRPr="00B83CEB" w:rsidRDefault="000A59A8" w:rsidP="00CC3210">
            <w:pPr>
              <w:rPr>
                <w:sz w:val="17"/>
                <w:szCs w:val="17"/>
              </w:rPr>
            </w:pPr>
            <w:r w:rsidRPr="00B83CEB">
              <w:rPr>
                <w:sz w:val="17"/>
                <w:szCs w:val="17"/>
                <w:u w:val="single"/>
              </w:rPr>
              <w:t>Indicator</w:t>
            </w:r>
            <w:r w:rsidR="007200F4" w:rsidRPr="00B83CEB">
              <w:rPr>
                <w:sz w:val="17"/>
                <w:szCs w:val="17"/>
                <w:u w:val="single"/>
              </w:rPr>
              <w:t xml:space="preserve"> </w:t>
            </w:r>
            <w:r w:rsidRPr="00B83CEB">
              <w:rPr>
                <w:sz w:val="17"/>
                <w:szCs w:val="17"/>
              </w:rPr>
              <w:t xml:space="preserve">1.1.1 </w:t>
            </w:r>
          </w:p>
          <w:p w14:paraId="0C714DB6" w14:textId="0916CBE0" w:rsidR="000A59A8" w:rsidRPr="00B83CEB" w:rsidRDefault="000A59A8" w:rsidP="00CC3210">
            <w:pPr>
              <w:rPr>
                <w:sz w:val="17"/>
                <w:szCs w:val="17"/>
              </w:rPr>
            </w:pPr>
            <w:r w:rsidRPr="00B83CEB">
              <w:rPr>
                <w:sz w:val="17"/>
                <w:szCs w:val="17"/>
              </w:rPr>
              <w:t>Extent</w:t>
            </w:r>
            <w:r w:rsidR="001D152E" w:rsidRPr="00B83CEB">
              <w:rPr>
                <w:rStyle w:val="FootnoteReference"/>
                <w:sz w:val="17"/>
                <w:szCs w:val="17"/>
              </w:rPr>
              <w:footnoteReference w:id="32"/>
            </w:r>
            <w:r w:rsidRPr="00B83CEB">
              <w:rPr>
                <w:sz w:val="17"/>
                <w:szCs w:val="17"/>
              </w:rPr>
              <w:t xml:space="preserve"> to which </w:t>
            </w:r>
            <w:r w:rsidR="00EE2A01" w:rsidRPr="00B83CEB">
              <w:rPr>
                <w:sz w:val="17"/>
                <w:szCs w:val="17"/>
              </w:rPr>
              <w:t>human rights institutions </w:t>
            </w:r>
            <w:r w:rsidRPr="00B83CEB">
              <w:rPr>
                <w:sz w:val="17"/>
                <w:szCs w:val="17"/>
              </w:rPr>
              <w:t>have the capacity to support fulfilment of national and international human rights obligations (1-4)</w:t>
            </w:r>
          </w:p>
          <w:p w14:paraId="71BEFB95" w14:textId="77777777" w:rsidR="000A59A8" w:rsidRPr="00B83CEB" w:rsidRDefault="000A59A8" w:rsidP="00CC3210">
            <w:pPr>
              <w:rPr>
                <w:sz w:val="17"/>
                <w:szCs w:val="17"/>
              </w:rPr>
            </w:pPr>
            <w:r w:rsidRPr="00B83CEB">
              <w:rPr>
                <w:sz w:val="17"/>
                <w:szCs w:val="17"/>
                <w:u w:val="single"/>
              </w:rPr>
              <w:t>Baseline:</w:t>
            </w:r>
            <w:r w:rsidRPr="00B83CEB">
              <w:rPr>
                <w:sz w:val="17"/>
                <w:szCs w:val="17"/>
              </w:rPr>
              <w:t xml:space="preserve">         </w:t>
            </w:r>
            <w:r w:rsidRPr="00B83CEB">
              <w:rPr>
                <w:sz w:val="17"/>
                <w:szCs w:val="17"/>
                <w:u w:val="single"/>
              </w:rPr>
              <w:t>Target:</w:t>
            </w:r>
          </w:p>
          <w:p w14:paraId="46C68A5D" w14:textId="77777777" w:rsidR="000A59A8" w:rsidRPr="00B83CEB" w:rsidRDefault="000A59A8" w:rsidP="00CC3210">
            <w:pPr>
              <w:rPr>
                <w:sz w:val="17"/>
                <w:szCs w:val="17"/>
              </w:rPr>
            </w:pPr>
            <w:r w:rsidRPr="00B83CEB">
              <w:rPr>
                <w:sz w:val="17"/>
                <w:szCs w:val="17"/>
              </w:rPr>
              <w:t xml:space="preserve">2                       4 </w:t>
            </w:r>
          </w:p>
          <w:p w14:paraId="49B6FD75" w14:textId="5BF967A4" w:rsidR="000A59A8" w:rsidRPr="00B83CEB" w:rsidRDefault="000A59A8" w:rsidP="00CC3210">
            <w:pPr>
              <w:rPr>
                <w:b/>
                <w:sz w:val="17"/>
                <w:szCs w:val="17"/>
              </w:rPr>
            </w:pPr>
            <w:r w:rsidRPr="00B83CEB">
              <w:rPr>
                <w:sz w:val="17"/>
                <w:szCs w:val="17"/>
              </w:rPr>
              <w:t xml:space="preserve">Source: </w:t>
            </w:r>
            <w:r w:rsidR="001D152E" w:rsidRPr="00B83CEB">
              <w:rPr>
                <w:sz w:val="17"/>
                <w:szCs w:val="17"/>
              </w:rPr>
              <w:t xml:space="preserve">UNDP </w:t>
            </w:r>
            <w:r w:rsidR="000776FB" w:rsidRPr="00B83CEB">
              <w:rPr>
                <w:sz w:val="17"/>
                <w:szCs w:val="17"/>
              </w:rPr>
              <w:t xml:space="preserve">(Integrated Results and Resources Framework </w:t>
            </w:r>
            <w:r w:rsidR="00360CA2" w:rsidRPr="00B83CEB">
              <w:rPr>
                <w:sz w:val="17"/>
                <w:szCs w:val="17"/>
              </w:rPr>
              <w:t>2.3.1</w:t>
            </w:r>
            <w:r w:rsidR="000776FB" w:rsidRPr="00B83CEB">
              <w:rPr>
                <w:sz w:val="17"/>
                <w:szCs w:val="17"/>
              </w:rPr>
              <w:t xml:space="preserve"> )</w:t>
            </w:r>
          </w:p>
          <w:p w14:paraId="0C264C05" w14:textId="77777777" w:rsidR="000A59A8" w:rsidRPr="00B83CEB" w:rsidRDefault="000A59A8" w:rsidP="00CC3210">
            <w:pPr>
              <w:rPr>
                <w:sz w:val="17"/>
                <w:szCs w:val="17"/>
                <w:u w:val="single"/>
              </w:rPr>
            </w:pPr>
          </w:p>
          <w:p w14:paraId="539EBD7C" w14:textId="29DC2E24" w:rsidR="00EE2A01" w:rsidRPr="00B83CEB" w:rsidRDefault="000A59A8" w:rsidP="00CC3210">
            <w:pPr>
              <w:rPr>
                <w:sz w:val="17"/>
                <w:szCs w:val="17"/>
                <w:u w:val="single"/>
              </w:rPr>
            </w:pPr>
            <w:r w:rsidRPr="00B83CEB">
              <w:rPr>
                <w:sz w:val="17"/>
                <w:szCs w:val="17"/>
                <w:u w:val="single"/>
              </w:rPr>
              <w:t>Indicator</w:t>
            </w:r>
            <w:r w:rsidR="007200F4" w:rsidRPr="00B83CEB">
              <w:rPr>
                <w:sz w:val="17"/>
                <w:szCs w:val="17"/>
                <w:u w:val="single"/>
              </w:rPr>
              <w:t xml:space="preserve"> </w:t>
            </w:r>
            <w:r w:rsidRPr="00B83CEB">
              <w:rPr>
                <w:sz w:val="17"/>
                <w:szCs w:val="17"/>
                <w:u w:val="single"/>
              </w:rPr>
              <w:t>1.1.2</w:t>
            </w:r>
          </w:p>
          <w:p w14:paraId="343F1F7A" w14:textId="6CDD365C" w:rsidR="000A59A8" w:rsidRPr="00B83CEB" w:rsidRDefault="000A59A8" w:rsidP="00CC3210">
            <w:pPr>
              <w:rPr>
                <w:sz w:val="17"/>
                <w:szCs w:val="17"/>
              </w:rPr>
            </w:pPr>
            <w:r w:rsidRPr="00B83CEB">
              <w:rPr>
                <w:sz w:val="17"/>
                <w:szCs w:val="17"/>
              </w:rPr>
              <w:t>Extent</w:t>
            </w:r>
            <w:r w:rsidR="001D152E" w:rsidRPr="00B83CEB">
              <w:rPr>
                <w:rStyle w:val="FootnoteReference"/>
                <w:sz w:val="17"/>
                <w:szCs w:val="17"/>
              </w:rPr>
              <w:footnoteReference w:id="33"/>
            </w:r>
            <w:r w:rsidRPr="00B83CEB">
              <w:rPr>
                <w:sz w:val="17"/>
                <w:szCs w:val="17"/>
              </w:rPr>
              <w:t xml:space="preserve"> to which </w:t>
            </w:r>
            <w:r w:rsidR="00EE2A01" w:rsidRPr="00B83CEB">
              <w:rPr>
                <w:sz w:val="17"/>
                <w:szCs w:val="17"/>
              </w:rPr>
              <w:t xml:space="preserve">electoral management bodies </w:t>
            </w:r>
            <w:r w:rsidRPr="00B83CEB">
              <w:rPr>
                <w:sz w:val="17"/>
                <w:szCs w:val="17"/>
              </w:rPr>
              <w:t>perform core functions (1-4)</w:t>
            </w:r>
          </w:p>
          <w:p w14:paraId="74A765FB" w14:textId="77777777" w:rsidR="000A59A8" w:rsidRPr="00B83CEB" w:rsidRDefault="000A59A8" w:rsidP="00CC3210">
            <w:pPr>
              <w:rPr>
                <w:sz w:val="17"/>
                <w:szCs w:val="17"/>
              </w:rPr>
            </w:pPr>
            <w:r w:rsidRPr="00B83CEB">
              <w:rPr>
                <w:sz w:val="17"/>
                <w:szCs w:val="17"/>
                <w:u w:val="single"/>
              </w:rPr>
              <w:t>Baseline:</w:t>
            </w:r>
            <w:r w:rsidRPr="00B83CEB">
              <w:rPr>
                <w:sz w:val="17"/>
                <w:szCs w:val="17"/>
              </w:rPr>
              <w:t xml:space="preserve">         </w:t>
            </w:r>
            <w:r w:rsidRPr="00B83CEB">
              <w:rPr>
                <w:sz w:val="17"/>
                <w:szCs w:val="17"/>
                <w:u w:val="single"/>
              </w:rPr>
              <w:t>Target:</w:t>
            </w:r>
          </w:p>
          <w:p w14:paraId="55004625" w14:textId="77777777" w:rsidR="000A59A8" w:rsidRPr="00B83CEB" w:rsidRDefault="000A59A8" w:rsidP="00CC3210">
            <w:pPr>
              <w:rPr>
                <w:sz w:val="17"/>
                <w:szCs w:val="17"/>
              </w:rPr>
            </w:pPr>
            <w:r w:rsidRPr="00B83CEB">
              <w:rPr>
                <w:sz w:val="17"/>
                <w:szCs w:val="17"/>
              </w:rPr>
              <w:t xml:space="preserve">2                       4 </w:t>
            </w:r>
          </w:p>
          <w:p w14:paraId="068FCBF1" w14:textId="0A09F3C5" w:rsidR="000A59A8" w:rsidRPr="00B83CEB" w:rsidRDefault="000A59A8" w:rsidP="00CC3210">
            <w:pPr>
              <w:rPr>
                <w:rFonts w:eastAsia="Calibri"/>
                <w:b/>
                <w:sz w:val="17"/>
                <w:szCs w:val="17"/>
              </w:rPr>
            </w:pPr>
            <w:r w:rsidRPr="00B83CEB">
              <w:rPr>
                <w:sz w:val="17"/>
                <w:szCs w:val="17"/>
              </w:rPr>
              <w:t>Source: CEC</w:t>
            </w:r>
            <w:r w:rsidR="001D152E" w:rsidRPr="00B83CEB">
              <w:rPr>
                <w:sz w:val="17"/>
                <w:szCs w:val="17"/>
              </w:rPr>
              <w:t>/UNDP</w:t>
            </w:r>
            <w:r w:rsidR="000776FB" w:rsidRPr="00B83CEB">
              <w:rPr>
                <w:sz w:val="17"/>
                <w:szCs w:val="17"/>
              </w:rPr>
              <w:t xml:space="preserve">(Integrated Results and Resources Framework </w:t>
            </w:r>
            <w:r w:rsidR="00360CA2" w:rsidRPr="00B83CEB">
              <w:rPr>
                <w:sz w:val="17"/>
                <w:szCs w:val="17"/>
              </w:rPr>
              <w:t>2.1.1</w:t>
            </w:r>
            <w:r w:rsidR="000776FB" w:rsidRPr="00B83CEB">
              <w:rPr>
                <w:sz w:val="17"/>
                <w:szCs w:val="17"/>
              </w:rPr>
              <w:t xml:space="preserve"> )</w:t>
            </w:r>
          </w:p>
          <w:p w14:paraId="558F8F80" w14:textId="77777777" w:rsidR="000A59A8" w:rsidRPr="00B83CEB" w:rsidRDefault="000A59A8" w:rsidP="00CC3210">
            <w:pPr>
              <w:rPr>
                <w:sz w:val="17"/>
                <w:szCs w:val="17"/>
              </w:rPr>
            </w:pPr>
          </w:p>
          <w:p w14:paraId="3C98A5C1" w14:textId="7EE2E3AE" w:rsidR="00EE2A01" w:rsidRPr="00B83CEB" w:rsidRDefault="000A59A8" w:rsidP="00CC3210">
            <w:pPr>
              <w:rPr>
                <w:sz w:val="17"/>
                <w:szCs w:val="17"/>
              </w:rPr>
            </w:pPr>
            <w:r w:rsidRPr="00B83CEB">
              <w:rPr>
                <w:sz w:val="17"/>
                <w:szCs w:val="17"/>
                <w:u w:val="single"/>
              </w:rPr>
              <w:t>Indicator</w:t>
            </w:r>
            <w:r w:rsidR="007200F4" w:rsidRPr="00B83CEB">
              <w:rPr>
                <w:sz w:val="17"/>
                <w:szCs w:val="17"/>
                <w:u w:val="single"/>
              </w:rPr>
              <w:t xml:space="preserve"> </w:t>
            </w:r>
            <w:r w:rsidRPr="00B83CEB">
              <w:rPr>
                <w:sz w:val="17"/>
                <w:szCs w:val="17"/>
                <w:u w:val="single"/>
              </w:rPr>
              <w:t>1.1.3</w:t>
            </w:r>
            <w:r w:rsidRPr="00B83CEB">
              <w:rPr>
                <w:sz w:val="17"/>
                <w:szCs w:val="17"/>
              </w:rPr>
              <w:t xml:space="preserve">  </w:t>
            </w:r>
          </w:p>
          <w:p w14:paraId="7F810F1E" w14:textId="334AB010" w:rsidR="000A59A8" w:rsidRPr="00B83CEB" w:rsidRDefault="000A59A8" w:rsidP="00CC3210">
            <w:pPr>
              <w:rPr>
                <w:sz w:val="17"/>
                <w:szCs w:val="17"/>
              </w:rPr>
            </w:pPr>
            <w:r w:rsidRPr="00B83CEB">
              <w:rPr>
                <w:sz w:val="17"/>
                <w:szCs w:val="17"/>
              </w:rPr>
              <w:t xml:space="preserve">Number of women </w:t>
            </w:r>
            <w:r w:rsidRPr="00B83CEB">
              <w:rPr>
                <w:color w:val="000000"/>
                <w:sz w:val="17"/>
                <w:szCs w:val="17"/>
              </w:rPr>
              <w:t xml:space="preserve"> participating as candidates in local and national elections </w:t>
            </w:r>
          </w:p>
          <w:p w14:paraId="152DE823" w14:textId="1F77A7DE" w:rsidR="000A59A8" w:rsidRPr="00B83CEB" w:rsidRDefault="000A59A8" w:rsidP="00CC3210">
            <w:pPr>
              <w:rPr>
                <w:rFonts w:eastAsia="Calibri"/>
                <w:color w:val="000000"/>
                <w:sz w:val="17"/>
                <w:szCs w:val="17"/>
              </w:rPr>
            </w:pPr>
            <w:r w:rsidRPr="00B83CEB">
              <w:rPr>
                <w:color w:val="000000"/>
                <w:sz w:val="17"/>
                <w:szCs w:val="17"/>
              </w:rPr>
              <w:t>Baseline:       2</w:t>
            </w:r>
            <w:r w:rsidR="00EE2A01" w:rsidRPr="00B83CEB">
              <w:rPr>
                <w:color w:val="000000"/>
                <w:sz w:val="17"/>
                <w:szCs w:val="17"/>
              </w:rPr>
              <w:t>,</w:t>
            </w:r>
            <w:r w:rsidRPr="00B83CEB">
              <w:rPr>
                <w:color w:val="000000"/>
                <w:sz w:val="17"/>
                <w:szCs w:val="17"/>
              </w:rPr>
              <w:t>834 (2013)</w:t>
            </w:r>
            <w:r w:rsidRPr="00B83CEB">
              <w:rPr>
                <w:rFonts w:eastAsia="Calibri"/>
                <w:color w:val="000000"/>
                <w:sz w:val="17"/>
                <w:szCs w:val="17"/>
              </w:rPr>
              <w:t xml:space="preserve">   </w:t>
            </w:r>
            <w:r w:rsidRPr="00B83CEB">
              <w:rPr>
                <w:color w:val="000000"/>
                <w:sz w:val="17"/>
                <w:szCs w:val="17"/>
              </w:rPr>
              <w:t>Target 3</w:t>
            </w:r>
            <w:r w:rsidR="00EE2A01" w:rsidRPr="00B83CEB">
              <w:rPr>
                <w:color w:val="000000"/>
                <w:sz w:val="17"/>
                <w:szCs w:val="17"/>
              </w:rPr>
              <w:t>,</w:t>
            </w:r>
            <w:r w:rsidRPr="00B83CEB">
              <w:rPr>
                <w:color w:val="000000"/>
                <w:sz w:val="17"/>
                <w:szCs w:val="17"/>
              </w:rPr>
              <w:t>200</w:t>
            </w:r>
            <w:r w:rsidRPr="00B83CEB">
              <w:rPr>
                <w:rFonts w:eastAsia="Calibri"/>
                <w:color w:val="000000"/>
                <w:sz w:val="17"/>
                <w:szCs w:val="17"/>
              </w:rPr>
              <w:t xml:space="preserve">  (2021) </w:t>
            </w:r>
          </w:p>
          <w:p w14:paraId="1D2F5278" w14:textId="77777777" w:rsidR="000A59A8" w:rsidRPr="00B83CEB" w:rsidRDefault="000A59A8" w:rsidP="00CC3210">
            <w:pPr>
              <w:rPr>
                <w:rFonts w:eastAsia="Calibri"/>
                <w:color w:val="000000"/>
                <w:sz w:val="17"/>
                <w:szCs w:val="17"/>
              </w:rPr>
            </w:pPr>
            <w:r w:rsidRPr="00B83CEB">
              <w:rPr>
                <w:rFonts w:eastAsia="Calibri"/>
                <w:color w:val="000000"/>
                <w:sz w:val="17"/>
                <w:szCs w:val="17"/>
              </w:rPr>
              <w:t>Source: CEC</w:t>
            </w:r>
          </w:p>
          <w:p w14:paraId="3B7B9192" w14:textId="77777777" w:rsidR="000A59A8" w:rsidRPr="00B83CEB" w:rsidRDefault="000A59A8" w:rsidP="00CC3210">
            <w:pPr>
              <w:rPr>
                <w:b/>
                <w:bCs/>
                <w:color w:val="000000"/>
                <w:sz w:val="17"/>
                <w:szCs w:val="17"/>
                <w:u w:val="single"/>
              </w:rPr>
            </w:pPr>
          </w:p>
          <w:p w14:paraId="0E8C6EED" w14:textId="61458AC9" w:rsidR="000A59A8" w:rsidRPr="00B83CEB" w:rsidRDefault="000A59A8" w:rsidP="00CC3210">
            <w:pPr>
              <w:rPr>
                <w:sz w:val="17"/>
                <w:szCs w:val="17"/>
              </w:rPr>
            </w:pPr>
            <w:r w:rsidRPr="00B83CEB">
              <w:rPr>
                <w:b/>
                <w:bCs/>
                <w:color w:val="000000"/>
                <w:sz w:val="17"/>
                <w:szCs w:val="17"/>
                <w:u w:val="single"/>
              </w:rPr>
              <w:t>Output</w:t>
            </w:r>
            <w:r w:rsidR="007200F4" w:rsidRPr="00B83CEB">
              <w:rPr>
                <w:b/>
                <w:bCs/>
                <w:color w:val="000000"/>
                <w:sz w:val="17"/>
                <w:szCs w:val="17"/>
                <w:u w:val="single"/>
              </w:rPr>
              <w:t xml:space="preserve"> </w:t>
            </w:r>
            <w:r w:rsidRPr="00B83CEB">
              <w:rPr>
                <w:b/>
                <w:bCs/>
                <w:color w:val="000000"/>
                <w:sz w:val="17"/>
                <w:szCs w:val="17"/>
                <w:u w:val="single"/>
              </w:rPr>
              <w:t>1.2</w:t>
            </w:r>
            <w:r w:rsidRPr="00B83CEB">
              <w:rPr>
                <w:b/>
                <w:bCs/>
                <w:color w:val="000000"/>
                <w:sz w:val="17"/>
                <w:szCs w:val="17"/>
              </w:rPr>
              <w:t xml:space="preserve">  National/local institutions have improved capacities/services  to prevent corruption and increase  accountability and transparency in service delivery</w:t>
            </w:r>
          </w:p>
          <w:p w14:paraId="4C6FB0D6" w14:textId="43EA3588" w:rsidR="00EE2A01" w:rsidRPr="00B83CEB" w:rsidRDefault="000A59A8" w:rsidP="00CC3210">
            <w:pPr>
              <w:rPr>
                <w:color w:val="000000"/>
                <w:sz w:val="17"/>
                <w:szCs w:val="17"/>
              </w:rPr>
            </w:pPr>
            <w:r w:rsidRPr="00B83CEB">
              <w:rPr>
                <w:color w:val="000000"/>
                <w:sz w:val="17"/>
                <w:szCs w:val="17"/>
                <w:u w:val="single"/>
              </w:rPr>
              <w:lastRenderedPageBreak/>
              <w:t>Indicator</w:t>
            </w:r>
            <w:r w:rsidR="007200F4" w:rsidRPr="00B83CEB">
              <w:rPr>
                <w:color w:val="000000"/>
                <w:sz w:val="17"/>
                <w:szCs w:val="17"/>
                <w:u w:val="single"/>
              </w:rPr>
              <w:t xml:space="preserve"> </w:t>
            </w:r>
            <w:r w:rsidRPr="00B83CEB">
              <w:rPr>
                <w:color w:val="000000"/>
                <w:sz w:val="17"/>
                <w:szCs w:val="17"/>
                <w:u w:val="single"/>
              </w:rPr>
              <w:t>1.2.1</w:t>
            </w:r>
            <w:r w:rsidRPr="00B83CEB">
              <w:rPr>
                <w:color w:val="000000"/>
                <w:sz w:val="17"/>
                <w:szCs w:val="17"/>
              </w:rPr>
              <w:t xml:space="preserve"> </w:t>
            </w:r>
          </w:p>
          <w:p w14:paraId="27FF3BF1" w14:textId="05AB522A" w:rsidR="00C01BC2" w:rsidRDefault="000A59A8" w:rsidP="00CC3210">
            <w:pPr>
              <w:rPr>
                <w:color w:val="000000"/>
                <w:sz w:val="17"/>
                <w:szCs w:val="17"/>
              </w:rPr>
            </w:pPr>
            <w:r w:rsidRPr="00B83CEB">
              <w:rPr>
                <w:color w:val="000000"/>
                <w:sz w:val="17"/>
                <w:szCs w:val="17"/>
              </w:rPr>
              <w:t xml:space="preserve">Number of proposals adopted to mitigate </w:t>
            </w:r>
            <w:r w:rsidR="00EE2A01" w:rsidRPr="00B83CEB">
              <w:rPr>
                <w:color w:val="000000"/>
                <w:sz w:val="17"/>
                <w:szCs w:val="17"/>
              </w:rPr>
              <w:t>sector-</w:t>
            </w:r>
            <w:r w:rsidRPr="00B83CEB">
              <w:rPr>
                <w:color w:val="000000"/>
                <w:sz w:val="17"/>
                <w:szCs w:val="17"/>
              </w:rPr>
              <w:t xml:space="preserve">specific corruption </w:t>
            </w:r>
          </w:p>
          <w:p w14:paraId="3C882841" w14:textId="2C21CE97" w:rsidR="000A59A8" w:rsidRPr="00B83CEB" w:rsidRDefault="000A59A8" w:rsidP="00CC3210">
            <w:pPr>
              <w:rPr>
                <w:color w:val="000000"/>
                <w:sz w:val="17"/>
                <w:szCs w:val="17"/>
              </w:rPr>
            </w:pPr>
            <w:r w:rsidRPr="00B83CEB">
              <w:rPr>
                <w:color w:val="000000"/>
                <w:sz w:val="17"/>
                <w:szCs w:val="17"/>
              </w:rPr>
              <w:t>risks</w:t>
            </w:r>
            <w:r w:rsidRPr="00B83CEB">
              <w:rPr>
                <w:rFonts w:eastAsia="Calibri"/>
                <w:sz w:val="17"/>
                <w:szCs w:val="17"/>
              </w:rPr>
              <w:t xml:space="preserve"> </w:t>
            </w:r>
          </w:p>
          <w:p w14:paraId="4E7D1B41" w14:textId="77777777" w:rsidR="000A59A8" w:rsidRPr="00B83CEB" w:rsidRDefault="000A59A8" w:rsidP="00CC3210">
            <w:pPr>
              <w:rPr>
                <w:color w:val="000000"/>
                <w:sz w:val="17"/>
                <w:szCs w:val="17"/>
              </w:rPr>
            </w:pPr>
            <w:r w:rsidRPr="00B83CEB">
              <w:rPr>
                <w:color w:val="000000"/>
                <w:sz w:val="17"/>
                <w:szCs w:val="17"/>
                <w:u w:val="single"/>
              </w:rPr>
              <w:t>Baseline</w:t>
            </w:r>
            <w:r w:rsidRPr="00B83CEB">
              <w:rPr>
                <w:color w:val="000000"/>
                <w:sz w:val="17"/>
                <w:szCs w:val="17"/>
              </w:rPr>
              <w:t xml:space="preserve">: </w:t>
            </w:r>
            <w:r w:rsidRPr="00B83CEB">
              <w:rPr>
                <w:rFonts w:eastAsia="Calibri"/>
                <w:color w:val="000000"/>
                <w:sz w:val="17"/>
                <w:szCs w:val="17"/>
              </w:rPr>
              <w:tab/>
            </w:r>
            <w:r w:rsidRPr="00B83CEB">
              <w:rPr>
                <w:color w:val="000000"/>
                <w:sz w:val="17"/>
                <w:szCs w:val="17"/>
              </w:rPr>
              <w:t xml:space="preserve">2  </w:t>
            </w:r>
            <w:r w:rsidRPr="00B83CEB">
              <w:rPr>
                <w:color w:val="000000"/>
                <w:sz w:val="17"/>
                <w:szCs w:val="17"/>
                <w:u w:val="single"/>
              </w:rPr>
              <w:t xml:space="preserve"> Target:</w:t>
            </w:r>
            <w:r w:rsidRPr="00B83CEB">
              <w:rPr>
                <w:color w:val="000000"/>
                <w:sz w:val="17"/>
                <w:szCs w:val="17"/>
              </w:rPr>
              <w:t xml:space="preserve"> 10 </w:t>
            </w:r>
          </w:p>
          <w:p w14:paraId="308B7E0E" w14:textId="1BF15E1B" w:rsidR="000A59A8" w:rsidRPr="00B83CEB" w:rsidRDefault="000A59A8" w:rsidP="00CC3210">
            <w:pPr>
              <w:rPr>
                <w:sz w:val="17"/>
                <w:szCs w:val="17"/>
              </w:rPr>
            </w:pPr>
            <w:r w:rsidRPr="00B83CEB">
              <w:rPr>
                <w:color w:val="000000"/>
                <w:sz w:val="17"/>
                <w:szCs w:val="17"/>
              </w:rPr>
              <w:t xml:space="preserve">Source: National Coordinator for Anti-Corruption </w:t>
            </w:r>
            <w:r w:rsidR="007A72FD" w:rsidRPr="00B83CEB">
              <w:rPr>
                <w:color w:val="000000"/>
                <w:sz w:val="17"/>
                <w:szCs w:val="17"/>
              </w:rPr>
              <w:t xml:space="preserve"> </w:t>
            </w:r>
            <w:r w:rsidRPr="00B83CEB">
              <w:rPr>
                <w:color w:val="000000"/>
                <w:sz w:val="17"/>
                <w:szCs w:val="17"/>
              </w:rPr>
              <w:t xml:space="preserve">, </w:t>
            </w:r>
            <w:r w:rsidR="000D73C4" w:rsidRPr="00B83CEB">
              <w:rPr>
                <w:color w:val="000000"/>
                <w:sz w:val="17"/>
                <w:szCs w:val="17"/>
              </w:rPr>
              <w:t xml:space="preserve">Ministry of Innovation and Public Administration (MIPA) </w:t>
            </w:r>
          </w:p>
          <w:p w14:paraId="726FB912" w14:textId="77777777" w:rsidR="000A59A8" w:rsidRPr="00B83CEB" w:rsidRDefault="000A59A8" w:rsidP="00CC3210">
            <w:pPr>
              <w:rPr>
                <w:sz w:val="17"/>
                <w:szCs w:val="17"/>
                <w:u w:val="single"/>
              </w:rPr>
            </w:pPr>
          </w:p>
          <w:p w14:paraId="43294CE8" w14:textId="0B148D8F" w:rsidR="00902472" w:rsidRPr="00B83CEB" w:rsidRDefault="000A59A8" w:rsidP="00CC3210">
            <w:pPr>
              <w:rPr>
                <w:sz w:val="17"/>
                <w:szCs w:val="17"/>
              </w:rPr>
            </w:pPr>
            <w:r w:rsidRPr="00B83CEB">
              <w:rPr>
                <w:sz w:val="17"/>
                <w:szCs w:val="17"/>
                <w:u w:val="single"/>
              </w:rPr>
              <w:t>Indicator</w:t>
            </w:r>
            <w:r w:rsidR="007200F4" w:rsidRPr="00B83CEB">
              <w:rPr>
                <w:sz w:val="17"/>
                <w:szCs w:val="17"/>
                <w:u w:val="single"/>
              </w:rPr>
              <w:t xml:space="preserve"> </w:t>
            </w:r>
            <w:r w:rsidRPr="00B83CEB">
              <w:rPr>
                <w:sz w:val="17"/>
                <w:szCs w:val="17"/>
                <w:u w:val="single"/>
              </w:rPr>
              <w:t>1.2.2</w:t>
            </w:r>
            <w:r w:rsidRPr="00B83CEB">
              <w:rPr>
                <w:sz w:val="17"/>
                <w:szCs w:val="17"/>
              </w:rPr>
              <w:t xml:space="preserve"> </w:t>
            </w:r>
          </w:p>
          <w:p w14:paraId="68C4A0A2" w14:textId="22784609" w:rsidR="000A59A8" w:rsidRPr="00B83CEB" w:rsidRDefault="000A59A8" w:rsidP="00CC3210">
            <w:pPr>
              <w:rPr>
                <w:sz w:val="17"/>
                <w:szCs w:val="17"/>
              </w:rPr>
            </w:pPr>
            <w:r w:rsidRPr="00B83CEB">
              <w:rPr>
                <w:sz w:val="17"/>
                <w:szCs w:val="17"/>
              </w:rPr>
              <w:t>Number of municipalities with service delivery performance monitoring system in place.</w:t>
            </w:r>
          </w:p>
          <w:p w14:paraId="5A5351EC" w14:textId="4A79F0EF" w:rsidR="000A59A8" w:rsidRPr="00B83CEB" w:rsidRDefault="000A59A8" w:rsidP="00CC3210">
            <w:pPr>
              <w:rPr>
                <w:sz w:val="17"/>
                <w:szCs w:val="17"/>
              </w:rPr>
            </w:pPr>
            <w:r w:rsidRPr="00B83CEB">
              <w:rPr>
                <w:sz w:val="17"/>
                <w:szCs w:val="17"/>
                <w:u w:val="single"/>
              </w:rPr>
              <w:t>Baseline:</w:t>
            </w:r>
            <w:r w:rsidRPr="00B83CEB">
              <w:rPr>
                <w:sz w:val="17"/>
                <w:szCs w:val="17"/>
              </w:rPr>
              <w:t xml:space="preserve">   2</w:t>
            </w:r>
            <w:r w:rsidR="00D432A6" w:rsidRPr="00B83CEB">
              <w:rPr>
                <w:sz w:val="17"/>
                <w:szCs w:val="17"/>
              </w:rPr>
              <w:t xml:space="preserve"> </w:t>
            </w:r>
            <w:r w:rsidRPr="00B83CEB">
              <w:rPr>
                <w:sz w:val="17"/>
                <w:szCs w:val="17"/>
              </w:rPr>
              <w:t xml:space="preserve">(2016)        </w:t>
            </w:r>
            <w:r w:rsidRPr="00B83CEB">
              <w:rPr>
                <w:rFonts w:eastAsia="Calibri"/>
                <w:sz w:val="17"/>
                <w:szCs w:val="17"/>
                <w:u w:val="single"/>
              </w:rPr>
              <w:t>Target:</w:t>
            </w:r>
            <w:r w:rsidRPr="00B83CEB">
              <w:rPr>
                <w:rFonts w:eastAsia="Calibri"/>
                <w:sz w:val="17"/>
                <w:szCs w:val="17"/>
              </w:rPr>
              <w:t xml:space="preserve"> </w:t>
            </w:r>
            <w:r w:rsidRPr="00B83CEB">
              <w:rPr>
                <w:sz w:val="17"/>
                <w:szCs w:val="17"/>
              </w:rPr>
              <w:t xml:space="preserve">61 </w:t>
            </w:r>
          </w:p>
          <w:p w14:paraId="497ABA3A" w14:textId="6EF1D185" w:rsidR="000A59A8" w:rsidRPr="00B83CEB" w:rsidRDefault="000A59A8" w:rsidP="00CC3210">
            <w:pPr>
              <w:rPr>
                <w:sz w:val="17"/>
                <w:szCs w:val="17"/>
              </w:rPr>
            </w:pPr>
            <w:r w:rsidRPr="00B83CEB">
              <w:rPr>
                <w:sz w:val="17"/>
                <w:szCs w:val="17"/>
              </w:rPr>
              <w:t xml:space="preserve">Source: </w:t>
            </w:r>
            <w:r w:rsidR="000D73C4" w:rsidRPr="00B83CEB">
              <w:rPr>
                <w:sz w:val="17"/>
                <w:szCs w:val="17"/>
              </w:rPr>
              <w:t xml:space="preserve">Ministry of Local Issues </w:t>
            </w:r>
            <w:r w:rsidR="001F56F1" w:rsidRPr="00B83CEB">
              <w:rPr>
                <w:sz w:val="17"/>
                <w:szCs w:val="17"/>
              </w:rPr>
              <w:t>(MoLI)</w:t>
            </w:r>
          </w:p>
          <w:p w14:paraId="044727B4" w14:textId="77777777" w:rsidR="000A59A8" w:rsidRPr="00B83CEB" w:rsidRDefault="000A59A8" w:rsidP="00CC3210">
            <w:pPr>
              <w:rPr>
                <w:sz w:val="17"/>
                <w:szCs w:val="17"/>
                <w:u w:val="single"/>
              </w:rPr>
            </w:pPr>
          </w:p>
          <w:p w14:paraId="1FA65A45" w14:textId="2E8750B0" w:rsidR="00902472" w:rsidRPr="00B83CEB" w:rsidRDefault="000A59A8" w:rsidP="00CC3210">
            <w:pPr>
              <w:rPr>
                <w:sz w:val="17"/>
                <w:szCs w:val="17"/>
              </w:rPr>
            </w:pPr>
            <w:r w:rsidRPr="00B83CEB">
              <w:rPr>
                <w:sz w:val="17"/>
                <w:szCs w:val="17"/>
                <w:u w:val="single"/>
              </w:rPr>
              <w:t>Indicator</w:t>
            </w:r>
            <w:r w:rsidR="007200F4" w:rsidRPr="00B83CEB">
              <w:rPr>
                <w:sz w:val="17"/>
                <w:szCs w:val="17"/>
                <w:u w:val="single"/>
              </w:rPr>
              <w:t xml:space="preserve"> </w:t>
            </w:r>
            <w:r w:rsidRPr="00B83CEB">
              <w:rPr>
                <w:sz w:val="17"/>
                <w:szCs w:val="17"/>
                <w:u w:val="single"/>
              </w:rPr>
              <w:t>1.2.3</w:t>
            </w:r>
            <w:r w:rsidRPr="00B83CEB">
              <w:rPr>
                <w:sz w:val="17"/>
                <w:szCs w:val="17"/>
              </w:rPr>
              <w:t xml:space="preserve"> </w:t>
            </w:r>
          </w:p>
          <w:p w14:paraId="38CAD5B2" w14:textId="7667782A" w:rsidR="000A59A8" w:rsidRPr="00B83CEB" w:rsidRDefault="00902472" w:rsidP="00CC3210">
            <w:pPr>
              <w:rPr>
                <w:sz w:val="17"/>
                <w:szCs w:val="17"/>
              </w:rPr>
            </w:pPr>
            <w:r w:rsidRPr="00B83CEB">
              <w:rPr>
                <w:rFonts w:eastAsia="Calibri"/>
                <w:sz w:val="17"/>
                <w:szCs w:val="17"/>
              </w:rPr>
              <w:t xml:space="preserve">Number </w:t>
            </w:r>
            <w:r w:rsidR="000A59A8" w:rsidRPr="00B83CEB">
              <w:rPr>
                <w:rFonts w:eastAsia="Calibri"/>
                <w:sz w:val="17"/>
                <w:szCs w:val="17"/>
              </w:rPr>
              <w:t xml:space="preserve">of </w:t>
            </w:r>
            <w:r w:rsidR="00094A30" w:rsidRPr="00B83CEB">
              <w:rPr>
                <w:rFonts w:eastAsia="Calibri"/>
                <w:sz w:val="17"/>
                <w:szCs w:val="17"/>
              </w:rPr>
              <w:t xml:space="preserve">municipalities </w:t>
            </w:r>
            <w:r w:rsidR="000A59A8" w:rsidRPr="00B83CEB">
              <w:rPr>
                <w:sz w:val="17"/>
                <w:szCs w:val="17"/>
              </w:rPr>
              <w:t xml:space="preserve">with territorially functional </w:t>
            </w:r>
            <w:r w:rsidRPr="00B83CEB">
              <w:rPr>
                <w:sz w:val="17"/>
                <w:szCs w:val="17"/>
              </w:rPr>
              <w:t>one-</w:t>
            </w:r>
            <w:r w:rsidR="000A59A8" w:rsidRPr="00B83CEB">
              <w:rPr>
                <w:sz w:val="17"/>
                <w:szCs w:val="17"/>
              </w:rPr>
              <w:t>stop shop service</w:t>
            </w:r>
          </w:p>
          <w:p w14:paraId="5874D512" w14:textId="77777777" w:rsidR="000A59A8" w:rsidRPr="00B83CEB" w:rsidRDefault="000A59A8" w:rsidP="00CC3210">
            <w:pPr>
              <w:rPr>
                <w:rFonts w:eastAsia="Calibri"/>
                <w:sz w:val="17"/>
                <w:szCs w:val="17"/>
              </w:rPr>
            </w:pPr>
            <w:r w:rsidRPr="00B83CEB">
              <w:rPr>
                <w:sz w:val="17"/>
                <w:szCs w:val="17"/>
                <w:u w:val="single"/>
              </w:rPr>
              <w:t>Baseline:</w:t>
            </w:r>
            <w:r w:rsidRPr="00B83CEB">
              <w:rPr>
                <w:sz w:val="17"/>
                <w:szCs w:val="17"/>
              </w:rPr>
              <w:t xml:space="preserve"> </w:t>
            </w:r>
            <w:r w:rsidRPr="00B83CEB">
              <w:rPr>
                <w:rFonts w:eastAsia="Calibri"/>
                <w:sz w:val="17"/>
                <w:szCs w:val="17"/>
              </w:rPr>
              <w:tab/>
            </w:r>
            <w:r w:rsidRPr="00B83CEB">
              <w:rPr>
                <w:sz w:val="17"/>
                <w:szCs w:val="17"/>
              </w:rPr>
              <w:t xml:space="preserve">1  </w:t>
            </w:r>
            <w:r w:rsidRPr="00B83CEB">
              <w:rPr>
                <w:sz w:val="17"/>
                <w:szCs w:val="17"/>
                <w:u w:val="single"/>
              </w:rPr>
              <w:t>Target</w:t>
            </w:r>
            <w:r w:rsidRPr="00B83CEB">
              <w:rPr>
                <w:sz w:val="17"/>
                <w:szCs w:val="17"/>
              </w:rPr>
              <w:t>:   40</w:t>
            </w:r>
            <w:r w:rsidRPr="00B83CEB">
              <w:rPr>
                <w:rFonts w:eastAsia="Calibri"/>
                <w:sz w:val="17"/>
                <w:szCs w:val="17"/>
              </w:rPr>
              <w:t xml:space="preserve"> (UNDP);  </w:t>
            </w:r>
          </w:p>
          <w:p w14:paraId="151EF15A" w14:textId="77777777" w:rsidR="000A59A8" w:rsidRPr="00B83CEB" w:rsidRDefault="000A59A8" w:rsidP="00CC3210">
            <w:pPr>
              <w:rPr>
                <w:sz w:val="17"/>
                <w:szCs w:val="17"/>
              </w:rPr>
            </w:pPr>
            <w:r w:rsidRPr="00B83CEB">
              <w:rPr>
                <w:rFonts w:eastAsia="Calibri"/>
                <w:sz w:val="17"/>
                <w:szCs w:val="17"/>
              </w:rPr>
              <w:t xml:space="preserve">                                      21 (other development partners) </w:t>
            </w:r>
          </w:p>
          <w:p w14:paraId="5F1DCD0E" w14:textId="77777777" w:rsidR="000A59A8" w:rsidRPr="00B83CEB" w:rsidRDefault="000A59A8" w:rsidP="00CC3210">
            <w:pPr>
              <w:rPr>
                <w:b/>
                <w:bCs/>
                <w:color w:val="000000"/>
                <w:sz w:val="17"/>
                <w:szCs w:val="17"/>
                <w:u w:val="single"/>
              </w:rPr>
            </w:pPr>
          </w:p>
          <w:p w14:paraId="541E1581" w14:textId="182F2A16" w:rsidR="00902472" w:rsidRPr="00B83CEB" w:rsidRDefault="000A59A8" w:rsidP="00CC3210">
            <w:pPr>
              <w:rPr>
                <w:sz w:val="17"/>
                <w:szCs w:val="17"/>
              </w:rPr>
            </w:pPr>
            <w:r w:rsidRPr="00B83CEB">
              <w:rPr>
                <w:sz w:val="17"/>
                <w:szCs w:val="17"/>
                <w:u w:val="single"/>
              </w:rPr>
              <w:t>Indicator</w:t>
            </w:r>
            <w:r w:rsidR="007200F4" w:rsidRPr="00B83CEB">
              <w:rPr>
                <w:sz w:val="17"/>
                <w:szCs w:val="17"/>
                <w:u w:val="single"/>
              </w:rPr>
              <w:t xml:space="preserve"> </w:t>
            </w:r>
            <w:r w:rsidRPr="00B83CEB">
              <w:rPr>
                <w:sz w:val="17"/>
                <w:szCs w:val="17"/>
                <w:u w:val="single"/>
              </w:rPr>
              <w:t>1.2.4</w:t>
            </w:r>
            <w:r w:rsidRPr="00B83CEB">
              <w:rPr>
                <w:sz w:val="17"/>
                <w:szCs w:val="17"/>
              </w:rPr>
              <w:t xml:space="preserve"> </w:t>
            </w:r>
          </w:p>
          <w:p w14:paraId="1550773E" w14:textId="2FB94765" w:rsidR="000A59A8" w:rsidRPr="00B83CEB" w:rsidRDefault="00902472" w:rsidP="00CC3210">
            <w:pPr>
              <w:rPr>
                <w:sz w:val="17"/>
                <w:szCs w:val="17"/>
              </w:rPr>
            </w:pPr>
            <w:r w:rsidRPr="00B83CEB">
              <w:rPr>
                <w:rFonts w:eastAsia="Calibri"/>
                <w:sz w:val="17"/>
                <w:szCs w:val="17"/>
              </w:rPr>
              <w:t xml:space="preserve">Number </w:t>
            </w:r>
            <w:r w:rsidR="000A59A8" w:rsidRPr="00B83CEB">
              <w:rPr>
                <w:rFonts w:eastAsia="Calibri"/>
                <w:sz w:val="17"/>
                <w:szCs w:val="17"/>
              </w:rPr>
              <w:t xml:space="preserve">of </w:t>
            </w:r>
            <w:r w:rsidR="00094A30" w:rsidRPr="00B83CEB">
              <w:rPr>
                <w:rFonts w:eastAsia="Calibri"/>
                <w:sz w:val="17"/>
                <w:szCs w:val="17"/>
              </w:rPr>
              <w:t>municipalities</w:t>
            </w:r>
            <w:r w:rsidR="00094A30" w:rsidRPr="00B83CEB">
              <w:rPr>
                <w:sz w:val="17"/>
                <w:szCs w:val="17"/>
              </w:rPr>
              <w:t xml:space="preserve"> </w:t>
            </w:r>
            <w:r w:rsidR="000A59A8" w:rsidRPr="00B83CEB">
              <w:rPr>
                <w:sz w:val="17"/>
                <w:szCs w:val="17"/>
              </w:rPr>
              <w:t xml:space="preserve">with operating </w:t>
            </w:r>
            <w:r w:rsidRPr="00B83CEB">
              <w:rPr>
                <w:sz w:val="17"/>
                <w:szCs w:val="17"/>
              </w:rPr>
              <w:t>municipal integrity plans</w:t>
            </w:r>
          </w:p>
          <w:p w14:paraId="4AFB413E" w14:textId="77777777" w:rsidR="000A59A8" w:rsidRPr="00B83CEB" w:rsidRDefault="000A59A8" w:rsidP="00CC3210">
            <w:pPr>
              <w:rPr>
                <w:sz w:val="17"/>
                <w:szCs w:val="17"/>
              </w:rPr>
            </w:pPr>
            <w:r w:rsidRPr="00B83CEB">
              <w:rPr>
                <w:sz w:val="17"/>
                <w:szCs w:val="17"/>
                <w:u w:val="single"/>
              </w:rPr>
              <w:t>Baseline:</w:t>
            </w:r>
            <w:r w:rsidRPr="00B83CEB">
              <w:rPr>
                <w:sz w:val="17"/>
                <w:szCs w:val="17"/>
              </w:rPr>
              <w:t xml:space="preserve"> 0  </w:t>
            </w:r>
            <w:r w:rsidRPr="00B83CEB">
              <w:rPr>
                <w:sz w:val="17"/>
                <w:szCs w:val="17"/>
                <w:u w:val="single"/>
              </w:rPr>
              <w:t>Target</w:t>
            </w:r>
            <w:r w:rsidRPr="00B83CEB">
              <w:rPr>
                <w:sz w:val="17"/>
                <w:szCs w:val="17"/>
              </w:rPr>
              <w:t>:   6</w:t>
            </w:r>
            <w:r w:rsidRPr="00B83CEB">
              <w:rPr>
                <w:rFonts w:eastAsia="Calibri"/>
                <w:sz w:val="17"/>
                <w:szCs w:val="17"/>
              </w:rPr>
              <w:t xml:space="preserve"> </w:t>
            </w:r>
          </w:p>
          <w:p w14:paraId="2402B873" w14:textId="77777777" w:rsidR="000A59A8" w:rsidRPr="00B83CEB" w:rsidRDefault="000A59A8" w:rsidP="00CC3210">
            <w:pPr>
              <w:rPr>
                <w:b/>
                <w:bCs/>
                <w:color w:val="000000"/>
                <w:sz w:val="17"/>
                <w:szCs w:val="17"/>
                <w:u w:val="single"/>
              </w:rPr>
            </w:pPr>
          </w:p>
          <w:p w14:paraId="176ACDD9" w14:textId="2A8ABA8C" w:rsidR="000A59A8" w:rsidRPr="00B83CEB" w:rsidRDefault="000A59A8" w:rsidP="00CC3210">
            <w:pPr>
              <w:rPr>
                <w:b/>
                <w:bCs/>
                <w:color w:val="000000"/>
                <w:sz w:val="17"/>
                <w:szCs w:val="17"/>
                <w:u w:val="single"/>
              </w:rPr>
            </w:pPr>
            <w:r w:rsidRPr="00B83CEB">
              <w:rPr>
                <w:b/>
                <w:bCs/>
                <w:color w:val="000000"/>
                <w:sz w:val="17"/>
                <w:szCs w:val="17"/>
                <w:u w:val="single"/>
              </w:rPr>
              <w:t>Output</w:t>
            </w:r>
            <w:r w:rsidR="007200F4" w:rsidRPr="00B83CEB">
              <w:rPr>
                <w:b/>
                <w:bCs/>
                <w:color w:val="000000"/>
                <w:sz w:val="17"/>
                <w:szCs w:val="17"/>
                <w:u w:val="single"/>
              </w:rPr>
              <w:t xml:space="preserve"> </w:t>
            </w:r>
            <w:r w:rsidRPr="00B83CEB">
              <w:rPr>
                <w:b/>
                <w:bCs/>
                <w:color w:val="000000"/>
                <w:sz w:val="17"/>
                <w:szCs w:val="17"/>
                <w:u w:val="single"/>
              </w:rPr>
              <w:t>1.3</w:t>
            </w:r>
            <w:r w:rsidRPr="00B83CEB">
              <w:rPr>
                <w:b/>
                <w:bCs/>
                <w:color w:val="000000"/>
                <w:sz w:val="17"/>
                <w:szCs w:val="17"/>
              </w:rPr>
              <w:t xml:space="preserve"> State institutions have capacities and mechanisms to mainstream gender in policymaking and planning processes</w:t>
            </w:r>
          </w:p>
          <w:p w14:paraId="4A86187A" w14:textId="748D6D5E" w:rsidR="00902472" w:rsidRPr="00B83CEB" w:rsidRDefault="000A59A8" w:rsidP="00CC3210">
            <w:pPr>
              <w:rPr>
                <w:color w:val="000000"/>
                <w:sz w:val="17"/>
                <w:szCs w:val="17"/>
                <w:u w:val="single"/>
              </w:rPr>
            </w:pPr>
            <w:r w:rsidRPr="00B83CEB">
              <w:rPr>
                <w:color w:val="000000"/>
                <w:sz w:val="17"/>
                <w:szCs w:val="17"/>
                <w:u w:val="single"/>
              </w:rPr>
              <w:t>Indicator</w:t>
            </w:r>
            <w:r w:rsidR="007200F4" w:rsidRPr="00B83CEB">
              <w:rPr>
                <w:color w:val="000000"/>
                <w:sz w:val="17"/>
                <w:szCs w:val="17"/>
                <w:u w:val="single"/>
              </w:rPr>
              <w:t xml:space="preserve"> </w:t>
            </w:r>
            <w:r w:rsidRPr="00B83CEB">
              <w:rPr>
                <w:color w:val="000000"/>
                <w:sz w:val="17"/>
                <w:szCs w:val="17"/>
                <w:u w:val="single"/>
              </w:rPr>
              <w:t xml:space="preserve">1.3.1 </w:t>
            </w:r>
          </w:p>
          <w:p w14:paraId="7767CEE7" w14:textId="53512EFA" w:rsidR="000A59A8" w:rsidRPr="00B83CEB" w:rsidRDefault="000A59A8" w:rsidP="00CC3210">
            <w:pPr>
              <w:rPr>
                <w:color w:val="000000"/>
                <w:sz w:val="17"/>
                <w:szCs w:val="17"/>
              </w:rPr>
            </w:pPr>
            <w:r w:rsidRPr="00B83CEB">
              <w:rPr>
                <w:color w:val="000000"/>
                <w:sz w:val="17"/>
                <w:szCs w:val="17"/>
              </w:rPr>
              <w:t xml:space="preserve">Number of legal  framework  amendments in line with </w:t>
            </w:r>
            <w:r w:rsidR="000D73C4" w:rsidRPr="00B83CEB">
              <w:rPr>
                <w:color w:val="000000"/>
                <w:sz w:val="17"/>
                <w:szCs w:val="17"/>
              </w:rPr>
              <w:t xml:space="preserve"> treaty body recommendations </w:t>
            </w:r>
          </w:p>
          <w:p w14:paraId="64796249" w14:textId="77777777" w:rsidR="000A59A8" w:rsidRPr="00B83CEB" w:rsidRDefault="000A59A8" w:rsidP="00CC3210">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1FBC79CA" w14:textId="77777777" w:rsidR="000A59A8" w:rsidRPr="00B83CEB" w:rsidRDefault="000A59A8" w:rsidP="00CC3210">
            <w:pPr>
              <w:rPr>
                <w:sz w:val="17"/>
                <w:szCs w:val="17"/>
              </w:rPr>
            </w:pPr>
            <w:r w:rsidRPr="00B83CEB">
              <w:rPr>
                <w:sz w:val="17"/>
                <w:szCs w:val="17"/>
              </w:rPr>
              <w:t>2                       5</w:t>
            </w:r>
          </w:p>
          <w:p w14:paraId="0C9CC883" w14:textId="70A99EB7" w:rsidR="00902472" w:rsidRPr="00B83CEB" w:rsidRDefault="000A59A8" w:rsidP="00CC3210">
            <w:pPr>
              <w:rPr>
                <w:color w:val="000000"/>
                <w:sz w:val="17"/>
                <w:szCs w:val="17"/>
              </w:rPr>
            </w:pPr>
            <w:r w:rsidRPr="00B83CEB">
              <w:rPr>
                <w:color w:val="000000"/>
                <w:sz w:val="17"/>
                <w:szCs w:val="17"/>
                <w:u w:val="single"/>
              </w:rPr>
              <w:t>Indicator</w:t>
            </w:r>
            <w:r w:rsidR="007200F4" w:rsidRPr="00B83CEB">
              <w:rPr>
                <w:color w:val="000000"/>
                <w:sz w:val="17"/>
                <w:szCs w:val="17"/>
                <w:u w:val="single"/>
              </w:rPr>
              <w:t xml:space="preserve"> </w:t>
            </w:r>
            <w:r w:rsidRPr="00B83CEB">
              <w:rPr>
                <w:color w:val="000000"/>
                <w:sz w:val="17"/>
                <w:szCs w:val="17"/>
                <w:u w:val="single"/>
              </w:rPr>
              <w:t>1.3.2</w:t>
            </w:r>
            <w:r w:rsidRPr="00B83CEB">
              <w:rPr>
                <w:color w:val="000000"/>
                <w:sz w:val="17"/>
                <w:szCs w:val="17"/>
              </w:rPr>
              <w:t xml:space="preserve"> </w:t>
            </w:r>
          </w:p>
          <w:p w14:paraId="1C990A1C" w14:textId="0778E378" w:rsidR="000A59A8" w:rsidRPr="00B83CEB" w:rsidRDefault="000A59A8" w:rsidP="00CC3210">
            <w:pPr>
              <w:rPr>
                <w:color w:val="000000"/>
                <w:sz w:val="17"/>
                <w:szCs w:val="17"/>
              </w:rPr>
            </w:pPr>
            <w:r w:rsidRPr="00B83CEB">
              <w:rPr>
                <w:color w:val="000000"/>
                <w:sz w:val="17"/>
                <w:szCs w:val="17"/>
              </w:rPr>
              <w:t xml:space="preserve">Number of </w:t>
            </w:r>
            <w:r w:rsidR="006819F7" w:rsidRPr="00B83CEB">
              <w:rPr>
                <w:color w:val="000000"/>
                <w:sz w:val="17"/>
                <w:szCs w:val="17"/>
              </w:rPr>
              <w:t xml:space="preserve">gender mainstreamed </w:t>
            </w:r>
            <w:r w:rsidRPr="00B83CEB">
              <w:rPr>
                <w:color w:val="000000"/>
                <w:sz w:val="17"/>
                <w:szCs w:val="17"/>
              </w:rPr>
              <w:t xml:space="preserve">municipal service delivery plans </w:t>
            </w:r>
          </w:p>
          <w:p w14:paraId="362591D7" w14:textId="77777777" w:rsidR="000A59A8" w:rsidRPr="00B83CEB" w:rsidRDefault="000A59A8" w:rsidP="00CC3210">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5A58AB63" w14:textId="29ABA1D8" w:rsidR="000A59A8" w:rsidRPr="00B83CEB" w:rsidRDefault="000A59A8" w:rsidP="00CC3210">
            <w:pPr>
              <w:rPr>
                <w:sz w:val="17"/>
                <w:szCs w:val="17"/>
              </w:rPr>
            </w:pPr>
            <w:r w:rsidRPr="00B83CEB">
              <w:rPr>
                <w:sz w:val="17"/>
                <w:szCs w:val="17"/>
              </w:rPr>
              <w:t>2         61</w:t>
            </w:r>
          </w:p>
          <w:p w14:paraId="16B3DD58" w14:textId="77777777" w:rsidR="000A59A8" w:rsidRPr="00B83CEB" w:rsidRDefault="000A59A8" w:rsidP="00CC3210">
            <w:pPr>
              <w:rPr>
                <w:color w:val="000000"/>
                <w:sz w:val="17"/>
                <w:szCs w:val="17"/>
              </w:rPr>
            </w:pPr>
            <w:r w:rsidRPr="00B83CEB">
              <w:rPr>
                <w:color w:val="000000"/>
                <w:sz w:val="17"/>
                <w:szCs w:val="17"/>
              </w:rPr>
              <w:t xml:space="preserve">Source: MoLI </w:t>
            </w:r>
          </w:p>
          <w:p w14:paraId="11AF9429" w14:textId="77777777" w:rsidR="00604DD0" w:rsidRPr="00B83CEB" w:rsidRDefault="00604DD0" w:rsidP="00CC3210">
            <w:pPr>
              <w:rPr>
                <w:color w:val="000000"/>
                <w:sz w:val="17"/>
                <w:szCs w:val="17"/>
                <w:u w:val="single"/>
              </w:rPr>
            </w:pPr>
          </w:p>
          <w:p w14:paraId="0D3F2D6C" w14:textId="363ABE27" w:rsidR="000A59A8" w:rsidRPr="00B83CEB" w:rsidRDefault="000A59A8" w:rsidP="00CC3210">
            <w:pPr>
              <w:rPr>
                <w:sz w:val="17"/>
                <w:szCs w:val="17"/>
              </w:rPr>
            </w:pPr>
            <w:r w:rsidRPr="00B83CEB">
              <w:rPr>
                <w:sz w:val="17"/>
                <w:szCs w:val="17"/>
                <w:u w:val="single"/>
              </w:rPr>
              <w:t>Indicator</w:t>
            </w:r>
            <w:r w:rsidR="007200F4" w:rsidRPr="00B83CEB">
              <w:rPr>
                <w:sz w:val="17"/>
                <w:szCs w:val="17"/>
                <w:u w:val="single"/>
              </w:rPr>
              <w:t xml:space="preserve"> </w:t>
            </w:r>
            <w:r w:rsidRPr="00B83CEB">
              <w:rPr>
                <w:sz w:val="17"/>
                <w:szCs w:val="17"/>
                <w:u w:val="single"/>
              </w:rPr>
              <w:t>1.3.3</w:t>
            </w:r>
            <w:r w:rsidRPr="00B83CEB">
              <w:rPr>
                <w:sz w:val="17"/>
                <w:szCs w:val="17"/>
              </w:rPr>
              <w:t xml:space="preserve"> – Number of national policies reviewed by the National Council on G</w:t>
            </w:r>
            <w:r w:rsidR="00902472" w:rsidRPr="00B83CEB">
              <w:rPr>
                <w:sz w:val="17"/>
                <w:szCs w:val="17"/>
              </w:rPr>
              <w:t xml:space="preserve">ender </w:t>
            </w:r>
            <w:r w:rsidRPr="00B83CEB">
              <w:rPr>
                <w:sz w:val="17"/>
                <w:szCs w:val="17"/>
              </w:rPr>
              <w:t>E</w:t>
            </w:r>
            <w:r w:rsidR="00902472" w:rsidRPr="00B83CEB">
              <w:rPr>
                <w:sz w:val="17"/>
                <w:szCs w:val="17"/>
              </w:rPr>
              <w:t>quality</w:t>
            </w:r>
            <w:r w:rsidRPr="00B83CEB">
              <w:rPr>
                <w:sz w:val="17"/>
                <w:szCs w:val="17"/>
              </w:rPr>
              <w:t xml:space="preserve"> </w:t>
            </w:r>
          </w:p>
          <w:p w14:paraId="4BBE4167" w14:textId="77777777" w:rsidR="000A59A8" w:rsidRPr="00B83CEB" w:rsidRDefault="000A59A8" w:rsidP="00CC3210">
            <w:pPr>
              <w:rPr>
                <w:sz w:val="17"/>
                <w:szCs w:val="17"/>
              </w:rPr>
            </w:pPr>
            <w:r w:rsidRPr="00B83CEB">
              <w:rPr>
                <w:sz w:val="17"/>
                <w:szCs w:val="17"/>
              </w:rPr>
              <w:t xml:space="preserve">Baseline            Target </w:t>
            </w:r>
          </w:p>
          <w:p w14:paraId="5CDFFCF5" w14:textId="0789531B" w:rsidR="000A59A8" w:rsidRPr="00B83CEB" w:rsidRDefault="005B4401" w:rsidP="00CC3210">
            <w:pPr>
              <w:rPr>
                <w:sz w:val="17"/>
                <w:szCs w:val="17"/>
              </w:rPr>
            </w:pPr>
            <w:r w:rsidRPr="00B83CEB">
              <w:rPr>
                <w:sz w:val="17"/>
                <w:szCs w:val="17"/>
              </w:rPr>
              <w:t xml:space="preserve">0 </w:t>
            </w:r>
            <w:r w:rsidR="000A59A8" w:rsidRPr="00B83CEB">
              <w:rPr>
                <w:sz w:val="17"/>
                <w:szCs w:val="17"/>
              </w:rPr>
              <w:t xml:space="preserve">(2015)              </w:t>
            </w:r>
            <w:r w:rsidRPr="00B83CEB">
              <w:rPr>
                <w:sz w:val="17"/>
                <w:szCs w:val="17"/>
              </w:rPr>
              <w:t>7</w:t>
            </w:r>
          </w:p>
          <w:p w14:paraId="17F83C77" w14:textId="77777777" w:rsidR="000A59A8" w:rsidRPr="00B83CEB" w:rsidRDefault="000A59A8" w:rsidP="00CC3210">
            <w:pPr>
              <w:rPr>
                <w:color w:val="000000"/>
                <w:sz w:val="17"/>
                <w:szCs w:val="17"/>
              </w:rPr>
            </w:pPr>
          </w:p>
          <w:p w14:paraId="1839DE64" w14:textId="77777777" w:rsidR="00902472" w:rsidRPr="00B83CEB" w:rsidRDefault="000A59A8" w:rsidP="00CC3210">
            <w:pPr>
              <w:rPr>
                <w:color w:val="000000"/>
                <w:sz w:val="17"/>
                <w:szCs w:val="17"/>
              </w:rPr>
            </w:pPr>
            <w:r w:rsidRPr="00B83CEB">
              <w:rPr>
                <w:color w:val="000000"/>
                <w:sz w:val="17"/>
                <w:szCs w:val="17"/>
                <w:u w:val="single"/>
              </w:rPr>
              <w:t>Indicator 1.3.4</w:t>
            </w:r>
            <w:r w:rsidRPr="00B83CEB">
              <w:rPr>
                <w:color w:val="000000"/>
                <w:sz w:val="17"/>
                <w:szCs w:val="17"/>
              </w:rPr>
              <w:t xml:space="preserve">  </w:t>
            </w:r>
          </w:p>
          <w:p w14:paraId="29346591" w14:textId="7660BE84" w:rsidR="000A59A8" w:rsidRPr="00B83CEB" w:rsidRDefault="000A59A8" w:rsidP="00CC3210">
            <w:pPr>
              <w:rPr>
                <w:color w:val="000000"/>
                <w:sz w:val="17"/>
                <w:szCs w:val="17"/>
              </w:rPr>
            </w:pPr>
            <w:r w:rsidRPr="00B83CEB">
              <w:rPr>
                <w:color w:val="000000"/>
                <w:sz w:val="17"/>
                <w:szCs w:val="17"/>
              </w:rPr>
              <w:t xml:space="preserve">Number of women </w:t>
            </w:r>
            <w:r w:rsidR="006819F7" w:rsidRPr="00B83CEB">
              <w:rPr>
                <w:color w:val="000000"/>
                <w:sz w:val="17"/>
                <w:szCs w:val="17"/>
              </w:rPr>
              <w:t>councilors</w:t>
            </w:r>
            <w:r w:rsidRPr="00B83CEB">
              <w:rPr>
                <w:color w:val="000000"/>
                <w:sz w:val="17"/>
                <w:szCs w:val="17"/>
              </w:rPr>
              <w:t xml:space="preserve"> supported in leadership and local policymaking </w:t>
            </w:r>
          </w:p>
          <w:p w14:paraId="5A293853" w14:textId="77777777" w:rsidR="000A59A8" w:rsidRPr="00B83CEB" w:rsidRDefault="000A59A8" w:rsidP="00CC3210">
            <w:pPr>
              <w:rPr>
                <w:color w:val="000000"/>
                <w:sz w:val="17"/>
                <w:szCs w:val="17"/>
              </w:rPr>
            </w:pPr>
            <w:r w:rsidRPr="00B83CEB">
              <w:rPr>
                <w:color w:val="000000"/>
                <w:sz w:val="17"/>
                <w:szCs w:val="17"/>
              </w:rPr>
              <w:t xml:space="preserve">Baseline      Target </w:t>
            </w:r>
          </w:p>
          <w:p w14:paraId="7A62C162" w14:textId="77777777" w:rsidR="000A59A8" w:rsidRPr="00B83CEB" w:rsidRDefault="000A59A8" w:rsidP="00CC3210">
            <w:pPr>
              <w:rPr>
                <w:color w:val="000000"/>
                <w:sz w:val="17"/>
                <w:szCs w:val="17"/>
              </w:rPr>
            </w:pPr>
            <w:r w:rsidRPr="00B83CEB">
              <w:rPr>
                <w:color w:val="000000"/>
                <w:sz w:val="17"/>
                <w:szCs w:val="17"/>
              </w:rPr>
              <w:t xml:space="preserve">20 (2016)      220 </w:t>
            </w:r>
          </w:p>
          <w:p w14:paraId="0E9F9392" w14:textId="0FCD3E7A" w:rsidR="000A59A8" w:rsidRPr="00B83CEB" w:rsidRDefault="000A6C78" w:rsidP="00F85FF6">
            <w:pPr>
              <w:spacing w:before="120"/>
              <w:rPr>
                <w:b/>
                <w:bCs/>
                <w:color w:val="000000"/>
                <w:sz w:val="17"/>
                <w:szCs w:val="17"/>
              </w:rPr>
            </w:pPr>
            <w:r>
              <w:rPr>
                <w:b/>
                <w:bCs/>
                <w:color w:val="000000"/>
                <w:sz w:val="17"/>
                <w:szCs w:val="17"/>
                <w:u w:val="single"/>
              </w:rPr>
              <w:lastRenderedPageBreak/>
              <w:t>O</w:t>
            </w:r>
            <w:r w:rsidR="000A59A8" w:rsidRPr="00B83CEB">
              <w:rPr>
                <w:b/>
                <w:bCs/>
                <w:color w:val="000000"/>
                <w:sz w:val="17"/>
                <w:szCs w:val="17"/>
                <w:u w:val="single"/>
              </w:rPr>
              <w:t>utput</w:t>
            </w:r>
            <w:r w:rsidR="007200F4" w:rsidRPr="00B83CEB">
              <w:rPr>
                <w:b/>
                <w:bCs/>
                <w:color w:val="000000"/>
                <w:sz w:val="17"/>
                <w:szCs w:val="17"/>
                <w:u w:val="single"/>
              </w:rPr>
              <w:t xml:space="preserve"> </w:t>
            </w:r>
            <w:r w:rsidR="000A59A8" w:rsidRPr="00B83CEB">
              <w:rPr>
                <w:b/>
                <w:bCs/>
                <w:color w:val="000000"/>
                <w:sz w:val="17"/>
                <w:szCs w:val="17"/>
                <w:u w:val="single"/>
              </w:rPr>
              <w:t>1.4</w:t>
            </w:r>
            <w:r w:rsidR="000A59A8" w:rsidRPr="00B83CEB">
              <w:rPr>
                <w:b/>
                <w:bCs/>
                <w:color w:val="000000"/>
                <w:sz w:val="17"/>
                <w:szCs w:val="17"/>
              </w:rPr>
              <w:t xml:space="preserve"> Civil society groups, individuals and young people participate in decision-making processes and more actively monitor national and local institutions</w:t>
            </w:r>
          </w:p>
          <w:p w14:paraId="1AECFA65" w14:textId="77777777" w:rsidR="000A59A8" w:rsidRPr="00B83CEB" w:rsidRDefault="000A59A8" w:rsidP="00CC3210">
            <w:pPr>
              <w:rPr>
                <w:color w:val="000000"/>
                <w:sz w:val="17"/>
                <w:szCs w:val="17"/>
                <w:u w:val="single"/>
              </w:rPr>
            </w:pPr>
          </w:p>
          <w:p w14:paraId="0C324B05" w14:textId="6BC5B51A" w:rsidR="00902472" w:rsidRPr="00B83CEB" w:rsidRDefault="000A59A8" w:rsidP="00CC3210">
            <w:pPr>
              <w:rPr>
                <w:color w:val="000000"/>
                <w:sz w:val="17"/>
                <w:szCs w:val="17"/>
              </w:rPr>
            </w:pPr>
            <w:r w:rsidRPr="00B83CEB">
              <w:rPr>
                <w:color w:val="000000"/>
                <w:sz w:val="17"/>
                <w:szCs w:val="17"/>
                <w:u w:val="single"/>
              </w:rPr>
              <w:t>Indicator</w:t>
            </w:r>
            <w:r w:rsidR="007200F4" w:rsidRPr="00B83CEB">
              <w:rPr>
                <w:color w:val="000000"/>
                <w:sz w:val="17"/>
                <w:szCs w:val="17"/>
                <w:u w:val="single"/>
              </w:rPr>
              <w:t xml:space="preserve"> </w:t>
            </w:r>
            <w:r w:rsidRPr="00B83CEB">
              <w:rPr>
                <w:color w:val="000000"/>
                <w:sz w:val="17"/>
                <w:szCs w:val="17"/>
                <w:u w:val="single"/>
              </w:rPr>
              <w:t>1.4.1.</w:t>
            </w:r>
            <w:r w:rsidRPr="00B83CEB">
              <w:rPr>
                <w:color w:val="000000"/>
                <w:sz w:val="17"/>
                <w:szCs w:val="17"/>
              </w:rPr>
              <w:t xml:space="preserve"> </w:t>
            </w:r>
          </w:p>
          <w:p w14:paraId="104EAA91" w14:textId="3DC205E1" w:rsidR="000A59A8" w:rsidRPr="00B83CEB" w:rsidRDefault="000A59A8" w:rsidP="00CC3210">
            <w:pPr>
              <w:rPr>
                <w:color w:val="000000"/>
                <w:sz w:val="17"/>
                <w:szCs w:val="17"/>
                <w:u w:val="single"/>
              </w:rPr>
            </w:pPr>
            <w:r w:rsidRPr="00B83CEB">
              <w:rPr>
                <w:color w:val="000000"/>
                <w:sz w:val="17"/>
                <w:szCs w:val="17"/>
              </w:rPr>
              <w:t xml:space="preserve">Number of </w:t>
            </w:r>
            <w:r w:rsidR="005F1FAE" w:rsidRPr="00B83CEB">
              <w:rPr>
                <w:color w:val="000000"/>
                <w:sz w:val="17"/>
                <w:szCs w:val="17"/>
              </w:rPr>
              <w:t>CSOs</w:t>
            </w:r>
            <w:r w:rsidRPr="00B83CEB">
              <w:rPr>
                <w:color w:val="000000"/>
                <w:sz w:val="17"/>
                <w:szCs w:val="17"/>
              </w:rPr>
              <w:t xml:space="preserve"> using open platforms and networks </w:t>
            </w:r>
          </w:p>
          <w:p w14:paraId="34F24728" w14:textId="77777777" w:rsidR="000A59A8" w:rsidRPr="00B83CEB" w:rsidRDefault="000A59A8" w:rsidP="00CC3210">
            <w:pPr>
              <w:rPr>
                <w:color w:val="000000"/>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r w:rsidRPr="00B83CEB">
              <w:rPr>
                <w:color w:val="000000"/>
                <w:sz w:val="17"/>
                <w:szCs w:val="17"/>
              </w:rPr>
              <w:t xml:space="preserve"> </w:t>
            </w:r>
          </w:p>
          <w:p w14:paraId="4DA09223" w14:textId="44FD7D6E" w:rsidR="000A59A8" w:rsidRPr="00B83CEB" w:rsidRDefault="000A59A8" w:rsidP="00CC3210">
            <w:pPr>
              <w:rPr>
                <w:color w:val="000000"/>
                <w:sz w:val="17"/>
                <w:szCs w:val="17"/>
              </w:rPr>
            </w:pPr>
            <w:r w:rsidRPr="00B83CEB">
              <w:rPr>
                <w:color w:val="000000"/>
                <w:sz w:val="17"/>
                <w:szCs w:val="17"/>
              </w:rPr>
              <w:t>0</w:t>
            </w:r>
            <w:r w:rsidR="00902472" w:rsidRPr="00B83CEB">
              <w:rPr>
                <w:color w:val="000000"/>
                <w:sz w:val="17"/>
                <w:szCs w:val="17"/>
              </w:rPr>
              <w:t xml:space="preserve"> </w:t>
            </w:r>
            <w:r w:rsidRPr="00B83CEB">
              <w:rPr>
                <w:color w:val="000000"/>
                <w:sz w:val="17"/>
                <w:szCs w:val="17"/>
              </w:rPr>
              <w:t xml:space="preserve">(2015)            35 (15 </w:t>
            </w:r>
            <w:r w:rsidR="00902472" w:rsidRPr="00B83CEB">
              <w:rPr>
                <w:color w:val="000000"/>
                <w:sz w:val="17"/>
                <w:szCs w:val="17"/>
              </w:rPr>
              <w:t>women’s organizations</w:t>
            </w:r>
            <w:r w:rsidRPr="00B83CEB">
              <w:rPr>
                <w:color w:val="000000"/>
                <w:sz w:val="17"/>
                <w:szCs w:val="17"/>
              </w:rPr>
              <w:t xml:space="preserve">; 5 </w:t>
            </w:r>
            <w:r w:rsidR="00902472" w:rsidRPr="00B83CEB">
              <w:rPr>
                <w:color w:val="000000"/>
                <w:sz w:val="17"/>
                <w:szCs w:val="17"/>
              </w:rPr>
              <w:t>youth</w:t>
            </w:r>
            <w:r w:rsidRPr="00B83CEB">
              <w:rPr>
                <w:color w:val="000000"/>
                <w:sz w:val="17"/>
                <w:szCs w:val="17"/>
              </w:rPr>
              <w:t xml:space="preserve">; </w:t>
            </w:r>
            <w:r w:rsidR="00D432A6" w:rsidRPr="00B83CEB">
              <w:rPr>
                <w:color w:val="000000"/>
                <w:sz w:val="17"/>
                <w:szCs w:val="17"/>
              </w:rPr>
              <w:tab/>
            </w:r>
            <w:r w:rsidR="00D432A6" w:rsidRPr="00B83CEB">
              <w:rPr>
                <w:color w:val="000000"/>
                <w:sz w:val="17"/>
                <w:szCs w:val="17"/>
              </w:rPr>
              <w:tab/>
            </w:r>
            <w:r w:rsidRPr="00B83CEB">
              <w:rPr>
                <w:color w:val="000000"/>
                <w:sz w:val="17"/>
                <w:szCs w:val="17"/>
              </w:rPr>
              <w:t xml:space="preserve">10 </w:t>
            </w:r>
            <w:r w:rsidR="00902472" w:rsidRPr="00B83CEB">
              <w:rPr>
                <w:color w:val="000000"/>
                <w:sz w:val="17"/>
                <w:szCs w:val="17"/>
              </w:rPr>
              <w:t>other</w:t>
            </w:r>
            <w:r w:rsidRPr="00B83CEB">
              <w:rPr>
                <w:color w:val="000000"/>
                <w:sz w:val="17"/>
                <w:szCs w:val="17"/>
              </w:rPr>
              <w:t>)</w:t>
            </w:r>
          </w:p>
          <w:p w14:paraId="241322EE" w14:textId="77777777" w:rsidR="000A59A8" w:rsidRPr="00B83CEB" w:rsidRDefault="000A59A8" w:rsidP="00CC3210">
            <w:pPr>
              <w:rPr>
                <w:color w:val="000000"/>
                <w:sz w:val="17"/>
                <w:szCs w:val="17"/>
              </w:rPr>
            </w:pPr>
          </w:p>
          <w:p w14:paraId="0D2FD29D" w14:textId="75A94747" w:rsidR="000A59A8" w:rsidRPr="00B83CEB" w:rsidRDefault="000A59A8" w:rsidP="00CC3210">
            <w:pPr>
              <w:rPr>
                <w:color w:val="000000"/>
                <w:sz w:val="17"/>
                <w:szCs w:val="17"/>
              </w:rPr>
            </w:pPr>
            <w:r w:rsidRPr="00B83CEB">
              <w:rPr>
                <w:color w:val="000000"/>
                <w:sz w:val="17"/>
                <w:szCs w:val="17"/>
              </w:rPr>
              <w:t>Source: Parliament. UNDP (I</w:t>
            </w:r>
            <w:r w:rsidR="00D432A6" w:rsidRPr="00B83CEB">
              <w:rPr>
                <w:color w:val="000000"/>
                <w:sz w:val="17"/>
                <w:szCs w:val="17"/>
              </w:rPr>
              <w:t xml:space="preserve">ntegrated </w:t>
            </w:r>
            <w:r w:rsidRPr="00B83CEB">
              <w:rPr>
                <w:color w:val="000000"/>
                <w:sz w:val="17"/>
                <w:szCs w:val="17"/>
              </w:rPr>
              <w:t>R</w:t>
            </w:r>
            <w:r w:rsidR="00D432A6" w:rsidRPr="00B83CEB">
              <w:rPr>
                <w:color w:val="000000"/>
                <w:sz w:val="17"/>
                <w:szCs w:val="17"/>
              </w:rPr>
              <w:t xml:space="preserve">esults and </w:t>
            </w:r>
            <w:r w:rsidRPr="00B83CEB">
              <w:rPr>
                <w:color w:val="000000"/>
                <w:sz w:val="17"/>
                <w:szCs w:val="17"/>
              </w:rPr>
              <w:t>R</w:t>
            </w:r>
            <w:r w:rsidR="00D432A6" w:rsidRPr="00B83CEB">
              <w:rPr>
                <w:color w:val="000000"/>
                <w:sz w:val="17"/>
                <w:szCs w:val="17"/>
              </w:rPr>
              <w:t xml:space="preserve">esources </w:t>
            </w:r>
            <w:r w:rsidRPr="00B83CEB">
              <w:rPr>
                <w:color w:val="000000"/>
                <w:sz w:val="17"/>
                <w:szCs w:val="17"/>
              </w:rPr>
              <w:t>F</w:t>
            </w:r>
            <w:r w:rsidR="00D432A6" w:rsidRPr="00B83CEB">
              <w:rPr>
                <w:color w:val="000000"/>
                <w:sz w:val="17"/>
                <w:szCs w:val="17"/>
              </w:rPr>
              <w:t>ramework</w:t>
            </w:r>
            <w:r w:rsidRPr="00B83CEB">
              <w:rPr>
                <w:color w:val="000000"/>
                <w:sz w:val="17"/>
                <w:szCs w:val="17"/>
              </w:rPr>
              <w:t xml:space="preserve"> 2.4.2) </w:t>
            </w:r>
          </w:p>
          <w:p w14:paraId="7EAF95D1" w14:textId="77777777" w:rsidR="000A59A8" w:rsidRPr="00B83CEB" w:rsidRDefault="000A59A8" w:rsidP="00CC3210">
            <w:pPr>
              <w:rPr>
                <w:color w:val="000000"/>
                <w:sz w:val="17"/>
                <w:szCs w:val="17"/>
                <w:u w:val="single"/>
              </w:rPr>
            </w:pPr>
          </w:p>
          <w:p w14:paraId="040ECD59" w14:textId="1AC1A35A" w:rsidR="00902472" w:rsidRPr="00B83CEB" w:rsidRDefault="000A59A8" w:rsidP="00CC3210">
            <w:pPr>
              <w:rPr>
                <w:color w:val="000000"/>
                <w:sz w:val="17"/>
                <w:szCs w:val="17"/>
              </w:rPr>
            </w:pPr>
            <w:r w:rsidRPr="00B83CEB">
              <w:rPr>
                <w:color w:val="000000"/>
                <w:sz w:val="17"/>
                <w:szCs w:val="17"/>
                <w:u w:val="single"/>
              </w:rPr>
              <w:t>Indicator</w:t>
            </w:r>
            <w:r w:rsidR="007200F4" w:rsidRPr="00B83CEB">
              <w:rPr>
                <w:color w:val="000000"/>
                <w:sz w:val="17"/>
                <w:szCs w:val="17"/>
                <w:u w:val="single"/>
              </w:rPr>
              <w:t xml:space="preserve"> </w:t>
            </w:r>
            <w:r w:rsidRPr="00B83CEB">
              <w:rPr>
                <w:color w:val="000000"/>
                <w:sz w:val="17"/>
                <w:szCs w:val="17"/>
                <w:u w:val="single"/>
              </w:rPr>
              <w:t>1.4.2</w:t>
            </w:r>
            <w:r w:rsidRPr="00B83CEB">
              <w:rPr>
                <w:color w:val="000000"/>
                <w:sz w:val="17"/>
                <w:szCs w:val="17"/>
              </w:rPr>
              <w:t xml:space="preserve"> </w:t>
            </w:r>
          </w:p>
          <w:p w14:paraId="31136963" w14:textId="46E8874E" w:rsidR="000A59A8" w:rsidRPr="00B83CEB" w:rsidRDefault="000A59A8" w:rsidP="00CC3210">
            <w:pPr>
              <w:rPr>
                <w:color w:val="000000"/>
                <w:sz w:val="17"/>
                <w:szCs w:val="17"/>
              </w:rPr>
            </w:pPr>
            <w:r w:rsidRPr="00B83CEB">
              <w:rPr>
                <w:color w:val="000000"/>
                <w:sz w:val="17"/>
                <w:szCs w:val="17"/>
              </w:rPr>
              <w:t>Number of municipalities having systematic public consultation mechanisms in place</w:t>
            </w:r>
          </w:p>
          <w:p w14:paraId="50BEDB8C" w14:textId="77777777" w:rsidR="000A59A8" w:rsidRPr="00B83CEB" w:rsidRDefault="000A59A8" w:rsidP="00CC3210">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44F968DE" w14:textId="77777777" w:rsidR="000A59A8" w:rsidRPr="00B83CEB" w:rsidRDefault="000A59A8" w:rsidP="00CC3210">
            <w:pPr>
              <w:rPr>
                <w:sz w:val="17"/>
                <w:szCs w:val="17"/>
              </w:rPr>
            </w:pPr>
            <w:r w:rsidRPr="00B83CEB">
              <w:rPr>
                <w:sz w:val="17"/>
                <w:szCs w:val="17"/>
              </w:rPr>
              <w:t>2                       61</w:t>
            </w:r>
          </w:p>
          <w:p w14:paraId="2F38F2C7" w14:textId="1787C645" w:rsidR="008E3334" w:rsidRPr="00B83CEB" w:rsidRDefault="000A59A8" w:rsidP="00CC3210">
            <w:pPr>
              <w:rPr>
                <w:color w:val="000000"/>
                <w:sz w:val="17"/>
                <w:szCs w:val="17"/>
              </w:rPr>
            </w:pPr>
            <w:r w:rsidRPr="00B83CEB">
              <w:rPr>
                <w:color w:val="000000"/>
                <w:sz w:val="17"/>
                <w:szCs w:val="17"/>
              </w:rPr>
              <w:t>Source:</w:t>
            </w:r>
            <w:r w:rsidRPr="00B83CEB">
              <w:rPr>
                <w:b/>
                <w:bCs/>
                <w:color w:val="000000"/>
                <w:sz w:val="17"/>
                <w:szCs w:val="17"/>
              </w:rPr>
              <w:t xml:space="preserve"> </w:t>
            </w:r>
            <w:r w:rsidRPr="00B83CEB">
              <w:rPr>
                <w:color w:val="000000"/>
                <w:sz w:val="17"/>
                <w:szCs w:val="17"/>
              </w:rPr>
              <w:t xml:space="preserve">MoLI </w:t>
            </w:r>
          </w:p>
        </w:tc>
        <w:tc>
          <w:tcPr>
            <w:tcW w:w="2313" w:type="dxa"/>
            <w:vMerge w:val="restart"/>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36C685E0" w14:textId="6BAD5515" w:rsidR="000A59A8" w:rsidRPr="00B83CEB" w:rsidRDefault="000A59A8" w:rsidP="00CC3210">
            <w:pPr>
              <w:rPr>
                <w:iCs/>
                <w:color w:val="000000"/>
                <w:sz w:val="17"/>
                <w:szCs w:val="17"/>
              </w:rPr>
            </w:pPr>
            <w:r w:rsidRPr="00B83CEB">
              <w:rPr>
                <w:iCs/>
                <w:color w:val="000000"/>
                <w:sz w:val="17"/>
                <w:szCs w:val="17"/>
              </w:rPr>
              <w:lastRenderedPageBreak/>
              <w:t xml:space="preserve">1.1 Independent institutions (including </w:t>
            </w:r>
            <w:r w:rsidR="00EE2A01" w:rsidRPr="00B83CEB">
              <w:rPr>
                <w:iCs/>
                <w:color w:val="000000"/>
                <w:sz w:val="17"/>
                <w:szCs w:val="17"/>
              </w:rPr>
              <w:t>ru</w:t>
            </w:r>
            <w:r w:rsidR="000D73C4" w:rsidRPr="00B83CEB">
              <w:rPr>
                <w:iCs/>
                <w:color w:val="000000"/>
                <w:sz w:val="17"/>
                <w:szCs w:val="17"/>
              </w:rPr>
              <w:t>l</w:t>
            </w:r>
            <w:r w:rsidR="00EE2A01" w:rsidRPr="00B83CEB">
              <w:rPr>
                <w:iCs/>
                <w:color w:val="000000"/>
                <w:sz w:val="17"/>
                <w:szCs w:val="17"/>
              </w:rPr>
              <w:t xml:space="preserve">e of law </w:t>
            </w:r>
            <w:r w:rsidRPr="00B83CEB">
              <w:rPr>
                <w:iCs/>
                <w:color w:val="000000"/>
                <w:sz w:val="17"/>
                <w:szCs w:val="17"/>
              </w:rPr>
              <w:t xml:space="preserve">and </w:t>
            </w:r>
            <w:r w:rsidR="00EE2A01" w:rsidRPr="00B83CEB">
              <w:rPr>
                <w:iCs/>
                <w:color w:val="000000"/>
                <w:sz w:val="17"/>
                <w:szCs w:val="17"/>
              </w:rPr>
              <w:t>human rights institutions</w:t>
            </w:r>
            <w:r w:rsidRPr="00B83CEB">
              <w:rPr>
                <w:iCs/>
                <w:color w:val="000000"/>
                <w:sz w:val="17"/>
                <w:szCs w:val="17"/>
              </w:rPr>
              <w:t xml:space="preserve">) electoral management bodies, political parties, parliamentary commissions/caucuses. </w:t>
            </w:r>
          </w:p>
          <w:p w14:paraId="790AA415" w14:textId="309639E4" w:rsidR="000A59A8" w:rsidRPr="00B83CEB" w:rsidRDefault="000A59A8" w:rsidP="00CC3210">
            <w:pPr>
              <w:rPr>
                <w:iCs/>
                <w:color w:val="000000"/>
                <w:sz w:val="17"/>
                <w:szCs w:val="17"/>
              </w:rPr>
            </w:pPr>
            <w:r w:rsidRPr="00B83CEB">
              <w:rPr>
                <w:iCs/>
                <w:color w:val="000000"/>
                <w:sz w:val="17"/>
                <w:szCs w:val="17"/>
              </w:rPr>
              <w:t xml:space="preserve">Development partners, especially EU, OSCE, </w:t>
            </w:r>
            <w:r w:rsidR="00EE2A01" w:rsidRPr="00B83CEB">
              <w:rPr>
                <w:iCs/>
                <w:color w:val="000000"/>
                <w:sz w:val="17"/>
                <w:szCs w:val="17"/>
              </w:rPr>
              <w:t>Council of Europe</w:t>
            </w:r>
            <w:r w:rsidRPr="00B83CEB">
              <w:rPr>
                <w:iCs/>
                <w:color w:val="000000"/>
                <w:sz w:val="17"/>
                <w:szCs w:val="17"/>
              </w:rPr>
              <w:t>; UN</w:t>
            </w:r>
            <w:r w:rsidR="00EE2A01" w:rsidRPr="00B83CEB">
              <w:rPr>
                <w:iCs/>
                <w:color w:val="000000"/>
                <w:sz w:val="17"/>
                <w:szCs w:val="17"/>
              </w:rPr>
              <w:t>-</w:t>
            </w:r>
            <w:r w:rsidRPr="00B83CEB">
              <w:rPr>
                <w:iCs/>
                <w:color w:val="000000"/>
                <w:sz w:val="17"/>
                <w:szCs w:val="17"/>
              </w:rPr>
              <w:t>W</w:t>
            </w:r>
            <w:r w:rsidR="00EE2A01" w:rsidRPr="00B83CEB">
              <w:rPr>
                <w:iCs/>
                <w:color w:val="000000"/>
                <w:sz w:val="17"/>
                <w:szCs w:val="17"/>
              </w:rPr>
              <w:t>omen</w:t>
            </w:r>
            <w:r w:rsidRPr="00B83CEB">
              <w:rPr>
                <w:iCs/>
                <w:color w:val="000000"/>
                <w:sz w:val="17"/>
                <w:szCs w:val="17"/>
              </w:rPr>
              <w:t xml:space="preserve"> as key partner in </w:t>
            </w:r>
            <w:r w:rsidR="00EE2A01" w:rsidRPr="00B83CEB">
              <w:rPr>
                <w:iCs/>
                <w:color w:val="000000"/>
                <w:sz w:val="17"/>
                <w:szCs w:val="17"/>
              </w:rPr>
              <w:t>Delivering as One</w:t>
            </w:r>
            <w:r w:rsidRPr="00B83CEB">
              <w:rPr>
                <w:iCs/>
                <w:color w:val="000000"/>
                <w:sz w:val="17"/>
                <w:szCs w:val="17"/>
              </w:rPr>
              <w:t xml:space="preserve"> </w:t>
            </w:r>
            <w:r w:rsidR="00EE2A01" w:rsidRPr="00B83CEB">
              <w:rPr>
                <w:iCs/>
                <w:color w:val="000000"/>
                <w:sz w:val="17"/>
                <w:szCs w:val="17"/>
              </w:rPr>
              <w:t>outcome group</w:t>
            </w:r>
            <w:r w:rsidRPr="00B83CEB">
              <w:rPr>
                <w:iCs/>
                <w:color w:val="000000"/>
                <w:sz w:val="17"/>
                <w:szCs w:val="17"/>
              </w:rPr>
              <w:t xml:space="preserve">.  </w:t>
            </w:r>
          </w:p>
          <w:p w14:paraId="2845C54C" w14:textId="77777777" w:rsidR="000A59A8" w:rsidRPr="00B83CEB" w:rsidRDefault="000A59A8" w:rsidP="00CC3210">
            <w:pPr>
              <w:rPr>
                <w:iCs/>
                <w:color w:val="000000"/>
                <w:sz w:val="17"/>
                <w:szCs w:val="17"/>
                <w:u w:val="single"/>
              </w:rPr>
            </w:pPr>
          </w:p>
          <w:p w14:paraId="17AEBE44" w14:textId="77777777" w:rsidR="000A59A8" w:rsidRPr="00B83CEB" w:rsidRDefault="000A59A8" w:rsidP="00CC3210">
            <w:pPr>
              <w:rPr>
                <w:iCs/>
                <w:color w:val="000000"/>
                <w:sz w:val="17"/>
                <w:szCs w:val="17"/>
                <w:u w:val="single"/>
              </w:rPr>
            </w:pPr>
          </w:p>
          <w:p w14:paraId="25C5FF63" w14:textId="77777777" w:rsidR="000A59A8" w:rsidRPr="00B83CEB" w:rsidRDefault="000A59A8" w:rsidP="00CC3210">
            <w:pPr>
              <w:rPr>
                <w:iCs/>
                <w:color w:val="000000"/>
                <w:sz w:val="17"/>
                <w:szCs w:val="17"/>
                <w:u w:val="single"/>
              </w:rPr>
            </w:pPr>
          </w:p>
          <w:p w14:paraId="37E333C9" w14:textId="77777777" w:rsidR="000A59A8" w:rsidRPr="00B83CEB" w:rsidRDefault="000A59A8" w:rsidP="00CC3210">
            <w:pPr>
              <w:rPr>
                <w:iCs/>
                <w:color w:val="000000"/>
                <w:sz w:val="17"/>
                <w:szCs w:val="17"/>
                <w:u w:val="single"/>
              </w:rPr>
            </w:pPr>
          </w:p>
          <w:p w14:paraId="2246700D" w14:textId="77777777" w:rsidR="000A59A8" w:rsidRPr="00B83CEB" w:rsidRDefault="000A59A8" w:rsidP="00CC3210">
            <w:pPr>
              <w:rPr>
                <w:iCs/>
                <w:color w:val="000000"/>
                <w:sz w:val="17"/>
                <w:szCs w:val="17"/>
                <w:u w:val="single"/>
              </w:rPr>
            </w:pPr>
          </w:p>
          <w:p w14:paraId="034567E3" w14:textId="77777777" w:rsidR="000A59A8" w:rsidRPr="00B83CEB" w:rsidRDefault="000A59A8" w:rsidP="00CC3210">
            <w:pPr>
              <w:rPr>
                <w:iCs/>
                <w:color w:val="000000"/>
                <w:sz w:val="17"/>
                <w:szCs w:val="17"/>
                <w:u w:val="single"/>
              </w:rPr>
            </w:pPr>
          </w:p>
          <w:p w14:paraId="18AF15AE" w14:textId="77777777" w:rsidR="000A59A8" w:rsidRPr="00B83CEB" w:rsidRDefault="000A59A8" w:rsidP="00CC3210">
            <w:pPr>
              <w:rPr>
                <w:iCs/>
                <w:color w:val="000000"/>
                <w:sz w:val="17"/>
                <w:szCs w:val="17"/>
                <w:u w:val="single"/>
              </w:rPr>
            </w:pPr>
          </w:p>
          <w:p w14:paraId="0FDF801E" w14:textId="77777777" w:rsidR="000A59A8" w:rsidRPr="00B83CEB" w:rsidRDefault="000A59A8" w:rsidP="00CC3210">
            <w:pPr>
              <w:rPr>
                <w:iCs/>
                <w:color w:val="000000"/>
                <w:sz w:val="17"/>
                <w:szCs w:val="17"/>
                <w:u w:val="single"/>
              </w:rPr>
            </w:pPr>
          </w:p>
          <w:p w14:paraId="0C42C975" w14:textId="77777777" w:rsidR="000A59A8" w:rsidRPr="00B83CEB" w:rsidRDefault="000A59A8" w:rsidP="00CC3210">
            <w:pPr>
              <w:rPr>
                <w:iCs/>
                <w:color w:val="000000"/>
                <w:sz w:val="17"/>
                <w:szCs w:val="17"/>
                <w:u w:val="single"/>
              </w:rPr>
            </w:pPr>
          </w:p>
          <w:p w14:paraId="793736B6" w14:textId="77777777" w:rsidR="000A59A8" w:rsidRPr="00B83CEB" w:rsidRDefault="000A59A8" w:rsidP="00CC3210">
            <w:pPr>
              <w:rPr>
                <w:iCs/>
                <w:color w:val="000000"/>
                <w:sz w:val="17"/>
                <w:szCs w:val="17"/>
                <w:u w:val="single"/>
              </w:rPr>
            </w:pPr>
          </w:p>
          <w:p w14:paraId="563AE092" w14:textId="77777777" w:rsidR="000A59A8" w:rsidRPr="00B83CEB" w:rsidRDefault="000A59A8" w:rsidP="00CC3210">
            <w:pPr>
              <w:rPr>
                <w:iCs/>
                <w:color w:val="000000"/>
                <w:sz w:val="17"/>
                <w:szCs w:val="17"/>
                <w:u w:val="single"/>
              </w:rPr>
            </w:pPr>
          </w:p>
          <w:p w14:paraId="2BC63601" w14:textId="77777777" w:rsidR="000A59A8" w:rsidRPr="00B83CEB" w:rsidRDefault="000A59A8" w:rsidP="00CC3210">
            <w:pPr>
              <w:rPr>
                <w:iCs/>
                <w:color w:val="000000"/>
                <w:sz w:val="17"/>
                <w:szCs w:val="17"/>
                <w:u w:val="single"/>
              </w:rPr>
            </w:pPr>
          </w:p>
          <w:p w14:paraId="3EFC5591" w14:textId="77777777" w:rsidR="00FA6747" w:rsidRPr="00B83CEB" w:rsidRDefault="00FA6747" w:rsidP="00CC3210">
            <w:pPr>
              <w:rPr>
                <w:iCs/>
                <w:color w:val="000000"/>
                <w:sz w:val="17"/>
                <w:szCs w:val="17"/>
                <w:u w:val="single"/>
              </w:rPr>
            </w:pPr>
          </w:p>
          <w:p w14:paraId="716B75A9" w14:textId="77777777" w:rsidR="00FA6747" w:rsidRPr="00B83CEB" w:rsidRDefault="00FA6747" w:rsidP="00CC3210">
            <w:pPr>
              <w:rPr>
                <w:iCs/>
                <w:color w:val="000000"/>
                <w:sz w:val="17"/>
                <w:szCs w:val="17"/>
                <w:u w:val="single"/>
              </w:rPr>
            </w:pPr>
          </w:p>
          <w:p w14:paraId="428DDA5E" w14:textId="77777777" w:rsidR="00FA6747" w:rsidRPr="00B83CEB" w:rsidRDefault="00FA6747" w:rsidP="00CC3210">
            <w:pPr>
              <w:rPr>
                <w:iCs/>
                <w:color w:val="000000"/>
                <w:sz w:val="17"/>
                <w:szCs w:val="17"/>
                <w:u w:val="single"/>
              </w:rPr>
            </w:pPr>
          </w:p>
          <w:p w14:paraId="529F1AA6" w14:textId="77777777" w:rsidR="00FA6747" w:rsidRDefault="00FA6747" w:rsidP="00CC3210">
            <w:pPr>
              <w:rPr>
                <w:iCs/>
                <w:color w:val="000000"/>
                <w:sz w:val="17"/>
                <w:szCs w:val="17"/>
                <w:u w:val="single"/>
              </w:rPr>
            </w:pPr>
          </w:p>
          <w:p w14:paraId="75F5F518" w14:textId="77777777" w:rsidR="004A67F9" w:rsidRPr="00B83CEB" w:rsidRDefault="004A67F9" w:rsidP="00CC3210">
            <w:pPr>
              <w:rPr>
                <w:iCs/>
                <w:color w:val="000000"/>
                <w:sz w:val="17"/>
                <w:szCs w:val="17"/>
                <w:u w:val="single"/>
              </w:rPr>
            </w:pPr>
          </w:p>
          <w:p w14:paraId="3CCE44A5" w14:textId="77777777" w:rsidR="00FA6747" w:rsidRPr="00B83CEB" w:rsidRDefault="00FA6747" w:rsidP="00CC3210">
            <w:pPr>
              <w:rPr>
                <w:iCs/>
                <w:color w:val="000000"/>
                <w:sz w:val="17"/>
                <w:szCs w:val="17"/>
                <w:u w:val="single"/>
              </w:rPr>
            </w:pPr>
          </w:p>
          <w:p w14:paraId="6E128C97" w14:textId="77777777" w:rsidR="000A59A8" w:rsidRPr="00B83CEB" w:rsidRDefault="000A59A8" w:rsidP="00CC3210">
            <w:pPr>
              <w:rPr>
                <w:iCs/>
                <w:color w:val="000000"/>
                <w:sz w:val="17"/>
                <w:szCs w:val="17"/>
                <w:u w:val="single"/>
              </w:rPr>
            </w:pPr>
          </w:p>
          <w:p w14:paraId="55F432D6" w14:textId="77777777" w:rsidR="000A59A8" w:rsidRPr="00B83CEB" w:rsidRDefault="000A59A8" w:rsidP="00CC3210">
            <w:pPr>
              <w:rPr>
                <w:b/>
                <w:iCs/>
                <w:color w:val="000000"/>
                <w:sz w:val="17"/>
                <w:szCs w:val="17"/>
                <w:u w:val="single"/>
              </w:rPr>
            </w:pPr>
          </w:p>
          <w:p w14:paraId="144F1955" w14:textId="77777777" w:rsidR="000A59A8" w:rsidRPr="00B83CEB" w:rsidRDefault="000A59A8" w:rsidP="00CC3210">
            <w:pPr>
              <w:rPr>
                <w:iCs/>
                <w:color w:val="000000"/>
                <w:sz w:val="17"/>
                <w:szCs w:val="17"/>
              </w:rPr>
            </w:pPr>
            <w:r w:rsidRPr="00B83CEB">
              <w:rPr>
                <w:iCs/>
                <w:color w:val="000000"/>
                <w:sz w:val="17"/>
                <w:szCs w:val="17"/>
              </w:rPr>
              <w:t>1.2 Ministry of Innovation and Public Administration;</w:t>
            </w:r>
          </w:p>
          <w:p w14:paraId="398B8056" w14:textId="2C408ACC" w:rsidR="000A59A8" w:rsidRPr="00B83CEB" w:rsidRDefault="000A59A8" w:rsidP="00CC3210">
            <w:pPr>
              <w:rPr>
                <w:iCs/>
                <w:color w:val="000000"/>
                <w:sz w:val="17"/>
                <w:szCs w:val="17"/>
              </w:rPr>
            </w:pPr>
            <w:r w:rsidRPr="00B83CEB">
              <w:rPr>
                <w:iCs/>
                <w:color w:val="000000"/>
                <w:sz w:val="17"/>
                <w:szCs w:val="17"/>
              </w:rPr>
              <w:t xml:space="preserve">Ministry of Local Issues; </w:t>
            </w:r>
            <w:r w:rsidR="00386E5B" w:rsidRPr="00B83CEB">
              <w:rPr>
                <w:iCs/>
                <w:color w:val="000000"/>
                <w:sz w:val="17"/>
                <w:szCs w:val="17"/>
              </w:rPr>
              <w:t xml:space="preserve">local government units </w:t>
            </w:r>
            <w:r w:rsidR="006819F7" w:rsidRPr="00B83CEB">
              <w:rPr>
                <w:iCs/>
                <w:color w:val="000000"/>
                <w:sz w:val="17"/>
                <w:szCs w:val="17"/>
              </w:rPr>
              <w:t>(LGUs)</w:t>
            </w:r>
            <w:r w:rsidRPr="00B83CEB">
              <w:rPr>
                <w:iCs/>
                <w:color w:val="000000"/>
                <w:sz w:val="17"/>
                <w:szCs w:val="17"/>
              </w:rPr>
              <w:t xml:space="preserve">; National Coordinator for Anti-Corruption; </w:t>
            </w:r>
          </w:p>
          <w:p w14:paraId="37C72E65" w14:textId="476999D7" w:rsidR="000A59A8" w:rsidRPr="00B83CEB" w:rsidRDefault="000A59A8" w:rsidP="00CC3210">
            <w:pPr>
              <w:rPr>
                <w:iCs/>
                <w:color w:val="000000"/>
                <w:sz w:val="17"/>
                <w:szCs w:val="17"/>
              </w:rPr>
            </w:pPr>
            <w:r w:rsidRPr="00B83CEB">
              <w:rPr>
                <w:iCs/>
                <w:color w:val="000000"/>
                <w:sz w:val="17"/>
                <w:szCs w:val="17"/>
              </w:rPr>
              <w:t xml:space="preserve">Development partners </w:t>
            </w:r>
            <w:r w:rsidR="00386E5B" w:rsidRPr="00B83CEB">
              <w:rPr>
                <w:iCs/>
                <w:color w:val="000000"/>
                <w:sz w:val="17"/>
                <w:szCs w:val="17"/>
              </w:rPr>
              <w:t>(</w:t>
            </w:r>
            <w:r w:rsidR="001F56F1" w:rsidRPr="00B83CEB">
              <w:rPr>
                <w:iCs/>
                <w:color w:val="000000"/>
                <w:sz w:val="17"/>
                <w:szCs w:val="17"/>
              </w:rPr>
              <w:t xml:space="preserve">Governments of </w:t>
            </w:r>
            <w:r w:rsidR="00386E5B" w:rsidRPr="00B83CEB">
              <w:rPr>
                <w:iCs/>
                <w:color w:val="000000"/>
                <w:sz w:val="17"/>
                <w:szCs w:val="17"/>
              </w:rPr>
              <w:t xml:space="preserve">Italy, Sweden, </w:t>
            </w:r>
            <w:r w:rsidR="000D73C4" w:rsidRPr="00B83CEB">
              <w:rPr>
                <w:iCs/>
                <w:color w:val="000000"/>
                <w:sz w:val="17"/>
                <w:szCs w:val="17"/>
              </w:rPr>
              <w:t>Switzerland and U</w:t>
            </w:r>
            <w:r w:rsidR="00386E5B" w:rsidRPr="00B83CEB">
              <w:rPr>
                <w:iCs/>
                <w:color w:val="000000"/>
                <w:sz w:val="17"/>
                <w:szCs w:val="17"/>
              </w:rPr>
              <w:t xml:space="preserve">nited States </w:t>
            </w:r>
            <w:r w:rsidR="00225E2E" w:rsidRPr="00B83CEB">
              <w:rPr>
                <w:iCs/>
                <w:color w:val="000000"/>
                <w:sz w:val="17"/>
                <w:szCs w:val="17"/>
              </w:rPr>
              <w:t>and</w:t>
            </w:r>
            <w:r w:rsidR="00386E5B" w:rsidRPr="00B83CEB">
              <w:rPr>
                <w:iCs/>
                <w:color w:val="000000"/>
                <w:sz w:val="17"/>
                <w:szCs w:val="17"/>
              </w:rPr>
              <w:t>/or</w:t>
            </w:r>
            <w:r w:rsidR="00225E2E" w:rsidRPr="00B83CEB">
              <w:rPr>
                <w:iCs/>
                <w:color w:val="000000"/>
                <w:sz w:val="17"/>
                <w:szCs w:val="17"/>
              </w:rPr>
              <w:t xml:space="preserve"> their international development cooperation agencies</w:t>
            </w:r>
            <w:r w:rsidR="000D73C4" w:rsidRPr="00B83CEB">
              <w:rPr>
                <w:iCs/>
                <w:color w:val="000000"/>
                <w:sz w:val="17"/>
                <w:szCs w:val="17"/>
              </w:rPr>
              <w:t xml:space="preserve">; </w:t>
            </w:r>
            <w:r w:rsidRPr="00B83CEB">
              <w:rPr>
                <w:iCs/>
                <w:color w:val="000000"/>
                <w:sz w:val="17"/>
                <w:szCs w:val="17"/>
              </w:rPr>
              <w:t xml:space="preserve">and </w:t>
            </w:r>
            <w:r w:rsidR="00902472" w:rsidRPr="00B83CEB">
              <w:rPr>
                <w:iCs/>
                <w:color w:val="000000"/>
                <w:sz w:val="17"/>
                <w:szCs w:val="17"/>
              </w:rPr>
              <w:t>Council of Europe</w:t>
            </w:r>
            <w:r w:rsidRPr="00B83CEB">
              <w:rPr>
                <w:iCs/>
                <w:color w:val="000000"/>
                <w:sz w:val="17"/>
                <w:szCs w:val="17"/>
              </w:rPr>
              <w:t xml:space="preserve">, CSOs, OGP partners.  </w:t>
            </w:r>
          </w:p>
          <w:p w14:paraId="6F4BB9A5" w14:textId="77777777" w:rsidR="000A59A8" w:rsidRPr="00B83CEB" w:rsidRDefault="000A59A8" w:rsidP="00CC3210">
            <w:pPr>
              <w:rPr>
                <w:iCs/>
                <w:color w:val="000000"/>
                <w:sz w:val="17"/>
                <w:szCs w:val="17"/>
              </w:rPr>
            </w:pPr>
          </w:p>
          <w:p w14:paraId="471DF0CB" w14:textId="77777777" w:rsidR="000A59A8" w:rsidRPr="00B83CEB" w:rsidRDefault="000A59A8" w:rsidP="00CC3210">
            <w:pPr>
              <w:rPr>
                <w:b/>
                <w:iCs/>
                <w:color w:val="000000"/>
                <w:sz w:val="17"/>
                <w:szCs w:val="17"/>
                <w:u w:val="single"/>
              </w:rPr>
            </w:pPr>
          </w:p>
          <w:p w14:paraId="62AB6D57" w14:textId="77777777" w:rsidR="000A59A8" w:rsidRPr="00B83CEB" w:rsidRDefault="000A59A8" w:rsidP="00CC3210">
            <w:pPr>
              <w:rPr>
                <w:b/>
                <w:iCs/>
                <w:color w:val="000000"/>
                <w:sz w:val="17"/>
                <w:szCs w:val="17"/>
                <w:u w:val="single"/>
              </w:rPr>
            </w:pPr>
          </w:p>
          <w:p w14:paraId="658E9B63" w14:textId="77777777" w:rsidR="000A59A8" w:rsidRPr="00B83CEB" w:rsidRDefault="000A59A8" w:rsidP="00CC3210">
            <w:pPr>
              <w:rPr>
                <w:b/>
                <w:iCs/>
                <w:color w:val="000000"/>
                <w:sz w:val="17"/>
                <w:szCs w:val="17"/>
                <w:u w:val="single"/>
              </w:rPr>
            </w:pPr>
          </w:p>
          <w:p w14:paraId="2AEC1DAD" w14:textId="77777777" w:rsidR="000A59A8" w:rsidRPr="00B83CEB" w:rsidRDefault="000A59A8" w:rsidP="00CC3210">
            <w:pPr>
              <w:rPr>
                <w:b/>
                <w:iCs/>
                <w:color w:val="000000"/>
                <w:sz w:val="17"/>
                <w:szCs w:val="17"/>
                <w:u w:val="single"/>
              </w:rPr>
            </w:pPr>
          </w:p>
          <w:p w14:paraId="3F3B413A" w14:textId="77777777" w:rsidR="000A59A8" w:rsidRPr="00B83CEB" w:rsidRDefault="000A59A8" w:rsidP="00CC3210">
            <w:pPr>
              <w:rPr>
                <w:b/>
                <w:iCs/>
                <w:color w:val="000000"/>
                <w:sz w:val="17"/>
                <w:szCs w:val="17"/>
                <w:u w:val="single"/>
              </w:rPr>
            </w:pPr>
          </w:p>
          <w:p w14:paraId="5F421D91" w14:textId="77777777" w:rsidR="000A59A8" w:rsidRPr="00B83CEB" w:rsidRDefault="000A59A8" w:rsidP="00CC3210">
            <w:pPr>
              <w:rPr>
                <w:b/>
                <w:iCs/>
                <w:color w:val="000000"/>
                <w:sz w:val="17"/>
                <w:szCs w:val="17"/>
                <w:u w:val="single"/>
              </w:rPr>
            </w:pPr>
          </w:p>
          <w:p w14:paraId="0675392B" w14:textId="77777777" w:rsidR="000A59A8" w:rsidRPr="00B83CEB" w:rsidRDefault="000A59A8" w:rsidP="00CC3210">
            <w:pPr>
              <w:rPr>
                <w:iCs/>
                <w:color w:val="000000"/>
                <w:sz w:val="17"/>
                <w:szCs w:val="17"/>
              </w:rPr>
            </w:pPr>
          </w:p>
          <w:p w14:paraId="5A1ED2E7" w14:textId="77777777" w:rsidR="000A59A8" w:rsidRPr="00B83CEB" w:rsidRDefault="000A59A8" w:rsidP="00CC3210">
            <w:pPr>
              <w:rPr>
                <w:iCs/>
                <w:color w:val="000000"/>
                <w:sz w:val="17"/>
                <w:szCs w:val="17"/>
              </w:rPr>
            </w:pPr>
          </w:p>
          <w:p w14:paraId="6B8DCF2B" w14:textId="77777777" w:rsidR="000A59A8" w:rsidRPr="00B83CEB" w:rsidRDefault="000A59A8" w:rsidP="00CC3210">
            <w:pPr>
              <w:rPr>
                <w:sz w:val="17"/>
                <w:szCs w:val="17"/>
              </w:rPr>
            </w:pPr>
          </w:p>
          <w:p w14:paraId="3A518A00" w14:textId="77777777" w:rsidR="000A59A8" w:rsidRPr="00B83CEB" w:rsidRDefault="000A59A8" w:rsidP="00CC3210">
            <w:pPr>
              <w:rPr>
                <w:sz w:val="17"/>
                <w:szCs w:val="17"/>
              </w:rPr>
            </w:pPr>
          </w:p>
          <w:p w14:paraId="6527F2B2" w14:textId="77777777" w:rsidR="000A59A8" w:rsidRPr="00B83CEB" w:rsidRDefault="000A59A8" w:rsidP="00CC3210">
            <w:pPr>
              <w:rPr>
                <w:sz w:val="17"/>
                <w:szCs w:val="17"/>
              </w:rPr>
            </w:pPr>
          </w:p>
          <w:p w14:paraId="4896888E" w14:textId="77777777" w:rsidR="000A59A8" w:rsidRPr="00B83CEB" w:rsidRDefault="000A59A8" w:rsidP="00CC3210">
            <w:pPr>
              <w:rPr>
                <w:sz w:val="17"/>
                <w:szCs w:val="17"/>
              </w:rPr>
            </w:pPr>
          </w:p>
          <w:p w14:paraId="52018D05" w14:textId="77777777" w:rsidR="000A59A8" w:rsidRPr="00B83CEB" w:rsidRDefault="000A59A8" w:rsidP="00CC3210">
            <w:pPr>
              <w:rPr>
                <w:sz w:val="17"/>
                <w:szCs w:val="17"/>
              </w:rPr>
            </w:pPr>
          </w:p>
          <w:p w14:paraId="208BE610" w14:textId="77777777" w:rsidR="000A59A8" w:rsidRPr="00B83CEB" w:rsidRDefault="000A59A8" w:rsidP="00CC3210">
            <w:pPr>
              <w:rPr>
                <w:iCs/>
                <w:color w:val="000000"/>
                <w:sz w:val="17"/>
                <w:szCs w:val="17"/>
                <w:u w:val="single"/>
              </w:rPr>
            </w:pPr>
          </w:p>
          <w:p w14:paraId="3205C735" w14:textId="222DF3A9" w:rsidR="000A59A8" w:rsidRPr="00B83CEB" w:rsidRDefault="000A59A8" w:rsidP="00CC3210">
            <w:pPr>
              <w:rPr>
                <w:iCs/>
                <w:color w:val="000000"/>
                <w:sz w:val="17"/>
                <w:szCs w:val="17"/>
              </w:rPr>
            </w:pPr>
            <w:r w:rsidRPr="00B83CEB">
              <w:rPr>
                <w:iCs/>
                <w:color w:val="000000"/>
                <w:sz w:val="17"/>
                <w:szCs w:val="17"/>
              </w:rPr>
              <w:t xml:space="preserve">1.3 National </w:t>
            </w:r>
            <w:r w:rsidR="00902472" w:rsidRPr="00B83CEB">
              <w:rPr>
                <w:iCs/>
                <w:color w:val="000000"/>
                <w:sz w:val="17"/>
                <w:szCs w:val="17"/>
              </w:rPr>
              <w:t>gender machinery</w:t>
            </w:r>
            <w:r w:rsidRPr="00B83CEB">
              <w:rPr>
                <w:iCs/>
                <w:color w:val="000000"/>
                <w:sz w:val="17"/>
                <w:szCs w:val="17"/>
              </w:rPr>
              <w:t xml:space="preserve">, </w:t>
            </w:r>
            <w:r w:rsidR="005F1FAE" w:rsidRPr="00B83CEB">
              <w:rPr>
                <w:iCs/>
                <w:color w:val="000000"/>
                <w:sz w:val="17"/>
                <w:szCs w:val="17"/>
              </w:rPr>
              <w:t>Ministry of Social Welfare and Youth (</w:t>
            </w:r>
            <w:r w:rsidRPr="00B83CEB">
              <w:rPr>
                <w:iCs/>
                <w:color w:val="000000"/>
                <w:sz w:val="17"/>
                <w:szCs w:val="17"/>
              </w:rPr>
              <w:t>MSWY</w:t>
            </w:r>
            <w:r w:rsidR="005F1FAE" w:rsidRPr="00B83CEB">
              <w:rPr>
                <w:iCs/>
                <w:color w:val="000000"/>
                <w:sz w:val="17"/>
                <w:szCs w:val="17"/>
              </w:rPr>
              <w:t>)</w:t>
            </w:r>
            <w:r w:rsidRPr="00B83CEB">
              <w:rPr>
                <w:iCs/>
                <w:color w:val="000000"/>
                <w:sz w:val="17"/>
                <w:szCs w:val="17"/>
              </w:rPr>
              <w:t xml:space="preserve">; </w:t>
            </w:r>
            <w:r w:rsidR="005F1FAE" w:rsidRPr="00B83CEB">
              <w:rPr>
                <w:iCs/>
                <w:color w:val="000000"/>
                <w:sz w:val="17"/>
                <w:szCs w:val="17"/>
              </w:rPr>
              <w:t xml:space="preserve">women's </w:t>
            </w:r>
            <w:r w:rsidRPr="00B83CEB">
              <w:rPr>
                <w:iCs/>
                <w:color w:val="000000"/>
                <w:sz w:val="17"/>
                <w:szCs w:val="17"/>
              </w:rPr>
              <w:t xml:space="preserve">NGOs, </w:t>
            </w:r>
            <w:r w:rsidR="00902472" w:rsidRPr="00B83CEB">
              <w:rPr>
                <w:iCs/>
                <w:color w:val="000000"/>
                <w:sz w:val="17"/>
                <w:szCs w:val="17"/>
              </w:rPr>
              <w:t xml:space="preserve">parliamentary </w:t>
            </w:r>
            <w:r w:rsidRPr="00B83CEB">
              <w:rPr>
                <w:iCs/>
                <w:color w:val="000000"/>
                <w:sz w:val="17"/>
                <w:szCs w:val="17"/>
              </w:rPr>
              <w:t>commissions, National Council on G</w:t>
            </w:r>
            <w:r w:rsidR="00902472" w:rsidRPr="00B83CEB">
              <w:rPr>
                <w:iCs/>
                <w:color w:val="000000"/>
                <w:sz w:val="17"/>
                <w:szCs w:val="17"/>
              </w:rPr>
              <w:t xml:space="preserve">ender </w:t>
            </w:r>
            <w:r w:rsidRPr="00B83CEB">
              <w:rPr>
                <w:iCs/>
                <w:color w:val="000000"/>
                <w:sz w:val="17"/>
                <w:szCs w:val="17"/>
              </w:rPr>
              <w:t>E</w:t>
            </w:r>
            <w:r w:rsidR="00902472" w:rsidRPr="00B83CEB">
              <w:rPr>
                <w:iCs/>
                <w:color w:val="000000"/>
                <w:sz w:val="17"/>
                <w:szCs w:val="17"/>
              </w:rPr>
              <w:t>quality</w:t>
            </w:r>
            <w:r w:rsidRPr="00B83CEB">
              <w:rPr>
                <w:iCs/>
                <w:color w:val="000000"/>
                <w:sz w:val="17"/>
                <w:szCs w:val="17"/>
              </w:rPr>
              <w:t>; UN</w:t>
            </w:r>
            <w:r w:rsidR="00902472" w:rsidRPr="00B83CEB">
              <w:rPr>
                <w:iCs/>
                <w:color w:val="000000"/>
                <w:sz w:val="17"/>
                <w:szCs w:val="17"/>
              </w:rPr>
              <w:t>-</w:t>
            </w:r>
            <w:r w:rsidRPr="00B83CEB">
              <w:rPr>
                <w:iCs/>
                <w:color w:val="000000"/>
                <w:sz w:val="17"/>
                <w:szCs w:val="17"/>
              </w:rPr>
              <w:t>W</w:t>
            </w:r>
            <w:r w:rsidR="00902472" w:rsidRPr="00B83CEB">
              <w:rPr>
                <w:iCs/>
                <w:color w:val="000000"/>
                <w:sz w:val="17"/>
                <w:szCs w:val="17"/>
              </w:rPr>
              <w:t>omen</w:t>
            </w:r>
            <w:r w:rsidRPr="00B83CEB">
              <w:rPr>
                <w:iCs/>
                <w:color w:val="000000"/>
                <w:sz w:val="17"/>
                <w:szCs w:val="17"/>
              </w:rPr>
              <w:t xml:space="preserve">; </w:t>
            </w:r>
            <w:r w:rsidR="001F56F1" w:rsidRPr="00B83CEB">
              <w:rPr>
                <w:iCs/>
                <w:color w:val="000000"/>
                <w:sz w:val="17"/>
                <w:szCs w:val="17"/>
              </w:rPr>
              <w:t>Government of Sweden</w:t>
            </w:r>
            <w:r w:rsidR="00225E2E" w:rsidRPr="00B83CEB">
              <w:rPr>
                <w:iCs/>
                <w:color w:val="000000"/>
                <w:sz w:val="17"/>
                <w:szCs w:val="17"/>
              </w:rPr>
              <w:t xml:space="preserve"> </w:t>
            </w:r>
          </w:p>
          <w:p w14:paraId="22B81C77" w14:textId="77777777" w:rsidR="000A59A8" w:rsidRPr="00B83CEB" w:rsidRDefault="000A59A8" w:rsidP="00CC3210">
            <w:pPr>
              <w:rPr>
                <w:iCs/>
                <w:color w:val="000000"/>
                <w:sz w:val="17"/>
                <w:szCs w:val="17"/>
                <w:u w:val="single"/>
              </w:rPr>
            </w:pPr>
          </w:p>
          <w:p w14:paraId="0C28BD67" w14:textId="77777777" w:rsidR="000A59A8" w:rsidRPr="00B83CEB" w:rsidRDefault="000A59A8" w:rsidP="00CC3210">
            <w:pPr>
              <w:rPr>
                <w:iCs/>
                <w:color w:val="000000"/>
                <w:sz w:val="17"/>
                <w:szCs w:val="17"/>
                <w:u w:val="single"/>
              </w:rPr>
            </w:pPr>
          </w:p>
          <w:p w14:paraId="11F6C66D" w14:textId="77777777" w:rsidR="000A59A8" w:rsidRPr="00B83CEB" w:rsidRDefault="000A59A8" w:rsidP="00CC3210">
            <w:pPr>
              <w:rPr>
                <w:iCs/>
                <w:color w:val="000000"/>
                <w:sz w:val="17"/>
                <w:szCs w:val="17"/>
                <w:u w:val="single"/>
              </w:rPr>
            </w:pPr>
          </w:p>
          <w:p w14:paraId="2CB91CC4" w14:textId="77777777" w:rsidR="001859E6" w:rsidRPr="00B83CEB" w:rsidRDefault="001859E6" w:rsidP="00CC3210">
            <w:pPr>
              <w:rPr>
                <w:iCs/>
                <w:color w:val="000000"/>
                <w:sz w:val="17"/>
                <w:szCs w:val="17"/>
                <w:u w:val="single"/>
              </w:rPr>
            </w:pPr>
          </w:p>
          <w:p w14:paraId="54914439" w14:textId="77777777" w:rsidR="001859E6" w:rsidRPr="00B83CEB" w:rsidRDefault="001859E6" w:rsidP="00CC3210">
            <w:pPr>
              <w:rPr>
                <w:iCs/>
                <w:color w:val="000000"/>
                <w:sz w:val="17"/>
                <w:szCs w:val="17"/>
                <w:u w:val="single"/>
              </w:rPr>
            </w:pPr>
          </w:p>
          <w:p w14:paraId="63F32150" w14:textId="77777777" w:rsidR="001859E6" w:rsidRPr="00B83CEB" w:rsidRDefault="001859E6" w:rsidP="00CC3210">
            <w:pPr>
              <w:rPr>
                <w:iCs/>
                <w:color w:val="000000"/>
                <w:sz w:val="17"/>
                <w:szCs w:val="17"/>
                <w:u w:val="single"/>
              </w:rPr>
            </w:pPr>
          </w:p>
          <w:p w14:paraId="0151D567" w14:textId="77777777" w:rsidR="001859E6" w:rsidRPr="00B83CEB" w:rsidRDefault="001859E6" w:rsidP="00CC3210">
            <w:pPr>
              <w:rPr>
                <w:iCs/>
                <w:color w:val="000000"/>
                <w:sz w:val="17"/>
                <w:szCs w:val="17"/>
                <w:u w:val="single"/>
              </w:rPr>
            </w:pPr>
          </w:p>
          <w:p w14:paraId="3B749401" w14:textId="77777777" w:rsidR="001859E6" w:rsidRPr="00B83CEB" w:rsidRDefault="001859E6" w:rsidP="00CC3210">
            <w:pPr>
              <w:rPr>
                <w:iCs/>
                <w:color w:val="000000"/>
                <w:sz w:val="17"/>
                <w:szCs w:val="17"/>
                <w:u w:val="single"/>
              </w:rPr>
            </w:pPr>
          </w:p>
          <w:p w14:paraId="025EBE10" w14:textId="77777777" w:rsidR="001859E6" w:rsidRPr="00B83CEB" w:rsidRDefault="001859E6" w:rsidP="00CC3210">
            <w:pPr>
              <w:rPr>
                <w:iCs/>
                <w:color w:val="000000"/>
                <w:sz w:val="17"/>
                <w:szCs w:val="17"/>
                <w:u w:val="single"/>
              </w:rPr>
            </w:pPr>
          </w:p>
          <w:p w14:paraId="520FCFD6" w14:textId="2688585E" w:rsidR="000A59A8" w:rsidRPr="00B83CEB" w:rsidRDefault="000A59A8" w:rsidP="00CC3210">
            <w:pPr>
              <w:rPr>
                <w:iCs/>
                <w:color w:val="000000"/>
                <w:sz w:val="17"/>
                <w:szCs w:val="17"/>
              </w:rPr>
            </w:pPr>
            <w:bookmarkStart w:id="0" w:name="_GoBack"/>
            <w:bookmarkEnd w:id="0"/>
            <w:r w:rsidRPr="00B83CEB">
              <w:rPr>
                <w:iCs/>
                <w:color w:val="000000"/>
                <w:sz w:val="17"/>
                <w:szCs w:val="17"/>
              </w:rPr>
              <w:t xml:space="preserve">1.4 </w:t>
            </w:r>
            <w:r w:rsidR="00BA1B58" w:rsidRPr="00B83CEB">
              <w:rPr>
                <w:iCs/>
                <w:color w:val="000000"/>
                <w:sz w:val="17"/>
                <w:szCs w:val="17"/>
              </w:rPr>
              <w:t>Local Government Units</w:t>
            </w:r>
            <w:r w:rsidRPr="00B83CEB">
              <w:rPr>
                <w:iCs/>
                <w:color w:val="000000"/>
                <w:sz w:val="17"/>
                <w:szCs w:val="17"/>
              </w:rPr>
              <w:t>, CSOs, EU</w:t>
            </w:r>
            <w:r w:rsidR="00035536">
              <w:rPr>
                <w:iCs/>
                <w:color w:val="000000"/>
                <w:sz w:val="17"/>
                <w:szCs w:val="17"/>
              </w:rPr>
              <w:t xml:space="preserve"> </w:t>
            </w:r>
            <w:r w:rsidRPr="00B83CEB">
              <w:rPr>
                <w:iCs/>
                <w:color w:val="000000"/>
                <w:sz w:val="17"/>
                <w:szCs w:val="17"/>
              </w:rPr>
              <w:t xml:space="preserve"> </w:t>
            </w:r>
            <w:r w:rsidR="001859E6" w:rsidRPr="00B83CEB">
              <w:rPr>
                <w:iCs/>
                <w:color w:val="000000"/>
                <w:sz w:val="17"/>
                <w:szCs w:val="17"/>
              </w:rPr>
              <w:t xml:space="preserve"> </w:t>
            </w:r>
          </w:p>
          <w:p w14:paraId="43A53655" w14:textId="77777777" w:rsidR="000A59A8" w:rsidRPr="00B83CEB" w:rsidRDefault="000A59A8" w:rsidP="00CC3210">
            <w:pPr>
              <w:rPr>
                <w:sz w:val="17"/>
                <w:szCs w:val="17"/>
              </w:rPr>
            </w:pPr>
          </w:p>
        </w:tc>
        <w:tc>
          <w:tcPr>
            <w:tcW w:w="0" w:type="auto"/>
            <w:gridSpan w:val="3"/>
            <w:tcBorders>
              <w:top w:val="single" w:sz="6" w:space="0" w:color="000000"/>
              <w:left w:val="single" w:sz="6" w:space="0" w:color="000000"/>
              <w:right w:val="single" w:sz="2" w:space="0" w:color="000000"/>
            </w:tcBorders>
            <w:tcMar>
              <w:top w:w="15" w:type="dxa"/>
              <w:left w:w="105" w:type="dxa"/>
              <w:bottom w:w="105" w:type="dxa"/>
              <w:right w:w="105" w:type="dxa"/>
            </w:tcMar>
            <w:hideMark/>
          </w:tcPr>
          <w:p w14:paraId="6D1B6C71" w14:textId="501C1A3F" w:rsidR="005E54F9" w:rsidRPr="00B83CEB" w:rsidRDefault="005E54F9" w:rsidP="00CC3210">
            <w:pPr>
              <w:rPr>
                <w:b/>
                <w:bCs/>
                <w:color w:val="000000"/>
                <w:sz w:val="17"/>
                <w:szCs w:val="17"/>
              </w:rPr>
            </w:pPr>
            <w:r w:rsidRPr="00B83CEB">
              <w:rPr>
                <w:b/>
                <w:bCs/>
                <w:color w:val="000000"/>
                <w:sz w:val="17"/>
                <w:szCs w:val="17"/>
              </w:rPr>
              <w:lastRenderedPageBreak/>
              <w:t>Regular:</w:t>
            </w:r>
          </w:p>
          <w:p w14:paraId="43DD8AC2" w14:textId="2F3BE19A" w:rsidR="00A62A2A" w:rsidRPr="00B83CEB" w:rsidRDefault="00A62A2A" w:rsidP="00CC3210">
            <w:pPr>
              <w:rPr>
                <w:bCs/>
                <w:color w:val="000000"/>
                <w:sz w:val="17"/>
                <w:szCs w:val="17"/>
              </w:rPr>
            </w:pPr>
            <w:r w:rsidRPr="00B83CEB">
              <w:rPr>
                <w:bCs/>
                <w:color w:val="000000"/>
                <w:sz w:val="17"/>
                <w:szCs w:val="17"/>
              </w:rPr>
              <w:t xml:space="preserve">$     </w:t>
            </w:r>
            <w:r w:rsidR="005E54F9" w:rsidRPr="00B83CEB">
              <w:rPr>
                <w:bCs/>
                <w:color w:val="000000"/>
                <w:sz w:val="17"/>
                <w:szCs w:val="17"/>
              </w:rPr>
              <w:t xml:space="preserve">585,000 </w:t>
            </w:r>
          </w:p>
          <w:p w14:paraId="5B24242A" w14:textId="77777777" w:rsidR="005E54F9" w:rsidRPr="00B83CEB" w:rsidRDefault="005E54F9" w:rsidP="00CC3210">
            <w:pPr>
              <w:rPr>
                <w:bCs/>
                <w:color w:val="000000"/>
                <w:sz w:val="17"/>
                <w:szCs w:val="17"/>
              </w:rPr>
            </w:pPr>
          </w:p>
          <w:p w14:paraId="65378611" w14:textId="77777777" w:rsidR="00A62A2A" w:rsidRPr="00B83CEB" w:rsidRDefault="005E54F9" w:rsidP="00CC3210">
            <w:pPr>
              <w:rPr>
                <w:b/>
                <w:sz w:val="17"/>
                <w:szCs w:val="17"/>
              </w:rPr>
            </w:pPr>
            <w:r w:rsidRPr="00B83CEB">
              <w:rPr>
                <w:b/>
                <w:sz w:val="17"/>
                <w:szCs w:val="17"/>
              </w:rPr>
              <w:t>Other:</w:t>
            </w:r>
          </w:p>
          <w:p w14:paraId="4EF7353A" w14:textId="60DA3BFA" w:rsidR="005E54F9" w:rsidRPr="00B83CEB" w:rsidRDefault="005E54F9" w:rsidP="00CC3210">
            <w:pPr>
              <w:rPr>
                <w:bCs/>
                <w:color w:val="000000"/>
                <w:sz w:val="17"/>
                <w:szCs w:val="17"/>
              </w:rPr>
            </w:pPr>
            <w:r w:rsidRPr="00B83CEB">
              <w:rPr>
                <w:bCs/>
                <w:color w:val="000000"/>
                <w:sz w:val="17"/>
                <w:szCs w:val="17"/>
              </w:rPr>
              <w:t xml:space="preserve">$12,065,000 </w:t>
            </w:r>
          </w:p>
          <w:p w14:paraId="342242CE" w14:textId="6127C2B8" w:rsidR="005E54F9" w:rsidRPr="00B83CEB" w:rsidRDefault="005E54F9" w:rsidP="00CC3210">
            <w:pPr>
              <w:rPr>
                <w:sz w:val="17"/>
                <w:szCs w:val="17"/>
              </w:rPr>
            </w:pPr>
          </w:p>
        </w:tc>
      </w:tr>
      <w:tr w:rsidR="00E64C49" w:rsidRPr="00B83CEB" w14:paraId="2286461F" w14:textId="77777777" w:rsidTr="00D523D0">
        <w:tc>
          <w:tcPr>
            <w:tcW w:w="3177" w:type="dxa"/>
            <w:vMerge/>
            <w:tcBorders>
              <w:top w:val="single" w:sz="6" w:space="0" w:color="000000"/>
              <w:left w:val="single" w:sz="2" w:space="0" w:color="000000"/>
              <w:bottom w:val="single" w:sz="6" w:space="0" w:color="000000"/>
              <w:right w:val="single" w:sz="6" w:space="0" w:color="000000"/>
            </w:tcBorders>
            <w:vAlign w:val="center"/>
            <w:hideMark/>
          </w:tcPr>
          <w:p w14:paraId="6E998CC9" w14:textId="148C4B75" w:rsidR="000A59A8" w:rsidRPr="00B83CEB" w:rsidRDefault="000A59A8" w:rsidP="000A59A8">
            <w:pPr>
              <w:rPr>
                <w:sz w:val="17"/>
                <w:szCs w:val="17"/>
              </w:rPr>
            </w:pPr>
          </w:p>
        </w:tc>
        <w:tc>
          <w:tcPr>
            <w:tcW w:w="1788" w:type="dxa"/>
            <w:gridSpan w:val="2"/>
            <w:vMerge/>
            <w:tcBorders>
              <w:top w:val="single" w:sz="6" w:space="0" w:color="000000"/>
              <w:left w:val="single" w:sz="6" w:space="0" w:color="000000"/>
              <w:bottom w:val="single" w:sz="6" w:space="0" w:color="000000"/>
              <w:right w:val="single" w:sz="6" w:space="0" w:color="000000"/>
            </w:tcBorders>
            <w:vAlign w:val="center"/>
            <w:hideMark/>
          </w:tcPr>
          <w:p w14:paraId="13BAE951" w14:textId="77777777" w:rsidR="000A59A8" w:rsidRPr="00B83CEB" w:rsidRDefault="000A59A8" w:rsidP="000A59A8">
            <w:pPr>
              <w:rPr>
                <w:sz w:val="17"/>
                <w:szCs w:val="17"/>
              </w:rPr>
            </w:pPr>
          </w:p>
        </w:tc>
        <w:tc>
          <w:tcPr>
            <w:tcW w:w="5068" w:type="dxa"/>
            <w:gridSpan w:val="4"/>
            <w:vMerge/>
            <w:tcBorders>
              <w:top w:val="single" w:sz="6" w:space="0" w:color="000000"/>
              <w:left w:val="single" w:sz="6" w:space="0" w:color="000000"/>
              <w:bottom w:val="single" w:sz="6" w:space="0" w:color="000000"/>
              <w:right w:val="single" w:sz="6" w:space="0" w:color="000000"/>
            </w:tcBorders>
            <w:vAlign w:val="center"/>
            <w:hideMark/>
          </w:tcPr>
          <w:p w14:paraId="04958A4B" w14:textId="77777777" w:rsidR="000A59A8" w:rsidRPr="00B83CEB" w:rsidRDefault="000A59A8" w:rsidP="000A59A8">
            <w:pPr>
              <w:rPr>
                <w:sz w:val="17"/>
                <w:szCs w:val="17"/>
              </w:rPr>
            </w:pPr>
          </w:p>
        </w:tc>
        <w:tc>
          <w:tcPr>
            <w:tcW w:w="2313" w:type="dxa"/>
            <w:vMerge/>
            <w:tcBorders>
              <w:top w:val="single" w:sz="6" w:space="0" w:color="000000"/>
              <w:left w:val="single" w:sz="6" w:space="0" w:color="000000"/>
              <w:bottom w:val="single" w:sz="6" w:space="0" w:color="000000"/>
              <w:right w:val="single" w:sz="6" w:space="0" w:color="000000"/>
            </w:tcBorders>
            <w:vAlign w:val="center"/>
            <w:hideMark/>
          </w:tcPr>
          <w:p w14:paraId="77E705C2" w14:textId="77777777" w:rsidR="000A59A8" w:rsidRPr="00B83CEB" w:rsidRDefault="000A59A8" w:rsidP="000A59A8">
            <w:pPr>
              <w:rPr>
                <w:sz w:val="17"/>
                <w:szCs w:val="17"/>
              </w:rPr>
            </w:pPr>
          </w:p>
        </w:tc>
        <w:tc>
          <w:tcPr>
            <w:tcW w:w="0" w:type="auto"/>
            <w:gridSpan w:val="3"/>
            <w:tcBorders>
              <w:left w:val="single" w:sz="2" w:space="0" w:color="000000"/>
              <w:bottom w:val="single" w:sz="6" w:space="0" w:color="000000"/>
              <w:right w:val="single" w:sz="2" w:space="0" w:color="000000"/>
            </w:tcBorders>
            <w:tcMar>
              <w:top w:w="15" w:type="dxa"/>
              <w:left w:w="105" w:type="dxa"/>
              <w:bottom w:w="105" w:type="dxa"/>
              <w:right w:w="105" w:type="dxa"/>
            </w:tcMar>
            <w:hideMark/>
          </w:tcPr>
          <w:p w14:paraId="518CA2C5" w14:textId="1B4D5056" w:rsidR="00B83CEB" w:rsidRPr="00B83CEB" w:rsidRDefault="00B83CEB" w:rsidP="000A59A8">
            <w:pPr>
              <w:rPr>
                <w:b/>
                <w:bCs/>
                <w:color w:val="000000"/>
                <w:sz w:val="17"/>
                <w:szCs w:val="17"/>
              </w:rPr>
            </w:pPr>
            <w:r w:rsidRPr="00B83CEB">
              <w:rPr>
                <w:b/>
                <w:bCs/>
                <w:color w:val="000000"/>
                <w:sz w:val="17"/>
                <w:szCs w:val="17"/>
              </w:rPr>
              <w:t>Total:</w:t>
            </w:r>
          </w:p>
          <w:p w14:paraId="74D4CB40" w14:textId="5C00B1B0" w:rsidR="000A59A8" w:rsidRPr="00B83CEB" w:rsidRDefault="005E54F9" w:rsidP="000A59A8">
            <w:pPr>
              <w:rPr>
                <w:bCs/>
                <w:color w:val="000000"/>
                <w:sz w:val="17"/>
                <w:szCs w:val="17"/>
              </w:rPr>
            </w:pPr>
            <w:r w:rsidRPr="00B83CEB">
              <w:rPr>
                <w:bCs/>
                <w:color w:val="000000"/>
                <w:sz w:val="17"/>
                <w:szCs w:val="17"/>
              </w:rPr>
              <w:t>$12,650,000</w:t>
            </w:r>
          </w:p>
        </w:tc>
      </w:tr>
      <w:tr w:rsidR="000A59A8" w:rsidRPr="00B83CEB" w14:paraId="7BBAC5A8" w14:textId="77777777" w:rsidTr="006819F7">
        <w:tc>
          <w:tcPr>
            <w:tcW w:w="0" w:type="auto"/>
            <w:gridSpan w:val="11"/>
            <w:tcBorders>
              <w:top w:val="single" w:sz="6" w:space="0" w:color="000000"/>
              <w:left w:val="single" w:sz="2" w:space="0" w:color="000000"/>
              <w:bottom w:val="single" w:sz="6" w:space="0" w:color="000000"/>
              <w:right w:val="single" w:sz="2" w:space="0" w:color="000000"/>
            </w:tcBorders>
            <w:shd w:val="clear" w:color="auto" w:fill="auto"/>
            <w:tcMar>
              <w:top w:w="105" w:type="dxa"/>
              <w:left w:w="105" w:type="dxa"/>
              <w:bottom w:w="105" w:type="dxa"/>
              <w:right w:w="105" w:type="dxa"/>
            </w:tcMar>
            <w:hideMark/>
          </w:tcPr>
          <w:p w14:paraId="143CCE15" w14:textId="57B2D45B" w:rsidR="000A59A8" w:rsidRPr="00B83CEB" w:rsidRDefault="000A59A8" w:rsidP="003A41D8">
            <w:pPr>
              <w:rPr>
                <w:b/>
                <w:bCs/>
                <w:color w:val="000000"/>
                <w:sz w:val="17"/>
                <w:szCs w:val="17"/>
              </w:rPr>
            </w:pPr>
            <w:r w:rsidRPr="00B83CEB">
              <w:rPr>
                <w:b/>
                <w:bCs/>
                <w:color w:val="000000"/>
                <w:sz w:val="17"/>
                <w:szCs w:val="17"/>
              </w:rPr>
              <w:lastRenderedPageBreak/>
              <w:t>N</w:t>
            </w:r>
            <w:r w:rsidR="005F1FAE" w:rsidRPr="00B83CEB">
              <w:rPr>
                <w:b/>
                <w:bCs/>
                <w:color w:val="000000"/>
                <w:sz w:val="17"/>
                <w:szCs w:val="17"/>
              </w:rPr>
              <w:t>ational priority</w:t>
            </w:r>
            <w:r w:rsidRPr="00B83CEB">
              <w:rPr>
                <w:b/>
                <w:bCs/>
                <w:color w:val="000000"/>
                <w:sz w:val="17"/>
                <w:szCs w:val="17"/>
              </w:rPr>
              <w:t xml:space="preserve">: </w:t>
            </w:r>
            <w:r w:rsidR="003A41D8" w:rsidRPr="003A41D8">
              <w:rPr>
                <w:bCs/>
                <w:color w:val="000000"/>
                <w:sz w:val="17"/>
                <w:szCs w:val="17"/>
              </w:rPr>
              <w:t>I</w:t>
            </w:r>
            <w:r w:rsidR="005F1FAE" w:rsidRPr="003A41D8">
              <w:rPr>
                <w:bCs/>
                <w:color w:val="000000"/>
                <w:sz w:val="17"/>
                <w:szCs w:val="17"/>
              </w:rPr>
              <w:t>n</w:t>
            </w:r>
            <w:r w:rsidR="005F1FAE" w:rsidRPr="00B83CEB">
              <w:rPr>
                <w:bCs/>
                <w:color w:val="000000"/>
                <w:sz w:val="17"/>
                <w:szCs w:val="17"/>
              </w:rPr>
              <w:t xml:space="preserve">vesting </w:t>
            </w:r>
            <w:r w:rsidRPr="00B83CEB">
              <w:rPr>
                <w:bCs/>
                <w:color w:val="000000"/>
                <w:sz w:val="17"/>
                <w:szCs w:val="17"/>
              </w:rPr>
              <w:t xml:space="preserve">in </w:t>
            </w:r>
            <w:r w:rsidR="005F1FAE" w:rsidRPr="00B83CEB">
              <w:rPr>
                <w:bCs/>
                <w:color w:val="000000"/>
                <w:sz w:val="17"/>
                <w:szCs w:val="17"/>
              </w:rPr>
              <w:t xml:space="preserve">people </w:t>
            </w:r>
            <w:r w:rsidRPr="00B83CEB">
              <w:rPr>
                <w:bCs/>
                <w:color w:val="000000"/>
                <w:sz w:val="17"/>
                <w:szCs w:val="17"/>
              </w:rPr>
              <w:t xml:space="preserve">and </w:t>
            </w:r>
            <w:r w:rsidR="005F1FAE" w:rsidRPr="00B83CEB">
              <w:rPr>
                <w:bCs/>
                <w:color w:val="000000"/>
                <w:sz w:val="17"/>
                <w:szCs w:val="17"/>
              </w:rPr>
              <w:t>social cohesion</w:t>
            </w:r>
            <w:r w:rsidRPr="00B83CEB">
              <w:rPr>
                <w:bCs/>
                <w:color w:val="000000"/>
                <w:sz w:val="17"/>
                <w:szCs w:val="17"/>
              </w:rPr>
              <w:t xml:space="preserve">; </w:t>
            </w:r>
            <w:r w:rsidR="005F1FAE" w:rsidRPr="00B83CEB">
              <w:rPr>
                <w:bCs/>
                <w:color w:val="000000"/>
                <w:sz w:val="17"/>
                <w:szCs w:val="17"/>
              </w:rPr>
              <w:t>good governance</w:t>
            </w:r>
            <w:r w:rsidRPr="00B83CEB">
              <w:rPr>
                <w:bCs/>
                <w:color w:val="000000"/>
                <w:sz w:val="17"/>
                <w:szCs w:val="17"/>
              </w:rPr>
              <w:t xml:space="preserve">, </w:t>
            </w:r>
            <w:r w:rsidR="005F1FAE" w:rsidRPr="00B83CEB">
              <w:rPr>
                <w:bCs/>
                <w:color w:val="000000"/>
                <w:sz w:val="17"/>
                <w:szCs w:val="17"/>
              </w:rPr>
              <w:t xml:space="preserve">democracy </w:t>
            </w:r>
            <w:r w:rsidRPr="00B83CEB">
              <w:rPr>
                <w:bCs/>
                <w:color w:val="000000"/>
                <w:sz w:val="17"/>
                <w:szCs w:val="17"/>
              </w:rPr>
              <w:t xml:space="preserve">and </w:t>
            </w:r>
            <w:r w:rsidR="005F1FAE" w:rsidRPr="00B83CEB">
              <w:rPr>
                <w:bCs/>
                <w:color w:val="000000"/>
                <w:sz w:val="17"/>
                <w:szCs w:val="17"/>
              </w:rPr>
              <w:t xml:space="preserve">rule </w:t>
            </w:r>
            <w:r w:rsidRPr="00B83CEB">
              <w:rPr>
                <w:bCs/>
                <w:color w:val="000000"/>
                <w:sz w:val="17"/>
                <w:szCs w:val="17"/>
              </w:rPr>
              <w:t xml:space="preserve">of </w:t>
            </w:r>
            <w:r w:rsidR="005F1FAE" w:rsidRPr="00B83CEB">
              <w:rPr>
                <w:bCs/>
                <w:color w:val="000000"/>
                <w:sz w:val="17"/>
                <w:szCs w:val="17"/>
              </w:rPr>
              <w:t>law</w:t>
            </w:r>
            <w:r w:rsidR="00035536">
              <w:rPr>
                <w:b/>
                <w:bCs/>
                <w:color w:val="000000"/>
                <w:sz w:val="17"/>
                <w:szCs w:val="17"/>
              </w:rPr>
              <w:t xml:space="preserve">; </w:t>
            </w:r>
            <w:r w:rsidR="005F1FAE" w:rsidRPr="00035536">
              <w:rPr>
                <w:bCs/>
                <w:color w:val="000000"/>
                <w:sz w:val="17"/>
                <w:szCs w:val="17"/>
              </w:rPr>
              <w:t xml:space="preserve">Sustainable Development Goals </w:t>
            </w:r>
            <w:r w:rsidRPr="00035536">
              <w:rPr>
                <w:bCs/>
                <w:color w:val="000000"/>
                <w:sz w:val="17"/>
                <w:szCs w:val="17"/>
              </w:rPr>
              <w:t>1, 5, 10, 16</w:t>
            </w:r>
            <w:r w:rsidR="003A41D8">
              <w:rPr>
                <w:b/>
                <w:bCs/>
                <w:sz w:val="17"/>
                <w:szCs w:val="17"/>
              </w:rPr>
              <w:t xml:space="preserve"> </w:t>
            </w:r>
            <w:r w:rsidRPr="00B83CEB">
              <w:rPr>
                <w:b/>
                <w:bCs/>
                <w:sz w:val="17"/>
                <w:szCs w:val="17"/>
              </w:rPr>
              <w:t xml:space="preserve"> </w:t>
            </w:r>
          </w:p>
        </w:tc>
      </w:tr>
      <w:tr w:rsidR="003A41D8" w:rsidRPr="00B83CEB" w14:paraId="6838463B" w14:textId="77777777" w:rsidTr="006819F7">
        <w:tc>
          <w:tcPr>
            <w:tcW w:w="0" w:type="auto"/>
            <w:gridSpan w:val="11"/>
            <w:tcBorders>
              <w:top w:val="single" w:sz="6" w:space="0" w:color="000000"/>
              <w:left w:val="single" w:sz="2" w:space="0" w:color="000000"/>
              <w:bottom w:val="single" w:sz="6" w:space="0" w:color="000000"/>
              <w:right w:val="single" w:sz="2" w:space="0" w:color="000000"/>
            </w:tcBorders>
            <w:shd w:val="clear" w:color="auto" w:fill="auto"/>
            <w:tcMar>
              <w:top w:w="105" w:type="dxa"/>
              <w:left w:w="105" w:type="dxa"/>
              <w:bottom w:w="105" w:type="dxa"/>
              <w:right w:w="105" w:type="dxa"/>
            </w:tcMar>
          </w:tcPr>
          <w:p w14:paraId="55924A46" w14:textId="0EA862C1" w:rsidR="003A41D8" w:rsidRPr="00B83CEB" w:rsidRDefault="003A41D8" w:rsidP="00514D8B">
            <w:pPr>
              <w:rPr>
                <w:b/>
                <w:bCs/>
                <w:color w:val="000000"/>
                <w:sz w:val="17"/>
                <w:szCs w:val="17"/>
              </w:rPr>
            </w:pPr>
            <w:r w:rsidRPr="00B83CEB">
              <w:rPr>
                <w:rFonts w:eastAsia="Calibri"/>
                <w:b/>
                <w:color w:val="222A35"/>
                <w:sz w:val="17"/>
                <w:szCs w:val="17"/>
              </w:rPr>
              <w:t xml:space="preserve">UNDAF outcome 2: </w:t>
            </w:r>
            <w:r w:rsidRPr="00B83CEB">
              <w:rPr>
                <w:rFonts w:eastAsia="Calibri"/>
                <w:sz w:val="17"/>
                <w:szCs w:val="17"/>
              </w:rPr>
              <w:t>All women, men, girls and boys, especially those from marginalized and vulnerable groups, are exercising their entitlements to equitable quality services, in line with human rights; and more effective and efficient investments in human and financial resources are being made at central and local levels to ensure social inclusion and cohesion.</w:t>
            </w:r>
          </w:p>
        </w:tc>
      </w:tr>
      <w:tr w:rsidR="00D523D0" w:rsidRPr="00B83312" w14:paraId="7AC7E325" w14:textId="77777777" w:rsidTr="006819F7">
        <w:tc>
          <w:tcPr>
            <w:tcW w:w="0" w:type="auto"/>
            <w:gridSpan w:val="11"/>
            <w:tcBorders>
              <w:top w:val="single" w:sz="6" w:space="0" w:color="000000"/>
              <w:left w:val="single" w:sz="2" w:space="0" w:color="000000"/>
              <w:bottom w:val="single" w:sz="6" w:space="0" w:color="000000"/>
              <w:right w:val="single" w:sz="2" w:space="0" w:color="000000"/>
            </w:tcBorders>
            <w:shd w:val="clear" w:color="auto" w:fill="auto"/>
            <w:tcMar>
              <w:top w:w="105" w:type="dxa"/>
              <w:left w:w="105" w:type="dxa"/>
              <w:bottom w:w="105" w:type="dxa"/>
              <w:right w:w="105" w:type="dxa"/>
            </w:tcMar>
          </w:tcPr>
          <w:p w14:paraId="3FECCED7" w14:textId="461D64E8" w:rsidR="003A41D8" w:rsidRPr="00B83312" w:rsidRDefault="00851AE4" w:rsidP="00851AE4">
            <w:pPr>
              <w:rPr>
                <w:b/>
                <w:bCs/>
                <w:sz w:val="17"/>
                <w:szCs w:val="17"/>
              </w:rPr>
            </w:pPr>
            <w:r w:rsidRPr="00B83312">
              <w:rPr>
                <w:b/>
                <w:bCs/>
                <w:sz w:val="16"/>
                <w:szCs w:val="16"/>
                <w:lang w:val="en-GB"/>
              </w:rPr>
              <w:t xml:space="preserve">Related  </w:t>
            </w:r>
            <w:r w:rsidR="003A41D8" w:rsidRPr="00B83312">
              <w:rPr>
                <w:b/>
                <w:bCs/>
                <w:sz w:val="16"/>
                <w:szCs w:val="16"/>
                <w:lang w:val="en-GB"/>
              </w:rPr>
              <w:t xml:space="preserve">Strategic Plan </w:t>
            </w:r>
            <w:r w:rsidRPr="00B83312">
              <w:rPr>
                <w:b/>
                <w:bCs/>
                <w:sz w:val="16"/>
                <w:szCs w:val="16"/>
                <w:lang w:val="en-GB"/>
              </w:rPr>
              <w:t xml:space="preserve"> (</w:t>
            </w:r>
            <w:r w:rsidR="003A41D8" w:rsidRPr="00B83312">
              <w:rPr>
                <w:b/>
                <w:bCs/>
                <w:sz w:val="16"/>
                <w:szCs w:val="16"/>
                <w:lang w:val="en-GB"/>
              </w:rPr>
              <w:t>2014-2017) Outcome :</w:t>
            </w:r>
            <w:r w:rsidR="00035536" w:rsidRPr="00B83312">
              <w:rPr>
                <w:b/>
                <w:bCs/>
                <w:sz w:val="16"/>
                <w:szCs w:val="16"/>
                <w:lang w:val="en-GB"/>
              </w:rPr>
              <w:t xml:space="preserve"> 1. </w:t>
            </w:r>
            <w:r w:rsidR="003A41D8" w:rsidRPr="00B83312">
              <w:rPr>
                <w:b/>
                <w:bCs/>
                <w:sz w:val="16"/>
                <w:szCs w:val="16"/>
                <w:lang w:val="en-GB"/>
              </w:rPr>
              <w:t xml:space="preserve"> Growth and development are inclusive and sustainable incorporating productive capacities that create employment and livelihoods for the poor and excluded</w:t>
            </w:r>
          </w:p>
        </w:tc>
      </w:tr>
      <w:tr w:rsidR="003A41D8" w:rsidRPr="00B83CEB" w14:paraId="394CB538" w14:textId="77777777" w:rsidTr="00D523D0">
        <w:tc>
          <w:tcPr>
            <w:tcW w:w="3177" w:type="dxa"/>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45304A8F" w14:textId="03EA72E8" w:rsidR="003A41D8" w:rsidRPr="00B83CEB" w:rsidRDefault="003A41D8" w:rsidP="000A59A8">
            <w:pPr>
              <w:rPr>
                <w:bCs/>
                <w:color w:val="000000"/>
                <w:sz w:val="17"/>
                <w:szCs w:val="17"/>
              </w:rPr>
            </w:pPr>
            <w:r w:rsidRPr="00B83CEB">
              <w:rPr>
                <w:bCs/>
                <w:color w:val="000000"/>
                <w:sz w:val="17"/>
                <w:szCs w:val="17"/>
              </w:rPr>
              <w:t>2.1 Number of sector-specific policies with  explicit social inclusion  targets</w:t>
            </w:r>
          </w:p>
          <w:p w14:paraId="68A91C39" w14:textId="77777777" w:rsidR="003A41D8" w:rsidRPr="00B83CEB" w:rsidRDefault="003A41D8" w:rsidP="000A59A8">
            <w:pPr>
              <w:rPr>
                <w:sz w:val="17"/>
                <w:szCs w:val="17"/>
                <w:u w:val="single"/>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3AACB377" w14:textId="7A2076C9" w:rsidR="003A41D8" w:rsidRPr="00B83CEB" w:rsidRDefault="003A41D8" w:rsidP="000A59A8">
            <w:pPr>
              <w:rPr>
                <w:sz w:val="17"/>
                <w:szCs w:val="17"/>
              </w:rPr>
            </w:pPr>
            <w:r w:rsidRPr="00B83CEB">
              <w:rPr>
                <w:color w:val="000000"/>
                <w:sz w:val="17"/>
                <w:szCs w:val="17"/>
              </w:rPr>
              <w:t>4 (2015)</w:t>
            </w:r>
            <w:r w:rsidRPr="00B83CEB">
              <w:rPr>
                <w:sz w:val="17"/>
                <w:szCs w:val="17"/>
              </w:rPr>
              <w:t xml:space="preserve">            </w:t>
            </w:r>
            <w:r w:rsidRPr="00B83CEB">
              <w:rPr>
                <w:color w:val="000000"/>
                <w:sz w:val="17"/>
                <w:szCs w:val="17"/>
              </w:rPr>
              <w:t>24</w:t>
            </w:r>
          </w:p>
          <w:p w14:paraId="0E6DA045" w14:textId="77777777" w:rsidR="003A41D8" w:rsidRPr="00B83CEB" w:rsidRDefault="003A41D8" w:rsidP="000A59A8">
            <w:pPr>
              <w:rPr>
                <w:sz w:val="17"/>
                <w:szCs w:val="17"/>
              </w:rPr>
            </w:pPr>
          </w:p>
          <w:p w14:paraId="1EAA27D9" w14:textId="3F6F1437" w:rsidR="003A41D8" w:rsidRPr="00B83CEB" w:rsidRDefault="003A41D8" w:rsidP="000A59A8">
            <w:pPr>
              <w:rPr>
                <w:sz w:val="17"/>
                <w:szCs w:val="17"/>
              </w:rPr>
            </w:pPr>
            <w:r w:rsidRPr="00B83CEB">
              <w:rPr>
                <w:bCs/>
                <w:color w:val="000000"/>
                <w:sz w:val="17"/>
                <w:szCs w:val="17"/>
              </w:rPr>
              <w:t>2.2 Level of implementation of National Action Plan on Roma and Egyptian Integration</w:t>
            </w:r>
          </w:p>
          <w:p w14:paraId="00C76CD4" w14:textId="58E34FDF"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rated 1 of an estimated rating of 1 to 5</w:t>
            </w:r>
          </w:p>
          <w:p w14:paraId="7DA6AEF1" w14:textId="66FCCB10" w:rsidR="003A41D8" w:rsidRPr="00B83CEB" w:rsidRDefault="003A41D8" w:rsidP="000A59A8">
            <w:pPr>
              <w:rPr>
                <w:sz w:val="17"/>
                <w:szCs w:val="17"/>
              </w:rPr>
            </w:pPr>
            <w:r w:rsidRPr="00B83CEB">
              <w:rPr>
                <w:color w:val="000000"/>
                <w:sz w:val="17"/>
                <w:szCs w:val="17"/>
                <w:u w:val="single"/>
              </w:rPr>
              <w:t>Target</w:t>
            </w:r>
            <w:r w:rsidRPr="00B83CEB">
              <w:rPr>
                <w:color w:val="000000"/>
                <w:sz w:val="17"/>
                <w:szCs w:val="17"/>
              </w:rPr>
              <w:t xml:space="preserve">:  Rated at least 3 </w:t>
            </w:r>
          </w:p>
          <w:p w14:paraId="7E926103" w14:textId="1AB69563" w:rsidR="003A41D8" w:rsidRPr="00B83CEB" w:rsidRDefault="003A41D8" w:rsidP="000A59A8">
            <w:pPr>
              <w:rPr>
                <w:bCs/>
                <w:color w:val="000000"/>
                <w:sz w:val="17"/>
                <w:szCs w:val="17"/>
              </w:rPr>
            </w:pPr>
            <w:r w:rsidRPr="00B83CEB">
              <w:rPr>
                <w:sz w:val="17"/>
                <w:szCs w:val="17"/>
              </w:rPr>
              <w:br/>
            </w:r>
            <w:r w:rsidRPr="00B83CEB">
              <w:rPr>
                <w:bCs/>
                <w:color w:val="000000"/>
                <w:sz w:val="17"/>
                <w:szCs w:val="17"/>
              </w:rPr>
              <w:t xml:space="preserve">2.3 % women (ages 18-55 years) who experience domestic violence </w:t>
            </w:r>
          </w:p>
          <w:p w14:paraId="50A0B96F" w14:textId="77777777"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40F6AF37" w14:textId="6AA241FC" w:rsidR="003A41D8" w:rsidRPr="00B83CEB" w:rsidRDefault="003A41D8" w:rsidP="000A59A8">
            <w:pPr>
              <w:rPr>
                <w:sz w:val="17"/>
                <w:szCs w:val="17"/>
              </w:rPr>
            </w:pPr>
            <w:r w:rsidRPr="00B83CEB">
              <w:rPr>
                <w:bCs/>
                <w:color w:val="000000"/>
                <w:sz w:val="17"/>
                <w:szCs w:val="17"/>
              </w:rPr>
              <w:t>23.7% (2013)</w:t>
            </w:r>
            <w:r w:rsidRPr="00B83CEB">
              <w:rPr>
                <w:sz w:val="17"/>
                <w:szCs w:val="17"/>
              </w:rPr>
              <w:t xml:space="preserve">           </w:t>
            </w:r>
            <w:r w:rsidRPr="00B83CEB">
              <w:rPr>
                <w:bCs/>
                <w:color w:val="000000"/>
                <w:sz w:val="17"/>
                <w:szCs w:val="17"/>
              </w:rPr>
              <w:t>21% (2018)</w:t>
            </w:r>
          </w:p>
          <w:p w14:paraId="52ACAD4B" w14:textId="77777777" w:rsidR="003A41D8" w:rsidRPr="00B83CEB" w:rsidRDefault="003A41D8" w:rsidP="000A59A8">
            <w:pPr>
              <w:rPr>
                <w:bCs/>
                <w:color w:val="000000"/>
                <w:sz w:val="17"/>
                <w:szCs w:val="17"/>
              </w:rPr>
            </w:pPr>
          </w:p>
          <w:p w14:paraId="4580E7B1" w14:textId="77777777" w:rsidR="003A41D8" w:rsidRPr="00B83CEB" w:rsidRDefault="003A41D8" w:rsidP="000A59A8">
            <w:pPr>
              <w:rPr>
                <w:sz w:val="17"/>
                <w:szCs w:val="17"/>
              </w:rPr>
            </w:pPr>
          </w:p>
        </w:tc>
        <w:tc>
          <w:tcPr>
            <w:tcW w:w="1788" w:type="dxa"/>
            <w:gridSpan w:val="2"/>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7D455C25" w14:textId="688B1CB4" w:rsidR="003A41D8" w:rsidRPr="00B83CEB" w:rsidRDefault="003A41D8" w:rsidP="000A59A8">
            <w:pPr>
              <w:rPr>
                <w:sz w:val="17"/>
                <w:szCs w:val="17"/>
              </w:rPr>
            </w:pPr>
            <w:r w:rsidRPr="00B83CEB">
              <w:rPr>
                <w:sz w:val="17"/>
                <w:szCs w:val="17"/>
              </w:rPr>
              <w:lastRenderedPageBreak/>
              <w:t>MSWY Annual report on social inclusion</w:t>
            </w:r>
          </w:p>
          <w:p w14:paraId="68ECF864" w14:textId="77777777" w:rsidR="003A41D8" w:rsidRPr="00B83CEB" w:rsidRDefault="003A41D8" w:rsidP="000A59A8">
            <w:pPr>
              <w:spacing w:after="240"/>
              <w:rPr>
                <w:sz w:val="17"/>
                <w:szCs w:val="17"/>
              </w:rPr>
            </w:pPr>
            <w:r w:rsidRPr="00B83CEB">
              <w:rPr>
                <w:sz w:val="17"/>
                <w:szCs w:val="17"/>
              </w:rPr>
              <w:br/>
            </w:r>
            <w:r w:rsidRPr="00B83CEB">
              <w:rPr>
                <w:sz w:val="17"/>
                <w:szCs w:val="17"/>
              </w:rPr>
              <w:br/>
            </w:r>
            <w:r w:rsidRPr="00B83CEB">
              <w:rPr>
                <w:sz w:val="17"/>
                <w:szCs w:val="17"/>
              </w:rPr>
              <w:br/>
            </w:r>
            <w:r w:rsidRPr="00B83CEB">
              <w:rPr>
                <w:sz w:val="17"/>
                <w:szCs w:val="17"/>
              </w:rPr>
              <w:br/>
            </w:r>
          </w:p>
          <w:p w14:paraId="66020565" w14:textId="77777777" w:rsidR="003A41D8" w:rsidRPr="00B83CEB" w:rsidRDefault="003A41D8" w:rsidP="000A59A8">
            <w:pPr>
              <w:spacing w:after="240"/>
              <w:rPr>
                <w:sz w:val="17"/>
                <w:szCs w:val="17"/>
              </w:rPr>
            </w:pPr>
          </w:p>
          <w:p w14:paraId="7695D133" w14:textId="77777777" w:rsidR="003A41D8" w:rsidRPr="00B83CEB" w:rsidRDefault="003A41D8" w:rsidP="000A59A8">
            <w:pPr>
              <w:spacing w:after="240"/>
              <w:rPr>
                <w:sz w:val="17"/>
                <w:szCs w:val="17"/>
              </w:rPr>
            </w:pPr>
          </w:p>
          <w:p w14:paraId="6C8785BD" w14:textId="77777777" w:rsidR="003A41D8" w:rsidRPr="00B83CEB" w:rsidRDefault="003A41D8" w:rsidP="000A59A8">
            <w:pPr>
              <w:rPr>
                <w:sz w:val="17"/>
                <w:szCs w:val="17"/>
              </w:rPr>
            </w:pPr>
          </w:p>
          <w:p w14:paraId="26229960" w14:textId="77777777" w:rsidR="003A41D8" w:rsidRPr="00B83CEB" w:rsidRDefault="003A41D8" w:rsidP="000A59A8">
            <w:pPr>
              <w:jc w:val="center"/>
              <w:rPr>
                <w:sz w:val="17"/>
                <w:szCs w:val="17"/>
              </w:rPr>
            </w:pPr>
            <w:r w:rsidRPr="00B83CEB">
              <w:rPr>
                <w:b/>
                <w:bCs/>
                <w:color w:val="000000"/>
                <w:sz w:val="17"/>
                <w:szCs w:val="17"/>
              </w:rPr>
              <w:t>   </w:t>
            </w:r>
          </w:p>
          <w:p w14:paraId="1862B924" w14:textId="77777777" w:rsidR="003A41D8" w:rsidRPr="00B83CEB" w:rsidRDefault="003A41D8" w:rsidP="000A59A8">
            <w:pPr>
              <w:spacing w:after="240"/>
              <w:rPr>
                <w:sz w:val="17"/>
                <w:szCs w:val="17"/>
              </w:rPr>
            </w:pPr>
            <w:r w:rsidRPr="00B83CEB">
              <w:rPr>
                <w:sz w:val="17"/>
                <w:szCs w:val="17"/>
              </w:rPr>
              <w:lastRenderedPageBreak/>
              <w:t>MSWY/Official Gazette</w:t>
            </w:r>
            <w:r w:rsidRPr="00B83CEB">
              <w:rPr>
                <w:sz w:val="17"/>
                <w:szCs w:val="17"/>
              </w:rPr>
              <w:br/>
            </w:r>
          </w:p>
          <w:p w14:paraId="1E655593" w14:textId="30BC9C9B" w:rsidR="003A41D8" w:rsidRPr="00B83CEB" w:rsidRDefault="003A41D8" w:rsidP="000A59A8">
            <w:pPr>
              <w:rPr>
                <w:sz w:val="17"/>
                <w:szCs w:val="17"/>
              </w:rPr>
            </w:pPr>
            <w:r w:rsidRPr="00B83CEB">
              <w:rPr>
                <w:sz w:val="17"/>
                <w:szCs w:val="17"/>
              </w:rPr>
              <w:t>Agency for Civil Society Support</w:t>
            </w:r>
          </w:p>
          <w:p w14:paraId="380089AB" w14:textId="77777777" w:rsidR="003A41D8" w:rsidRPr="00B83CEB" w:rsidRDefault="003A41D8" w:rsidP="00AF0D6B">
            <w:pPr>
              <w:rPr>
                <w:sz w:val="17"/>
                <w:szCs w:val="17"/>
              </w:rPr>
            </w:pPr>
          </w:p>
        </w:tc>
        <w:tc>
          <w:tcPr>
            <w:tcW w:w="5068"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AE3513" w14:textId="5598FDC2" w:rsidR="003A41D8" w:rsidRPr="00B83CEB" w:rsidRDefault="003A41D8" w:rsidP="000A59A8">
            <w:pPr>
              <w:rPr>
                <w:b/>
                <w:bCs/>
                <w:color w:val="000000"/>
                <w:sz w:val="17"/>
                <w:szCs w:val="17"/>
              </w:rPr>
            </w:pPr>
            <w:r w:rsidRPr="00B83CEB">
              <w:rPr>
                <w:b/>
                <w:bCs/>
                <w:color w:val="000000"/>
                <w:sz w:val="17"/>
                <w:szCs w:val="17"/>
                <w:u w:val="single"/>
              </w:rPr>
              <w:lastRenderedPageBreak/>
              <w:t>Output 2.1</w:t>
            </w:r>
            <w:r w:rsidRPr="00B83CEB">
              <w:rPr>
                <w:b/>
                <w:bCs/>
                <w:color w:val="000000"/>
                <w:sz w:val="17"/>
                <w:szCs w:val="17"/>
              </w:rPr>
              <w:t xml:space="preserve"> Social inclusion  measures at national/local levels are adopted with effective clear targets that reflect equity</w:t>
            </w:r>
          </w:p>
          <w:p w14:paraId="36DF1A36" w14:textId="77777777" w:rsidR="003A41D8" w:rsidRPr="00B83CEB" w:rsidRDefault="003A41D8" w:rsidP="000A59A8">
            <w:pPr>
              <w:rPr>
                <w:color w:val="000000"/>
                <w:sz w:val="17"/>
                <w:szCs w:val="17"/>
                <w:u w:val="single"/>
              </w:rPr>
            </w:pPr>
          </w:p>
          <w:p w14:paraId="6DCA5596" w14:textId="6FAB9FE4" w:rsidR="003A41D8" w:rsidRPr="00B83CEB" w:rsidRDefault="003A41D8" w:rsidP="000A59A8">
            <w:pPr>
              <w:rPr>
                <w:color w:val="000000"/>
                <w:sz w:val="17"/>
                <w:szCs w:val="17"/>
              </w:rPr>
            </w:pPr>
            <w:r w:rsidRPr="00B83CEB">
              <w:rPr>
                <w:color w:val="000000"/>
                <w:sz w:val="17"/>
                <w:szCs w:val="17"/>
                <w:u w:val="single"/>
              </w:rPr>
              <w:t>Indicator 2.1.1</w:t>
            </w:r>
            <w:r w:rsidRPr="00B83CEB">
              <w:rPr>
                <w:color w:val="000000"/>
                <w:sz w:val="17"/>
                <w:szCs w:val="17"/>
              </w:rPr>
              <w:t xml:space="preserve"> </w:t>
            </w:r>
          </w:p>
          <w:p w14:paraId="4136C61C" w14:textId="694BDC0F" w:rsidR="003A41D8" w:rsidRPr="00B83CEB" w:rsidRDefault="003A41D8" w:rsidP="000A59A8">
            <w:pPr>
              <w:rPr>
                <w:color w:val="000000"/>
                <w:sz w:val="17"/>
                <w:szCs w:val="17"/>
                <w:u w:val="single"/>
              </w:rPr>
            </w:pPr>
            <w:r w:rsidRPr="00B83CEB">
              <w:rPr>
                <w:color w:val="000000"/>
                <w:sz w:val="17"/>
                <w:szCs w:val="17"/>
              </w:rPr>
              <w:t xml:space="preserve">Functioning of Statistical Indicators and Integrity Group </w:t>
            </w:r>
          </w:p>
          <w:p w14:paraId="6D5B0074" w14:textId="77777777"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572D4BA3" w14:textId="77777777" w:rsidR="003A41D8" w:rsidRPr="00B83CEB" w:rsidRDefault="003A41D8" w:rsidP="000A59A8">
            <w:pPr>
              <w:rPr>
                <w:sz w:val="17"/>
                <w:szCs w:val="17"/>
              </w:rPr>
            </w:pPr>
            <w:r w:rsidRPr="00B83CEB">
              <w:rPr>
                <w:sz w:val="17"/>
                <w:szCs w:val="17"/>
              </w:rPr>
              <w:t>No                    Yes</w:t>
            </w:r>
          </w:p>
          <w:p w14:paraId="7FBBA2D3" w14:textId="1E460A76" w:rsidR="003A41D8" w:rsidRPr="00B83CEB" w:rsidRDefault="003A41D8" w:rsidP="000A59A8">
            <w:pPr>
              <w:rPr>
                <w:sz w:val="17"/>
                <w:szCs w:val="17"/>
              </w:rPr>
            </w:pPr>
            <w:r w:rsidRPr="00B83CEB">
              <w:rPr>
                <w:color w:val="000000"/>
                <w:sz w:val="17"/>
                <w:szCs w:val="17"/>
              </w:rPr>
              <w:t>Source:</w:t>
            </w:r>
            <w:r w:rsidRPr="00B83CEB">
              <w:rPr>
                <w:b/>
                <w:bCs/>
                <w:color w:val="000000"/>
                <w:sz w:val="17"/>
                <w:szCs w:val="17"/>
              </w:rPr>
              <w:t xml:space="preserve"> </w:t>
            </w:r>
            <w:r w:rsidRPr="00B83CEB">
              <w:rPr>
                <w:color w:val="000000"/>
                <w:sz w:val="17"/>
                <w:szCs w:val="17"/>
              </w:rPr>
              <w:t>MSWY</w:t>
            </w:r>
          </w:p>
          <w:p w14:paraId="5C626718" w14:textId="77777777" w:rsidR="003A41D8" w:rsidRPr="00B83CEB" w:rsidRDefault="003A41D8" w:rsidP="000A59A8">
            <w:pPr>
              <w:rPr>
                <w:color w:val="000000"/>
                <w:sz w:val="17"/>
                <w:szCs w:val="17"/>
                <w:u w:val="single"/>
              </w:rPr>
            </w:pPr>
          </w:p>
          <w:p w14:paraId="4EEF6AC3" w14:textId="77777777" w:rsidR="003A41D8" w:rsidRPr="00B83CEB" w:rsidRDefault="003A41D8" w:rsidP="000A59A8">
            <w:pPr>
              <w:rPr>
                <w:color w:val="000000"/>
                <w:sz w:val="17"/>
                <w:szCs w:val="17"/>
              </w:rPr>
            </w:pPr>
            <w:r w:rsidRPr="00B83CEB">
              <w:rPr>
                <w:color w:val="000000"/>
                <w:sz w:val="17"/>
                <w:szCs w:val="17"/>
                <w:u w:val="single"/>
              </w:rPr>
              <w:t>Indicator 2.1.2</w:t>
            </w:r>
            <w:r w:rsidRPr="00B83CEB">
              <w:rPr>
                <w:color w:val="000000"/>
                <w:sz w:val="17"/>
                <w:szCs w:val="17"/>
              </w:rPr>
              <w:t xml:space="preserve"> </w:t>
            </w:r>
          </w:p>
          <w:p w14:paraId="4619FA08" w14:textId="0B398037" w:rsidR="003A41D8" w:rsidRPr="00B83CEB" w:rsidRDefault="003A41D8" w:rsidP="000A59A8">
            <w:pPr>
              <w:rPr>
                <w:color w:val="000000"/>
                <w:sz w:val="17"/>
                <w:szCs w:val="17"/>
              </w:rPr>
            </w:pPr>
            <w:r w:rsidRPr="00B83CEB">
              <w:rPr>
                <w:color w:val="000000"/>
                <w:sz w:val="17"/>
                <w:szCs w:val="17"/>
              </w:rPr>
              <w:t>Number of new regulations and instructions on social inclusion measures that involve two or more target ministries (cross-sectoral, issue-based approach)</w:t>
            </w:r>
          </w:p>
          <w:p w14:paraId="6D99D77A" w14:textId="77777777"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41EC439A" w14:textId="77777777" w:rsidR="003A41D8" w:rsidRPr="00B83CEB" w:rsidRDefault="003A41D8" w:rsidP="000A59A8">
            <w:pPr>
              <w:rPr>
                <w:sz w:val="17"/>
                <w:szCs w:val="17"/>
              </w:rPr>
            </w:pPr>
            <w:r w:rsidRPr="00B83CEB">
              <w:rPr>
                <w:sz w:val="17"/>
                <w:szCs w:val="17"/>
              </w:rPr>
              <w:t>1                       8</w:t>
            </w:r>
          </w:p>
          <w:p w14:paraId="1FEA5486" w14:textId="37F86385" w:rsidR="003A41D8" w:rsidRPr="00B83CEB" w:rsidRDefault="003A41D8" w:rsidP="000A59A8">
            <w:pPr>
              <w:rPr>
                <w:sz w:val="17"/>
                <w:szCs w:val="17"/>
              </w:rPr>
            </w:pPr>
            <w:r w:rsidRPr="00B83CEB">
              <w:rPr>
                <w:color w:val="000000"/>
                <w:sz w:val="17"/>
                <w:szCs w:val="17"/>
              </w:rPr>
              <w:t>Source:</w:t>
            </w:r>
            <w:r w:rsidRPr="00B83CEB">
              <w:rPr>
                <w:b/>
                <w:bCs/>
                <w:color w:val="000000"/>
                <w:sz w:val="17"/>
                <w:szCs w:val="17"/>
              </w:rPr>
              <w:t xml:space="preserve"> </w:t>
            </w:r>
            <w:r w:rsidRPr="00B83CEB">
              <w:rPr>
                <w:color w:val="000000"/>
                <w:sz w:val="17"/>
                <w:szCs w:val="17"/>
              </w:rPr>
              <w:t>MSWY</w:t>
            </w:r>
          </w:p>
          <w:p w14:paraId="7BB94988" w14:textId="77777777" w:rsidR="003A41D8" w:rsidRPr="00B83CEB" w:rsidRDefault="003A41D8" w:rsidP="000A59A8">
            <w:pPr>
              <w:rPr>
                <w:sz w:val="17"/>
                <w:szCs w:val="17"/>
              </w:rPr>
            </w:pPr>
          </w:p>
          <w:p w14:paraId="7D2CB73F" w14:textId="77777777" w:rsidR="003A41D8" w:rsidRPr="00B83CEB" w:rsidRDefault="003A41D8" w:rsidP="000A59A8">
            <w:pPr>
              <w:rPr>
                <w:color w:val="000000"/>
                <w:sz w:val="17"/>
                <w:szCs w:val="17"/>
              </w:rPr>
            </w:pPr>
            <w:r w:rsidRPr="00B83CEB">
              <w:rPr>
                <w:color w:val="000000"/>
                <w:sz w:val="17"/>
                <w:szCs w:val="17"/>
                <w:u w:val="single"/>
              </w:rPr>
              <w:lastRenderedPageBreak/>
              <w:t>Indicator 2.1.3</w:t>
            </w:r>
            <w:r w:rsidRPr="00B83CEB">
              <w:rPr>
                <w:color w:val="000000"/>
                <w:sz w:val="17"/>
                <w:szCs w:val="17"/>
              </w:rPr>
              <w:t xml:space="preserve"> </w:t>
            </w:r>
          </w:p>
          <w:p w14:paraId="0E46D0BC" w14:textId="03CB1314" w:rsidR="003A41D8" w:rsidRPr="00B83CEB" w:rsidRDefault="003A41D8" w:rsidP="000A59A8">
            <w:pPr>
              <w:rPr>
                <w:sz w:val="17"/>
                <w:szCs w:val="17"/>
              </w:rPr>
            </w:pPr>
            <w:r w:rsidRPr="00B83CEB">
              <w:rPr>
                <w:color w:val="000000"/>
                <w:sz w:val="17"/>
                <w:szCs w:val="17"/>
              </w:rPr>
              <w:t>Number of LGUs with social inclusion programmes and budgets for their implementation</w:t>
            </w:r>
          </w:p>
          <w:p w14:paraId="4DC2662E" w14:textId="77777777"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35D6E128" w14:textId="1F83EF48" w:rsidR="003A41D8" w:rsidRPr="00B83CEB" w:rsidRDefault="003A41D8" w:rsidP="000A59A8">
            <w:pPr>
              <w:rPr>
                <w:sz w:val="17"/>
                <w:szCs w:val="17"/>
              </w:rPr>
            </w:pPr>
            <w:r w:rsidRPr="00B83CEB">
              <w:rPr>
                <w:sz w:val="17"/>
                <w:szCs w:val="17"/>
              </w:rPr>
              <w:t>0 (2015)          15</w:t>
            </w:r>
          </w:p>
          <w:p w14:paraId="0F888B55" w14:textId="20A7952C" w:rsidR="003A41D8" w:rsidRPr="00B83CEB" w:rsidRDefault="003A41D8" w:rsidP="000A59A8">
            <w:pPr>
              <w:rPr>
                <w:color w:val="000000"/>
                <w:sz w:val="17"/>
                <w:szCs w:val="17"/>
              </w:rPr>
            </w:pPr>
            <w:r w:rsidRPr="00B83CEB">
              <w:rPr>
                <w:color w:val="000000"/>
                <w:sz w:val="17"/>
                <w:szCs w:val="17"/>
              </w:rPr>
              <w:t>Source:</w:t>
            </w:r>
            <w:r w:rsidRPr="00B83CEB">
              <w:rPr>
                <w:b/>
                <w:bCs/>
                <w:color w:val="000000"/>
                <w:sz w:val="17"/>
                <w:szCs w:val="17"/>
              </w:rPr>
              <w:t xml:space="preserve"> </w:t>
            </w:r>
            <w:r w:rsidRPr="00B83CEB">
              <w:rPr>
                <w:color w:val="000000"/>
                <w:sz w:val="17"/>
                <w:szCs w:val="17"/>
              </w:rPr>
              <w:t>MSWY</w:t>
            </w:r>
          </w:p>
          <w:p w14:paraId="04560084" w14:textId="77777777" w:rsidR="003A41D8" w:rsidRPr="00B83CEB" w:rsidRDefault="003A41D8" w:rsidP="000A59A8">
            <w:pPr>
              <w:rPr>
                <w:color w:val="000000"/>
                <w:sz w:val="17"/>
                <w:szCs w:val="17"/>
              </w:rPr>
            </w:pPr>
          </w:p>
          <w:p w14:paraId="7EF2513C" w14:textId="77777777" w:rsidR="003A41D8" w:rsidRPr="00B83CEB" w:rsidRDefault="003A41D8" w:rsidP="000A59A8">
            <w:pPr>
              <w:rPr>
                <w:color w:val="000000"/>
                <w:sz w:val="17"/>
                <w:szCs w:val="17"/>
              </w:rPr>
            </w:pPr>
            <w:r w:rsidRPr="00B83CEB">
              <w:rPr>
                <w:color w:val="000000"/>
                <w:sz w:val="17"/>
                <w:szCs w:val="17"/>
                <w:u w:val="single"/>
              </w:rPr>
              <w:t>Indicator 2.1.4</w:t>
            </w:r>
            <w:r w:rsidRPr="00B83CEB">
              <w:rPr>
                <w:color w:val="000000"/>
                <w:sz w:val="17"/>
                <w:szCs w:val="17"/>
              </w:rPr>
              <w:t xml:space="preserve"> </w:t>
            </w:r>
          </w:p>
          <w:p w14:paraId="725E8A1D" w14:textId="3FFA8FF1" w:rsidR="003A41D8" w:rsidRPr="00B83CEB" w:rsidRDefault="003A41D8" w:rsidP="000A59A8">
            <w:pPr>
              <w:rPr>
                <w:color w:val="000000"/>
                <w:sz w:val="17"/>
                <w:szCs w:val="17"/>
              </w:rPr>
            </w:pPr>
            <w:r w:rsidRPr="00B83CEB">
              <w:rPr>
                <w:color w:val="000000"/>
                <w:sz w:val="17"/>
                <w:szCs w:val="17"/>
              </w:rPr>
              <w:t>Number of legal amendments drafted to align with Convention on the Rights of Persons with Disabilities and international/national standards on persons with disabilities</w:t>
            </w:r>
          </w:p>
          <w:p w14:paraId="2FE56349" w14:textId="77777777"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0E1EBEF7" w14:textId="77777777" w:rsidR="003A41D8" w:rsidRPr="00B83CEB" w:rsidRDefault="003A41D8" w:rsidP="000A59A8">
            <w:pPr>
              <w:rPr>
                <w:sz w:val="17"/>
                <w:szCs w:val="17"/>
              </w:rPr>
            </w:pPr>
            <w:r w:rsidRPr="00B83CEB">
              <w:rPr>
                <w:sz w:val="17"/>
                <w:szCs w:val="17"/>
              </w:rPr>
              <w:t>1                       6</w:t>
            </w:r>
          </w:p>
          <w:p w14:paraId="4C90BC3B" w14:textId="70B4FDCE" w:rsidR="003A41D8" w:rsidRPr="00B83CEB" w:rsidRDefault="003A41D8" w:rsidP="000A59A8">
            <w:pPr>
              <w:rPr>
                <w:color w:val="000000"/>
                <w:sz w:val="17"/>
                <w:szCs w:val="17"/>
              </w:rPr>
            </w:pPr>
            <w:r w:rsidRPr="00B83CEB">
              <w:rPr>
                <w:color w:val="000000"/>
                <w:sz w:val="17"/>
                <w:szCs w:val="17"/>
              </w:rPr>
              <w:t>Source:</w:t>
            </w:r>
            <w:r w:rsidRPr="00B83CEB">
              <w:rPr>
                <w:b/>
                <w:bCs/>
                <w:color w:val="000000"/>
                <w:sz w:val="17"/>
                <w:szCs w:val="17"/>
              </w:rPr>
              <w:t xml:space="preserve"> </w:t>
            </w:r>
            <w:r w:rsidRPr="00B83CEB">
              <w:rPr>
                <w:color w:val="000000"/>
                <w:sz w:val="17"/>
                <w:szCs w:val="17"/>
              </w:rPr>
              <w:t xml:space="preserve">MSWY </w:t>
            </w:r>
            <w:r w:rsidR="002019E9">
              <w:rPr>
                <w:color w:val="000000"/>
                <w:sz w:val="17"/>
                <w:szCs w:val="17"/>
              </w:rPr>
              <w:t xml:space="preserve"> </w:t>
            </w:r>
          </w:p>
          <w:p w14:paraId="67920D9B" w14:textId="77777777" w:rsidR="003A41D8" w:rsidRPr="00B83CEB" w:rsidRDefault="003A41D8" w:rsidP="000A59A8">
            <w:pPr>
              <w:spacing w:line="259" w:lineRule="auto"/>
              <w:rPr>
                <w:color w:val="000000"/>
                <w:sz w:val="17"/>
                <w:szCs w:val="17"/>
              </w:rPr>
            </w:pPr>
          </w:p>
          <w:p w14:paraId="12672CD0" w14:textId="77777777" w:rsidR="003A41D8" w:rsidRPr="00B83CEB" w:rsidRDefault="003A41D8" w:rsidP="000A59A8">
            <w:pPr>
              <w:spacing w:line="259" w:lineRule="auto"/>
              <w:rPr>
                <w:color w:val="000000"/>
                <w:sz w:val="17"/>
                <w:szCs w:val="17"/>
              </w:rPr>
            </w:pPr>
            <w:r w:rsidRPr="00B83CEB">
              <w:rPr>
                <w:color w:val="000000"/>
                <w:sz w:val="17"/>
                <w:szCs w:val="17"/>
                <w:u w:val="single"/>
              </w:rPr>
              <w:t>Indicator 2.1.5</w:t>
            </w:r>
            <w:r w:rsidRPr="00B83CEB">
              <w:rPr>
                <w:color w:val="000000"/>
                <w:sz w:val="17"/>
                <w:szCs w:val="17"/>
              </w:rPr>
              <w:t xml:space="preserve"> </w:t>
            </w:r>
          </w:p>
          <w:p w14:paraId="41942A2C" w14:textId="7CB58A50" w:rsidR="003A41D8" w:rsidRPr="00B83CEB" w:rsidRDefault="003A41D8" w:rsidP="000A59A8">
            <w:pPr>
              <w:spacing w:line="259" w:lineRule="auto"/>
              <w:rPr>
                <w:rFonts w:eastAsia="Calibri"/>
                <w:sz w:val="17"/>
                <w:szCs w:val="17"/>
              </w:rPr>
            </w:pPr>
            <w:r w:rsidRPr="00B83CEB">
              <w:rPr>
                <w:color w:val="000000"/>
                <w:sz w:val="17"/>
                <w:szCs w:val="17"/>
              </w:rPr>
              <w:t xml:space="preserve">Number </w:t>
            </w:r>
            <w:r w:rsidRPr="00B83CEB">
              <w:rPr>
                <w:rFonts w:eastAsia="Calibri"/>
                <w:sz w:val="17"/>
                <w:szCs w:val="17"/>
              </w:rPr>
              <w:t>of new community upgrading projects in Roma neighborhoods implemented.</w:t>
            </w:r>
          </w:p>
          <w:p w14:paraId="6C22A549" w14:textId="77777777" w:rsidR="003A41D8" w:rsidRPr="00B83CEB" w:rsidRDefault="003A41D8" w:rsidP="000A59A8">
            <w:pPr>
              <w:spacing w:line="259" w:lineRule="auto"/>
              <w:rPr>
                <w:rFonts w:eastAsia="Calibri"/>
                <w:sz w:val="17"/>
                <w:szCs w:val="17"/>
                <w:u w:val="single"/>
              </w:rPr>
            </w:pPr>
            <w:r w:rsidRPr="00B83CEB">
              <w:rPr>
                <w:rFonts w:eastAsia="Calibri"/>
                <w:sz w:val="17"/>
                <w:szCs w:val="17"/>
                <w:u w:val="single"/>
              </w:rPr>
              <w:t>Baseline</w:t>
            </w:r>
            <w:r w:rsidRPr="00B83CEB">
              <w:rPr>
                <w:rFonts w:eastAsia="Calibri"/>
                <w:sz w:val="17"/>
                <w:szCs w:val="17"/>
              </w:rPr>
              <w:t xml:space="preserve">            </w:t>
            </w:r>
            <w:r w:rsidRPr="00B83CEB">
              <w:rPr>
                <w:rFonts w:eastAsia="Calibri"/>
                <w:sz w:val="17"/>
                <w:szCs w:val="17"/>
                <w:u w:val="single"/>
              </w:rPr>
              <w:t xml:space="preserve">Target </w:t>
            </w:r>
          </w:p>
          <w:p w14:paraId="082BD06B" w14:textId="7B3D16F7" w:rsidR="003A41D8" w:rsidRPr="00B83CEB" w:rsidRDefault="003A41D8" w:rsidP="000A59A8">
            <w:pPr>
              <w:spacing w:line="259" w:lineRule="auto"/>
              <w:rPr>
                <w:rFonts w:eastAsia="Calibri"/>
                <w:sz w:val="17"/>
                <w:szCs w:val="17"/>
              </w:rPr>
            </w:pPr>
            <w:r w:rsidRPr="00B83CEB">
              <w:rPr>
                <w:rFonts w:eastAsia="Calibri"/>
                <w:sz w:val="17"/>
                <w:szCs w:val="17"/>
              </w:rPr>
              <w:t>10 (2015)             22 (2020)</w:t>
            </w:r>
          </w:p>
          <w:p w14:paraId="13E745C2" w14:textId="77777777" w:rsidR="003A41D8" w:rsidRPr="00B83CEB" w:rsidRDefault="003A41D8" w:rsidP="000A59A8">
            <w:pPr>
              <w:spacing w:line="259" w:lineRule="auto"/>
              <w:rPr>
                <w:rFonts w:eastAsia="Calibri"/>
                <w:sz w:val="17"/>
                <w:szCs w:val="17"/>
              </w:rPr>
            </w:pPr>
          </w:p>
          <w:p w14:paraId="2A6BCF63" w14:textId="67EAAAFE" w:rsidR="003A41D8" w:rsidRPr="00B83CEB" w:rsidRDefault="003A41D8" w:rsidP="000A59A8">
            <w:pPr>
              <w:rPr>
                <w:rFonts w:eastAsia="Calibri"/>
                <w:b/>
                <w:sz w:val="17"/>
                <w:szCs w:val="17"/>
                <w:lang w:val="en-GB"/>
              </w:rPr>
            </w:pPr>
            <w:r w:rsidRPr="00B83CEB">
              <w:rPr>
                <w:b/>
                <w:bCs/>
                <w:color w:val="000000"/>
                <w:sz w:val="17"/>
                <w:szCs w:val="17"/>
                <w:u w:val="single"/>
              </w:rPr>
              <w:t>Output 2.2</w:t>
            </w:r>
            <w:r w:rsidRPr="00B83CEB">
              <w:rPr>
                <w:b/>
                <w:sz w:val="17"/>
                <w:szCs w:val="17"/>
              </w:rPr>
              <w:t xml:space="preserve"> </w:t>
            </w:r>
            <w:r w:rsidRPr="00B83CEB">
              <w:rPr>
                <w:rFonts w:eastAsia="Calibri"/>
                <w:b/>
                <w:sz w:val="17"/>
                <w:szCs w:val="17"/>
                <w:lang w:val="en-GB"/>
              </w:rPr>
              <w:t>Frameworks and dialogue processes in place for effective civil society engagement in development.</w:t>
            </w:r>
          </w:p>
          <w:p w14:paraId="702599D6" w14:textId="77777777" w:rsidR="003A41D8" w:rsidRPr="00B83CEB" w:rsidRDefault="003A41D8" w:rsidP="000A59A8">
            <w:pPr>
              <w:rPr>
                <w:rFonts w:eastAsia="Calibri"/>
                <w:sz w:val="17"/>
                <w:szCs w:val="17"/>
              </w:rPr>
            </w:pPr>
            <w:r w:rsidRPr="00B83CEB">
              <w:rPr>
                <w:rFonts w:eastAsia="Calibri"/>
                <w:sz w:val="17"/>
                <w:szCs w:val="17"/>
                <w:u w:val="single"/>
              </w:rPr>
              <w:t>Indicator 2.2.1</w:t>
            </w:r>
            <w:r w:rsidRPr="00B83CEB">
              <w:rPr>
                <w:rFonts w:eastAsia="Calibri"/>
                <w:sz w:val="17"/>
                <w:szCs w:val="17"/>
              </w:rPr>
              <w:t xml:space="preserve">  </w:t>
            </w:r>
          </w:p>
          <w:p w14:paraId="04FFCD61" w14:textId="2B1DF5AA" w:rsidR="003A41D8" w:rsidRPr="00B83CEB" w:rsidRDefault="003A41D8" w:rsidP="000A59A8">
            <w:pPr>
              <w:rPr>
                <w:rFonts w:eastAsia="Calibri"/>
                <w:sz w:val="17"/>
                <w:szCs w:val="17"/>
              </w:rPr>
            </w:pPr>
            <w:r w:rsidRPr="00B83CEB">
              <w:rPr>
                <w:rFonts w:eastAsia="Calibri"/>
                <w:sz w:val="17"/>
                <w:szCs w:val="17"/>
              </w:rPr>
              <w:t>Number of CSOs with improve</w:t>
            </w:r>
            <w:r w:rsidRPr="00B83CEB">
              <w:rPr>
                <w:rFonts w:eastAsia="Calibri"/>
                <w:color w:val="2E74B5"/>
                <w:sz w:val="17"/>
                <w:szCs w:val="17"/>
              </w:rPr>
              <w:t>d</w:t>
            </w:r>
            <w:r w:rsidRPr="00B83CEB">
              <w:rPr>
                <w:rFonts w:eastAsia="Calibri"/>
                <w:sz w:val="17"/>
                <w:szCs w:val="17"/>
              </w:rPr>
              <w:t xml:space="preserve"> capacities for better service delivery </w:t>
            </w:r>
          </w:p>
          <w:p w14:paraId="6476AF7E" w14:textId="77777777" w:rsidR="003A41D8" w:rsidRPr="00B83CEB" w:rsidRDefault="003A41D8" w:rsidP="000A59A8">
            <w:pPr>
              <w:rPr>
                <w:rFonts w:eastAsia="Calibri"/>
                <w:sz w:val="17"/>
                <w:szCs w:val="17"/>
              </w:rPr>
            </w:pPr>
            <w:r w:rsidRPr="00B83CEB">
              <w:rPr>
                <w:rFonts w:eastAsia="Calibri"/>
                <w:sz w:val="17"/>
                <w:szCs w:val="17"/>
                <w:u w:val="single"/>
              </w:rPr>
              <w:t>Baseline</w:t>
            </w:r>
            <w:r w:rsidRPr="00B83CEB">
              <w:rPr>
                <w:rFonts w:eastAsia="Calibri"/>
                <w:sz w:val="17"/>
                <w:szCs w:val="17"/>
              </w:rPr>
              <w:t xml:space="preserve"> 0 (2016) </w:t>
            </w:r>
          </w:p>
          <w:p w14:paraId="383769E3" w14:textId="4039882E" w:rsidR="003A41D8" w:rsidRPr="00B83CEB" w:rsidRDefault="003A41D8" w:rsidP="000A59A8">
            <w:pPr>
              <w:rPr>
                <w:rFonts w:eastAsia="Calibri"/>
                <w:sz w:val="17"/>
                <w:szCs w:val="17"/>
              </w:rPr>
            </w:pPr>
            <w:r w:rsidRPr="00B83CEB">
              <w:rPr>
                <w:rFonts w:eastAsia="Calibri"/>
                <w:sz w:val="17"/>
                <w:szCs w:val="17"/>
                <w:u w:val="single"/>
              </w:rPr>
              <w:t xml:space="preserve">Target </w:t>
            </w:r>
            <w:r w:rsidRPr="00B83CEB">
              <w:rPr>
                <w:rFonts w:eastAsia="Calibri"/>
                <w:sz w:val="17"/>
                <w:szCs w:val="17"/>
              </w:rPr>
              <w:t xml:space="preserve"> 60  (15 Roma/Egyptian; 15 women; 8 youth)  </w:t>
            </w:r>
          </w:p>
          <w:p w14:paraId="40E5FFA2" w14:textId="57E67C40" w:rsidR="003A41D8" w:rsidRPr="00B83CEB" w:rsidRDefault="003A41D8" w:rsidP="000A59A8">
            <w:pPr>
              <w:rPr>
                <w:color w:val="000000"/>
                <w:sz w:val="17"/>
                <w:szCs w:val="17"/>
              </w:rPr>
            </w:pPr>
            <w:r w:rsidRPr="00B83CEB">
              <w:rPr>
                <w:rFonts w:eastAsia="Calibri"/>
                <w:sz w:val="17"/>
                <w:szCs w:val="17"/>
              </w:rPr>
              <w:t>Source UNDP Project Reports</w:t>
            </w:r>
          </w:p>
          <w:p w14:paraId="528CBF58" w14:textId="77777777" w:rsidR="003A41D8" w:rsidRPr="00B83CEB" w:rsidRDefault="003A41D8" w:rsidP="000A59A8">
            <w:pPr>
              <w:rPr>
                <w:color w:val="000000"/>
                <w:sz w:val="17"/>
                <w:szCs w:val="17"/>
                <w:u w:val="single"/>
              </w:rPr>
            </w:pPr>
          </w:p>
          <w:p w14:paraId="7C957678" w14:textId="7A2A19E2" w:rsidR="003A41D8" w:rsidRPr="00B83CEB" w:rsidRDefault="003A41D8" w:rsidP="000A59A8">
            <w:pPr>
              <w:rPr>
                <w:color w:val="000000"/>
                <w:sz w:val="17"/>
                <w:szCs w:val="17"/>
              </w:rPr>
            </w:pPr>
            <w:r w:rsidRPr="00B83CEB">
              <w:rPr>
                <w:color w:val="000000"/>
                <w:sz w:val="17"/>
                <w:szCs w:val="17"/>
                <w:u w:val="single"/>
              </w:rPr>
              <w:t>Indicator 2.2.2</w:t>
            </w:r>
            <w:r w:rsidRPr="00B83CEB">
              <w:rPr>
                <w:color w:val="000000"/>
                <w:sz w:val="17"/>
                <w:szCs w:val="17"/>
              </w:rPr>
              <w:t xml:space="preserve"> Number of LGUs adopting funding procedures and mechanisms to CSOs for service provision</w:t>
            </w:r>
          </w:p>
          <w:p w14:paraId="0CEEE231" w14:textId="77777777" w:rsidR="003A41D8" w:rsidRPr="00B83CEB" w:rsidRDefault="003A41D8" w:rsidP="000A59A8">
            <w:pPr>
              <w:rPr>
                <w:color w:val="000000"/>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 xml:space="preserve">Target: </w:t>
            </w:r>
          </w:p>
          <w:p w14:paraId="43682A5F" w14:textId="77777777" w:rsidR="003A41D8" w:rsidRPr="00B83CEB" w:rsidRDefault="003A41D8" w:rsidP="000A59A8">
            <w:pPr>
              <w:rPr>
                <w:color w:val="000000"/>
                <w:sz w:val="17"/>
                <w:szCs w:val="17"/>
              </w:rPr>
            </w:pPr>
            <w:r w:rsidRPr="00B83CEB">
              <w:rPr>
                <w:color w:val="000000"/>
                <w:sz w:val="17"/>
                <w:szCs w:val="17"/>
              </w:rPr>
              <w:t>0(2016)           10</w:t>
            </w:r>
          </w:p>
          <w:p w14:paraId="0E2E5DAD" w14:textId="7CC1CC59" w:rsidR="003A41D8" w:rsidRPr="00B83CEB" w:rsidRDefault="003A41D8" w:rsidP="000A59A8">
            <w:pPr>
              <w:rPr>
                <w:color w:val="000000"/>
                <w:sz w:val="17"/>
                <w:szCs w:val="17"/>
              </w:rPr>
            </w:pPr>
            <w:r w:rsidRPr="00B83CEB">
              <w:rPr>
                <w:color w:val="000000"/>
                <w:sz w:val="17"/>
                <w:szCs w:val="17"/>
              </w:rPr>
              <w:t>Source: Agency for Civil Society Support</w:t>
            </w:r>
          </w:p>
          <w:p w14:paraId="23CC5D30" w14:textId="77777777" w:rsidR="003A41D8" w:rsidRPr="00B83CEB" w:rsidRDefault="003A41D8" w:rsidP="000A59A8">
            <w:pPr>
              <w:rPr>
                <w:color w:val="000000"/>
                <w:sz w:val="17"/>
                <w:szCs w:val="17"/>
              </w:rPr>
            </w:pPr>
          </w:p>
          <w:p w14:paraId="721FBBC6" w14:textId="171A0323" w:rsidR="003A41D8" w:rsidRPr="00B83CEB" w:rsidRDefault="003A41D8" w:rsidP="000A59A8">
            <w:pPr>
              <w:rPr>
                <w:sz w:val="17"/>
                <w:szCs w:val="17"/>
              </w:rPr>
            </w:pPr>
            <w:r w:rsidRPr="00B83CEB">
              <w:rPr>
                <w:b/>
                <w:bCs/>
                <w:color w:val="000000"/>
                <w:sz w:val="17"/>
                <w:szCs w:val="17"/>
                <w:u w:val="single"/>
              </w:rPr>
              <w:t>Output 2.3</w:t>
            </w:r>
            <w:r w:rsidRPr="00B83CEB">
              <w:rPr>
                <w:b/>
                <w:bCs/>
                <w:color w:val="000000"/>
                <w:sz w:val="17"/>
                <w:szCs w:val="17"/>
              </w:rPr>
              <w:t xml:space="preserve"> Capacity of institutions and service providers strengthened to implement legislation and normative standards on elimination of violence against women and other forms of discrimination.</w:t>
            </w:r>
          </w:p>
          <w:p w14:paraId="467383C1" w14:textId="77777777" w:rsidR="003A41D8" w:rsidRPr="00B83CEB" w:rsidRDefault="003A41D8" w:rsidP="000A59A8">
            <w:pPr>
              <w:rPr>
                <w:sz w:val="17"/>
                <w:szCs w:val="17"/>
              </w:rPr>
            </w:pPr>
          </w:p>
          <w:p w14:paraId="56965F62" w14:textId="6EEC9716" w:rsidR="003A41D8" w:rsidRPr="00B83CEB" w:rsidRDefault="003A41D8" w:rsidP="000A59A8">
            <w:pPr>
              <w:rPr>
                <w:color w:val="000000"/>
                <w:sz w:val="17"/>
                <w:szCs w:val="17"/>
              </w:rPr>
            </w:pPr>
            <w:r w:rsidRPr="00B83CEB">
              <w:rPr>
                <w:color w:val="000000"/>
                <w:sz w:val="17"/>
                <w:szCs w:val="17"/>
                <w:u w:val="single"/>
              </w:rPr>
              <w:t>Indicator 2.3.1</w:t>
            </w:r>
            <w:r w:rsidRPr="00B83CEB">
              <w:rPr>
                <w:color w:val="000000"/>
                <w:sz w:val="17"/>
                <w:szCs w:val="17"/>
              </w:rPr>
              <w:t xml:space="preserve"> </w:t>
            </w:r>
          </w:p>
          <w:p w14:paraId="58926172" w14:textId="32DA076D" w:rsidR="003A41D8" w:rsidRPr="00B83CEB" w:rsidRDefault="003A41D8" w:rsidP="000A59A8">
            <w:pPr>
              <w:rPr>
                <w:color w:val="000000"/>
                <w:sz w:val="17"/>
                <w:szCs w:val="17"/>
              </w:rPr>
            </w:pPr>
            <w:r w:rsidRPr="00B83CEB">
              <w:rPr>
                <w:color w:val="000000"/>
                <w:sz w:val="17"/>
                <w:szCs w:val="17"/>
              </w:rPr>
              <w:t xml:space="preserve">Number of municipalities with </w:t>
            </w:r>
            <w:r w:rsidRPr="00B83CEB">
              <w:rPr>
                <w:rFonts w:eastAsia="Calibri"/>
                <w:sz w:val="17"/>
                <w:szCs w:val="17"/>
              </w:rPr>
              <w:t xml:space="preserve">strengthened services to prevent and address sexual and gender-based violence and </w:t>
            </w:r>
            <w:r w:rsidRPr="00B83CEB">
              <w:rPr>
                <w:color w:val="000000"/>
                <w:sz w:val="17"/>
                <w:szCs w:val="17"/>
              </w:rPr>
              <w:t xml:space="preserve">functional community coordinated response </w:t>
            </w:r>
          </w:p>
          <w:p w14:paraId="02B1468F" w14:textId="77777777" w:rsidR="003A41D8" w:rsidRPr="00B83CEB" w:rsidRDefault="003A41D8" w:rsidP="000A59A8">
            <w:pPr>
              <w:rPr>
                <w:sz w:val="17"/>
                <w:szCs w:val="17"/>
              </w:rPr>
            </w:pPr>
            <w:r w:rsidRPr="00B83CEB">
              <w:rPr>
                <w:color w:val="000000"/>
                <w:sz w:val="17"/>
                <w:szCs w:val="17"/>
                <w:u w:val="single"/>
              </w:rPr>
              <w:lastRenderedPageBreak/>
              <w:t>Baseline:</w:t>
            </w:r>
            <w:r w:rsidRPr="00B83CEB">
              <w:rPr>
                <w:color w:val="000000"/>
                <w:sz w:val="17"/>
                <w:szCs w:val="17"/>
              </w:rPr>
              <w:t xml:space="preserve">         </w:t>
            </w:r>
            <w:r w:rsidRPr="00B83CEB">
              <w:rPr>
                <w:color w:val="000000"/>
                <w:sz w:val="17"/>
                <w:szCs w:val="17"/>
                <w:u w:val="single"/>
              </w:rPr>
              <w:t>Target:</w:t>
            </w:r>
          </w:p>
          <w:p w14:paraId="65EC7DE4" w14:textId="77777777" w:rsidR="003A41D8" w:rsidRPr="00B83CEB" w:rsidRDefault="003A41D8" w:rsidP="000A59A8">
            <w:pPr>
              <w:rPr>
                <w:sz w:val="17"/>
                <w:szCs w:val="17"/>
              </w:rPr>
            </w:pPr>
            <w:r w:rsidRPr="00B83CEB">
              <w:rPr>
                <w:sz w:val="17"/>
                <w:szCs w:val="17"/>
              </w:rPr>
              <w:t xml:space="preserve">27                     61  </w:t>
            </w:r>
          </w:p>
          <w:p w14:paraId="3CA67889" w14:textId="715BA71A" w:rsidR="003A41D8" w:rsidRPr="00B83CEB" w:rsidRDefault="003A41D8" w:rsidP="000A59A8">
            <w:pPr>
              <w:rPr>
                <w:color w:val="000000"/>
                <w:sz w:val="17"/>
                <w:szCs w:val="17"/>
              </w:rPr>
            </w:pPr>
            <w:r w:rsidRPr="00B83CEB">
              <w:rPr>
                <w:color w:val="000000"/>
                <w:sz w:val="17"/>
                <w:szCs w:val="17"/>
              </w:rPr>
              <w:t>Source:</w:t>
            </w:r>
            <w:r w:rsidRPr="00B83CEB">
              <w:rPr>
                <w:b/>
                <w:bCs/>
                <w:color w:val="000000"/>
                <w:sz w:val="17"/>
                <w:szCs w:val="17"/>
              </w:rPr>
              <w:t xml:space="preserve"> </w:t>
            </w:r>
            <w:r w:rsidRPr="00B83CEB">
              <w:rPr>
                <w:color w:val="000000"/>
                <w:sz w:val="17"/>
                <w:szCs w:val="17"/>
              </w:rPr>
              <w:t>MSWY</w:t>
            </w:r>
          </w:p>
          <w:p w14:paraId="596AEF0B" w14:textId="77777777" w:rsidR="003A41D8" w:rsidRPr="00B83CEB" w:rsidRDefault="003A41D8" w:rsidP="000A59A8">
            <w:pPr>
              <w:rPr>
                <w:color w:val="000000"/>
                <w:sz w:val="17"/>
                <w:szCs w:val="17"/>
              </w:rPr>
            </w:pPr>
          </w:p>
          <w:p w14:paraId="3EE19E4A" w14:textId="77777777" w:rsidR="003A41D8" w:rsidRPr="00B83CEB" w:rsidRDefault="003A41D8" w:rsidP="000A59A8">
            <w:pPr>
              <w:rPr>
                <w:color w:val="000000"/>
                <w:sz w:val="17"/>
                <w:szCs w:val="17"/>
              </w:rPr>
            </w:pPr>
            <w:r w:rsidRPr="00B83CEB">
              <w:rPr>
                <w:color w:val="000000"/>
                <w:sz w:val="17"/>
                <w:szCs w:val="17"/>
                <w:u w:val="single"/>
              </w:rPr>
              <w:t>Indicator 2.3.2</w:t>
            </w:r>
            <w:r w:rsidRPr="00B83CEB">
              <w:rPr>
                <w:color w:val="000000"/>
                <w:sz w:val="17"/>
                <w:szCs w:val="17"/>
              </w:rPr>
              <w:t xml:space="preserve"> </w:t>
            </w:r>
          </w:p>
          <w:p w14:paraId="76615993" w14:textId="64268DB9" w:rsidR="003A41D8" w:rsidRPr="00B83CEB" w:rsidRDefault="003A41D8" w:rsidP="000A59A8">
            <w:pPr>
              <w:rPr>
                <w:color w:val="000000"/>
                <w:sz w:val="17"/>
                <w:szCs w:val="17"/>
              </w:rPr>
            </w:pPr>
            <w:r w:rsidRPr="00B83CEB">
              <w:rPr>
                <w:color w:val="000000"/>
                <w:sz w:val="17"/>
                <w:szCs w:val="17"/>
              </w:rPr>
              <w:t xml:space="preserve">Number of cases of gender-based violence addressed through coordinated response </w:t>
            </w:r>
          </w:p>
          <w:p w14:paraId="0FB661C7" w14:textId="77777777"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62D1CF0E" w14:textId="7BC77EA5" w:rsidR="003A41D8" w:rsidRPr="00B83CEB" w:rsidRDefault="003A41D8" w:rsidP="000A59A8">
            <w:pPr>
              <w:rPr>
                <w:sz w:val="17"/>
                <w:szCs w:val="17"/>
              </w:rPr>
            </w:pPr>
            <w:r w:rsidRPr="00B83CEB">
              <w:rPr>
                <w:sz w:val="17"/>
                <w:szCs w:val="17"/>
              </w:rPr>
              <w:t>370 (November 2015)                       120 (annually)</w:t>
            </w:r>
          </w:p>
          <w:p w14:paraId="25FF60DB" w14:textId="47460A48" w:rsidR="003A41D8" w:rsidRPr="00B83CEB" w:rsidRDefault="003A41D8" w:rsidP="00AF0D6B">
            <w:pPr>
              <w:rPr>
                <w:color w:val="000000"/>
                <w:sz w:val="17"/>
                <w:szCs w:val="17"/>
              </w:rPr>
            </w:pPr>
            <w:r w:rsidRPr="00B83CEB">
              <w:rPr>
                <w:color w:val="000000"/>
                <w:sz w:val="17"/>
                <w:szCs w:val="17"/>
              </w:rPr>
              <w:t xml:space="preserve">Source: MSWY </w:t>
            </w:r>
          </w:p>
        </w:tc>
        <w:tc>
          <w:tcPr>
            <w:tcW w:w="2313"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51338A33" w14:textId="6A79CCC2" w:rsidR="003A41D8" w:rsidRPr="00B83CEB" w:rsidRDefault="003A41D8" w:rsidP="000A59A8">
            <w:pPr>
              <w:rPr>
                <w:sz w:val="17"/>
                <w:szCs w:val="17"/>
              </w:rPr>
            </w:pPr>
            <w:r w:rsidRPr="00B83CEB">
              <w:rPr>
                <w:sz w:val="17"/>
                <w:szCs w:val="17"/>
              </w:rPr>
              <w:lastRenderedPageBreak/>
              <w:t xml:space="preserve">MSWY, Ministry of Urban Development; State Social Service, </w:t>
            </w:r>
            <w:r w:rsidRPr="00B83CEB">
              <w:rPr>
                <w:bCs/>
                <w:color w:val="000000"/>
                <w:sz w:val="17"/>
                <w:szCs w:val="17"/>
              </w:rPr>
              <w:t>LGUs</w:t>
            </w:r>
            <w:r w:rsidRPr="00B83CEB">
              <w:rPr>
                <w:sz w:val="17"/>
                <w:szCs w:val="17"/>
              </w:rPr>
              <w:t xml:space="preserve">; CSOs; </w:t>
            </w:r>
            <w:r w:rsidRPr="00B83CEB">
              <w:rPr>
                <w:iCs/>
                <w:color w:val="000000"/>
                <w:sz w:val="17"/>
                <w:szCs w:val="17"/>
              </w:rPr>
              <w:t xml:space="preserve">Agency for Support of Civil Society, EU and South-South cooperation partners </w:t>
            </w:r>
            <w:r w:rsidR="00035536">
              <w:rPr>
                <w:iCs/>
                <w:color w:val="000000"/>
                <w:sz w:val="17"/>
                <w:szCs w:val="17"/>
              </w:rPr>
              <w:t xml:space="preserve"> </w:t>
            </w:r>
          </w:p>
          <w:p w14:paraId="41499BCC" w14:textId="77777777" w:rsidR="003A41D8" w:rsidRPr="00B83CEB" w:rsidRDefault="003A41D8" w:rsidP="000A59A8">
            <w:pPr>
              <w:rPr>
                <w:sz w:val="17"/>
                <w:szCs w:val="17"/>
              </w:rPr>
            </w:pPr>
          </w:p>
          <w:p w14:paraId="3FEAAFB6" w14:textId="77777777" w:rsidR="003A41D8" w:rsidRPr="00B83CEB" w:rsidRDefault="003A41D8" w:rsidP="000A59A8">
            <w:pPr>
              <w:rPr>
                <w:sz w:val="17"/>
                <w:szCs w:val="17"/>
              </w:rPr>
            </w:pPr>
          </w:p>
          <w:p w14:paraId="2963A15A" w14:textId="286C66EF" w:rsidR="003A41D8" w:rsidRPr="00B83CEB" w:rsidRDefault="003A41D8" w:rsidP="000A59A8">
            <w:pPr>
              <w:rPr>
                <w:sz w:val="17"/>
                <w:szCs w:val="17"/>
              </w:rPr>
            </w:pPr>
            <w:r w:rsidRPr="00B83CEB">
              <w:rPr>
                <w:sz w:val="17"/>
                <w:szCs w:val="17"/>
              </w:rPr>
              <w:t xml:space="preserve">EU, Governments of Italy, Sweden and Switzerland and their development cooperation agencies </w:t>
            </w:r>
          </w:p>
          <w:p w14:paraId="6E31B111" w14:textId="77777777" w:rsidR="003A41D8" w:rsidRPr="00B83CEB" w:rsidRDefault="003A41D8" w:rsidP="000A59A8">
            <w:pPr>
              <w:rPr>
                <w:sz w:val="17"/>
                <w:szCs w:val="17"/>
              </w:rPr>
            </w:pPr>
          </w:p>
          <w:p w14:paraId="0362BBEF" w14:textId="7A8E75F3" w:rsidR="003A41D8" w:rsidRPr="00B83CEB" w:rsidRDefault="003A41D8" w:rsidP="000A59A8">
            <w:pPr>
              <w:rPr>
                <w:sz w:val="17"/>
                <w:szCs w:val="17"/>
              </w:rPr>
            </w:pPr>
            <w:r w:rsidRPr="00B83CEB">
              <w:rPr>
                <w:sz w:val="17"/>
                <w:szCs w:val="17"/>
              </w:rPr>
              <w:t>Delivering as One outcome group lead UNICEF with other  United Nations partners</w:t>
            </w:r>
          </w:p>
          <w:p w14:paraId="7DD082E2" w14:textId="77777777" w:rsidR="003A41D8" w:rsidRPr="00B83CEB" w:rsidRDefault="003A41D8" w:rsidP="000A59A8">
            <w:pPr>
              <w:rPr>
                <w:sz w:val="17"/>
                <w:szCs w:val="17"/>
              </w:rPr>
            </w:pPr>
          </w:p>
          <w:p w14:paraId="433A07BF" w14:textId="77777777" w:rsidR="003A41D8" w:rsidRPr="00B83CEB" w:rsidRDefault="003A41D8" w:rsidP="000A59A8">
            <w:pPr>
              <w:rPr>
                <w:sz w:val="17"/>
                <w:szCs w:val="17"/>
              </w:rPr>
            </w:pPr>
          </w:p>
          <w:p w14:paraId="2447F6BE" w14:textId="77777777" w:rsidR="003A41D8" w:rsidRPr="00B83CEB" w:rsidRDefault="003A41D8" w:rsidP="000A59A8">
            <w:pPr>
              <w:rPr>
                <w:sz w:val="17"/>
                <w:szCs w:val="17"/>
              </w:rPr>
            </w:pPr>
          </w:p>
          <w:p w14:paraId="77D18E05" w14:textId="77777777" w:rsidR="003A41D8" w:rsidRPr="00B83CEB" w:rsidRDefault="003A41D8" w:rsidP="000A59A8">
            <w:pPr>
              <w:rPr>
                <w:sz w:val="17"/>
                <w:szCs w:val="17"/>
              </w:rPr>
            </w:pPr>
          </w:p>
          <w:p w14:paraId="3D423C18" w14:textId="77777777" w:rsidR="003A41D8" w:rsidRPr="00B83CEB" w:rsidRDefault="003A41D8" w:rsidP="000A59A8">
            <w:pPr>
              <w:rPr>
                <w:sz w:val="17"/>
                <w:szCs w:val="17"/>
              </w:rPr>
            </w:pPr>
          </w:p>
          <w:p w14:paraId="31083C50" w14:textId="77777777" w:rsidR="003A41D8" w:rsidRPr="00B83CEB" w:rsidRDefault="003A41D8" w:rsidP="000A59A8">
            <w:pPr>
              <w:rPr>
                <w:sz w:val="17"/>
                <w:szCs w:val="17"/>
              </w:rPr>
            </w:pPr>
          </w:p>
          <w:p w14:paraId="23FE8981" w14:textId="77777777" w:rsidR="003A41D8" w:rsidRPr="00B83CEB" w:rsidRDefault="003A41D8" w:rsidP="000A59A8">
            <w:pPr>
              <w:rPr>
                <w:sz w:val="17"/>
                <w:szCs w:val="17"/>
              </w:rPr>
            </w:pPr>
          </w:p>
          <w:p w14:paraId="76EDD56E" w14:textId="77777777" w:rsidR="003A41D8" w:rsidRPr="00B83CEB" w:rsidRDefault="003A41D8" w:rsidP="000A59A8">
            <w:pPr>
              <w:rPr>
                <w:sz w:val="17"/>
                <w:szCs w:val="17"/>
              </w:rPr>
            </w:pPr>
          </w:p>
          <w:p w14:paraId="1D21C650" w14:textId="77777777" w:rsidR="003A41D8" w:rsidRPr="00B83CEB" w:rsidRDefault="003A41D8" w:rsidP="000A59A8">
            <w:pPr>
              <w:rPr>
                <w:sz w:val="17"/>
                <w:szCs w:val="17"/>
              </w:rPr>
            </w:pPr>
          </w:p>
          <w:p w14:paraId="33C1AD86" w14:textId="77777777" w:rsidR="003A41D8" w:rsidRPr="00B83CEB" w:rsidRDefault="003A41D8" w:rsidP="000A59A8">
            <w:pPr>
              <w:rPr>
                <w:sz w:val="17"/>
                <w:szCs w:val="17"/>
              </w:rPr>
            </w:pPr>
          </w:p>
          <w:p w14:paraId="282ACBF1" w14:textId="77777777" w:rsidR="003A41D8" w:rsidRPr="00B83CEB" w:rsidRDefault="003A41D8" w:rsidP="000A59A8">
            <w:pPr>
              <w:rPr>
                <w:sz w:val="17"/>
                <w:szCs w:val="17"/>
              </w:rPr>
            </w:pPr>
          </w:p>
          <w:p w14:paraId="0CDEA35D" w14:textId="77777777" w:rsidR="003A41D8" w:rsidRPr="00B83CEB" w:rsidRDefault="003A41D8" w:rsidP="000A59A8">
            <w:pPr>
              <w:rPr>
                <w:sz w:val="17"/>
                <w:szCs w:val="17"/>
              </w:rPr>
            </w:pPr>
          </w:p>
          <w:p w14:paraId="542DCCD9" w14:textId="77777777" w:rsidR="003A41D8" w:rsidRPr="00B83CEB" w:rsidRDefault="003A41D8" w:rsidP="000A59A8">
            <w:pPr>
              <w:rPr>
                <w:sz w:val="17"/>
                <w:szCs w:val="17"/>
              </w:rPr>
            </w:pPr>
          </w:p>
          <w:p w14:paraId="7C188528" w14:textId="77777777" w:rsidR="003A41D8" w:rsidRPr="00B83CEB" w:rsidRDefault="003A41D8" w:rsidP="000A59A8">
            <w:pPr>
              <w:rPr>
                <w:sz w:val="17"/>
                <w:szCs w:val="17"/>
              </w:rPr>
            </w:pPr>
          </w:p>
          <w:p w14:paraId="53B9580D" w14:textId="77777777" w:rsidR="003A41D8" w:rsidRPr="00B83CEB" w:rsidRDefault="003A41D8" w:rsidP="000A59A8">
            <w:pPr>
              <w:rPr>
                <w:sz w:val="17"/>
                <w:szCs w:val="17"/>
              </w:rPr>
            </w:pPr>
          </w:p>
          <w:p w14:paraId="0873C2C4" w14:textId="77777777" w:rsidR="003A41D8" w:rsidRPr="00B83CEB" w:rsidRDefault="003A41D8" w:rsidP="000A59A8">
            <w:pPr>
              <w:rPr>
                <w:sz w:val="17"/>
                <w:szCs w:val="17"/>
              </w:rPr>
            </w:pPr>
          </w:p>
          <w:p w14:paraId="5C039D16" w14:textId="77777777" w:rsidR="003A41D8" w:rsidRPr="00B83CEB" w:rsidRDefault="003A41D8" w:rsidP="000A59A8">
            <w:pPr>
              <w:rPr>
                <w:sz w:val="17"/>
                <w:szCs w:val="17"/>
              </w:rPr>
            </w:pPr>
          </w:p>
          <w:p w14:paraId="11AE4490" w14:textId="77777777" w:rsidR="003A41D8" w:rsidRPr="00B83CEB" w:rsidRDefault="003A41D8" w:rsidP="000A59A8">
            <w:pPr>
              <w:rPr>
                <w:sz w:val="17"/>
                <w:szCs w:val="17"/>
              </w:rPr>
            </w:pPr>
          </w:p>
          <w:p w14:paraId="65890D8B" w14:textId="77777777" w:rsidR="003A41D8" w:rsidRPr="00B83CEB" w:rsidRDefault="003A41D8" w:rsidP="000A59A8">
            <w:pPr>
              <w:rPr>
                <w:sz w:val="17"/>
                <w:szCs w:val="17"/>
              </w:rPr>
            </w:pPr>
          </w:p>
          <w:p w14:paraId="55D98767" w14:textId="77777777" w:rsidR="003A41D8" w:rsidRPr="00B83CEB" w:rsidRDefault="003A41D8" w:rsidP="000A59A8">
            <w:pPr>
              <w:rPr>
                <w:sz w:val="17"/>
                <w:szCs w:val="17"/>
              </w:rPr>
            </w:pPr>
          </w:p>
          <w:p w14:paraId="152C6891" w14:textId="77777777" w:rsidR="003A41D8" w:rsidRPr="00B83CEB" w:rsidRDefault="003A41D8" w:rsidP="000A59A8">
            <w:pPr>
              <w:rPr>
                <w:sz w:val="17"/>
                <w:szCs w:val="17"/>
              </w:rPr>
            </w:pPr>
          </w:p>
          <w:p w14:paraId="63B43699" w14:textId="77777777" w:rsidR="003A41D8" w:rsidRPr="00B83CEB" w:rsidRDefault="003A41D8" w:rsidP="000A59A8">
            <w:pPr>
              <w:rPr>
                <w:sz w:val="17"/>
                <w:szCs w:val="17"/>
              </w:rPr>
            </w:pPr>
          </w:p>
          <w:p w14:paraId="139F8711" w14:textId="77777777" w:rsidR="003A41D8" w:rsidRPr="00B83CEB" w:rsidRDefault="003A41D8" w:rsidP="000A59A8">
            <w:pPr>
              <w:rPr>
                <w:sz w:val="17"/>
                <w:szCs w:val="17"/>
              </w:rPr>
            </w:pPr>
          </w:p>
          <w:p w14:paraId="6A0D57D6" w14:textId="77777777" w:rsidR="003A41D8" w:rsidRPr="00B83CEB" w:rsidRDefault="003A41D8" w:rsidP="000A59A8">
            <w:pPr>
              <w:rPr>
                <w:sz w:val="17"/>
                <w:szCs w:val="17"/>
              </w:rPr>
            </w:pPr>
          </w:p>
          <w:p w14:paraId="1CEFA395" w14:textId="77777777" w:rsidR="003A41D8" w:rsidRPr="00B83CEB" w:rsidRDefault="003A41D8" w:rsidP="000A59A8">
            <w:pPr>
              <w:rPr>
                <w:sz w:val="17"/>
                <w:szCs w:val="17"/>
              </w:rPr>
            </w:pPr>
          </w:p>
          <w:p w14:paraId="306341C1" w14:textId="77777777" w:rsidR="003A41D8" w:rsidRPr="00B83CEB" w:rsidRDefault="003A41D8" w:rsidP="000A59A8">
            <w:pPr>
              <w:rPr>
                <w:sz w:val="17"/>
                <w:szCs w:val="17"/>
              </w:rPr>
            </w:pPr>
          </w:p>
          <w:p w14:paraId="6ADE4C8C" w14:textId="77777777" w:rsidR="003A41D8" w:rsidRPr="00B83CEB" w:rsidRDefault="003A41D8" w:rsidP="000A59A8">
            <w:pPr>
              <w:rPr>
                <w:sz w:val="17"/>
                <w:szCs w:val="17"/>
              </w:rPr>
            </w:pPr>
          </w:p>
        </w:tc>
        <w:tc>
          <w:tcPr>
            <w:tcW w:w="0" w:type="auto"/>
            <w:gridSpan w:val="3"/>
            <w:tcBorders>
              <w:top w:val="single" w:sz="6" w:space="0" w:color="000000"/>
              <w:left w:val="single" w:sz="6" w:space="0" w:color="000000"/>
              <w:bottom w:val="single" w:sz="6" w:space="0" w:color="000000"/>
              <w:right w:val="single" w:sz="2" w:space="0" w:color="000000"/>
            </w:tcBorders>
            <w:tcMar>
              <w:top w:w="15" w:type="dxa"/>
              <w:left w:w="105" w:type="dxa"/>
              <w:bottom w:w="105" w:type="dxa"/>
              <w:right w:w="105" w:type="dxa"/>
            </w:tcMar>
            <w:hideMark/>
          </w:tcPr>
          <w:p w14:paraId="38BB83E6" w14:textId="54A8A3C3" w:rsidR="003A41D8" w:rsidRPr="009F608C" w:rsidRDefault="003A41D8" w:rsidP="00A62A2A">
            <w:pPr>
              <w:rPr>
                <w:b/>
                <w:sz w:val="17"/>
                <w:szCs w:val="17"/>
              </w:rPr>
            </w:pPr>
            <w:r w:rsidRPr="009F608C">
              <w:rPr>
                <w:b/>
                <w:sz w:val="17"/>
                <w:szCs w:val="17"/>
              </w:rPr>
              <w:lastRenderedPageBreak/>
              <w:t>Regular:</w:t>
            </w:r>
          </w:p>
          <w:p w14:paraId="2C8BAB79" w14:textId="3F1E7465" w:rsidR="003A41D8" w:rsidRDefault="003A41D8" w:rsidP="00A62A2A">
            <w:pPr>
              <w:rPr>
                <w:sz w:val="17"/>
                <w:szCs w:val="17"/>
              </w:rPr>
            </w:pPr>
            <w:r w:rsidRPr="00B83CEB">
              <w:rPr>
                <w:sz w:val="17"/>
                <w:szCs w:val="17"/>
              </w:rPr>
              <w:t xml:space="preserve">$     585,000 </w:t>
            </w:r>
          </w:p>
          <w:p w14:paraId="798C120C" w14:textId="77777777" w:rsidR="003A41D8" w:rsidRDefault="003A41D8" w:rsidP="00A62A2A">
            <w:pPr>
              <w:rPr>
                <w:sz w:val="17"/>
                <w:szCs w:val="17"/>
              </w:rPr>
            </w:pPr>
          </w:p>
          <w:p w14:paraId="0D9D5ECF" w14:textId="694AD5D5" w:rsidR="003A41D8" w:rsidRPr="009F608C" w:rsidRDefault="003A41D8" w:rsidP="00A62A2A">
            <w:pPr>
              <w:rPr>
                <w:b/>
                <w:sz w:val="17"/>
                <w:szCs w:val="17"/>
              </w:rPr>
            </w:pPr>
            <w:r w:rsidRPr="009F608C">
              <w:rPr>
                <w:b/>
                <w:sz w:val="17"/>
                <w:szCs w:val="17"/>
              </w:rPr>
              <w:t>Other:</w:t>
            </w:r>
          </w:p>
          <w:p w14:paraId="18F0458B" w14:textId="671D0F20" w:rsidR="003A41D8" w:rsidRDefault="003A41D8" w:rsidP="009F608C">
            <w:pPr>
              <w:rPr>
                <w:sz w:val="17"/>
                <w:szCs w:val="17"/>
              </w:rPr>
            </w:pPr>
            <w:r>
              <w:rPr>
                <w:sz w:val="17"/>
                <w:szCs w:val="17"/>
              </w:rPr>
              <w:t xml:space="preserve">$10,765,000 </w:t>
            </w:r>
          </w:p>
          <w:p w14:paraId="77A14C9B" w14:textId="77777777" w:rsidR="003A41D8" w:rsidRPr="00B83CEB" w:rsidRDefault="003A41D8" w:rsidP="009F608C">
            <w:pPr>
              <w:rPr>
                <w:sz w:val="17"/>
                <w:szCs w:val="17"/>
              </w:rPr>
            </w:pPr>
          </w:p>
          <w:p w14:paraId="4065B57D" w14:textId="0C0B4F58" w:rsidR="003A41D8" w:rsidRPr="009F608C" w:rsidRDefault="003A41D8" w:rsidP="00A62A2A">
            <w:pPr>
              <w:rPr>
                <w:b/>
                <w:sz w:val="17"/>
                <w:szCs w:val="17"/>
              </w:rPr>
            </w:pPr>
            <w:r w:rsidRPr="009F608C">
              <w:rPr>
                <w:b/>
                <w:sz w:val="17"/>
                <w:szCs w:val="17"/>
              </w:rPr>
              <w:t>Total:</w:t>
            </w:r>
          </w:p>
          <w:p w14:paraId="5844BE9E" w14:textId="28EF99F8" w:rsidR="003A41D8" w:rsidRPr="00B83CEB" w:rsidRDefault="003A41D8" w:rsidP="00B83CEB">
            <w:pPr>
              <w:rPr>
                <w:sz w:val="17"/>
                <w:szCs w:val="17"/>
              </w:rPr>
            </w:pPr>
            <w:r w:rsidRPr="00B83CEB">
              <w:rPr>
                <w:sz w:val="17"/>
                <w:szCs w:val="17"/>
              </w:rPr>
              <w:t>$11,350,000</w:t>
            </w:r>
          </w:p>
          <w:p w14:paraId="6D2B82FA" w14:textId="48BCA2C7" w:rsidR="003A41D8" w:rsidRPr="00B83CEB" w:rsidRDefault="003A41D8" w:rsidP="00A62A2A">
            <w:pPr>
              <w:rPr>
                <w:sz w:val="17"/>
                <w:szCs w:val="17"/>
              </w:rPr>
            </w:pPr>
          </w:p>
        </w:tc>
      </w:tr>
      <w:tr w:rsidR="003A41D8" w:rsidRPr="00B83CEB" w14:paraId="35E355F7" w14:textId="77777777" w:rsidTr="006819F7">
        <w:tc>
          <w:tcPr>
            <w:tcW w:w="0" w:type="auto"/>
            <w:gridSpan w:val="11"/>
            <w:tcBorders>
              <w:top w:val="single" w:sz="6" w:space="0" w:color="000000"/>
              <w:left w:val="single" w:sz="2" w:space="0" w:color="000000"/>
              <w:bottom w:val="single" w:sz="6" w:space="0" w:color="000000"/>
              <w:right w:val="single" w:sz="2" w:space="0" w:color="000000"/>
            </w:tcBorders>
            <w:shd w:val="clear" w:color="auto" w:fill="auto"/>
            <w:tcMar>
              <w:top w:w="105" w:type="dxa"/>
              <w:left w:w="105" w:type="dxa"/>
              <w:bottom w:w="105" w:type="dxa"/>
              <w:right w:w="105" w:type="dxa"/>
            </w:tcMar>
            <w:hideMark/>
          </w:tcPr>
          <w:p w14:paraId="42A10255" w14:textId="596B4E38" w:rsidR="003A41D8" w:rsidRPr="00B83CEB" w:rsidRDefault="003A41D8" w:rsidP="003A41D8">
            <w:pPr>
              <w:rPr>
                <w:b/>
                <w:bCs/>
                <w:color w:val="000000"/>
                <w:sz w:val="17"/>
                <w:szCs w:val="17"/>
              </w:rPr>
            </w:pPr>
            <w:r w:rsidRPr="00B83CEB">
              <w:rPr>
                <w:b/>
                <w:bCs/>
                <w:color w:val="000000"/>
                <w:sz w:val="17"/>
                <w:szCs w:val="17"/>
              </w:rPr>
              <w:lastRenderedPageBreak/>
              <w:br w:type="page"/>
              <w:t xml:space="preserve">National priority: </w:t>
            </w:r>
            <w:r>
              <w:rPr>
                <w:bCs/>
                <w:color w:val="000000"/>
                <w:sz w:val="17"/>
                <w:szCs w:val="17"/>
              </w:rPr>
              <w:t>Ensuring</w:t>
            </w:r>
            <w:r w:rsidRPr="00B83CEB">
              <w:rPr>
                <w:bCs/>
                <w:color w:val="000000"/>
                <w:sz w:val="17"/>
                <w:szCs w:val="17"/>
              </w:rPr>
              <w:t xml:space="preserve"> growth through increased competitiveness and innovation; investing </w:t>
            </w:r>
            <w:r>
              <w:rPr>
                <w:bCs/>
                <w:color w:val="000000"/>
                <w:sz w:val="17"/>
                <w:szCs w:val="17"/>
              </w:rPr>
              <w:t xml:space="preserve">in people and social cohesion; </w:t>
            </w:r>
            <w:r w:rsidRPr="00B83CEB">
              <w:rPr>
                <w:b/>
                <w:bCs/>
                <w:color w:val="000000"/>
                <w:sz w:val="17"/>
                <w:szCs w:val="17"/>
              </w:rPr>
              <w:t>Sustainable Development Goals 1, 4, 5, 8, 10, 11</w:t>
            </w:r>
            <w:r>
              <w:rPr>
                <w:b/>
                <w:bCs/>
                <w:color w:val="000000"/>
                <w:sz w:val="17"/>
                <w:szCs w:val="17"/>
              </w:rPr>
              <w:t xml:space="preserve"> </w:t>
            </w:r>
          </w:p>
        </w:tc>
      </w:tr>
      <w:tr w:rsidR="003A41D8" w:rsidRPr="00B83CEB" w14:paraId="23ADCC5B" w14:textId="77777777" w:rsidTr="006819F7">
        <w:tc>
          <w:tcPr>
            <w:tcW w:w="0" w:type="auto"/>
            <w:gridSpan w:val="11"/>
            <w:tcBorders>
              <w:top w:val="single" w:sz="6" w:space="0" w:color="000000"/>
              <w:left w:val="single" w:sz="2" w:space="0" w:color="000000"/>
              <w:bottom w:val="single" w:sz="6" w:space="0" w:color="000000"/>
              <w:right w:val="single" w:sz="2" w:space="0" w:color="000000"/>
            </w:tcBorders>
            <w:shd w:val="clear" w:color="auto" w:fill="auto"/>
            <w:tcMar>
              <w:top w:w="105" w:type="dxa"/>
              <w:left w:w="105" w:type="dxa"/>
              <w:bottom w:w="105" w:type="dxa"/>
              <w:right w:w="105" w:type="dxa"/>
            </w:tcMar>
          </w:tcPr>
          <w:p w14:paraId="40414982" w14:textId="1368845B" w:rsidR="003A41D8" w:rsidRPr="00B83CEB" w:rsidRDefault="00851AE4" w:rsidP="00035536">
            <w:pPr>
              <w:rPr>
                <w:b/>
                <w:bCs/>
                <w:color w:val="000000"/>
                <w:sz w:val="17"/>
                <w:szCs w:val="17"/>
              </w:rPr>
            </w:pPr>
            <w:r w:rsidRPr="00CC3210">
              <w:rPr>
                <w:b/>
                <w:bCs/>
                <w:color w:val="000000"/>
                <w:sz w:val="16"/>
                <w:szCs w:val="16"/>
                <w:lang w:val="en-GB"/>
              </w:rPr>
              <w:t xml:space="preserve">Related </w:t>
            </w:r>
            <w:r w:rsidR="00035536" w:rsidRPr="00CC3210">
              <w:rPr>
                <w:b/>
                <w:bCs/>
                <w:color w:val="000000"/>
                <w:sz w:val="16"/>
                <w:szCs w:val="16"/>
                <w:lang w:val="en-GB"/>
              </w:rPr>
              <w:t xml:space="preserve"> </w:t>
            </w:r>
            <w:r w:rsidR="003A41D8" w:rsidRPr="00CC3210">
              <w:rPr>
                <w:b/>
                <w:bCs/>
                <w:color w:val="000000"/>
                <w:sz w:val="16"/>
                <w:szCs w:val="16"/>
                <w:lang w:val="en-GB"/>
              </w:rPr>
              <w:t xml:space="preserve">Strategic Plan </w:t>
            </w:r>
            <w:r w:rsidRPr="00CC3210">
              <w:rPr>
                <w:b/>
                <w:bCs/>
                <w:color w:val="000000"/>
                <w:sz w:val="16"/>
                <w:szCs w:val="16"/>
                <w:lang w:val="en-GB"/>
              </w:rPr>
              <w:t>(</w:t>
            </w:r>
            <w:r w:rsidR="003A41D8" w:rsidRPr="00CC3210">
              <w:rPr>
                <w:b/>
                <w:bCs/>
                <w:color w:val="000000"/>
                <w:sz w:val="16"/>
                <w:szCs w:val="16"/>
                <w:lang w:val="en-GB"/>
              </w:rPr>
              <w:t xml:space="preserve">2014-2017) Outcome : </w:t>
            </w:r>
            <w:r w:rsidR="00035536" w:rsidRPr="00CC3210">
              <w:rPr>
                <w:b/>
                <w:bCs/>
                <w:color w:val="000000"/>
                <w:sz w:val="16"/>
                <w:szCs w:val="16"/>
                <w:lang w:val="en-GB"/>
              </w:rPr>
              <w:t xml:space="preserve">1. </w:t>
            </w:r>
            <w:r w:rsidR="003A41D8" w:rsidRPr="00CC3210">
              <w:rPr>
                <w:b/>
                <w:bCs/>
                <w:color w:val="000000"/>
                <w:sz w:val="16"/>
                <w:szCs w:val="16"/>
                <w:lang w:val="en-GB"/>
              </w:rPr>
              <w:t>Growth and development are inclusive and sustainable incorporating productive capacities that create employment and livelihoods for the poor and excluded</w:t>
            </w:r>
          </w:p>
        </w:tc>
      </w:tr>
      <w:tr w:rsidR="003A41D8" w:rsidRPr="00B83CEB" w14:paraId="706FB9B0" w14:textId="77777777" w:rsidTr="006819F7">
        <w:tc>
          <w:tcPr>
            <w:tcW w:w="0" w:type="auto"/>
            <w:gridSpan w:val="11"/>
            <w:tcBorders>
              <w:top w:val="single" w:sz="6" w:space="0" w:color="000000"/>
              <w:left w:val="single" w:sz="2"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6D65AB76" w14:textId="364AEF4B" w:rsidR="003A41D8" w:rsidRPr="00B83CEB" w:rsidRDefault="003A41D8" w:rsidP="007C7771">
            <w:pPr>
              <w:rPr>
                <w:b/>
                <w:bCs/>
                <w:color w:val="000000"/>
                <w:sz w:val="17"/>
                <w:szCs w:val="17"/>
              </w:rPr>
            </w:pPr>
            <w:r w:rsidRPr="00B83CEB">
              <w:rPr>
                <w:b/>
                <w:bCs/>
                <w:color w:val="000000"/>
                <w:sz w:val="17"/>
                <w:szCs w:val="17"/>
              </w:rPr>
              <w:t xml:space="preserve">UNDAF outcome 3: </w:t>
            </w:r>
            <w:r w:rsidRPr="00B83CEB">
              <w:rPr>
                <w:bCs/>
                <w:color w:val="000000"/>
                <w:sz w:val="17"/>
                <w:szCs w:val="17"/>
              </w:rPr>
              <w:t>Economic growth priorities, policies and programmes of the Government of Albania are inclusive, sustainable and gender-responsive, with greater focus on competitiveness, decent jobs and rural development.</w:t>
            </w:r>
          </w:p>
        </w:tc>
      </w:tr>
      <w:tr w:rsidR="003A41D8" w:rsidRPr="00B83CEB" w14:paraId="2AAC55D0" w14:textId="77777777" w:rsidTr="00D523D0">
        <w:tc>
          <w:tcPr>
            <w:tcW w:w="3177" w:type="dxa"/>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33392217" w14:textId="4B2F97E7" w:rsidR="003A41D8" w:rsidRPr="00B83CEB" w:rsidRDefault="003A41D8" w:rsidP="000A59A8">
            <w:pPr>
              <w:rPr>
                <w:sz w:val="17"/>
                <w:szCs w:val="17"/>
              </w:rPr>
            </w:pPr>
            <w:r w:rsidRPr="00B83CEB">
              <w:rPr>
                <w:color w:val="000000"/>
                <w:sz w:val="17"/>
                <w:szCs w:val="17"/>
              </w:rPr>
              <w:t>3.1 Number of new businesses established by men and women</w:t>
            </w:r>
          </w:p>
          <w:p w14:paraId="31DDAC31" w14:textId="2BE65847" w:rsidR="003A41D8" w:rsidRPr="00B83CEB" w:rsidRDefault="003A41D8" w:rsidP="000A59A8">
            <w:pPr>
              <w:rPr>
                <w:sz w:val="17"/>
                <w:szCs w:val="17"/>
              </w:rPr>
            </w:pPr>
            <w:r w:rsidRPr="00B83CEB">
              <w:rPr>
                <w:color w:val="000000"/>
                <w:sz w:val="17"/>
                <w:szCs w:val="17"/>
                <w:u w:val="single"/>
              </w:rPr>
              <w:t>Baseline (2014):</w:t>
            </w:r>
            <w:r w:rsidRPr="00B83CEB">
              <w:rPr>
                <w:color w:val="000000"/>
                <w:sz w:val="17"/>
                <w:szCs w:val="17"/>
              </w:rPr>
              <w:t xml:space="preserve">     </w:t>
            </w:r>
            <w:r w:rsidRPr="00B83CEB">
              <w:rPr>
                <w:color w:val="000000"/>
                <w:sz w:val="17"/>
                <w:szCs w:val="17"/>
                <w:u w:val="single"/>
              </w:rPr>
              <w:t>Target (annually):</w:t>
            </w:r>
          </w:p>
          <w:p w14:paraId="2023937E" w14:textId="77777777" w:rsidR="003A41D8" w:rsidRPr="00B83CEB" w:rsidRDefault="003A41D8" w:rsidP="000A59A8">
            <w:pPr>
              <w:rPr>
                <w:sz w:val="17"/>
                <w:szCs w:val="17"/>
              </w:rPr>
            </w:pPr>
            <w:r w:rsidRPr="00B83CEB">
              <w:rPr>
                <w:color w:val="000000"/>
                <w:sz w:val="17"/>
                <w:szCs w:val="17"/>
              </w:rPr>
              <w:t>Total</w:t>
            </w:r>
          </w:p>
          <w:p w14:paraId="0FDE0B63" w14:textId="77777777" w:rsidR="003A41D8" w:rsidRPr="00B83CEB" w:rsidRDefault="003A41D8" w:rsidP="000A59A8">
            <w:pPr>
              <w:rPr>
                <w:sz w:val="17"/>
                <w:szCs w:val="17"/>
              </w:rPr>
            </w:pPr>
            <w:r w:rsidRPr="00B83CEB">
              <w:rPr>
                <w:color w:val="000000"/>
                <w:sz w:val="17"/>
                <w:szCs w:val="17"/>
              </w:rPr>
              <w:t>16,731                     +10%</w:t>
            </w:r>
          </w:p>
          <w:p w14:paraId="54679ACC" w14:textId="77777777" w:rsidR="003A41D8" w:rsidRPr="00B83CEB" w:rsidRDefault="003A41D8" w:rsidP="000A59A8">
            <w:pPr>
              <w:rPr>
                <w:sz w:val="17"/>
                <w:szCs w:val="17"/>
              </w:rPr>
            </w:pPr>
            <w:r w:rsidRPr="00B83CEB">
              <w:rPr>
                <w:color w:val="000000"/>
                <w:sz w:val="17"/>
                <w:szCs w:val="17"/>
              </w:rPr>
              <w:t>Female</w:t>
            </w:r>
          </w:p>
          <w:p w14:paraId="25AA690A" w14:textId="77777777" w:rsidR="003A41D8" w:rsidRPr="00B83CEB" w:rsidRDefault="003A41D8" w:rsidP="000A59A8">
            <w:pPr>
              <w:rPr>
                <w:sz w:val="17"/>
                <w:szCs w:val="17"/>
              </w:rPr>
            </w:pPr>
            <w:r w:rsidRPr="00B83CEB">
              <w:rPr>
                <w:color w:val="000000"/>
                <w:sz w:val="17"/>
                <w:szCs w:val="17"/>
              </w:rPr>
              <w:t>1,947                       +10%</w:t>
            </w:r>
          </w:p>
          <w:p w14:paraId="158C71D0" w14:textId="77777777" w:rsidR="003A41D8" w:rsidRPr="00B83CEB" w:rsidRDefault="003A41D8" w:rsidP="000A59A8">
            <w:pPr>
              <w:rPr>
                <w:sz w:val="17"/>
                <w:szCs w:val="17"/>
              </w:rPr>
            </w:pPr>
            <w:r w:rsidRPr="00B83CEB">
              <w:rPr>
                <w:color w:val="000000"/>
                <w:sz w:val="17"/>
                <w:szCs w:val="17"/>
              </w:rPr>
              <w:t>Male</w:t>
            </w:r>
          </w:p>
          <w:p w14:paraId="47F6EF7C" w14:textId="77777777" w:rsidR="003A41D8" w:rsidRPr="00B83CEB" w:rsidRDefault="003A41D8" w:rsidP="000A59A8">
            <w:pPr>
              <w:rPr>
                <w:color w:val="000000"/>
                <w:sz w:val="17"/>
                <w:szCs w:val="17"/>
              </w:rPr>
            </w:pPr>
            <w:r w:rsidRPr="00B83CEB">
              <w:rPr>
                <w:color w:val="000000"/>
                <w:sz w:val="17"/>
                <w:szCs w:val="17"/>
              </w:rPr>
              <w:t>14,784                     +10%</w:t>
            </w:r>
          </w:p>
          <w:p w14:paraId="674E475B" w14:textId="77777777" w:rsidR="003A41D8" w:rsidRPr="00B83CEB" w:rsidRDefault="003A41D8" w:rsidP="000A59A8">
            <w:pPr>
              <w:rPr>
                <w:sz w:val="17"/>
                <w:szCs w:val="17"/>
              </w:rPr>
            </w:pPr>
          </w:p>
          <w:p w14:paraId="411449B2" w14:textId="7BE36795" w:rsidR="003A41D8" w:rsidRPr="00B83CEB" w:rsidRDefault="003A41D8" w:rsidP="000A59A8">
            <w:pPr>
              <w:rPr>
                <w:color w:val="000000"/>
                <w:sz w:val="17"/>
                <w:szCs w:val="17"/>
              </w:rPr>
            </w:pPr>
            <w:r w:rsidRPr="00B83CEB">
              <w:rPr>
                <w:color w:val="000000"/>
                <w:sz w:val="17"/>
                <w:szCs w:val="17"/>
              </w:rPr>
              <w:t>3.2 Unemployment rate (men and women (age 15+ years) who are: without work; available for work; seeking work)</w:t>
            </w:r>
          </w:p>
          <w:p w14:paraId="425C111F" w14:textId="160A9068" w:rsidR="003A41D8" w:rsidRPr="00B83CEB" w:rsidRDefault="003A41D8" w:rsidP="000A59A8">
            <w:pPr>
              <w:rPr>
                <w:color w:val="000000"/>
                <w:sz w:val="17"/>
                <w:szCs w:val="17"/>
              </w:rPr>
            </w:pPr>
            <w:r w:rsidRPr="00B83CEB">
              <w:rPr>
                <w:color w:val="000000"/>
                <w:sz w:val="17"/>
                <w:szCs w:val="17"/>
                <w:u w:val="single"/>
              </w:rPr>
              <w:t>Baseline (2014):</w:t>
            </w:r>
            <w:r w:rsidRPr="00B83CEB">
              <w:rPr>
                <w:color w:val="000000"/>
                <w:sz w:val="17"/>
                <w:szCs w:val="17"/>
              </w:rPr>
              <w:t xml:space="preserve">     </w:t>
            </w:r>
            <w:r w:rsidRPr="00B83CEB">
              <w:rPr>
                <w:color w:val="000000"/>
                <w:sz w:val="17"/>
                <w:szCs w:val="17"/>
                <w:u w:val="single"/>
              </w:rPr>
              <w:t>Target:</w:t>
            </w:r>
          </w:p>
          <w:p w14:paraId="6109BBD6" w14:textId="77777777" w:rsidR="003A41D8" w:rsidRPr="00B83CEB" w:rsidRDefault="003A41D8" w:rsidP="000A59A8">
            <w:pPr>
              <w:rPr>
                <w:sz w:val="17"/>
                <w:szCs w:val="17"/>
              </w:rPr>
            </w:pPr>
            <w:r w:rsidRPr="00B83CEB">
              <w:rPr>
                <w:color w:val="000000"/>
                <w:sz w:val="17"/>
                <w:szCs w:val="17"/>
              </w:rPr>
              <w:t>Total</w:t>
            </w:r>
          </w:p>
          <w:p w14:paraId="4D77D7F5" w14:textId="2E52A09A" w:rsidR="003A41D8" w:rsidRPr="00B83CEB" w:rsidRDefault="003A41D8" w:rsidP="000A59A8">
            <w:pPr>
              <w:rPr>
                <w:sz w:val="17"/>
                <w:szCs w:val="17"/>
              </w:rPr>
            </w:pPr>
            <w:r w:rsidRPr="00B83CEB">
              <w:rPr>
                <w:color w:val="000000"/>
                <w:sz w:val="17"/>
                <w:szCs w:val="17"/>
              </w:rPr>
              <w:t>17.6%                       15% (by 2020)</w:t>
            </w:r>
          </w:p>
          <w:p w14:paraId="09A4BC55" w14:textId="77777777" w:rsidR="003A41D8" w:rsidRPr="00B83CEB" w:rsidRDefault="003A41D8" w:rsidP="000A59A8">
            <w:pPr>
              <w:rPr>
                <w:sz w:val="17"/>
                <w:szCs w:val="17"/>
              </w:rPr>
            </w:pPr>
            <w:r w:rsidRPr="00B83CEB">
              <w:rPr>
                <w:color w:val="000000"/>
                <w:sz w:val="17"/>
                <w:szCs w:val="17"/>
              </w:rPr>
              <w:t>Female</w:t>
            </w:r>
          </w:p>
          <w:p w14:paraId="0FD9B2B1" w14:textId="77777777" w:rsidR="003A41D8" w:rsidRPr="00B83CEB" w:rsidRDefault="003A41D8" w:rsidP="000A59A8">
            <w:pPr>
              <w:rPr>
                <w:sz w:val="17"/>
                <w:szCs w:val="17"/>
              </w:rPr>
            </w:pPr>
            <w:r w:rsidRPr="00B83CEB">
              <w:rPr>
                <w:color w:val="000000"/>
                <w:sz w:val="17"/>
                <w:szCs w:val="17"/>
              </w:rPr>
              <w:t>15.8%                       15%</w:t>
            </w:r>
          </w:p>
          <w:p w14:paraId="2DA8F16A" w14:textId="77777777" w:rsidR="003A41D8" w:rsidRPr="00B83CEB" w:rsidRDefault="003A41D8" w:rsidP="000A59A8">
            <w:pPr>
              <w:rPr>
                <w:sz w:val="17"/>
                <w:szCs w:val="17"/>
              </w:rPr>
            </w:pPr>
            <w:r w:rsidRPr="00B83CEB">
              <w:rPr>
                <w:color w:val="000000"/>
                <w:sz w:val="17"/>
                <w:szCs w:val="17"/>
              </w:rPr>
              <w:t>Male</w:t>
            </w:r>
          </w:p>
          <w:p w14:paraId="4542436D" w14:textId="77777777" w:rsidR="003A41D8" w:rsidRPr="00B83CEB" w:rsidRDefault="003A41D8" w:rsidP="000A59A8">
            <w:pPr>
              <w:rPr>
                <w:sz w:val="17"/>
                <w:szCs w:val="17"/>
              </w:rPr>
            </w:pPr>
            <w:r w:rsidRPr="00B83CEB">
              <w:rPr>
                <w:color w:val="000000"/>
                <w:sz w:val="17"/>
                <w:szCs w:val="17"/>
              </w:rPr>
              <w:t>18.9%                       15%</w:t>
            </w:r>
          </w:p>
        </w:tc>
        <w:tc>
          <w:tcPr>
            <w:tcW w:w="2114" w:type="dxa"/>
            <w:gridSpan w:val="3"/>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1A219739" w14:textId="61E56507" w:rsidR="003A41D8" w:rsidRPr="00B83CEB" w:rsidRDefault="003A41D8" w:rsidP="000A59A8">
            <w:pPr>
              <w:rPr>
                <w:sz w:val="17"/>
                <w:szCs w:val="17"/>
              </w:rPr>
            </w:pPr>
            <w:r w:rsidRPr="00B83CEB">
              <w:rPr>
                <w:color w:val="000000"/>
                <w:sz w:val="17"/>
                <w:szCs w:val="17"/>
              </w:rPr>
              <w:t xml:space="preserve">National Registration Centre  (annually) </w:t>
            </w:r>
          </w:p>
          <w:p w14:paraId="15B32B65" w14:textId="77777777" w:rsidR="003A41D8" w:rsidRPr="00B83CEB" w:rsidRDefault="003A41D8" w:rsidP="000A59A8">
            <w:pPr>
              <w:spacing w:after="240"/>
              <w:rPr>
                <w:color w:val="000000"/>
                <w:sz w:val="17"/>
                <w:szCs w:val="17"/>
              </w:rPr>
            </w:pPr>
            <w:r w:rsidRPr="00B83CEB">
              <w:rPr>
                <w:sz w:val="17"/>
                <w:szCs w:val="17"/>
              </w:rPr>
              <w:br/>
            </w:r>
            <w:r w:rsidRPr="00B83CEB">
              <w:rPr>
                <w:sz w:val="17"/>
                <w:szCs w:val="17"/>
              </w:rPr>
              <w:br/>
            </w:r>
            <w:r w:rsidRPr="00B83CEB">
              <w:rPr>
                <w:sz w:val="17"/>
                <w:szCs w:val="17"/>
              </w:rPr>
              <w:br/>
            </w:r>
            <w:r w:rsidRPr="00B83CEB">
              <w:rPr>
                <w:sz w:val="17"/>
                <w:szCs w:val="17"/>
              </w:rPr>
              <w:br/>
            </w:r>
            <w:r w:rsidRPr="00B83CEB">
              <w:rPr>
                <w:sz w:val="17"/>
                <w:szCs w:val="17"/>
              </w:rPr>
              <w:br/>
            </w:r>
            <w:r w:rsidRPr="00B83CEB">
              <w:rPr>
                <w:sz w:val="17"/>
                <w:szCs w:val="17"/>
              </w:rPr>
              <w:br/>
            </w:r>
          </w:p>
          <w:p w14:paraId="15947253" w14:textId="719E8C65" w:rsidR="003A41D8" w:rsidRPr="00B83CEB" w:rsidRDefault="003A41D8" w:rsidP="000A59A8">
            <w:pPr>
              <w:rPr>
                <w:sz w:val="17"/>
                <w:szCs w:val="17"/>
              </w:rPr>
            </w:pPr>
            <w:r w:rsidRPr="00B83CEB">
              <w:rPr>
                <w:color w:val="000000"/>
                <w:sz w:val="17"/>
                <w:szCs w:val="17"/>
              </w:rPr>
              <w:t xml:space="preserve">INSTAT Labour Force Surveys </w:t>
            </w:r>
          </w:p>
          <w:p w14:paraId="7AF28934" w14:textId="77777777" w:rsidR="003A41D8" w:rsidRPr="00B83CEB" w:rsidRDefault="003A41D8" w:rsidP="000A59A8">
            <w:pPr>
              <w:rPr>
                <w:sz w:val="17"/>
                <w:szCs w:val="17"/>
              </w:rPr>
            </w:pPr>
          </w:p>
        </w:tc>
        <w:tc>
          <w:tcPr>
            <w:tcW w:w="474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8692CA" w14:textId="118E9E07" w:rsidR="003A41D8" w:rsidRPr="00B83CEB" w:rsidRDefault="003A41D8" w:rsidP="000A59A8">
            <w:pPr>
              <w:rPr>
                <w:b/>
                <w:bCs/>
                <w:color w:val="000000"/>
                <w:sz w:val="17"/>
                <w:szCs w:val="17"/>
              </w:rPr>
            </w:pPr>
            <w:r w:rsidRPr="00B83CEB">
              <w:rPr>
                <w:b/>
                <w:bCs/>
                <w:color w:val="000000"/>
                <w:sz w:val="17"/>
                <w:szCs w:val="17"/>
                <w:u w:val="single"/>
              </w:rPr>
              <w:t>Output 3.1</w:t>
            </w:r>
            <w:r w:rsidRPr="00B83CEB">
              <w:rPr>
                <w:b/>
                <w:bCs/>
                <w:color w:val="000000"/>
                <w:sz w:val="17"/>
                <w:szCs w:val="17"/>
              </w:rPr>
              <w:t xml:space="preserve">  An optimized skills development system contributes to an adequately skilled labour force that meets private sector needs </w:t>
            </w:r>
          </w:p>
          <w:p w14:paraId="56BA35CF" w14:textId="77777777" w:rsidR="003A41D8" w:rsidRPr="00B83CEB" w:rsidRDefault="003A41D8" w:rsidP="000A59A8">
            <w:pPr>
              <w:rPr>
                <w:sz w:val="17"/>
                <w:szCs w:val="17"/>
              </w:rPr>
            </w:pPr>
          </w:p>
          <w:p w14:paraId="1ADE44B9" w14:textId="77777777" w:rsidR="003A41D8" w:rsidRPr="00B83CEB" w:rsidRDefault="003A41D8" w:rsidP="000A59A8">
            <w:pPr>
              <w:rPr>
                <w:color w:val="000000"/>
                <w:sz w:val="17"/>
                <w:szCs w:val="17"/>
              </w:rPr>
            </w:pPr>
            <w:r w:rsidRPr="00B83CEB">
              <w:rPr>
                <w:color w:val="000000"/>
                <w:sz w:val="17"/>
                <w:szCs w:val="17"/>
                <w:u w:val="single"/>
              </w:rPr>
              <w:t>Indicator 3.1.1</w:t>
            </w:r>
            <w:r w:rsidRPr="00B83CEB">
              <w:rPr>
                <w:color w:val="000000"/>
                <w:sz w:val="17"/>
                <w:szCs w:val="17"/>
              </w:rPr>
              <w:t xml:space="preserve"> </w:t>
            </w:r>
          </w:p>
          <w:p w14:paraId="40AF2BA7" w14:textId="3D0A81C2" w:rsidR="003A41D8" w:rsidRPr="00B83CEB" w:rsidRDefault="003A41D8" w:rsidP="000A59A8">
            <w:pPr>
              <w:rPr>
                <w:color w:val="000000"/>
                <w:sz w:val="17"/>
                <w:szCs w:val="17"/>
              </w:rPr>
            </w:pPr>
            <w:r w:rsidRPr="00B83CEB">
              <w:rPr>
                <w:color w:val="000000"/>
                <w:sz w:val="17"/>
                <w:szCs w:val="17"/>
              </w:rPr>
              <w:t>Quality assurance and accreditation systems in place for public and private vocational education training providers</w:t>
            </w:r>
          </w:p>
          <w:p w14:paraId="1B2A7D43" w14:textId="77777777" w:rsidR="003A41D8" w:rsidRPr="00B83CEB" w:rsidRDefault="003A41D8" w:rsidP="000A59A8">
            <w:pPr>
              <w:rPr>
                <w:color w:val="000000"/>
                <w:sz w:val="17"/>
                <w:szCs w:val="17"/>
              </w:rPr>
            </w:pPr>
          </w:p>
          <w:p w14:paraId="481433C7" w14:textId="77777777"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4A133B39" w14:textId="77777777" w:rsidR="003A41D8" w:rsidRPr="00B83CEB" w:rsidRDefault="003A41D8" w:rsidP="000A59A8">
            <w:pPr>
              <w:rPr>
                <w:sz w:val="17"/>
                <w:szCs w:val="17"/>
              </w:rPr>
            </w:pPr>
            <w:r w:rsidRPr="00B83CEB">
              <w:rPr>
                <w:sz w:val="17"/>
                <w:szCs w:val="17"/>
              </w:rPr>
              <w:t>No                     Yes</w:t>
            </w:r>
          </w:p>
          <w:p w14:paraId="5ED3E30E" w14:textId="655731B7" w:rsidR="003A41D8" w:rsidRPr="00B83CEB" w:rsidRDefault="003A41D8" w:rsidP="000A59A8">
            <w:pPr>
              <w:rPr>
                <w:sz w:val="17"/>
                <w:szCs w:val="17"/>
              </w:rPr>
            </w:pPr>
            <w:r w:rsidRPr="00B83CEB">
              <w:rPr>
                <w:color w:val="000000"/>
                <w:sz w:val="17"/>
                <w:szCs w:val="17"/>
              </w:rPr>
              <w:t>Source:</w:t>
            </w:r>
            <w:r w:rsidRPr="00B83CEB">
              <w:rPr>
                <w:b/>
                <w:bCs/>
                <w:color w:val="000000"/>
                <w:sz w:val="17"/>
                <w:szCs w:val="17"/>
              </w:rPr>
              <w:t xml:space="preserve"> </w:t>
            </w:r>
            <w:r w:rsidRPr="00B83CEB">
              <w:rPr>
                <w:color w:val="000000"/>
                <w:sz w:val="17"/>
                <w:szCs w:val="17"/>
              </w:rPr>
              <w:t xml:space="preserve">MSWY </w:t>
            </w:r>
          </w:p>
          <w:p w14:paraId="01BA78C4" w14:textId="77777777" w:rsidR="003A41D8" w:rsidRPr="00B83CEB" w:rsidRDefault="003A41D8" w:rsidP="000A59A8">
            <w:pPr>
              <w:rPr>
                <w:sz w:val="17"/>
                <w:szCs w:val="17"/>
              </w:rPr>
            </w:pPr>
          </w:p>
          <w:p w14:paraId="6A35F5F6" w14:textId="77777777" w:rsidR="003A41D8" w:rsidRPr="00B83CEB" w:rsidRDefault="003A41D8" w:rsidP="000A59A8">
            <w:pPr>
              <w:rPr>
                <w:rFonts w:eastAsia="Calibri"/>
                <w:color w:val="000000"/>
                <w:sz w:val="17"/>
                <w:szCs w:val="17"/>
              </w:rPr>
            </w:pPr>
            <w:r w:rsidRPr="00B83CEB">
              <w:rPr>
                <w:rFonts w:eastAsia="Calibri"/>
                <w:color w:val="000000"/>
                <w:sz w:val="17"/>
                <w:szCs w:val="17"/>
                <w:u w:val="single"/>
              </w:rPr>
              <w:t>Indicator 3.1.2</w:t>
            </w:r>
            <w:r w:rsidRPr="00B83CEB">
              <w:rPr>
                <w:rFonts w:eastAsia="Calibri"/>
                <w:color w:val="000000"/>
                <w:sz w:val="17"/>
                <w:szCs w:val="17"/>
              </w:rPr>
              <w:t xml:space="preserve"> </w:t>
            </w:r>
          </w:p>
          <w:p w14:paraId="69B7A129" w14:textId="5720CDA9" w:rsidR="003A41D8" w:rsidRPr="00B83CEB" w:rsidRDefault="003A41D8" w:rsidP="000A59A8">
            <w:pPr>
              <w:rPr>
                <w:rFonts w:eastAsia="Calibri"/>
                <w:color w:val="000000"/>
                <w:sz w:val="17"/>
                <w:szCs w:val="17"/>
              </w:rPr>
            </w:pPr>
            <w:r w:rsidRPr="00B83CEB">
              <w:rPr>
                <w:rFonts w:eastAsia="Calibri"/>
                <w:color w:val="000000"/>
                <w:sz w:val="17"/>
                <w:szCs w:val="17"/>
              </w:rPr>
              <w:t xml:space="preserve">Number of public-private partnerships formed for work-based learning </w:t>
            </w:r>
          </w:p>
          <w:p w14:paraId="44AE974F" w14:textId="77777777" w:rsidR="003A41D8" w:rsidRPr="00B83CEB" w:rsidRDefault="003A41D8" w:rsidP="000A59A8">
            <w:pPr>
              <w:rPr>
                <w:color w:val="000000"/>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78EF9460" w14:textId="77777777" w:rsidR="003A41D8" w:rsidRPr="00B83CEB" w:rsidRDefault="003A41D8" w:rsidP="000A59A8">
            <w:pPr>
              <w:rPr>
                <w:color w:val="000000"/>
                <w:sz w:val="17"/>
                <w:szCs w:val="17"/>
              </w:rPr>
            </w:pPr>
            <w:r w:rsidRPr="00B83CEB">
              <w:rPr>
                <w:color w:val="000000"/>
                <w:sz w:val="17"/>
                <w:szCs w:val="17"/>
              </w:rPr>
              <w:t xml:space="preserve">0                       2 </w:t>
            </w:r>
          </w:p>
          <w:p w14:paraId="1A1C2F8C" w14:textId="606C0845" w:rsidR="003A41D8" w:rsidRPr="00B83CEB" w:rsidRDefault="003A41D8" w:rsidP="000A59A8">
            <w:pPr>
              <w:rPr>
                <w:rFonts w:eastAsia="Calibri"/>
                <w:color w:val="000000"/>
                <w:sz w:val="17"/>
                <w:szCs w:val="17"/>
              </w:rPr>
            </w:pPr>
            <w:r w:rsidRPr="00B83CEB">
              <w:rPr>
                <w:rFonts w:eastAsia="Calibri"/>
                <w:color w:val="000000"/>
                <w:sz w:val="17"/>
                <w:szCs w:val="17"/>
              </w:rPr>
              <w:t>Source: UNDP (Integrated Results and Resources Framework 7.2.1)</w:t>
            </w:r>
          </w:p>
          <w:p w14:paraId="4658CD53" w14:textId="77777777" w:rsidR="003A41D8" w:rsidRPr="00B83CEB" w:rsidRDefault="003A41D8" w:rsidP="000A59A8">
            <w:pPr>
              <w:rPr>
                <w:sz w:val="17"/>
                <w:szCs w:val="17"/>
              </w:rPr>
            </w:pPr>
          </w:p>
          <w:p w14:paraId="57C9BD39" w14:textId="7D6C7E2D" w:rsidR="003A41D8" w:rsidRPr="00B83CEB" w:rsidRDefault="003A41D8" w:rsidP="000A59A8">
            <w:pPr>
              <w:rPr>
                <w:b/>
                <w:bCs/>
                <w:color w:val="000000"/>
                <w:sz w:val="17"/>
                <w:szCs w:val="17"/>
              </w:rPr>
            </w:pPr>
            <w:r w:rsidRPr="00B83CEB">
              <w:rPr>
                <w:b/>
                <w:bCs/>
                <w:color w:val="000000"/>
                <w:sz w:val="17"/>
                <w:szCs w:val="17"/>
                <w:u w:val="single"/>
              </w:rPr>
              <w:t>Output 3.2</w:t>
            </w:r>
            <w:r w:rsidRPr="00B83CEB">
              <w:rPr>
                <w:b/>
                <w:bCs/>
                <w:color w:val="000000"/>
                <w:sz w:val="17"/>
                <w:szCs w:val="17"/>
              </w:rPr>
              <w:t xml:space="preserve">  State institutions are better able to develop, implement and monitor employment policies that seek the labour market integration of vulnerable groups</w:t>
            </w:r>
          </w:p>
          <w:p w14:paraId="716D05E7" w14:textId="77777777" w:rsidR="003A41D8" w:rsidRPr="00B83CEB" w:rsidRDefault="003A41D8" w:rsidP="000A59A8">
            <w:pPr>
              <w:rPr>
                <w:b/>
                <w:bCs/>
                <w:color w:val="000000"/>
                <w:sz w:val="17"/>
                <w:szCs w:val="17"/>
              </w:rPr>
            </w:pPr>
          </w:p>
          <w:p w14:paraId="7A162FDE" w14:textId="2737AC40" w:rsidR="003A41D8" w:rsidRPr="00B83CEB" w:rsidRDefault="003A41D8" w:rsidP="000A59A8">
            <w:pPr>
              <w:rPr>
                <w:color w:val="000000"/>
                <w:sz w:val="17"/>
                <w:szCs w:val="17"/>
              </w:rPr>
            </w:pPr>
            <w:r w:rsidRPr="00B83CEB">
              <w:rPr>
                <w:color w:val="000000"/>
                <w:sz w:val="17"/>
                <w:szCs w:val="17"/>
                <w:u w:val="single"/>
              </w:rPr>
              <w:t>Indicator 3.2.1</w:t>
            </w:r>
            <w:r w:rsidRPr="00B83CEB">
              <w:rPr>
                <w:color w:val="000000"/>
                <w:sz w:val="17"/>
                <w:szCs w:val="17"/>
              </w:rPr>
              <w:t xml:space="preserve"> </w:t>
            </w:r>
          </w:p>
          <w:p w14:paraId="7E8852B8" w14:textId="207EB299" w:rsidR="003A41D8" w:rsidRPr="00B83CEB" w:rsidRDefault="003A41D8" w:rsidP="000A59A8">
            <w:pPr>
              <w:rPr>
                <w:sz w:val="17"/>
                <w:szCs w:val="17"/>
              </w:rPr>
            </w:pPr>
            <w:r w:rsidRPr="00B83CEB">
              <w:rPr>
                <w:color w:val="000000"/>
                <w:sz w:val="17"/>
                <w:szCs w:val="17"/>
              </w:rPr>
              <w:lastRenderedPageBreak/>
              <w:t>Extent to which policies, systems and/or institutional measures are in place at the national and subnational levels to generate and strengthen employment and livelihoods</w:t>
            </w:r>
            <w:r w:rsidRPr="00B83CEB" w:rsidDel="00610798">
              <w:rPr>
                <w:color w:val="000000"/>
                <w:sz w:val="17"/>
                <w:szCs w:val="17"/>
              </w:rPr>
              <w:t xml:space="preserve"> </w:t>
            </w:r>
          </w:p>
          <w:p w14:paraId="4EDA5AF3" w14:textId="77777777"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29DFEABB" w14:textId="77777777" w:rsidR="003A41D8" w:rsidRPr="00B83CEB" w:rsidRDefault="003A41D8" w:rsidP="000A59A8">
            <w:pPr>
              <w:rPr>
                <w:sz w:val="17"/>
                <w:szCs w:val="17"/>
              </w:rPr>
            </w:pPr>
            <w:r w:rsidRPr="00B83CEB">
              <w:rPr>
                <w:sz w:val="17"/>
                <w:szCs w:val="17"/>
              </w:rPr>
              <w:t>2                      3</w:t>
            </w:r>
          </w:p>
          <w:p w14:paraId="0E3CC23B" w14:textId="2BAA4597" w:rsidR="003A41D8" w:rsidRPr="00B83CEB" w:rsidRDefault="003A41D8" w:rsidP="000A59A8">
            <w:pPr>
              <w:rPr>
                <w:color w:val="000000"/>
                <w:sz w:val="17"/>
                <w:szCs w:val="17"/>
              </w:rPr>
            </w:pPr>
            <w:r w:rsidRPr="00B83CEB">
              <w:rPr>
                <w:color w:val="000000"/>
                <w:sz w:val="17"/>
                <w:szCs w:val="17"/>
              </w:rPr>
              <w:t>Source:</w:t>
            </w:r>
            <w:r w:rsidRPr="00B83CEB">
              <w:rPr>
                <w:b/>
                <w:bCs/>
                <w:color w:val="000000"/>
                <w:sz w:val="17"/>
                <w:szCs w:val="17"/>
              </w:rPr>
              <w:t xml:space="preserve"> </w:t>
            </w:r>
            <w:r w:rsidRPr="00B83CEB">
              <w:rPr>
                <w:color w:val="000000"/>
                <w:sz w:val="17"/>
                <w:szCs w:val="17"/>
              </w:rPr>
              <w:t>MSWY</w:t>
            </w:r>
            <w:r w:rsidR="002019E9">
              <w:rPr>
                <w:color w:val="000000"/>
                <w:sz w:val="17"/>
                <w:szCs w:val="17"/>
              </w:rPr>
              <w:t>/</w:t>
            </w:r>
            <w:r w:rsidRPr="00B83CEB">
              <w:rPr>
                <w:color w:val="000000"/>
                <w:sz w:val="17"/>
                <w:szCs w:val="17"/>
              </w:rPr>
              <w:t xml:space="preserve">NES </w:t>
            </w:r>
          </w:p>
          <w:p w14:paraId="4BF4110C" w14:textId="77777777" w:rsidR="003A41D8" w:rsidRPr="00B83CEB" w:rsidRDefault="003A41D8" w:rsidP="000A59A8">
            <w:pPr>
              <w:rPr>
                <w:sz w:val="17"/>
                <w:szCs w:val="17"/>
                <w:u w:val="single"/>
              </w:rPr>
            </w:pPr>
          </w:p>
          <w:p w14:paraId="6D3EDB5D" w14:textId="6705E337" w:rsidR="003A41D8" w:rsidRPr="00B83CEB" w:rsidRDefault="003A41D8" w:rsidP="000A59A8">
            <w:pPr>
              <w:rPr>
                <w:color w:val="000000"/>
                <w:sz w:val="17"/>
                <w:szCs w:val="17"/>
              </w:rPr>
            </w:pPr>
            <w:r w:rsidRPr="00B83CEB">
              <w:rPr>
                <w:sz w:val="17"/>
                <w:szCs w:val="17"/>
                <w:u w:val="single"/>
              </w:rPr>
              <w:t>Indicator 3.2.2</w:t>
            </w:r>
            <w:r w:rsidRPr="00B83CEB">
              <w:rPr>
                <w:sz w:val="17"/>
                <w:szCs w:val="17"/>
              </w:rPr>
              <w:t xml:space="preserve"> Number of beneficiaries of active labour market measures   </w:t>
            </w:r>
          </w:p>
          <w:p w14:paraId="1F726F1B" w14:textId="048E7041" w:rsidR="003A41D8" w:rsidRPr="00B83CEB" w:rsidRDefault="003A41D8" w:rsidP="000A59A8">
            <w:pPr>
              <w:spacing w:after="160" w:line="259" w:lineRule="auto"/>
              <w:rPr>
                <w:rFonts w:eastAsia="Calibri"/>
                <w:sz w:val="17"/>
                <w:szCs w:val="17"/>
              </w:rPr>
            </w:pPr>
            <w:r w:rsidRPr="00B83CEB">
              <w:rPr>
                <w:rFonts w:eastAsia="Calibri"/>
                <w:sz w:val="17"/>
                <w:szCs w:val="17"/>
                <w:u w:val="single"/>
              </w:rPr>
              <w:t>Baseline (2015):</w:t>
            </w:r>
            <w:r w:rsidRPr="00B83CEB">
              <w:rPr>
                <w:rFonts w:eastAsia="Calibri"/>
                <w:sz w:val="17"/>
                <w:szCs w:val="17"/>
              </w:rPr>
              <w:t xml:space="preserve">                  </w:t>
            </w:r>
            <w:r w:rsidRPr="00B83CEB">
              <w:rPr>
                <w:rFonts w:eastAsia="Calibri"/>
                <w:sz w:val="17"/>
                <w:szCs w:val="17"/>
                <w:u w:val="single"/>
              </w:rPr>
              <w:t>Target (2020):</w:t>
            </w:r>
          </w:p>
          <w:p w14:paraId="041D1D14" w14:textId="41B4570A" w:rsidR="003A41D8" w:rsidRPr="00B83CEB" w:rsidRDefault="003A41D8" w:rsidP="000A59A8">
            <w:pPr>
              <w:rPr>
                <w:color w:val="000000"/>
                <w:sz w:val="17"/>
                <w:szCs w:val="17"/>
              </w:rPr>
            </w:pPr>
            <w:r w:rsidRPr="00B83CEB">
              <w:rPr>
                <w:color w:val="000000"/>
                <w:sz w:val="17"/>
                <w:szCs w:val="17"/>
              </w:rPr>
              <w:t xml:space="preserve">Total: 5,817               </w:t>
            </w:r>
            <w:r w:rsidRPr="00B83CEB">
              <w:rPr>
                <w:color w:val="000000"/>
                <w:sz w:val="17"/>
                <w:szCs w:val="17"/>
              </w:rPr>
              <w:tab/>
              <w:t>6,500</w:t>
            </w:r>
          </w:p>
          <w:p w14:paraId="6BF13991" w14:textId="5976E822" w:rsidR="003A41D8" w:rsidRPr="00B83CEB" w:rsidRDefault="003A41D8" w:rsidP="000A59A8">
            <w:pPr>
              <w:rPr>
                <w:color w:val="000000"/>
                <w:sz w:val="17"/>
                <w:szCs w:val="17"/>
              </w:rPr>
            </w:pPr>
            <w:r w:rsidRPr="00B83CEB">
              <w:rPr>
                <w:color w:val="000000"/>
                <w:sz w:val="17"/>
                <w:szCs w:val="17"/>
              </w:rPr>
              <w:t>(Women 3,799/         </w:t>
            </w:r>
            <w:r w:rsidRPr="00B83CEB">
              <w:rPr>
                <w:color w:val="000000"/>
                <w:sz w:val="17"/>
                <w:szCs w:val="17"/>
              </w:rPr>
              <w:tab/>
              <w:t xml:space="preserve">4,200) </w:t>
            </w:r>
          </w:p>
          <w:p w14:paraId="203A5D73" w14:textId="32C0AA41" w:rsidR="003A41D8" w:rsidRPr="00B83CEB" w:rsidRDefault="003A41D8" w:rsidP="000A59A8">
            <w:pPr>
              <w:rPr>
                <w:color w:val="000000"/>
                <w:sz w:val="17"/>
                <w:szCs w:val="17"/>
              </w:rPr>
            </w:pPr>
            <w:r w:rsidRPr="00B83CEB">
              <w:rPr>
                <w:color w:val="000000"/>
                <w:sz w:val="17"/>
                <w:szCs w:val="17"/>
              </w:rPr>
              <w:t xml:space="preserve">(Youth 3,118             </w:t>
            </w:r>
            <w:r w:rsidRPr="00B83CEB">
              <w:rPr>
                <w:color w:val="000000"/>
                <w:sz w:val="17"/>
                <w:szCs w:val="17"/>
              </w:rPr>
              <w:tab/>
              <w:t xml:space="preserve">3,500 </w:t>
            </w:r>
          </w:p>
          <w:p w14:paraId="7A1FBC4C" w14:textId="1C389AFC" w:rsidR="003A41D8" w:rsidRPr="00B83CEB" w:rsidRDefault="003A41D8" w:rsidP="000A59A8">
            <w:pPr>
              <w:rPr>
                <w:color w:val="000000"/>
                <w:sz w:val="17"/>
                <w:szCs w:val="17"/>
              </w:rPr>
            </w:pPr>
            <w:r w:rsidRPr="00B83CEB">
              <w:rPr>
                <w:color w:val="000000"/>
                <w:sz w:val="17"/>
                <w:szCs w:val="17"/>
              </w:rPr>
              <w:t xml:space="preserve">(Roma 162                </w:t>
            </w:r>
            <w:r w:rsidRPr="00B83CEB">
              <w:rPr>
                <w:color w:val="000000"/>
                <w:sz w:val="17"/>
                <w:szCs w:val="17"/>
              </w:rPr>
              <w:tab/>
              <w:t xml:space="preserve">400  </w:t>
            </w:r>
          </w:p>
          <w:p w14:paraId="2E87A04E" w14:textId="62A7A7AD" w:rsidR="003A41D8" w:rsidRPr="00B83CEB" w:rsidRDefault="003A41D8" w:rsidP="000A59A8">
            <w:pPr>
              <w:rPr>
                <w:color w:val="000000"/>
                <w:sz w:val="17"/>
                <w:szCs w:val="17"/>
              </w:rPr>
            </w:pPr>
            <w:r w:rsidRPr="00B83CEB">
              <w:rPr>
                <w:color w:val="000000"/>
                <w:sz w:val="17"/>
                <w:szCs w:val="17"/>
              </w:rPr>
              <w:t xml:space="preserve">Persons with disabilities 30     100 </w:t>
            </w:r>
          </w:p>
          <w:p w14:paraId="241D8B02" w14:textId="329FEAA8" w:rsidR="003A41D8" w:rsidRPr="00B83CEB" w:rsidRDefault="003A41D8" w:rsidP="000A59A8">
            <w:pPr>
              <w:rPr>
                <w:color w:val="000000"/>
                <w:sz w:val="17"/>
                <w:szCs w:val="17"/>
              </w:rPr>
            </w:pPr>
            <w:r w:rsidRPr="00B83CEB">
              <w:rPr>
                <w:color w:val="000000"/>
                <w:sz w:val="17"/>
                <w:szCs w:val="17"/>
              </w:rPr>
              <w:t>Source: MSWY</w:t>
            </w:r>
            <w:r w:rsidR="002019E9">
              <w:rPr>
                <w:color w:val="000000"/>
                <w:sz w:val="17"/>
                <w:szCs w:val="17"/>
              </w:rPr>
              <w:t>/</w:t>
            </w:r>
            <w:r w:rsidRPr="00B83CEB">
              <w:rPr>
                <w:color w:val="000000"/>
                <w:sz w:val="17"/>
                <w:szCs w:val="17"/>
              </w:rPr>
              <w:t>NES</w:t>
            </w:r>
            <w:r w:rsidR="002019E9">
              <w:rPr>
                <w:color w:val="000000"/>
                <w:sz w:val="17"/>
                <w:szCs w:val="17"/>
              </w:rPr>
              <w:t xml:space="preserve"> </w:t>
            </w:r>
          </w:p>
          <w:p w14:paraId="1C6A87D2" w14:textId="77777777" w:rsidR="003A41D8" w:rsidRPr="00B83CEB" w:rsidRDefault="003A41D8" w:rsidP="000A59A8">
            <w:pPr>
              <w:rPr>
                <w:b/>
                <w:bCs/>
                <w:color w:val="000000"/>
                <w:sz w:val="17"/>
                <w:szCs w:val="17"/>
                <w:u w:val="single"/>
              </w:rPr>
            </w:pPr>
          </w:p>
          <w:p w14:paraId="3DE950B1" w14:textId="591107FE" w:rsidR="003A41D8" w:rsidRPr="00B83CEB" w:rsidRDefault="003A41D8" w:rsidP="000A59A8">
            <w:pPr>
              <w:rPr>
                <w:b/>
                <w:bCs/>
                <w:color w:val="000000"/>
                <w:sz w:val="17"/>
                <w:szCs w:val="17"/>
              </w:rPr>
            </w:pPr>
            <w:r w:rsidRPr="00B83CEB">
              <w:rPr>
                <w:b/>
                <w:bCs/>
                <w:color w:val="000000"/>
                <w:sz w:val="17"/>
                <w:szCs w:val="17"/>
                <w:u w:val="single"/>
              </w:rPr>
              <w:t>Output 3.3</w:t>
            </w:r>
            <w:r w:rsidRPr="00B83CEB">
              <w:rPr>
                <w:b/>
                <w:bCs/>
                <w:color w:val="000000"/>
                <w:sz w:val="17"/>
                <w:szCs w:val="17"/>
              </w:rPr>
              <w:t xml:space="preserve"> Policies that promote youth entrepreneurship and innovation at the central/local level are operationalized</w:t>
            </w:r>
          </w:p>
          <w:p w14:paraId="3AC96221" w14:textId="77777777" w:rsidR="003A41D8" w:rsidRPr="00B83CEB" w:rsidRDefault="003A41D8" w:rsidP="000A59A8">
            <w:pPr>
              <w:rPr>
                <w:sz w:val="17"/>
                <w:szCs w:val="17"/>
              </w:rPr>
            </w:pPr>
          </w:p>
          <w:p w14:paraId="090724FC" w14:textId="77777777" w:rsidR="003A41D8" w:rsidRPr="00B83CEB" w:rsidRDefault="003A41D8" w:rsidP="000A59A8">
            <w:pPr>
              <w:rPr>
                <w:sz w:val="17"/>
                <w:szCs w:val="17"/>
              </w:rPr>
            </w:pPr>
            <w:r w:rsidRPr="00B83CEB">
              <w:rPr>
                <w:sz w:val="17"/>
                <w:szCs w:val="17"/>
                <w:u w:val="single"/>
              </w:rPr>
              <w:t>Indicator 3.3.1</w:t>
            </w:r>
            <w:r w:rsidRPr="00B83CEB">
              <w:rPr>
                <w:sz w:val="17"/>
                <w:szCs w:val="17"/>
              </w:rPr>
              <w:t xml:space="preserve"> </w:t>
            </w:r>
          </w:p>
          <w:p w14:paraId="5AC65EEF" w14:textId="72227DC2" w:rsidR="003A41D8" w:rsidRPr="00B83CEB" w:rsidRDefault="003A41D8" w:rsidP="000A59A8">
            <w:pPr>
              <w:rPr>
                <w:sz w:val="17"/>
                <w:szCs w:val="17"/>
              </w:rPr>
            </w:pPr>
            <w:r w:rsidRPr="00B83CEB">
              <w:rPr>
                <w:sz w:val="17"/>
                <w:szCs w:val="17"/>
              </w:rPr>
              <w:t xml:space="preserve">Number of young women and men beneficiaries of entrepreneurship support schemes </w:t>
            </w:r>
          </w:p>
          <w:p w14:paraId="0734D397" w14:textId="77777777"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10A5F664" w14:textId="77777777" w:rsidR="003A41D8" w:rsidRPr="00B83CEB" w:rsidRDefault="003A41D8" w:rsidP="000A59A8">
            <w:pPr>
              <w:rPr>
                <w:color w:val="000000"/>
                <w:sz w:val="17"/>
                <w:szCs w:val="17"/>
              </w:rPr>
            </w:pPr>
            <w:r w:rsidRPr="00B83CEB">
              <w:rPr>
                <w:sz w:val="17"/>
                <w:szCs w:val="17"/>
              </w:rPr>
              <w:t xml:space="preserve">0                       </w:t>
            </w:r>
            <w:r w:rsidRPr="00B83CEB">
              <w:rPr>
                <w:color w:val="000000"/>
                <w:sz w:val="17"/>
                <w:szCs w:val="17"/>
              </w:rPr>
              <w:t>150 (Total)</w:t>
            </w:r>
          </w:p>
          <w:p w14:paraId="49EA0616" w14:textId="77777777" w:rsidR="003A41D8" w:rsidRPr="00B83CEB" w:rsidRDefault="003A41D8" w:rsidP="000A59A8">
            <w:pPr>
              <w:rPr>
                <w:color w:val="000000"/>
                <w:sz w:val="17"/>
                <w:szCs w:val="17"/>
              </w:rPr>
            </w:pPr>
            <w:r w:rsidRPr="00B83CEB">
              <w:rPr>
                <w:color w:val="000000"/>
                <w:sz w:val="17"/>
                <w:szCs w:val="17"/>
              </w:rPr>
              <w:t xml:space="preserve">                          75 women</w:t>
            </w:r>
          </w:p>
          <w:p w14:paraId="63C2AE7F" w14:textId="77777777" w:rsidR="003A41D8" w:rsidRPr="00B83CEB" w:rsidRDefault="003A41D8" w:rsidP="000A59A8">
            <w:pPr>
              <w:tabs>
                <w:tab w:val="left" w:pos="1212"/>
              </w:tabs>
              <w:rPr>
                <w:color w:val="000000"/>
                <w:sz w:val="17"/>
                <w:szCs w:val="17"/>
              </w:rPr>
            </w:pPr>
            <w:r w:rsidRPr="00B83CEB">
              <w:rPr>
                <w:color w:val="000000"/>
                <w:sz w:val="17"/>
                <w:szCs w:val="17"/>
              </w:rPr>
              <w:t xml:space="preserve">                          3 persons with disabilities/</w:t>
            </w:r>
          </w:p>
          <w:p w14:paraId="31F856D4" w14:textId="11EF01A3" w:rsidR="003A41D8" w:rsidRPr="00B83CEB" w:rsidRDefault="003A41D8" w:rsidP="000A59A8">
            <w:pPr>
              <w:tabs>
                <w:tab w:val="left" w:pos="1212"/>
              </w:tabs>
              <w:rPr>
                <w:color w:val="000000"/>
                <w:sz w:val="17"/>
                <w:szCs w:val="17"/>
              </w:rPr>
            </w:pPr>
            <w:r w:rsidRPr="00B83CEB">
              <w:rPr>
                <w:color w:val="000000"/>
                <w:sz w:val="17"/>
                <w:szCs w:val="17"/>
              </w:rPr>
              <w:tab/>
              <w:t>5 Roma/Egyptian</w:t>
            </w:r>
          </w:p>
          <w:p w14:paraId="1F27DEE1" w14:textId="77777777" w:rsidR="003A41D8" w:rsidRPr="00B83CEB" w:rsidRDefault="003A41D8" w:rsidP="000A59A8">
            <w:pPr>
              <w:rPr>
                <w:color w:val="000000"/>
                <w:sz w:val="17"/>
                <w:szCs w:val="17"/>
              </w:rPr>
            </w:pPr>
            <w:r w:rsidRPr="00B83CEB">
              <w:rPr>
                <w:color w:val="000000"/>
                <w:sz w:val="17"/>
                <w:szCs w:val="17"/>
              </w:rPr>
              <w:t>Source: NES, programme reports</w:t>
            </w:r>
          </w:p>
          <w:p w14:paraId="579E2BBD" w14:textId="77777777" w:rsidR="003A41D8" w:rsidRPr="00B83CEB" w:rsidRDefault="003A41D8" w:rsidP="000A59A8">
            <w:pPr>
              <w:rPr>
                <w:color w:val="000000"/>
                <w:sz w:val="17"/>
                <w:szCs w:val="17"/>
              </w:rPr>
            </w:pPr>
          </w:p>
          <w:p w14:paraId="4A990746" w14:textId="77777777" w:rsidR="003A41D8" w:rsidRPr="00B83CEB" w:rsidRDefault="003A41D8" w:rsidP="000A59A8">
            <w:pPr>
              <w:rPr>
                <w:color w:val="000000"/>
                <w:sz w:val="17"/>
                <w:szCs w:val="17"/>
              </w:rPr>
            </w:pPr>
            <w:r w:rsidRPr="00B83CEB">
              <w:rPr>
                <w:color w:val="000000"/>
                <w:sz w:val="17"/>
                <w:szCs w:val="17"/>
                <w:u w:val="single"/>
              </w:rPr>
              <w:t>Indicator 3.3.2</w:t>
            </w:r>
            <w:r w:rsidRPr="00B83CEB">
              <w:rPr>
                <w:color w:val="000000"/>
                <w:sz w:val="17"/>
                <w:szCs w:val="17"/>
              </w:rPr>
              <w:t xml:space="preserve"> </w:t>
            </w:r>
          </w:p>
          <w:p w14:paraId="6A00CEDE" w14:textId="6BB8DFB8" w:rsidR="003A41D8" w:rsidRPr="00B83CEB" w:rsidRDefault="003A41D8" w:rsidP="000A59A8">
            <w:pPr>
              <w:rPr>
                <w:color w:val="000000"/>
                <w:sz w:val="17"/>
                <w:szCs w:val="17"/>
              </w:rPr>
            </w:pPr>
            <w:r w:rsidRPr="00B83CEB">
              <w:rPr>
                <w:color w:val="000000"/>
                <w:sz w:val="17"/>
                <w:szCs w:val="17"/>
              </w:rPr>
              <w:t xml:space="preserve">Number of additional pilot and demonstration projects initiated or scaled up by national partners </w:t>
            </w:r>
          </w:p>
          <w:p w14:paraId="3C0D195A" w14:textId="77777777" w:rsidR="003A41D8" w:rsidRPr="00B83CEB" w:rsidRDefault="003A41D8" w:rsidP="000A59A8">
            <w:pPr>
              <w:rPr>
                <w:color w:val="000000"/>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5D927174" w14:textId="77777777" w:rsidR="003A41D8" w:rsidRPr="00B83CEB" w:rsidRDefault="003A41D8" w:rsidP="000A59A8">
            <w:pPr>
              <w:rPr>
                <w:color w:val="000000"/>
                <w:sz w:val="17"/>
                <w:szCs w:val="17"/>
              </w:rPr>
            </w:pPr>
            <w:r w:rsidRPr="00B83CEB">
              <w:rPr>
                <w:color w:val="000000"/>
                <w:sz w:val="17"/>
                <w:szCs w:val="17"/>
              </w:rPr>
              <w:t>0                      6</w:t>
            </w:r>
          </w:p>
          <w:p w14:paraId="0814B8A7" w14:textId="51FDB90D" w:rsidR="003A41D8" w:rsidRPr="00B83CEB" w:rsidRDefault="003A41D8" w:rsidP="000A59A8">
            <w:pPr>
              <w:rPr>
                <w:color w:val="000000"/>
                <w:sz w:val="17"/>
                <w:szCs w:val="17"/>
              </w:rPr>
            </w:pPr>
            <w:r w:rsidRPr="00B83CEB">
              <w:rPr>
                <w:color w:val="000000"/>
                <w:sz w:val="17"/>
                <w:szCs w:val="17"/>
              </w:rPr>
              <w:t>Source:</w:t>
            </w:r>
            <w:r w:rsidRPr="00B83CEB">
              <w:rPr>
                <w:b/>
                <w:bCs/>
                <w:color w:val="000000"/>
                <w:sz w:val="17"/>
                <w:szCs w:val="17"/>
              </w:rPr>
              <w:t xml:space="preserve"> </w:t>
            </w:r>
            <w:r w:rsidRPr="00B83CEB">
              <w:rPr>
                <w:color w:val="000000"/>
                <w:sz w:val="17"/>
                <w:szCs w:val="17"/>
              </w:rPr>
              <w:t>programme reports</w:t>
            </w:r>
          </w:p>
        </w:tc>
        <w:tc>
          <w:tcPr>
            <w:tcW w:w="2334" w:type="dxa"/>
            <w:gridSpan w:val="2"/>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1DFCA10F" w14:textId="3BFA0AE5" w:rsidR="003A41D8" w:rsidRPr="00B83CEB" w:rsidRDefault="003A41D8" w:rsidP="000A59A8">
            <w:pPr>
              <w:rPr>
                <w:bCs/>
                <w:color w:val="000000"/>
                <w:sz w:val="17"/>
                <w:szCs w:val="17"/>
              </w:rPr>
            </w:pPr>
            <w:r w:rsidRPr="00B83CEB">
              <w:rPr>
                <w:bCs/>
                <w:color w:val="000000"/>
                <w:sz w:val="17"/>
                <w:szCs w:val="17"/>
              </w:rPr>
              <w:lastRenderedPageBreak/>
              <w:t>MSWY, Ministry of Economic Development, Trade, Tourism and Entrepreneurship; Ministry of Education and Sports; National Employment Service (NES); National Agency for Vocational Education; Albanian Investment Development Agency; LGUs;</w:t>
            </w:r>
          </w:p>
          <w:p w14:paraId="7FBB6D60" w14:textId="77777777" w:rsidR="003A41D8" w:rsidRPr="00B83CEB" w:rsidRDefault="003A41D8" w:rsidP="000A59A8">
            <w:pPr>
              <w:rPr>
                <w:bCs/>
                <w:color w:val="000000"/>
                <w:sz w:val="17"/>
                <w:szCs w:val="17"/>
              </w:rPr>
            </w:pPr>
          </w:p>
          <w:p w14:paraId="7F1A56AB" w14:textId="0280C132" w:rsidR="003A41D8" w:rsidRPr="00B83CEB" w:rsidRDefault="003A41D8" w:rsidP="00225E2E">
            <w:pPr>
              <w:rPr>
                <w:bCs/>
                <w:color w:val="000000"/>
                <w:sz w:val="17"/>
                <w:szCs w:val="17"/>
              </w:rPr>
            </w:pPr>
            <w:r w:rsidRPr="00B83CEB">
              <w:rPr>
                <w:bCs/>
                <w:color w:val="000000"/>
                <w:sz w:val="17"/>
                <w:szCs w:val="17"/>
              </w:rPr>
              <w:t>EU, development partners including Governments of Austria, and Switzerland</w:t>
            </w:r>
            <w:r w:rsidR="00035536">
              <w:rPr>
                <w:bCs/>
                <w:color w:val="000000"/>
                <w:sz w:val="17"/>
                <w:szCs w:val="17"/>
              </w:rPr>
              <w:t xml:space="preserve"> </w:t>
            </w:r>
          </w:p>
          <w:p w14:paraId="307BEC56" w14:textId="77777777" w:rsidR="003A41D8" w:rsidRPr="00B83CEB" w:rsidRDefault="003A41D8" w:rsidP="000A59A8">
            <w:pPr>
              <w:rPr>
                <w:bCs/>
                <w:color w:val="000000"/>
                <w:sz w:val="17"/>
                <w:szCs w:val="17"/>
              </w:rPr>
            </w:pPr>
          </w:p>
          <w:p w14:paraId="1D266FCB" w14:textId="7A5E5861" w:rsidR="003A41D8" w:rsidRPr="00B83CEB" w:rsidRDefault="003A41D8" w:rsidP="000A59A8">
            <w:pPr>
              <w:rPr>
                <w:bCs/>
                <w:color w:val="000000"/>
                <w:sz w:val="17"/>
                <w:szCs w:val="17"/>
              </w:rPr>
            </w:pPr>
            <w:r w:rsidRPr="00B83CEB">
              <w:rPr>
                <w:bCs/>
                <w:color w:val="000000"/>
                <w:sz w:val="17"/>
                <w:szCs w:val="17"/>
              </w:rPr>
              <w:t xml:space="preserve">Delivering as One outcome group with ILO. </w:t>
            </w:r>
          </w:p>
          <w:p w14:paraId="669B7C56" w14:textId="77777777" w:rsidR="003A41D8" w:rsidRPr="00B83CEB" w:rsidRDefault="003A41D8" w:rsidP="000A59A8">
            <w:pPr>
              <w:rPr>
                <w:bCs/>
                <w:color w:val="000000"/>
                <w:sz w:val="17"/>
                <w:szCs w:val="17"/>
              </w:rPr>
            </w:pPr>
          </w:p>
          <w:p w14:paraId="75FDD4EB" w14:textId="77777777" w:rsidR="003A41D8" w:rsidRPr="00B83CEB" w:rsidRDefault="003A41D8" w:rsidP="000A59A8">
            <w:pPr>
              <w:rPr>
                <w:bCs/>
                <w:color w:val="000000"/>
                <w:sz w:val="17"/>
                <w:szCs w:val="17"/>
              </w:rPr>
            </w:pPr>
          </w:p>
          <w:p w14:paraId="25DE27DF" w14:textId="77777777" w:rsidR="003A41D8" w:rsidRPr="00B83CEB" w:rsidRDefault="003A41D8" w:rsidP="000A59A8">
            <w:pPr>
              <w:rPr>
                <w:bCs/>
                <w:color w:val="000000"/>
                <w:sz w:val="17"/>
                <w:szCs w:val="17"/>
              </w:rPr>
            </w:pPr>
          </w:p>
          <w:p w14:paraId="56AC4A16" w14:textId="77777777" w:rsidR="003A41D8" w:rsidRPr="00B83CEB" w:rsidRDefault="003A41D8" w:rsidP="000A59A8">
            <w:pPr>
              <w:rPr>
                <w:bCs/>
                <w:color w:val="000000"/>
                <w:sz w:val="17"/>
                <w:szCs w:val="17"/>
              </w:rPr>
            </w:pPr>
          </w:p>
          <w:p w14:paraId="2AA3110D" w14:textId="77777777" w:rsidR="003A41D8" w:rsidRPr="00B83CEB" w:rsidRDefault="003A41D8" w:rsidP="000A59A8">
            <w:pPr>
              <w:rPr>
                <w:bCs/>
                <w:color w:val="000000"/>
                <w:sz w:val="17"/>
                <w:szCs w:val="17"/>
              </w:rPr>
            </w:pPr>
          </w:p>
          <w:p w14:paraId="4CD1D825" w14:textId="77777777" w:rsidR="003A41D8" w:rsidRPr="00B83CEB" w:rsidRDefault="003A41D8" w:rsidP="000A59A8">
            <w:pPr>
              <w:rPr>
                <w:bCs/>
                <w:color w:val="000000"/>
                <w:sz w:val="17"/>
                <w:szCs w:val="17"/>
              </w:rPr>
            </w:pPr>
          </w:p>
          <w:p w14:paraId="295DD4AA" w14:textId="77777777" w:rsidR="003A41D8" w:rsidRPr="00B83CEB" w:rsidRDefault="003A41D8" w:rsidP="000A59A8">
            <w:pPr>
              <w:rPr>
                <w:bCs/>
                <w:color w:val="000000"/>
                <w:sz w:val="17"/>
                <w:szCs w:val="17"/>
              </w:rPr>
            </w:pPr>
          </w:p>
          <w:p w14:paraId="0FB453B4" w14:textId="77777777" w:rsidR="003A41D8" w:rsidRPr="00B83CEB" w:rsidRDefault="003A41D8" w:rsidP="000A59A8">
            <w:pPr>
              <w:rPr>
                <w:bCs/>
                <w:color w:val="000000"/>
                <w:sz w:val="17"/>
                <w:szCs w:val="17"/>
              </w:rPr>
            </w:pPr>
          </w:p>
          <w:p w14:paraId="13FBE0FB" w14:textId="77777777" w:rsidR="003A41D8" w:rsidRPr="00B83CEB" w:rsidRDefault="003A41D8" w:rsidP="000A59A8">
            <w:pPr>
              <w:rPr>
                <w:bCs/>
                <w:color w:val="000000"/>
                <w:sz w:val="17"/>
                <w:szCs w:val="17"/>
              </w:rPr>
            </w:pPr>
          </w:p>
          <w:p w14:paraId="40F2C6B0" w14:textId="77777777" w:rsidR="003A41D8" w:rsidRPr="00B83CEB" w:rsidRDefault="003A41D8" w:rsidP="000A59A8">
            <w:pPr>
              <w:rPr>
                <w:bCs/>
                <w:color w:val="000000"/>
                <w:sz w:val="17"/>
                <w:szCs w:val="17"/>
              </w:rPr>
            </w:pPr>
          </w:p>
          <w:p w14:paraId="3CBD2F0C" w14:textId="77777777" w:rsidR="003A41D8" w:rsidRPr="00B83CEB" w:rsidRDefault="003A41D8" w:rsidP="000A59A8">
            <w:pPr>
              <w:rPr>
                <w:bCs/>
                <w:color w:val="000000"/>
                <w:sz w:val="17"/>
                <w:szCs w:val="17"/>
              </w:rPr>
            </w:pPr>
          </w:p>
          <w:p w14:paraId="40C2A26C" w14:textId="77777777" w:rsidR="003A41D8" w:rsidRPr="00B83CEB" w:rsidRDefault="003A41D8" w:rsidP="000A59A8">
            <w:pPr>
              <w:rPr>
                <w:bCs/>
                <w:color w:val="000000"/>
                <w:sz w:val="17"/>
                <w:szCs w:val="17"/>
              </w:rPr>
            </w:pPr>
          </w:p>
          <w:p w14:paraId="05DDD285" w14:textId="77777777" w:rsidR="003A41D8" w:rsidRPr="00B83CEB" w:rsidRDefault="003A41D8" w:rsidP="000A59A8">
            <w:pPr>
              <w:rPr>
                <w:bCs/>
                <w:color w:val="000000"/>
                <w:sz w:val="17"/>
                <w:szCs w:val="17"/>
              </w:rPr>
            </w:pPr>
          </w:p>
          <w:p w14:paraId="29E1DE28" w14:textId="77777777" w:rsidR="003A41D8" w:rsidRPr="00B83CEB" w:rsidRDefault="003A41D8" w:rsidP="000A59A8">
            <w:pPr>
              <w:rPr>
                <w:bCs/>
                <w:color w:val="000000"/>
                <w:sz w:val="17"/>
                <w:szCs w:val="17"/>
              </w:rPr>
            </w:pPr>
          </w:p>
          <w:p w14:paraId="591473F4" w14:textId="77777777" w:rsidR="003A41D8" w:rsidRPr="00B83CEB" w:rsidRDefault="003A41D8" w:rsidP="000A59A8">
            <w:pPr>
              <w:rPr>
                <w:bCs/>
                <w:color w:val="000000"/>
                <w:sz w:val="17"/>
                <w:szCs w:val="17"/>
              </w:rPr>
            </w:pPr>
          </w:p>
          <w:p w14:paraId="00B1462A" w14:textId="77777777" w:rsidR="003A41D8" w:rsidRPr="00B83CEB" w:rsidRDefault="003A41D8" w:rsidP="000A59A8">
            <w:pPr>
              <w:rPr>
                <w:bCs/>
                <w:color w:val="000000"/>
                <w:sz w:val="17"/>
                <w:szCs w:val="17"/>
              </w:rPr>
            </w:pPr>
          </w:p>
          <w:p w14:paraId="2BDD69AA" w14:textId="77777777" w:rsidR="003A41D8" w:rsidRPr="00B83CEB" w:rsidRDefault="003A41D8" w:rsidP="000A59A8">
            <w:pPr>
              <w:rPr>
                <w:bCs/>
                <w:color w:val="000000"/>
                <w:sz w:val="17"/>
                <w:szCs w:val="17"/>
              </w:rPr>
            </w:pPr>
          </w:p>
          <w:p w14:paraId="682B5F45" w14:textId="77777777" w:rsidR="003A41D8" w:rsidRPr="00B83CEB" w:rsidRDefault="003A41D8" w:rsidP="000A59A8">
            <w:pPr>
              <w:rPr>
                <w:bCs/>
                <w:color w:val="000000"/>
                <w:sz w:val="17"/>
                <w:szCs w:val="17"/>
              </w:rPr>
            </w:pPr>
          </w:p>
          <w:p w14:paraId="62F2CE77" w14:textId="77777777" w:rsidR="003A41D8" w:rsidRPr="00B83CEB" w:rsidRDefault="003A41D8" w:rsidP="000A59A8">
            <w:pPr>
              <w:rPr>
                <w:bCs/>
                <w:color w:val="000000"/>
                <w:sz w:val="17"/>
                <w:szCs w:val="17"/>
              </w:rPr>
            </w:pPr>
          </w:p>
          <w:p w14:paraId="17E79F13" w14:textId="77777777" w:rsidR="003A41D8" w:rsidRPr="00B83CEB" w:rsidRDefault="003A41D8" w:rsidP="000A59A8">
            <w:pPr>
              <w:rPr>
                <w:bCs/>
                <w:color w:val="000000"/>
                <w:sz w:val="17"/>
                <w:szCs w:val="17"/>
              </w:rPr>
            </w:pPr>
          </w:p>
          <w:p w14:paraId="2BCE4856" w14:textId="77777777" w:rsidR="003A41D8" w:rsidRPr="00B83CEB" w:rsidRDefault="003A41D8" w:rsidP="000A59A8">
            <w:pPr>
              <w:rPr>
                <w:bCs/>
                <w:color w:val="000000"/>
                <w:sz w:val="17"/>
                <w:szCs w:val="17"/>
              </w:rPr>
            </w:pPr>
          </w:p>
          <w:p w14:paraId="23B9DA12" w14:textId="77777777" w:rsidR="003A41D8" w:rsidRPr="00B83CEB" w:rsidRDefault="003A41D8" w:rsidP="000A59A8">
            <w:pPr>
              <w:rPr>
                <w:bCs/>
                <w:color w:val="000000"/>
                <w:sz w:val="17"/>
                <w:szCs w:val="17"/>
              </w:rPr>
            </w:pPr>
          </w:p>
          <w:p w14:paraId="2BEF9B50" w14:textId="77777777" w:rsidR="003A41D8" w:rsidRPr="00B83CEB" w:rsidRDefault="003A41D8" w:rsidP="000A59A8">
            <w:pPr>
              <w:rPr>
                <w:bCs/>
                <w:color w:val="000000"/>
                <w:sz w:val="17"/>
                <w:szCs w:val="17"/>
              </w:rPr>
            </w:pPr>
          </w:p>
          <w:p w14:paraId="22261D70" w14:textId="77777777" w:rsidR="003A41D8" w:rsidRPr="00B83CEB" w:rsidRDefault="003A41D8" w:rsidP="000A59A8">
            <w:pPr>
              <w:rPr>
                <w:bCs/>
                <w:color w:val="000000"/>
                <w:sz w:val="17"/>
                <w:szCs w:val="17"/>
              </w:rPr>
            </w:pPr>
          </w:p>
          <w:p w14:paraId="2B440F35" w14:textId="77777777" w:rsidR="003A41D8" w:rsidRPr="00B83CEB" w:rsidRDefault="003A41D8" w:rsidP="000A59A8">
            <w:pPr>
              <w:rPr>
                <w:bCs/>
                <w:color w:val="000000"/>
                <w:sz w:val="17"/>
                <w:szCs w:val="17"/>
              </w:rPr>
            </w:pPr>
          </w:p>
          <w:p w14:paraId="6D081C99" w14:textId="77777777" w:rsidR="003A41D8" w:rsidRPr="00B83CEB" w:rsidRDefault="003A41D8" w:rsidP="000A59A8">
            <w:pPr>
              <w:rPr>
                <w:bCs/>
                <w:color w:val="000000"/>
                <w:sz w:val="17"/>
                <w:szCs w:val="17"/>
              </w:rPr>
            </w:pPr>
          </w:p>
          <w:p w14:paraId="6B3E0A32" w14:textId="77777777" w:rsidR="003A41D8" w:rsidRPr="00B83CEB" w:rsidRDefault="003A41D8" w:rsidP="000A59A8">
            <w:pPr>
              <w:rPr>
                <w:bCs/>
                <w:color w:val="000000"/>
                <w:sz w:val="17"/>
                <w:szCs w:val="17"/>
              </w:rPr>
            </w:pPr>
          </w:p>
          <w:p w14:paraId="461A20AB" w14:textId="77777777" w:rsidR="003A41D8" w:rsidRPr="00B83CEB" w:rsidRDefault="003A41D8" w:rsidP="000A59A8">
            <w:pPr>
              <w:rPr>
                <w:bCs/>
                <w:color w:val="000000"/>
                <w:sz w:val="17"/>
                <w:szCs w:val="17"/>
              </w:rPr>
            </w:pPr>
          </w:p>
          <w:p w14:paraId="73640760" w14:textId="77777777" w:rsidR="003A41D8" w:rsidRPr="00B83CEB" w:rsidRDefault="003A41D8" w:rsidP="000A59A8">
            <w:pPr>
              <w:rPr>
                <w:bCs/>
                <w:color w:val="000000"/>
                <w:sz w:val="17"/>
                <w:szCs w:val="17"/>
              </w:rPr>
            </w:pPr>
          </w:p>
          <w:p w14:paraId="5F7BE41C" w14:textId="77777777" w:rsidR="003A41D8" w:rsidRPr="00B83CEB" w:rsidRDefault="003A41D8" w:rsidP="000A59A8">
            <w:pPr>
              <w:rPr>
                <w:bCs/>
                <w:color w:val="000000"/>
                <w:sz w:val="17"/>
                <w:szCs w:val="17"/>
              </w:rPr>
            </w:pPr>
          </w:p>
          <w:p w14:paraId="2EEAF84A" w14:textId="77777777" w:rsidR="003A41D8" w:rsidRPr="00B83CEB" w:rsidRDefault="003A41D8" w:rsidP="000A59A8">
            <w:pPr>
              <w:rPr>
                <w:bCs/>
                <w:color w:val="000000"/>
                <w:sz w:val="17"/>
                <w:szCs w:val="17"/>
              </w:rPr>
            </w:pPr>
          </w:p>
          <w:p w14:paraId="0743FADD" w14:textId="77777777" w:rsidR="003A41D8" w:rsidRPr="00B83CEB" w:rsidRDefault="003A41D8" w:rsidP="000A59A8">
            <w:pPr>
              <w:rPr>
                <w:bCs/>
                <w:color w:val="000000"/>
                <w:sz w:val="17"/>
                <w:szCs w:val="17"/>
              </w:rPr>
            </w:pPr>
          </w:p>
          <w:p w14:paraId="55FBAACE" w14:textId="77777777" w:rsidR="003A41D8" w:rsidRPr="00B83CEB" w:rsidRDefault="003A41D8" w:rsidP="000A59A8">
            <w:pPr>
              <w:rPr>
                <w:bCs/>
                <w:color w:val="000000"/>
                <w:sz w:val="17"/>
                <w:szCs w:val="17"/>
              </w:rPr>
            </w:pPr>
          </w:p>
          <w:p w14:paraId="32D4755B" w14:textId="77777777" w:rsidR="003A41D8" w:rsidRPr="00B83CEB" w:rsidRDefault="003A41D8" w:rsidP="000A59A8">
            <w:pPr>
              <w:rPr>
                <w:bCs/>
                <w:color w:val="000000"/>
                <w:sz w:val="17"/>
                <w:szCs w:val="17"/>
              </w:rPr>
            </w:pPr>
          </w:p>
          <w:p w14:paraId="1BA6F9B4" w14:textId="77777777" w:rsidR="003A41D8" w:rsidRPr="00B83CEB" w:rsidRDefault="003A41D8" w:rsidP="000A59A8">
            <w:pPr>
              <w:rPr>
                <w:bCs/>
                <w:color w:val="000000"/>
                <w:sz w:val="17"/>
                <w:szCs w:val="17"/>
              </w:rPr>
            </w:pPr>
          </w:p>
          <w:p w14:paraId="6FC63977" w14:textId="77777777" w:rsidR="003A41D8" w:rsidRPr="00B83CEB" w:rsidRDefault="003A41D8" w:rsidP="000A59A8">
            <w:pPr>
              <w:rPr>
                <w:sz w:val="17"/>
                <w:szCs w:val="17"/>
              </w:rPr>
            </w:pPr>
          </w:p>
        </w:tc>
        <w:tc>
          <w:tcPr>
            <w:tcW w:w="0" w:type="auto"/>
            <w:gridSpan w:val="2"/>
            <w:tcBorders>
              <w:top w:val="single" w:sz="6" w:space="0" w:color="000000"/>
              <w:left w:val="single" w:sz="6" w:space="0" w:color="000000"/>
              <w:bottom w:val="single" w:sz="6" w:space="0" w:color="000000"/>
              <w:right w:val="single" w:sz="2" w:space="0" w:color="000000"/>
            </w:tcBorders>
            <w:tcMar>
              <w:top w:w="15" w:type="dxa"/>
              <w:left w:w="105" w:type="dxa"/>
              <w:bottom w:w="105" w:type="dxa"/>
              <w:right w:w="105" w:type="dxa"/>
            </w:tcMar>
            <w:hideMark/>
          </w:tcPr>
          <w:p w14:paraId="4FA13D5E" w14:textId="77777777" w:rsidR="003A41D8" w:rsidRPr="00E64C49" w:rsidRDefault="003A41D8" w:rsidP="00E64C49">
            <w:pPr>
              <w:rPr>
                <w:b/>
                <w:sz w:val="17"/>
                <w:szCs w:val="17"/>
              </w:rPr>
            </w:pPr>
            <w:r w:rsidRPr="00E64C49">
              <w:rPr>
                <w:b/>
                <w:sz w:val="17"/>
                <w:szCs w:val="17"/>
              </w:rPr>
              <w:lastRenderedPageBreak/>
              <w:t>Regular:</w:t>
            </w:r>
          </w:p>
          <w:p w14:paraId="14139E01" w14:textId="3C213B4A" w:rsidR="003A41D8" w:rsidRPr="00B83CEB" w:rsidRDefault="003A41D8" w:rsidP="00E64C49">
            <w:pPr>
              <w:rPr>
                <w:sz w:val="17"/>
                <w:szCs w:val="17"/>
              </w:rPr>
            </w:pPr>
            <w:r w:rsidRPr="00B83CEB">
              <w:rPr>
                <w:sz w:val="17"/>
                <w:szCs w:val="17"/>
              </w:rPr>
              <w:t xml:space="preserve">$     </w:t>
            </w:r>
            <w:r>
              <w:rPr>
                <w:sz w:val="17"/>
                <w:szCs w:val="17"/>
              </w:rPr>
              <w:t xml:space="preserve">585,000 </w:t>
            </w:r>
          </w:p>
          <w:p w14:paraId="22E3BBB4" w14:textId="77777777" w:rsidR="003A41D8" w:rsidRDefault="003A41D8" w:rsidP="007C7771">
            <w:pPr>
              <w:rPr>
                <w:bCs/>
                <w:color w:val="000000"/>
                <w:sz w:val="17"/>
                <w:szCs w:val="17"/>
              </w:rPr>
            </w:pPr>
          </w:p>
          <w:p w14:paraId="61EC480B" w14:textId="4094B6BF" w:rsidR="003A41D8" w:rsidRPr="00E64C49" w:rsidRDefault="003A41D8" w:rsidP="007C7771">
            <w:pPr>
              <w:rPr>
                <w:b/>
                <w:bCs/>
                <w:color w:val="000000"/>
                <w:sz w:val="17"/>
                <w:szCs w:val="17"/>
              </w:rPr>
            </w:pPr>
            <w:r w:rsidRPr="00E64C49">
              <w:rPr>
                <w:b/>
                <w:bCs/>
                <w:color w:val="000000"/>
                <w:sz w:val="17"/>
                <w:szCs w:val="17"/>
              </w:rPr>
              <w:t>Other:</w:t>
            </w:r>
          </w:p>
          <w:p w14:paraId="15A4A649" w14:textId="243394AE" w:rsidR="003A41D8" w:rsidRDefault="003A41D8" w:rsidP="00A62A2A">
            <w:pPr>
              <w:rPr>
                <w:sz w:val="17"/>
                <w:szCs w:val="17"/>
              </w:rPr>
            </w:pPr>
            <w:r w:rsidRPr="00B83CEB">
              <w:rPr>
                <w:sz w:val="17"/>
                <w:szCs w:val="17"/>
              </w:rPr>
              <w:t xml:space="preserve">$ </w:t>
            </w:r>
            <w:r>
              <w:rPr>
                <w:sz w:val="17"/>
                <w:szCs w:val="17"/>
              </w:rPr>
              <w:t xml:space="preserve"> 9,815,000 </w:t>
            </w:r>
          </w:p>
          <w:p w14:paraId="032E8082" w14:textId="77777777" w:rsidR="003A41D8" w:rsidRDefault="003A41D8" w:rsidP="00A62A2A">
            <w:pPr>
              <w:rPr>
                <w:sz w:val="17"/>
                <w:szCs w:val="17"/>
              </w:rPr>
            </w:pPr>
          </w:p>
          <w:p w14:paraId="69DBA223" w14:textId="45FFD8D7" w:rsidR="003A41D8" w:rsidRPr="00E64C49" w:rsidRDefault="003A41D8" w:rsidP="00A62A2A">
            <w:pPr>
              <w:rPr>
                <w:b/>
                <w:sz w:val="17"/>
                <w:szCs w:val="17"/>
              </w:rPr>
            </w:pPr>
            <w:r w:rsidRPr="00E64C49">
              <w:rPr>
                <w:b/>
                <w:sz w:val="17"/>
                <w:szCs w:val="17"/>
              </w:rPr>
              <w:t>Total:</w:t>
            </w:r>
          </w:p>
          <w:p w14:paraId="23921C1C" w14:textId="2A04AAE2" w:rsidR="003A41D8" w:rsidRPr="00B83CEB" w:rsidRDefault="003A41D8" w:rsidP="00E64C49">
            <w:pPr>
              <w:rPr>
                <w:bCs/>
                <w:color w:val="000000"/>
                <w:sz w:val="17"/>
                <w:szCs w:val="17"/>
              </w:rPr>
            </w:pPr>
            <w:r w:rsidRPr="00B83CEB">
              <w:rPr>
                <w:bCs/>
                <w:color w:val="000000"/>
                <w:sz w:val="17"/>
                <w:szCs w:val="17"/>
              </w:rPr>
              <w:t>$10,400,000</w:t>
            </w:r>
          </w:p>
          <w:p w14:paraId="22978A96" w14:textId="72A82A57" w:rsidR="003A41D8" w:rsidRPr="00B83CEB" w:rsidRDefault="003A41D8" w:rsidP="00E64C49">
            <w:pPr>
              <w:rPr>
                <w:b/>
                <w:sz w:val="17"/>
                <w:szCs w:val="17"/>
              </w:rPr>
            </w:pPr>
          </w:p>
        </w:tc>
      </w:tr>
      <w:tr w:rsidR="003A41D8" w:rsidRPr="00B83CEB" w14:paraId="29A5B211" w14:textId="77777777" w:rsidTr="006819F7">
        <w:tc>
          <w:tcPr>
            <w:tcW w:w="0" w:type="auto"/>
            <w:gridSpan w:val="11"/>
            <w:tcBorders>
              <w:top w:val="single" w:sz="6" w:space="0" w:color="000000"/>
              <w:left w:val="single" w:sz="2" w:space="0" w:color="000000"/>
              <w:bottom w:val="single" w:sz="6" w:space="0" w:color="000000"/>
              <w:right w:val="single" w:sz="2" w:space="0" w:color="000000"/>
            </w:tcBorders>
            <w:shd w:val="clear" w:color="auto" w:fill="auto"/>
            <w:tcMar>
              <w:top w:w="105" w:type="dxa"/>
              <w:left w:w="105" w:type="dxa"/>
              <w:bottom w:w="105" w:type="dxa"/>
              <w:right w:w="105" w:type="dxa"/>
            </w:tcMar>
            <w:hideMark/>
          </w:tcPr>
          <w:p w14:paraId="3064E4AE" w14:textId="1E4564D5" w:rsidR="003A41D8" w:rsidRPr="00B83CEB" w:rsidRDefault="003A41D8" w:rsidP="003A41D8">
            <w:pPr>
              <w:rPr>
                <w:b/>
                <w:bCs/>
                <w:color w:val="000000"/>
                <w:sz w:val="17"/>
                <w:szCs w:val="17"/>
              </w:rPr>
            </w:pPr>
            <w:r w:rsidRPr="00B83CEB">
              <w:rPr>
                <w:b/>
                <w:bCs/>
                <w:color w:val="000000"/>
                <w:sz w:val="17"/>
                <w:szCs w:val="17"/>
              </w:rPr>
              <w:br w:type="page"/>
              <w:t xml:space="preserve">National priority: </w:t>
            </w:r>
            <w:r w:rsidRPr="00B83CEB">
              <w:rPr>
                <w:bCs/>
                <w:color w:val="000000"/>
                <w:sz w:val="17"/>
                <w:szCs w:val="17"/>
              </w:rPr>
              <w:t>Environmental preservation, through the promotion of sustainable production and consumption, the prevention of environmental degradation, the integration of environmental is</w:t>
            </w:r>
            <w:r w:rsidR="00A43C8F">
              <w:rPr>
                <w:bCs/>
                <w:color w:val="000000"/>
                <w:sz w:val="17"/>
                <w:szCs w:val="17"/>
              </w:rPr>
              <w:t>sues in all sectoral strategies;</w:t>
            </w:r>
            <w:r>
              <w:rPr>
                <w:bCs/>
                <w:color w:val="000000"/>
                <w:sz w:val="17"/>
                <w:szCs w:val="17"/>
              </w:rPr>
              <w:t xml:space="preserve"> </w:t>
            </w:r>
            <w:r w:rsidRPr="00361600">
              <w:rPr>
                <w:bCs/>
                <w:color w:val="000000"/>
                <w:sz w:val="17"/>
                <w:szCs w:val="17"/>
              </w:rPr>
              <w:t>Sustainable Development Goals 6, 7, 8, 9, 11, 12, 13, 14, 15</w:t>
            </w:r>
            <w:r>
              <w:rPr>
                <w:b/>
                <w:bCs/>
                <w:color w:val="000000"/>
                <w:sz w:val="17"/>
                <w:szCs w:val="17"/>
              </w:rPr>
              <w:t xml:space="preserve"> </w:t>
            </w:r>
          </w:p>
        </w:tc>
      </w:tr>
      <w:tr w:rsidR="003A41D8" w:rsidRPr="00B83CEB" w14:paraId="0B2FFEF4" w14:textId="77777777" w:rsidTr="006819F7">
        <w:tc>
          <w:tcPr>
            <w:tcW w:w="0" w:type="auto"/>
            <w:gridSpan w:val="11"/>
            <w:tcBorders>
              <w:top w:val="single" w:sz="6" w:space="0" w:color="000000"/>
              <w:left w:val="single" w:sz="2"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54ACFB42" w14:textId="5628E081" w:rsidR="003A41D8" w:rsidRPr="00B83CEB" w:rsidRDefault="003A41D8" w:rsidP="000A59A8">
            <w:pPr>
              <w:rPr>
                <w:b/>
                <w:bCs/>
                <w:color w:val="000000"/>
                <w:sz w:val="17"/>
                <w:szCs w:val="17"/>
              </w:rPr>
            </w:pPr>
            <w:r w:rsidRPr="00B83CEB">
              <w:rPr>
                <w:b/>
                <w:bCs/>
                <w:color w:val="000000"/>
                <w:sz w:val="17"/>
                <w:szCs w:val="17"/>
              </w:rPr>
              <w:t xml:space="preserve">UNDAF outcome 4: </w:t>
            </w:r>
            <w:r w:rsidRPr="00B83CEB">
              <w:rPr>
                <w:bCs/>
                <w:color w:val="000000"/>
                <w:sz w:val="17"/>
                <w:szCs w:val="17"/>
              </w:rPr>
              <w:t xml:space="preserve">Government and non-government actors adopt and implement innovative, gender-sensitive national and local actions for environmental sustainability, climate change mitigation and adaptation, and disaster risk reduction </w:t>
            </w:r>
          </w:p>
        </w:tc>
      </w:tr>
      <w:tr w:rsidR="003A41D8" w:rsidRPr="00B83CEB" w14:paraId="79656BB2" w14:textId="77777777" w:rsidTr="006819F7">
        <w:tc>
          <w:tcPr>
            <w:tcW w:w="0" w:type="auto"/>
            <w:gridSpan w:val="11"/>
            <w:tcBorders>
              <w:top w:val="single" w:sz="6" w:space="0" w:color="000000"/>
              <w:left w:val="single" w:sz="2" w:space="0" w:color="000000"/>
              <w:bottom w:val="single" w:sz="6" w:space="0" w:color="000000"/>
              <w:right w:val="single" w:sz="6" w:space="0" w:color="000000"/>
            </w:tcBorders>
            <w:shd w:val="clear" w:color="auto" w:fill="auto"/>
            <w:tcMar>
              <w:top w:w="105" w:type="dxa"/>
              <w:left w:w="105" w:type="dxa"/>
              <w:bottom w:w="105" w:type="dxa"/>
              <w:right w:w="105" w:type="dxa"/>
            </w:tcMar>
          </w:tcPr>
          <w:p w14:paraId="63276548" w14:textId="4F27764D" w:rsidR="003A41D8" w:rsidRPr="00B83CEB" w:rsidRDefault="00851AE4" w:rsidP="00851AE4">
            <w:pPr>
              <w:rPr>
                <w:b/>
                <w:bCs/>
                <w:color w:val="000000"/>
                <w:sz w:val="17"/>
                <w:szCs w:val="17"/>
              </w:rPr>
            </w:pPr>
            <w:r w:rsidRPr="00CC3210">
              <w:rPr>
                <w:b/>
                <w:bCs/>
                <w:color w:val="000000"/>
                <w:sz w:val="16"/>
                <w:szCs w:val="16"/>
                <w:lang w:val="en-GB"/>
              </w:rPr>
              <w:t xml:space="preserve">Related </w:t>
            </w:r>
            <w:r w:rsidR="003A41D8" w:rsidRPr="00CC3210">
              <w:rPr>
                <w:b/>
                <w:bCs/>
                <w:color w:val="000000"/>
                <w:sz w:val="16"/>
                <w:szCs w:val="16"/>
                <w:lang w:val="en-GB"/>
              </w:rPr>
              <w:t xml:space="preserve">Strategic Plan </w:t>
            </w:r>
            <w:r w:rsidRPr="00CC3210">
              <w:rPr>
                <w:b/>
                <w:bCs/>
                <w:color w:val="000000"/>
                <w:sz w:val="16"/>
                <w:szCs w:val="16"/>
                <w:lang w:val="en-GB"/>
              </w:rPr>
              <w:t>(</w:t>
            </w:r>
            <w:r w:rsidR="003A41D8" w:rsidRPr="00CC3210">
              <w:rPr>
                <w:b/>
                <w:bCs/>
                <w:color w:val="000000"/>
                <w:sz w:val="16"/>
                <w:szCs w:val="16"/>
                <w:lang w:val="en-GB"/>
              </w:rPr>
              <w:t xml:space="preserve">2014-2017) Outcome : </w:t>
            </w:r>
            <w:r w:rsidR="00035536" w:rsidRPr="00CC3210">
              <w:rPr>
                <w:b/>
                <w:bCs/>
                <w:color w:val="000000"/>
                <w:sz w:val="16"/>
                <w:szCs w:val="16"/>
                <w:lang w:val="en-GB"/>
              </w:rPr>
              <w:t xml:space="preserve">1. </w:t>
            </w:r>
            <w:r w:rsidR="003A41D8" w:rsidRPr="00CC3210">
              <w:rPr>
                <w:b/>
                <w:bCs/>
                <w:color w:val="000000"/>
                <w:sz w:val="16"/>
                <w:szCs w:val="16"/>
                <w:lang w:val="en-GB"/>
              </w:rPr>
              <w:t>Growth and development are inclusive and sustainable incorporating productive capacities that create employment and livelihoods for the poor and excluded</w:t>
            </w:r>
          </w:p>
        </w:tc>
      </w:tr>
      <w:tr w:rsidR="003A41D8" w:rsidRPr="00B83CEB" w14:paraId="6E57961D" w14:textId="77777777" w:rsidTr="00D523D0">
        <w:tc>
          <w:tcPr>
            <w:tcW w:w="3947" w:type="dxa"/>
            <w:gridSpan w:val="2"/>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127946F1" w14:textId="087DCF7F" w:rsidR="003A41D8" w:rsidRPr="00B83CEB" w:rsidRDefault="003A41D8" w:rsidP="000A59A8">
            <w:pPr>
              <w:rPr>
                <w:sz w:val="17"/>
                <w:szCs w:val="17"/>
              </w:rPr>
            </w:pPr>
            <w:r w:rsidRPr="00B83CEB">
              <w:rPr>
                <w:color w:val="000000"/>
                <w:sz w:val="17"/>
                <w:szCs w:val="17"/>
              </w:rPr>
              <w:lastRenderedPageBreak/>
              <w:t>4.1 Greenhouse gas (GHG) emissions (CO2 eq kT)</w:t>
            </w:r>
          </w:p>
          <w:p w14:paraId="51A359C6" w14:textId="5D8DE4A6"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xml:space="preserve"> (Fuel combustion,</w:t>
            </w:r>
            <w:r w:rsidRPr="00B83CEB" w:rsidDel="00031517">
              <w:rPr>
                <w:color w:val="000000"/>
                <w:sz w:val="17"/>
                <w:szCs w:val="17"/>
              </w:rPr>
              <w:t xml:space="preserve"> </w:t>
            </w:r>
            <w:r w:rsidRPr="00B83CEB">
              <w:rPr>
                <w:color w:val="000000"/>
                <w:sz w:val="17"/>
                <w:szCs w:val="17"/>
              </w:rPr>
              <w:t>2009): 5,116</w:t>
            </w:r>
          </w:p>
          <w:p w14:paraId="02B7F30D" w14:textId="5C79F97D" w:rsidR="003A41D8" w:rsidRPr="00B83CEB" w:rsidRDefault="003A41D8" w:rsidP="000A59A8">
            <w:pPr>
              <w:rPr>
                <w:sz w:val="17"/>
                <w:szCs w:val="17"/>
              </w:rPr>
            </w:pPr>
            <w:r w:rsidRPr="00B83CEB">
              <w:rPr>
                <w:color w:val="000000"/>
                <w:sz w:val="17"/>
                <w:szCs w:val="17"/>
                <w:u w:val="single"/>
              </w:rPr>
              <w:t xml:space="preserve">Target </w:t>
            </w:r>
            <w:r w:rsidRPr="00B83CEB">
              <w:rPr>
                <w:color w:val="000000"/>
                <w:sz w:val="17"/>
                <w:szCs w:val="17"/>
              </w:rPr>
              <w:t>(2020): 8.3% decrease from the baseline scenario</w:t>
            </w:r>
          </w:p>
          <w:p w14:paraId="65F3DF56" w14:textId="77777777" w:rsidR="003A41D8" w:rsidRPr="00B83CEB" w:rsidRDefault="003A41D8" w:rsidP="000A59A8">
            <w:pPr>
              <w:rPr>
                <w:sz w:val="17"/>
                <w:szCs w:val="17"/>
              </w:rPr>
            </w:pPr>
          </w:p>
          <w:p w14:paraId="57CBC720" w14:textId="278996E7" w:rsidR="003A41D8" w:rsidRPr="00B83CEB" w:rsidRDefault="003A41D8" w:rsidP="000A59A8">
            <w:pPr>
              <w:rPr>
                <w:color w:val="000000"/>
                <w:sz w:val="17"/>
                <w:szCs w:val="17"/>
              </w:rPr>
            </w:pPr>
            <w:r w:rsidRPr="00B83CEB">
              <w:rPr>
                <w:color w:val="000000"/>
                <w:sz w:val="17"/>
                <w:szCs w:val="17"/>
              </w:rPr>
              <w:t>4.2 Number of hectares of land managed sustainably as protected areas under a conservation, sustainable use or access- and benefits-sharing regime</w:t>
            </w:r>
          </w:p>
          <w:p w14:paraId="3FA30226" w14:textId="1C9D8433" w:rsidR="003A41D8" w:rsidRPr="00B83CEB" w:rsidRDefault="003A41D8" w:rsidP="000A59A8">
            <w:pPr>
              <w:rPr>
                <w:sz w:val="17"/>
                <w:szCs w:val="17"/>
              </w:rPr>
            </w:pPr>
            <w:r w:rsidRPr="00B83CEB">
              <w:rPr>
                <w:color w:val="000000"/>
                <w:sz w:val="17"/>
                <w:szCs w:val="17"/>
                <w:u w:val="single"/>
              </w:rPr>
              <w:t>Baseline (2015):</w:t>
            </w:r>
            <w:r w:rsidRPr="00B83CEB">
              <w:rPr>
                <w:color w:val="000000"/>
                <w:sz w:val="17"/>
                <w:szCs w:val="17"/>
              </w:rPr>
              <w:t xml:space="preserve"> </w:t>
            </w:r>
            <w:r w:rsidRPr="00B83CEB">
              <w:rPr>
                <w:color w:val="000000"/>
                <w:sz w:val="17"/>
                <w:szCs w:val="17"/>
              </w:rPr>
              <w:tab/>
            </w:r>
            <w:r w:rsidRPr="00B83CEB">
              <w:rPr>
                <w:color w:val="000000"/>
                <w:sz w:val="17"/>
                <w:szCs w:val="17"/>
                <w:u w:val="single"/>
              </w:rPr>
              <w:t>Target (2021):</w:t>
            </w:r>
          </w:p>
          <w:p w14:paraId="6B963861" w14:textId="5BCD231A" w:rsidR="003A41D8" w:rsidRPr="00B83CEB" w:rsidRDefault="003A41D8" w:rsidP="000A59A8">
            <w:pPr>
              <w:rPr>
                <w:color w:val="000000"/>
                <w:sz w:val="17"/>
                <w:szCs w:val="17"/>
              </w:rPr>
            </w:pPr>
            <w:r w:rsidRPr="00B83CEB">
              <w:rPr>
                <w:color w:val="000000"/>
                <w:sz w:val="17"/>
                <w:szCs w:val="17"/>
              </w:rPr>
              <w:t>9,424 hectares</w:t>
            </w:r>
            <w:r w:rsidRPr="00B83CEB">
              <w:rPr>
                <w:color w:val="000000"/>
                <w:sz w:val="17"/>
                <w:szCs w:val="17"/>
              </w:rPr>
              <w:tab/>
              <w:t xml:space="preserve">73,219 hectares </w:t>
            </w:r>
          </w:p>
          <w:p w14:paraId="7CFDD380" w14:textId="77777777" w:rsidR="003A41D8" w:rsidRPr="00B83CEB" w:rsidRDefault="003A41D8" w:rsidP="000A59A8">
            <w:pPr>
              <w:rPr>
                <w:sz w:val="17"/>
                <w:szCs w:val="17"/>
              </w:rPr>
            </w:pPr>
            <w:r w:rsidRPr="00B83CEB">
              <w:rPr>
                <w:sz w:val="17"/>
                <w:szCs w:val="17"/>
              </w:rPr>
              <w:t xml:space="preserve">                 </w:t>
            </w:r>
          </w:p>
          <w:p w14:paraId="30A7D5DA" w14:textId="77777777" w:rsidR="003A41D8" w:rsidRPr="00B83CEB" w:rsidRDefault="003A41D8" w:rsidP="000A59A8">
            <w:pPr>
              <w:rPr>
                <w:color w:val="000000"/>
                <w:sz w:val="17"/>
                <w:szCs w:val="17"/>
              </w:rPr>
            </w:pPr>
          </w:p>
          <w:p w14:paraId="31C3EBE1" w14:textId="77777777" w:rsidR="003A41D8" w:rsidRPr="00B83CEB" w:rsidRDefault="003A41D8" w:rsidP="000A59A8">
            <w:pPr>
              <w:rPr>
                <w:sz w:val="17"/>
                <w:szCs w:val="17"/>
              </w:rPr>
            </w:pPr>
            <w:r w:rsidRPr="00B83CEB">
              <w:rPr>
                <w:color w:val="000000"/>
                <w:sz w:val="17"/>
                <w:szCs w:val="17"/>
              </w:rPr>
              <w:t xml:space="preserve"> </w:t>
            </w:r>
          </w:p>
          <w:p w14:paraId="443CEEDB" w14:textId="77777777" w:rsidR="003A41D8" w:rsidRPr="00B83CEB" w:rsidRDefault="003A41D8" w:rsidP="000A59A8">
            <w:pPr>
              <w:rPr>
                <w:sz w:val="17"/>
                <w:szCs w:val="17"/>
              </w:rPr>
            </w:pPr>
          </w:p>
        </w:tc>
        <w:tc>
          <w:tcPr>
            <w:tcW w:w="1673" w:type="dxa"/>
            <w:gridSpan w:val="3"/>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70A41269" w14:textId="7F85A04F" w:rsidR="003A41D8" w:rsidRPr="00B83CEB" w:rsidRDefault="003A41D8" w:rsidP="000A59A8">
            <w:pPr>
              <w:rPr>
                <w:color w:val="000000"/>
                <w:sz w:val="17"/>
                <w:szCs w:val="17"/>
              </w:rPr>
            </w:pPr>
            <w:r w:rsidRPr="00B83CEB">
              <w:rPr>
                <w:color w:val="000000"/>
                <w:sz w:val="17"/>
                <w:szCs w:val="17"/>
              </w:rPr>
              <w:t>Biennial update reports of GHG inventory to the UNFCCC;</w:t>
            </w:r>
          </w:p>
          <w:p w14:paraId="61633197" w14:textId="77777777" w:rsidR="003A41D8" w:rsidRPr="00B83CEB" w:rsidRDefault="003A41D8" w:rsidP="000A59A8">
            <w:pPr>
              <w:rPr>
                <w:sz w:val="17"/>
                <w:szCs w:val="17"/>
              </w:rPr>
            </w:pPr>
          </w:p>
          <w:p w14:paraId="357259FA" w14:textId="77777777" w:rsidR="003A41D8" w:rsidRPr="00B83CEB" w:rsidRDefault="003A41D8" w:rsidP="000A59A8">
            <w:pPr>
              <w:rPr>
                <w:color w:val="000000"/>
                <w:sz w:val="17"/>
                <w:szCs w:val="17"/>
              </w:rPr>
            </w:pPr>
            <w:r w:rsidRPr="00B83CEB">
              <w:rPr>
                <w:color w:val="000000"/>
                <w:sz w:val="17"/>
                <w:szCs w:val="17"/>
              </w:rPr>
              <w:t>National Communication on Climate Change;</w:t>
            </w:r>
          </w:p>
          <w:p w14:paraId="7EF2A9C7" w14:textId="77777777" w:rsidR="003A41D8" w:rsidRPr="00B83CEB" w:rsidRDefault="003A41D8" w:rsidP="000A59A8">
            <w:pPr>
              <w:rPr>
                <w:color w:val="000000"/>
                <w:sz w:val="17"/>
                <w:szCs w:val="17"/>
              </w:rPr>
            </w:pPr>
          </w:p>
          <w:p w14:paraId="0E099AED" w14:textId="77B8F3EB" w:rsidR="003A41D8" w:rsidRPr="00B83CEB" w:rsidRDefault="003A41D8" w:rsidP="000A59A8">
            <w:pPr>
              <w:rPr>
                <w:sz w:val="17"/>
                <w:szCs w:val="17"/>
              </w:rPr>
            </w:pPr>
            <w:r w:rsidRPr="00B83CEB">
              <w:rPr>
                <w:color w:val="000000"/>
                <w:sz w:val="17"/>
                <w:szCs w:val="17"/>
              </w:rPr>
              <w:t xml:space="preserve">European Energy Agency (annually) </w:t>
            </w:r>
          </w:p>
          <w:p w14:paraId="21893BDC" w14:textId="77777777" w:rsidR="003A41D8" w:rsidRPr="00B83CEB" w:rsidRDefault="003A41D8" w:rsidP="000A59A8">
            <w:pPr>
              <w:rPr>
                <w:color w:val="000000"/>
                <w:sz w:val="17"/>
                <w:szCs w:val="17"/>
              </w:rPr>
            </w:pPr>
          </w:p>
          <w:p w14:paraId="28CA1E85" w14:textId="2273840E" w:rsidR="003A41D8" w:rsidRPr="00B83CEB" w:rsidRDefault="003A41D8" w:rsidP="000A59A8">
            <w:pPr>
              <w:rPr>
                <w:sz w:val="17"/>
                <w:szCs w:val="17"/>
              </w:rPr>
            </w:pPr>
            <w:r w:rsidRPr="00B83CEB">
              <w:rPr>
                <w:color w:val="000000"/>
                <w:sz w:val="17"/>
                <w:szCs w:val="17"/>
              </w:rPr>
              <w:t xml:space="preserve"> </w:t>
            </w:r>
          </w:p>
          <w:p w14:paraId="6D01A59C" w14:textId="77777777" w:rsidR="003A41D8" w:rsidRPr="00B83CEB" w:rsidRDefault="003A41D8" w:rsidP="000A59A8">
            <w:pPr>
              <w:rPr>
                <w:sz w:val="17"/>
                <w:szCs w:val="17"/>
              </w:rPr>
            </w:pPr>
          </w:p>
          <w:p w14:paraId="733B54F2" w14:textId="77777777" w:rsidR="003A41D8" w:rsidRPr="00B83CEB" w:rsidRDefault="003A41D8" w:rsidP="000A59A8">
            <w:pPr>
              <w:rPr>
                <w:sz w:val="17"/>
                <w:szCs w:val="17"/>
              </w:rPr>
            </w:pPr>
          </w:p>
        </w:tc>
        <w:tc>
          <w:tcPr>
            <w:tcW w:w="42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36AABF" w14:textId="2E434DA1" w:rsidR="003A41D8" w:rsidRPr="00B83CEB" w:rsidRDefault="003A41D8" w:rsidP="000A59A8">
            <w:pPr>
              <w:rPr>
                <w:sz w:val="17"/>
                <w:szCs w:val="17"/>
              </w:rPr>
            </w:pPr>
            <w:r w:rsidRPr="00B83CEB">
              <w:rPr>
                <w:b/>
                <w:bCs/>
                <w:color w:val="000000"/>
                <w:sz w:val="17"/>
                <w:szCs w:val="17"/>
                <w:u w:val="single"/>
              </w:rPr>
              <w:t>Output 4.1</w:t>
            </w:r>
            <w:r w:rsidRPr="00B83CEB">
              <w:rPr>
                <w:b/>
                <w:bCs/>
                <w:color w:val="000000"/>
                <w:sz w:val="17"/>
                <w:szCs w:val="17"/>
              </w:rPr>
              <w:t xml:space="preserve">  Extent to which climate finance is being accessed (by government and non-government institutions)   </w:t>
            </w:r>
          </w:p>
          <w:p w14:paraId="3A412B57" w14:textId="77777777" w:rsidR="003A41D8" w:rsidRPr="00B83CEB" w:rsidRDefault="003A41D8" w:rsidP="000A59A8">
            <w:pPr>
              <w:rPr>
                <w:color w:val="000000"/>
                <w:sz w:val="17"/>
                <w:szCs w:val="17"/>
              </w:rPr>
            </w:pPr>
          </w:p>
          <w:p w14:paraId="1E82FA81" w14:textId="2E96319B" w:rsidR="003A41D8" w:rsidRPr="00B83CEB" w:rsidRDefault="003A41D8" w:rsidP="000A59A8">
            <w:pPr>
              <w:rPr>
                <w:color w:val="000000"/>
                <w:sz w:val="17"/>
                <w:szCs w:val="17"/>
              </w:rPr>
            </w:pPr>
            <w:r w:rsidRPr="00B83CEB">
              <w:rPr>
                <w:color w:val="000000"/>
                <w:sz w:val="17"/>
                <w:szCs w:val="17"/>
                <w:u w:val="single"/>
              </w:rPr>
              <w:t>Indicator 4.1.1</w:t>
            </w:r>
          </w:p>
          <w:p w14:paraId="71288D28" w14:textId="259503FB" w:rsidR="003A41D8" w:rsidRPr="00B83CEB" w:rsidRDefault="003A41D8" w:rsidP="000A59A8">
            <w:pPr>
              <w:rPr>
                <w:color w:val="000000"/>
                <w:sz w:val="17"/>
                <w:szCs w:val="17"/>
                <w:u w:val="single"/>
              </w:rPr>
            </w:pPr>
            <w:r w:rsidRPr="00B83CEB">
              <w:rPr>
                <w:color w:val="000000"/>
                <w:sz w:val="17"/>
                <w:szCs w:val="17"/>
              </w:rPr>
              <w:t>Progress in establishing Energy Efficiency Fund in line w requirements for Green Climate Fund accreditation</w:t>
            </w:r>
            <w:r w:rsidRPr="00B83CEB">
              <w:rPr>
                <w:color w:val="000000"/>
                <w:sz w:val="17"/>
                <w:szCs w:val="17"/>
                <w:vertAlign w:val="superscript"/>
              </w:rPr>
              <w:footnoteReference w:id="34"/>
            </w:r>
            <w:r w:rsidRPr="00B83CEB">
              <w:rPr>
                <w:color w:val="000000"/>
                <w:sz w:val="17"/>
                <w:szCs w:val="17"/>
              </w:rPr>
              <w:t xml:space="preserve">  </w:t>
            </w:r>
          </w:p>
          <w:p w14:paraId="3BBC2E98" w14:textId="77777777"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3D5448D2" w14:textId="77777777" w:rsidR="003A41D8" w:rsidRPr="00B83CEB" w:rsidRDefault="003A41D8" w:rsidP="000A59A8">
            <w:pPr>
              <w:rPr>
                <w:sz w:val="17"/>
                <w:szCs w:val="17"/>
              </w:rPr>
            </w:pPr>
            <w:r w:rsidRPr="00B83CEB">
              <w:rPr>
                <w:sz w:val="17"/>
                <w:szCs w:val="17"/>
              </w:rPr>
              <w:t>1                     4</w:t>
            </w:r>
          </w:p>
          <w:p w14:paraId="657A84B1" w14:textId="37F23680" w:rsidR="003A41D8" w:rsidRPr="00B83CEB" w:rsidRDefault="003A41D8" w:rsidP="000A59A8">
            <w:pPr>
              <w:rPr>
                <w:sz w:val="17"/>
                <w:szCs w:val="17"/>
              </w:rPr>
            </w:pPr>
            <w:r w:rsidRPr="00B83CEB">
              <w:rPr>
                <w:sz w:val="17"/>
                <w:szCs w:val="17"/>
              </w:rPr>
              <w:t>Source: MoE</w:t>
            </w:r>
            <w:r w:rsidR="002019E9">
              <w:rPr>
                <w:sz w:val="17"/>
                <w:szCs w:val="17"/>
              </w:rPr>
              <w:t>/</w:t>
            </w:r>
            <w:r w:rsidRPr="00B83CEB">
              <w:rPr>
                <w:sz w:val="17"/>
                <w:szCs w:val="17"/>
              </w:rPr>
              <w:t>MEI</w:t>
            </w:r>
          </w:p>
          <w:p w14:paraId="2841636D" w14:textId="77777777" w:rsidR="003A41D8" w:rsidRPr="00B83CEB" w:rsidRDefault="003A41D8" w:rsidP="000A59A8">
            <w:pPr>
              <w:rPr>
                <w:color w:val="000000"/>
                <w:sz w:val="17"/>
                <w:szCs w:val="17"/>
                <w:u w:val="single"/>
              </w:rPr>
            </w:pPr>
          </w:p>
          <w:p w14:paraId="6F90205D" w14:textId="53CCC82E" w:rsidR="003A41D8" w:rsidRPr="00B83CEB" w:rsidRDefault="003A41D8" w:rsidP="000A59A8">
            <w:pPr>
              <w:rPr>
                <w:color w:val="000000"/>
                <w:sz w:val="17"/>
                <w:szCs w:val="17"/>
              </w:rPr>
            </w:pPr>
            <w:r w:rsidRPr="00B83CEB">
              <w:rPr>
                <w:color w:val="000000"/>
                <w:sz w:val="17"/>
                <w:szCs w:val="17"/>
                <w:u w:val="single"/>
              </w:rPr>
              <w:t>Indicator 4.1.2</w:t>
            </w:r>
            <w:r w:rsidRPr="00B83CEB">
              <w:rPr>
                <w:color w:val="000000"/>
                <w:sz w:val="17"/>
                <w:szCs w:val="17"/>
              </w:rPr>
              <w:t xml:space="preserve"> Gender action plan for climate change adaptation and mitigation prepared; </w:t>
            </w: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073692D7" w14:textId="77777777" w:rsidR="003A41D8" w:rsidRPr="00B83CEB" w:rsidRDefault="003A41D8" w:rsidP="000A59A8">
            <w:pPr>
              <w:rPr>
                <w:color w:val="000000"/>
                <w:sz w:val="17"/>
                <w:szCs w:val="17"/>
              </w:rPr>
            </w:pPr>
            <w:r w:rsidRPr="00B83CEB">
              <w:rPr>
                <w:color w:val="000000"/>
                <w:sz w:val="17"/>
                <w:szCs w:val="17"/>
              </w:rPr>
              <w:t>No                     Yes</w:t>
            </w:r>
          </w:p>
          <w:p w14:paraId="53ABE9BE" w14:textId="758B245B" w:rsidR="003A41D8" w:rsidRPr="00B83CEB" w:rsidRDefault="003A41D8" w:rsidP="000A59A8">
            <w:pPr>
              <w:rPr>
                <w:sz w:val="17"/>
                <w:szCs w:val="17"/>
              </w:rPr>
            </w:pPr>
            <w:r w:rsidRPr="00B83CEB">
              <w:rPr>
                <w:sz w:val="17"/>
                <w:szCs w:val="17"/>
              </w:rPr>
              <w:t>Source: MoE/UNDP</w:t>
            </w:r>
          </w:p>
          <w:p w14:paraId="0532FB3D" w14:textId="77777777" w:rsidR="003A41D8" w:rsidRPr="00B83CEB" w:rsidRDefault="003A41D8" w:rsidP="000A59A8">
            <w:pPr>
              <w:rPr>
                <w:color w:val="000000"/>
                <w:sz w:val="17"/>
                <w:szCs w:val="17"/>
              </w:rPr>
            </w:pPr>
            <w:r w:rsidRPr="00B83CEB">
              <w:rPr>
                <w:sz w:val="17"/>
                <w:szCs w:val="17"/>
              </w:rPr>
              <w:t xml:space="preserve"> </w:t>
            </w:r>
          </w:p>
          <w:p w14:paraId="0FDD0524" w14:textId="2D51B6C0" w:rsidR="003A41D8" w:rsidRPr="00B83CEB" w:rsidRDefault="003A41D8" w:rsidP="000A59A8">
            <w:pPr>
              <w:rPr>
                <w:color w:val="000000"/>
                <w:sz w:val="17"/>
                <w:szCs w:val="17"/>
                <w:u w:val="single"/>
              </w:rPr>
            </w:pPr>
            <w:r w:rsidRPr="00B83CEB">
              <w:rPr>
                <w:color w:val="000000"/>
                <w:sz w:val="17"/>
                <w:szCs w:val="17"/>
                <w:u w:val="single"/>
              </w:rPr>
              <w:t>Indicator 4.1.3 N</w:t>
            </w:r>
            <w:r w:rsidRPr="00B83CEB">
              <w:rPr>
                <w:color w:val="000000"/>
                <w:sz w:val="17"/>
                <w:szCs w:val="17"/>
              </w:rPr>
              <w:t xml:space="preserve">umber of priority actions from the climate change gender action plan implemented </w:t>
            </w:r>
          </w:p>
          <w:p w14:paraId="2D1AEF7A" w14:textId="77777777" w:rsidR="003A41D8" w:rsidRPr="00B83CEB" w:rsidRDefault="003A41D8" w:rsidP="000A59A8">
            <w:pPr>
              <w:rPr>
                <w:color w:val="000000"/>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7D61D40A" w14:textId="62218DC3" w:rsidR="003A41D8" w:rsidRPr="00B83CEB" w:rsidRDefault="003A41D8" w:rsidP="000A59A8">
            <w:pPr>
              <w:rPr>
                <w:color w:val="000000"/>
                <w:sz w:val="17"/>
                <w:szCs w:val="17"/>
              </w:rPr>
            </w:pPr>
            <w:r w:rsidRPr="00B83CEB">
              <w:rPr>
                <w:color w:val="000000"/>
                <w:sz w:val="17"/>
                <w:szCs w:val="17"/>
              </w:rPr>
              <w:t xml:space="preserve">0                      TBC </w:t>
            </w:r>
            <w:r w:rsidR="002019E9">
              <w:rPr>
                <w:color w:val="000000"/>
                <w:sz w:val="17"/>
                <w:szCs w:val="17"/>
              </w:rPr>
              <w:t xml:space="preserve"> </w:t>
            </w:r>
          </w:p>
          <w:p w14:paraId="2D1070BB" w14:textId="43B5E5F5" w:rsidR="003A41D8" w:rsidRPr="00B83CEB" w:rsidRDefault="003A41D8" w:rsidP="000A59A8">
            <w:pPr>
              <w:rPr>
                <w:sz w:val="17"/>
                <w:szCs w:val="17"/>
              </w:rPr>
            </w:pPr>
            <w:r w:rsidRPr="00B83CEB">
              <w:rPr>
                <w:sz w:val="17"/>
                <w:szCs w:val="17"/>
              </w:rPr>
              <w:t xml:space="preserve">Source: MoE/UNDP </w:t>
            </w:r>
          </w:p>
          <w:p w14:paraId="6AC17B64" w14:textId="77777777" w:rsidR="003A41D8" w:rsidRPr="00B83CEB" w:rsidRDefault="003A41D8" w:rsidP="000A59A8">
            <w:pPr>
              <w:rPr>
                <w:color w:val="000000"/>
                <w:sz w:val="17"/>
                <w:szCs w:val="17"/>
              </w:rPr>
            </w:pPr>
          </w:p>
          <w:p w14:paraId="1BA793C8" w14:textId="67128CED" w:rsidR="003A41D8" w:rsidRPr="00B83CEB" w:rsidRDefault="003A41D8" w:rsidP="000A59A8">
            <w:pPr>
              <w:rPr>
                <w:sz w:val="17"/>
                <w:szCs w:val="17"/>
              </w:rPr>
            </w:pPr>
            <w:r w:rsidRPr="00B83CEB">
              <w:rPr>
                <w:b/>
                <w:bCs/>
                <w:color w:val="000000"/>
                <w:sz w:val="17"/>
                <w:szCs w:val="17"/>
                <w:u w:val="single"/>
              </w:rPr>
              <w:t>Output 4.2</w:t>
            </w:r>
            <w:r w:rsidRPr="00B83CEB">
              <w:rPr>
                <w:b/>
                <w:bCs/>
                <w:color w:val="000000"/>
                <w:sz w:val="17"/>
                <w:szCs w:val="17"/>
              </w:rPr>
              <w:t xml:space="preserve"> Local authorities are able to implement energy efficiency  measures as well as more resilient to expected climate change  impacts</w:t>
            </w:r>
          </w:p>
          <w:p w14:paraId="06DD1B14" w14:textId="4DB54447" w:rsidR="003A41D8" w:rsidRPr="00B83CEB" w:rsidRDefault="003A41D8" w:rsidP="000A59A8">
            <w:pPr>
              <w:rPr>
                <w:sz w:val="17"/>
                <w:szCs w:val="17"/>
              </w:rPr>
            </w:pPr>
            <w:r w:rsidRPr="00B83CEB">
              <w:rPr>
                <w:color w:val="000000"/>
                <w:sz w:val="17"/>
                <w:szCs w:val="17"/>
                <w:u w:val="single"/>
              </w:rPr>
              <w:t>Indicator 4.2.1</w:t>
            </w:r>
            <w:r w:rsidRPr="00B83CEB">
              <w:rPr>
                <w:color w:val="000000"/>
                <w:sz w:val="17"/>
                <w:szCs w:val="17"/>
              </w:rPr>
              <w:t xml:space="preserve"> Number of municipalities introducing improved energy efficiency solutions </w:t>
            </w:r>
          </w:p>
          <w:p w14:paraId="6B648350" w14:textId="77777777"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w:t>
            </w:r>
            <w:r w:rsidRPr="00B83CEB">
              <w:rPr>
                <w:color w:val="000000"/>
                <w:sz w:val="17"/>
                <w:szCs w:val="17"/>
                <w:u w:val="single"/>
              </w:rPr>
              <w:t>Target</w:t>
            </w:r>
            <w:r w:rsidRPr="00B83CEB">
              <w:rPr>
                <w:color w:val="000000"/>
                <w:sz w:val="17"/>
                <w:szCs w:val="17"/>
              </w:rPr>
              <w:t>:</w:t>
            </w:r>
          </w:p>
          <w:p w14:paraId="0A0E84FC" w14:textId="77777777" w:rsidR="003A41D8" w:rsidRPr="00B83CEB" w:rsidRDefault="003A41D8" w:rsidP="000A59A8">
            <w:pPr>
              <w:rPr>
                <w:color w:val="000000"/>
                <w:sz w:val="17"/>
                <w:szCs w:val="17"/>
                <w:u w:val="single"/>
              </w:rPr>
            </w:pPr>
            <w:r w:rsidRPr="00B83CEB">
              <w:rPr>
                <w:color w:val="000000"/>
                <w:sz w:val="17"/>
                <w:szCs w:val="17"/>
              </w:rPr>
              <w:t>5                                   61</w:t>
            </w:r>
          </w:p>
          <w:p w14:paraId="6A1060D5" w14:textId="6EC01DD2" w:rsidR="003A41D8" w:rsidRPr="00B83CEB" w:rsidRDefault="003A41D8" w:rsidP="000A59A8">
            <w:pPr>
              <w:rPr>
                <w:sz w:val="17"/>
                <w:szCs w:val="17"/>
              </w:rPr>
            </w:pPr>
            <w:r w:rsidRPr="00B83CEB">
              <w:rPr>
                <w:sz w:val="17"/>
                <w:szCs w:val="17"/>
              </w:rPr>
              <w:t xml:space="preserve">Source: National Energy Efficiency Action Plan reports </w:t>
            </w:r>
          </w:p>
          <w:p w14:paraId="115FA871" w14:textId="77777777" w:rsidR="003A41D8" w:rsidRPr="00B83CEB" w:rsidRDefault="003A41D8" w:rsidP="000A59A8">
            <w:pPr>
              <w:rPr>
                <w:color w:val="000000"/>
                <w:sz w:val="17"/>
                <w:szCs w:val="17"/>
                <w:u w:val="single"/>
              </w:rPr>
            </w:pPr>
          </w:p>
          <w:p w14:paraId="1DCDC175" w14:textId="3E092C03" w:rsidR="003A41D8" w:rsidRPr="00B83CEB" w:rsidRDefault="003A41D8" w:rsidP="000A59A8">
            <w:pPr>
              <w:rPr>
                <w:color w:val="000000"/>
                <w:sz w:val="17"/>
                <w:szCs w:val="17"/>
              </w:rPr>
            </w:pPr>
            <w:r w:rsidRPr="00B83CEB">
              <w:rPr>
                <w:color w:val="000000"/>
                <w:sz w:val="17"/>
                <w:szCs w:val="17"/>
                <w:u w:val="single"/>
              </w:rPr>
              <w:t>Indicator 4.2.2</w:t>
            </w:r>
            <w:r w:rsidRPr="00B83CEB">
              <w:rPr>
                <w:color w:val="000000"/>
                <w:sz w:val="17"/>
                <w:szCs w:val="17"/>
              </w:rPr>
              <w:t xml:space="preserve">  Number of climate change adaptation measures identified and implemented in Vjosa area </w:t>
            </w:r>
          </w:p>
          <w:p w14:paraId="79836723" w14:textId="77777777" w:rsidR="003A41D8" w:rsidRPr="00B83CEB" w:rsidRDefault="003A41D8" w:rsidP="000A59A8">
            <w:pPr>
              <w:rPr>
                <w:color w:val="000000"/>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p>
          <w:p w14:paraId="4118AE6A" w14:textId="77777777" w:rsidR="003A41D8" w:rsidRPr="00B83CEB" w:rsidRDefault="003A41D8" w:rsidP="000A59A8">
            <w:pPr>
              <w:rPr>
                <w:color w:val="000000"/>
                <w:sz w:val="17"/>
                <w:szCs w:val="17"/>
              </w:rPr>
            </w:pPr>
            <w:r w:rsidRPr="00B83CEB">
              <w:rPr>
                <w:color w:val="000000"/>
                <w:sz w:val="17"/>
                <w:szCs w:val="17"/>
              </w:rPr>
              <w:t>0                                   2</w:t>
            </w:r>
          </w:p>
          <w:p w14:paraId="6AE7E65B" w14:textId="77777777" w:rsidR="003A41D8" w:rsidRPr="00B83CEB" w:rsidRDefault="003A41D8" w:rsidP="000A59A8">
            <w:pPr>
              <w:rPr>
                <w:sz w:val="17"/>
                <w:szCs w:val="17"/>
              </w:rPr>
            </w:pPr>
          </w:p>
          <w:p w14:paraId="5D7D26B2" w14:textId="20A25451" w:rsidR="003A41D8" w:rsidRPr="00B83CEB" w:rsidRDefault="003A41D8" w:rsidP="000A59A8">
            <w:pPr>
              <w:rPr>
                <w:sz w:val="17"/>
                <w:szCs w:val="17"/>
              </w:rPr>
            </w:pPr>
            <w:r w:rsidRPr="00B83CEB">
              <w:rPr>
                <w:b/>
                <w:bCs/>
                <w:color w:val="000000"/>
                <w:sz w:val="17"/>
                <w:szCs w:val="17"/>
                <w:u w:val="single"/>
              </w:rPr>
              <w:t>Output 4.3</w:t>
            </w:r>
            <w:r w:rsidRPr="00B83CEB">
              <w:rPr>
                <w:b/>
                <w:bCs/>
                <w:color w:val="000000"/>
                <w:sz w:val="17"/>
                <w:szCs w:val="17"/>
              </w:rPr>
              <w:t xml:space="preserve"> Central and local institutions and communities are more aware and better prepared to ensure the protection of natural resources</w:t>
            </w:r>
          </w:p>
          <w:p w14:paraId="25425B66" w14:textId="77777777" w:rsidR="003A41D8" w:rsidRPr="00B83CEB" w:rsidRDefault="003A41D8" w:rsidP="000A59A8">
            <w:pPr>
              <w:rPr>
                <w:color w:val="000000"/>
                <w:sz w:val="17"/>
                <w:szCs w:val="17"/>
              </w:rPr>
            </w:pPr>
          </w:p>
          <w:p w14:paraId="7DB91EA2" w14:textId="37EE1945" w:rsidR="003A41D8" w:rsidRPr="00B83CEB" w:rsidRDefault="003A41D8" w:rsidP="000A59A8">
            <w:pPr>
              <w:rPr>
                <w:sz w:val="17"/>
                <w:szCs w:val="17"/>
              </w:rPr>
            </w:pPr>
            <w:r w:rsidRPr="00B83CEB">
              <w:rPr>
                <w:color w:val="000000"/>
                <w:sz w:val="17"/>
                <w:szCs w:val="17"/>
                <w:u w:val="single"/>
              </w:rPr>
              <w:t>Indicator 4.3.1</w:t>
            </w:r>
            <w:r w:rsidRPr="00B83CEB">
              <w:rPr>
                <w:color w:val="000000"/>
                <w:sz w:val="17"/>
                <w:szCs w:val="17"/>
              </w:rPr>
              <w:t xml:space="preserve"> Performance of protected areas participatory management  </w:t>
            </w:r>
          </w:p>
          <w:p w14:paraId="41D9311A" w14:textId="77777777"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w:t>
            </w:r>
          </w:p>
          <w:p w14:paraId="443D7CD9" w14:textId="6A7A1AA1" w:rsidR="003A41D8" w:rsidRPr="00B83CEB" w:rsidRDefault="003A41D8" w:rsidP="000A59A8">
            <w:pPr>
              <w:rPr>
                <w:sz w:val="17"/>
                <w:szCs w:val="17"/>
              </w:rPr>
            </w:pPr>
            <w:r w:rsidRPr="00B83CEB">
              <w:rPr>
                <w:color w:val="000000"/>
                <w:sz w:val="17"/>
                <w:szCs w:val="17"/>
              </w:rPr>
              <w:lastRenderedPageBreak/>
              <w:t>Management Effectiveness Tracking Tool-(METT)</w:t>
            </w:r>
          </w:p>
          <w:p w14:paraId="05EB78D6" w14:textId="444C448F" w:rsidR="003A41D8" w:rsidRPr="00B83CEB" w:rsidRDefault="003A41D8" w:rsidP="000A59A8">
            <w:pPr>
              <w:rPr>
                <w:sz w:val="17"/>
                <w:szCs w:val="17"/>
              </w:rPr>
            </w:pPr>
            <w:r w:rsidRPr="00B83CEB">
              <w:rPr>
                <w:color w:val="000000"/>
                <w:sz w:val="17"/>
                <w:szCs w:val="17"/>
              </w:rPr>
              <w:t>score less than 30%            </w:t>
            </w:r>
          </w:p>
          <w:p w14:paraId="358761B7" w14:textId="3C4853B2" w:rsidR="003A41D8" w:rsidRPr="00B83CEB" w:rsidRDefault="003A41D8" w:rsidP="000A59A8">
            <w:pPr>
              <w:rPr>
                <w:sz w:val="17"/>
                <w:szCs w:val="17"/>
              </w:rPr>
            </w:pPr>
            <w:r w:rsidRPr="00B83CEB">
              <w:rPr>
                <w:color w:val="000000"/>
                <w:sz w:val="17"/>
                <w:szCs w:val="17"/>
                <w:u w:val="single"/>
              </w:rPr>
              <w:t>Target:</w:t>
            </w:r>
            <w:r w:rsidRPr="00B83CEB">
              <w:rPr>
                <w:sz w:val="17"/>
                <w:szCs w:val="17"/>
              </w:rPr>
              <w:t xml:space="preserve"> </w:t>
            </w:r>
            <w:r w:rsidR="002019E9">
              <w:rPr>
                <w:color w:val="000000"/>
                <w:sz w:val="17"/>
                <w:szCs w:val="17"/>
              </w:rPr>
              <w:t xml:space="preserve"> </w:t>
            </w:r>
            <w:r w:rsidRPr="00B83CEB">
              <w:rPr>
                <w:color w:val="000000"/>
                <w:sz w:val="17"/>
                <w:szCs w:val="17"/>
              </w:rPr>
              <w:t xml:space="preserve"> 50%</w:t>
            </w:r>
          </w:p>
          <w:p w14:paraId="25BC7742" w14:textId="41D3EE00" w:rsidR="003A41D8" w:rsidRPr="00B83CEB" w:rsidRDefault="003A41D8" w:rsidP="000A59A8">
            <w:pPr>
              <w:rPr>
                <w:sz w:val="17"/>
                <w:szCs w:val="17"/>
              </w:rPr>
            </w:pPr>
            <w:r w:rsidRPr="00B83CEB">
              <w:rPr>
                <w:sz w:val="17"/>
                <w:szCs w:val="17"/>
              </w:rPr>
              <w:t>Source:   MoE</w:t>
            </w:r>
          </w:p>
          <w:p w14:paraId="4A37E748" w14:textId="77777777" w:rsidR="003A41D8" w:rsidRPr="00B83CEB" w:rsidRDefault="003A41D8" w:rsidP="000A59A8">
            <w:pPr>
              <w:rPr>
                <w:sz w:val="17"/>
                <w:szCs w:val="17"/>
              </w:rPr>
            </w:pPr>
          </w:p>
          <w:p w14:paraId="281AE6EE" w14:textId="77777777" w:rsidR="003A41D8" w:rsidRPr="00B83CEB" w:rsidRDefault="003A41D8" w:rsidP="000A59A8">
            <w:pPr>
              <w:rPr>
                <w:color w:val="000000"/>
                <w:sz w:val="17"/>
                <w:szCs w:val="17"/>
              </w:rPr>
            </w:pPr>
            <w:r w:rsidRPr="00B83CEB">
              <w:rPr>
                <w:color w:val="000000"/>
                <w:sz w:val="17"/>
                <w:szCs w:val="17"/>
                <w:u w:val="single"/>
              </w:rPr>
              <w:t>Indicator 4.3.2</w:t>
            </w:r>
            <w:r w:rsidRPr="00B83CEB">
              <w:rPr>
                <w:color w:val="000000"/>
                <w:sz w:val="17"/>
                <w:szCs w:val="17"/>
              </w:rPr>
              <w:t xml:space="preserve"> </w:t>
            </w:r>
          </w:p>
          <w:p w14:paraId="5DB099DC" w14:textId="3CEEF4BF" w:rsidR="003A41D8" w:rsidRPr="00B83CEB" w:rsidRDefault="003A41D8" w:rsidP="000A59A8">
            <w:pPr>
              <w:rPr>
                <w:sz w:val="17"/>
                <w:szCs w:val="17"/>
              </w:rPr>
            </w:pPr>
            <w:r w:rsidRPr="00B83CEB">
              <w:rPr>
                <w:color w:val="000000"/>
                <w:sz w:val="17"/>
                <w:szCs w:val="17"/>
              </w:rPr>
              <w:t>Degree</w:t>
            </w:r>
            <w:r w:rsidRPr="00B83CEB">
              <w:rPr>
                <w:color w:val="000000"/>
                <w:sz w:val="17"/>
                <w:szCs w:val="17"/>
                <w:vertAlign w:val="superscript"/>
              </w:rPr>
              <w:footnoteReference w:id="35"/>
            </w:r>
            <w:r w:rsidRPr="00B83CEB">
              <w:rPr>
                <w:color w:val="000000"/>
                <w:sz w:val="17"/>
                <w:szCs w:val="17"/>
                <w:vertAlign w:val="superscript"/>
              </w:rPr>
              <w:t xml:space="preserve"> </w:t>
            </w:r>
            <w:r w:rsidRPr="00B83CEB">
              <w:rPr>
                <w:color w:val="000000"/>
                <w:sz w:val="17"/>
                <w:szCs w:val="17"/>
              </w:rPr>
              <w:t xml:space="preserve">to which the national environmental information portal has been harmonized and enhanced to better serve communities and decision makers </w:t>
            </w:r>
          </w:p>
          <w:p w14:paraId="5B0B6B8E" w14:textId="77777777"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r w:rsidRPr="00B83CEB">
              <w:rPr>
                <w:color w:val="000000"/>
                <w:sz w:val="17"/>
                <w:szCs w:val="17"/>
              </w:rPr>
              <w:t>:</w:t>
            </w:r>
          </w:p>
          <w:p w14:paraId="602A103C" w14:textId="77777777" w:rsidR="003A41D8" w:rsidRPr="00B83CEB" w:rsidRDefault="003A41D8" w:rsidP="000A59A8">
            <w:pPr>
              <w:rPr>
                <w:sz w:val="17"/>
                <w:szCs w:val="17"/>
              </w:rPr>
            </w:pPr>
            <w:r w:rsidRPr="00B83CEB">
              <w:rPr>
                <w:color w:val="000000"/>
                <w:sz w:val="17"/>
                <w:szCs w:val="17"/>
              </w:rPr>
              <w:t>2                                4</w:t>
            </w:r>
          </w:p>
          <w:p w14:paraId="48BDABFB" w14:textId="5B45059C" w:rsidR="003A41D8" w:rsidRPr="00B83CEB" w:rsidRDefault="003A41D8" w:rsidP="000A59A8">
            <w:pPr>
              <w:rPr>
                <w:color w:val="000000"/>
                <w:sz w:val="17"/>
                <w:szCs w:val="17"/>
              </w:rPr>
            </w:pPr>
            <w:r w:rsidRPr="00B83CEB">
              <w:rPr>
                <w:sz w:val="17"/>
                <w:szCs w:val="17"/>
              </w:rPr>
              <w:t xml:space="preserve">Source: MoE </w:t>
            </w:r>
          </w:p>
          <w:p w14:paraId="2F7BA263" w14:textId="77777777" w:rsidR="003A41D8" w:rsidRPr="00B83CEB" w:rsidRDefault="003A41D8" w:rsidP="000A59A8">
            <w:pPr>
              <w:rPr>
                <w:b/>
                <w:bCs/>
                <w:color w:val="000000"/>
                <w:sz w:val="17"/>
                <w:szCs w:val="17"/>
                <w:u w:val="single"/>
              </w:rPr>
            </w:pPr>
          </w:p>
          <w:p w14:paraId="35118084" w14:textId="3DBFB60C" w:rsidR="003A41D8" w:rsidRPr="00B83CEB" w:rsidRDefault="003A41D8" w:rsidP="000A59A8">
            <w:pPr>
              <w:rPr>
                <w:sz w:val="17"/>
                <w:szCs w:val="17"/>
              </w:rPr>
            </w:pPr>
            <w:r w:rsidRPr="00B83CEB">
              <w:rPr>
                <w:b/>
                <w:bCs/>
                <w:color w:val="000000"/>
                <w:sz w:val="17"/>
                <w:szCs w:val="17"/>
                <w:u w:val="single"/>
              </w:rPr>
              <w:t>Output 4.4</w:t>
            </w:r>
            <w:r w:rsidRPr="00B83CEB">
              <w:rPr>
                <w:b/>
                <w:bCs/>
                <w:color w:val="000000"/>
                <w:sz w:val="17"/>
                <w:szCs w:val="17"/>
              </w:rPr>
              <w:t xml:space="preserve">  Strategic Action Plan on Drini </w:t>
            </w:r>
            <w:r w:rsidR="00361600">
              <w:rPr>
                <w:b/>
                <w:bCs/>
                <w:color w:val="000000"/>
                <w:sz w:val="17"/>
                <w:szCs w:val="17"/>
              </w:rPr>
              <w:t xml:space="preserve"> </w:t>
            </w:r>
            <w:r w:rsidRPr="00B83CEB">
              <w:rPr>
                <w:b/>
                <w:bCs/>
                <w:color w:val="000000"/>
                <w:sz w:val="17"/>
                <w:szCs w:val="17"/>
              </w:rPr>
              <w:t xml:space="preserve">provides means for its effective management  </w:t>
            </w:r>
          </w:p>
          <w:p w14:paraId="7B7C058A" w14:textId="65EF0FED" w:rsidR="003A41D8" w:rsidRPr="00B83CEB" w:rsidRDefault="003A41D8" w:rsidP="000A59A8">
            <w:pPr>
              <w:rPr>
                <w:color w:val="000000"/>
                <w:sz w:val="17"/>
                <w:szCs w:val="17"/>
              </w:rPr>
            </w:pPr>
            <w:r w:rsidRPr="00B83CEB">
              <w:rPr>
                <w:color w:val="000000"/>
                <w:sz w:val="17"/>
                <w:szCs w:val="17"/>
                <w:u w:val="single"/>
              </w:rPr>
              <w:t>Indicator 4.4.1</w:t>
            </w:r>
            <w:r w:rsidRPr="00B83CEB">
              <w:rPr>
                <w:color w:val="000000"/>
                <w:sz w:val="17"/>
                <w:szCs w:val="17"/>
              </w:rPr>
              <w:t xml:space="preserve"> Transboundary interventions implemented with riparian partners (South-South cooperation)</w:t>
            </w:r>
          </w:p>
          <w:p w14:paraId="5FED8B2C" w14:textId="77777777" w:rsidR="003A41D8" w:rsidRPr="00B83CEB" w:rsidRDefault="003A41D8" w:rsidP="000A59A8">
            <w:pPr>
              <w:rPr>
                <w:sz w:val="17"/>
                <w:szCs w:val="17"/>
              </w:rPr>
            </w:pPr>
            <w:r w:rsidRPr="00B83CEB">
              <w:rPr>
                <w:color w:val="000000"/>
                <w:sz w:val="17"/>
                <w:szCs w:val="17"/>
                <w:u w:val="single"/>
              </w:rPr>
              <w:t>Baseline</w:t>
            </w:r>
            <w:r w:rsidRPr="00B83CEB">
              <w:rPr>
                <w:color w:val="000000"/>
                <w:sz w:val="17"/>
                <w:szCs w:val="17"/>
              </w:rPr>
              <w:t xml:space="preserve">:                  </w:t>
            </w:r>
            <w:r w:rsidRPr="00B83CEB">
              <w:rPr>
                <w:color w:val="000000"/>
                <w:sz w:val="17"/>
                <w:szCs w:val="17"/>
                <w:u w:val="single"/>
              </w:rPr>
              <w:t>Target</w:t>
            </w:r>
            <w:r w:rsidRPr="00B83CEB">
              <w:rPr>
                <w:color w:val="000000"/>
                <w:sz w:val="17"/>
                <w:szCs w:val="17"/>
              </w:rPr>
              <w:t>:</w:t>
            </w:r>
          </w:p>
          <w:p w14:paraId="3701038E" w14:textId="77777777" w:rsidR="003A41D8" w:rsidRPr="00B83CEB" w:rsidRDefault="003A41D8" w:rsidP="000A59A8">
            <w:pPr>
              <w:rPr>
                <w:color w:val="000000"/>
                <w:sz w:val="17"/>
                <w:szCs w:val="17"/>
              </w:rPr>
            </w:pPr>
            <w:r w:rsidRPr="00B83CEB">
              <w:rPr>
                <w:color w:val="000000"/>
                <w:sz w:val="17"/>
                <w:szCs w:val="17"/>
              </w:rPr>
              <w:t>0                                4</w:t>
            </w:r>
          </w:p>
          <w:p w14:paraId="3CF23FFE" w14:textId="746469C3" w:rsidR="003A41D8" w:rsidRPr="00B83CEB" w:rsidRDefault="003A41D8" w:rsidP="001D152E">
            <w:pPr>
              <w:rPr>
                <w:sz w:val="17"/>
                <w:szCs w:val="17"/>
              </w:rPr>
            </w:pPr>
            <w:r w:rsidRPr="00B83CEB">
              <w:rPr>
                <w:sz w:val="17"/>
                <w:szCs w:val="17"/>
              </w:rPr>
              <w:t>Source: UNDP/MARDWA</w:t>
            </w:r>
          </w:p>
        </w:tc>
        <w:tc>
          <w:tcPr>
            <w:tcW w:w="2483" w:type="dxa"/>
            <w:gridSpan w:val="4"/>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348DD235" w14:textId="32DCB679" w:rsidR="003A41D8" w:rsidRPr="00B83CEB" w:rsidRDefault="003A41D8" w:rsidP="000A59A8">
            <w:pPr>
              <w:rPr>
                <w:sz w:val="17"/>
                <w:szCs w:val="17"/>
              </w:rPr>
            </w:pPr>
            <w:r w:rsidRPr="00B83CEB">
              <w:rPr>
                <w:color w:val="000000"/>
                <w:sz w:val="17"/>
                <w:szCs w:val="17"/>
              </w:rPr>
              <w:lastRenderedPageBreak/>
              <w:t>Ministries of: Environment (MoE);  Energy and Industry (MEI)</w:t>
            </w:r>
            <w:r w:rsidRPr="00B83CEB">
              <w:rPr>
                <w:sz w:val="17"/>
                <w:szCs w:val="17"/>
              </w:rPr>
              <w:t xml:space="preserve">; </w:t>
            </w:r>
            <w:r w:rsidRPr="00B83CEB">
              <w:rPr>
                <w:color w:val="000000"/>
                <w:sz w:val="17"/>
                <w:szCs w:val="17"/>
              </w:rPr>
              <w:t>Agriculture, Rural Development and Water Administration (MARDWA); Urban Development; National Agency on Protected Areas; Environmental Inspectorate;</w:t>
            </w:r>
          </w:p>
          <w:p w14:paraId="3FC61A6A" w14:textId="77777777" w:rsidR="003A41D8" w:rsidRPr="00B83CEB" w:rsidRDefault="003A41D8" w:rsidP="000A59A8">
            <w:pPr>
              <w:rPr>
                <w:sz w:val="17"/>
                <w:szCs w:val="17"/>
              </w:rPr>
            </w:pPr>
            <w:r w:rsidRPr="00B83CEB">
              <w:rPr>
                <w:color w:val="000000"/>
                <w:sz w:val="17"/>
                <w:szCs w:val="17"/>
              </w:rPr>
              <w:t>National Environmental Protection Agency; National Agency on Territorial Planning;</w:t>
            </w:r>
            <w:r w:rsidRPr="00B83CEB">
              <w:rPr>
                <w:sz w:val="17"/>
                <w:szCs w:val="17"/>
              </w:rPr>
              <w:t xml:space="preserve"> </w:t>
            </w:r>
            <w:r w:rsidRPr="00B83CEB">
              <w:rPr>
                <w:color w:val="000000"/>
                <w:sz w:val="17"/>
                <w:szCs w:val="17"/>
              </w:rPr>
              <w:t>LGUs;</w:t>
            </w:r>
          </w:p>
          <w:p w14:paraId="2DF02236" w14:textId="77777777" w:rsidR="003A41D8" w:rsidRPr="00B83CEB" w:rsidRDefault="003A41D8" w:rsidP="000A59A8">
            <w:pPr>
              <w:rPr>
                <w:color w:val="000000"/>
                <w:sz w:val="17"/>
                <w:szCs w:val="17"/>
              </w:rPr>
            </w:pPr>
          </w:p>
          <w:p w14:paraId="705D32F4" w14:textId="77777777" w:rsidR="003A41D8" w:rsidRPr="00B83CEB" w:rsidRDefault="003A41D8" w:rsidP="000A59A8">
            <w:pPr>
              <w:rPr>
                <w:sz w:val="17"/>
                <w:szCs w:val="17"/>
              </w:rPr>
            </w:pPr>
            <w:r w:rsidRPr="00B83CEB">
              <w:rPr>
                <w:color w:val="000000"/>
                <w:sz w:val="17"/>
                <w:szCs w:val="17"/>
              </w:rPr>
              <w:t>Development partners:</w:t>
            </w:r>
          </w:p>
          <w:p w14:paraId="4278A377" w14:textId="01F52956" w:rsidR="003A41D8" w:rsidRPr="00B83CEB" w:rsidRDefault="003A41D8" w:rsidP="000A59A8">
            <w:pPr>
              <w:rPr>
                <w:sz w:val="17"/>
                <w:szCs w:val="17"/>
              </w:rPr>
            </w:pPr>
            <w:r w:rsidRPr="00B83CEB">
              <w:rPr>
                <w:color w:val="000000"/>
                <w:sz w:val="17"/>
                <w:szCs w:val="17"/>
              </w:rPr>
              <w:t xml:space="preserve">EU, SIDA, GIZ, USAID, European Bank for Reconstruction and Development and World Bank. </w:t>
            </w:r>
          </w:p>
          <w:p w14:paraId="2923EA91" w14:textId="62113074" w:rsidR="003A41D8" w:rsidRPr="00B83CEB" w:rsidRDefault="003A41D8" w:rsidP="000A59A8">
            <w:pPr>
              <w:rPr>
                <w:color w:val="000000"/>
                <w:sz w:val="17"/>
                <w:szCs w:val="17"/>
              </w:rPr>
            </w:pPr>
            <w:r w:rsidRPr="00B83CEB">
              <w:rPr>
                <w:color w:val="000000"/>
                <w:sz w:val="17"/>
                <w:szCs w:val="17"/>
              </w:rPr>
              <w:t>CSOs, academia</w:t>
            </w:r>
          </w:p>
          <w:p w14:paraId="61EA8A73" w14:textId="71E72D77" w:rsidR="003A41D8" w:rsidRPr="00B83CEB" w:rsidRDefault="003A41D8" w:rsidP="00207D70">
            <w:pPr>
              <w:rPr>
                <w:sz w:val="17"/>
                <w:szCs w:val="17"/>
              </w:rPr>
            </w:pPr>
            <w:r w:rsidRPr="00B83CEB">
              <w:rPr>
                <w:color w:val="000000"/>
                <w:sz w:val="17"/>
                <w:szCs w:val="17"/>
              </w:rPr>
              <w:t xml:space="preserve">Delivering as One outcome group United Nations partners. </w:t>
            </w:r>
          </w:p>
        </w:tc>
        <w:tc>
          <w:tcPr>
            <w:tcW w:w="0" w:type="auto"/>
            <w:tcBorders>
              <w:top w:val="single" w:sz="6" w:space="0" w:color="000000"/>
              <w:left w:val="single" w:sz="6" w:space="0" w:color="000000"/>
              <w:bottom w:val="single" w:sz="6" w:space="0" w:color="000000"/>
              <w:right w:val="single" w:sz="2" w:space="0" w:color="000000"/>
            </w:tcBorders>
            <w:tcMar>
              <w:top w:w="15" w:type="dxa"/>
              <w:left w:w="105" w:type="dxa"/>
              <w:bottom w:w="105" w:type="dxa"/>
              <w:right w:w="105" w:type="dxa"/>
            </w:tcMar>
            <w:hideMark/>
          </w:tcPr>
          <w:p w14:paraId="5738D981" w14:textId="77777777" w:rsidR="003A41D8" w:rsidRPr="00FA58CB" w:rsidRDefault="003A41D8" w:rsidP="00C203C7">
            <w:pPr>
              <w:rPr>
                <w:b/>
                <w:color w:val="000000"/>
                <w:sz w:val="17"/>
                <w:szCs w:val="17"/>
              </w:rPr>
            </w:pPr>
            <w:r w:rsidRPr="00FA58CB">
              <w:rPr>
                <w:b/>
                <w:color w:val="000000"/>
                <w:sz w:val="17"/>
                <w:szCs w:val="17"/>
              </w:rPr>
              <w:t>Regular:</w:t>
            </w:r>
          </w:p>
          <w:p w14:paraId="070FE463" w14:textId="6EA816A3" w:rsidR="003A41D8" w:rsidRPr="00B83CEB" w:rsidRDefault="003A41D8" w:rsidP="001072E2">
            <w:pPr>
              <w:rPr>
                <w:sz w:val="17"/>
                <w:szCs w:val="17"/>
              </w:rPr>
            </w:pPr>
            <w:r>
              <w:rPr>
                <w:color w:val="000000"/>
                <w:sz w:val="17"/>
                <w:szCs w:val="17"/>
              </w:rPr>
              <w:t xml:space="preserve">$ </w:t>
            </w:r>
            <w:r w:rsidRPr="00B83CEB">
              <w:rPr>
                <w:sz w:val="17"/>
                <w:szCs w:val="17"/>
              </w:rPr>
              <w:t>50</w:t>
            </w:r>
            <w:r>
              <w:rPr>
                <w:sz w:val="17"/>
                <w:szCs w:val="17"/>
              </w:rPr>
              <w:t>5,000</w:t>
            </w:r>
          </w:p>
          <w:p w14:paraId="6C83EA16" w14:textId="77777777" w:rsidR="003A41D8" w:rsidRPr="00B83CEB" w:rsidRDefault="003A41D8" w:rsidP="00031517">
            <w:pPr>
              <w:jc w:val="center"/>
              <w:rPr>
                <w:color w:val="000000"/>
                <w:sz w:val="17"/>
                <w:szCs w:val="17"/>
              </w:rPr>
            </w:pPr>
          </w:p>
          <w:p w14:paraId="0B6CD719" w14:textId="1F2022A3" w:rsidR="003A41D8" w:rsidRPr="00FA58CB" w:rsidRDefault="003A41D8" w:rsidP="00C203C7">
            <w:pPr>
              <w:rPr>
                <w:b/>
                <w:sz w:val="17"/>
                <w:szCs w:val="17"/>
              </w:rPr>
            </w:pPr>
            <w:r w:rsidRPr="00FA58CB">
              <w:rPr>
                <w:b/>
                <w:sz w:val="17"/>
                <w:szCs w:val="17"/>
              </w:rPr>
              <w:t>Other:</w:t>
            </w:r>
          </w:p>
          <w:p w14:paraId="3D858E5C" w14:textId="77777777" w:rsidR="003A41D8" w:rsidRDefault="003A41D8" w:rsidP="001072E2">
            <w:pPr>
              <w:rPr>
                <w:sz w:val="17"/>
                <w:szCs w:val="17"/>
              </w:rPr>
            </w:pPr>
            <w:r>
              <w:rPr>
                <w:sz w:val="17"/>
                <w:szCs w:val="17"/>
              </w:rPr>
              <w:t xml:space="preserve">$ </w:t>
            </w:r>
            <w:r w:rsidRPr="00B83CEB">
              <w:rPr>
                <w:sz w:val="17"/>
                <w:szCs w:val="17"/>
              </w:rPr>
              <w:t>8,605,000</w:t>
            </w:r>
          </w:p>
          <w:p w14:paraId="47B3427A" w14:textId="77777777" w:rsidR="003A41D8" w:rsidRDefault="003A41D8" w:rsidP="001072E2">
            <w:pPr>
              <w:rPr>
                <w:sz w:val="17"/>
                <w:szCs w:val="17"/>
              </w:rPr>
            </w:pPr>
          </w:p>
          <w:p w14:paraId="430A211B" w14:textId="77777777" w:rsidR="003A41D8" w:rsidRPr="00FA58CB" w:rsidRDefault="003A41D8" w:rsidP="001072E2">
            <w:pPr>
              <w:rPr>
                <w:b/>
                <w:sz w:val="17"/>
                <w:szCs w:val="17"/>
              </w:rPr>
            </w:pPr>
            <w:r w:rsidRPr="00FA58CB">
              <w:rPr>
                <w:b/>
                <w:sz w:val="17"/>
                <w:szCs w:val="17"/>
              </w:rPr>
              <w:t>Total:</w:t>
            </w:r>
          </w:p>
          <w:p w14:paraId="2D4D3ADA" w14:textId="7FE7CCAD" w:rsidR="003A41D8" w:rsidRPr="00B83CEB" w:rsidRDefault="003A41D8" w:rsidP="001072E2">
            <w:pPr>
              <w:rPr>
                <w:color w:val="000000"/>
                <w:sz w:val="17"/>
                <w:szCs w:val="17"/>
              </w:rPr>
            </w:pPr>
            <w:r w:rsidRPr="00B83CEB">
              <w:rPr>
                <w:color w:val="000000"/>
                <w:sz w:val="17"/>
                <w:szCs w:val="17"/>
              </w:rPr>
              <w:t>$9,110,000</w:t>
            </w:r>
          </w:p>
          <w:p w14:paraId="7DCE4C71" w14:textId="5742ECDC" w:rsidR="003A41D8" w:rsidRPr="00B83CEB" w:rsidRDefault="003A41D8" w:rsidP="001072E2">
            <w:pPr>
              <w:rPr>
                <w:sz w:val="17"/>
                <w:szCs w:val="17"/>
              </w:rPr>
            </w:pPr>
          </w:p>
        </w:tc>
      </w:tr>
    </w:tbl>
    <w:p w14:paraId="37057C8B" w14:textId="76A4DA07" w:rsidR="000B3F4E" w:rsidRDefault="000B3F4E" w:rsidP="000B3F4E">
      <w:pPr>
        <w:jc w:val="center"/>
        <w:rPr>
          <w:b/>
          <w:bCs/>
          <w:color w:val="000000"/>
          <w:lang w:val="en-GB"/>
        </w:rPr>
      </w:pPr>
    </w:p>
    <w:p w14:paraId="5C0DF4E9" w14:textId="77777777" w:rsidR="000B3F4E" w:rsidRPr="003578D4" w:rsidRDefault="000B3F4E" w:rsidP="000B3F4E">
      <w:pPr>
        <w:jc w:val="center"/>
        <w:rPr>
          <w:b/>
          <w:bCs/>
          <w:color w:val="000000"/>
          <w:lang w:val="en-GB"/>
        </w:rPr>
      </w:pPr>
      <w:r>
        <w:rPr>
          <w:b/>
          <w:bCs/>
          <w:color w:val="000000"/>
          <w:lang w:val="en-GB"/>
        </w:rPr>
        <w:t>_______________</w:t>
      </w:r>
    </w:p>
    <w:p w14:paraId="1E79858F" w14:textId="77777777" w:rsidR="000B3F4E" w:rsidRDefault="000B3F4E" w:rsidP="000B3F4E">
      <w:pPr>
        <w:tabs>
          <w:tab w:val="left" w:pos="180"/>
        </w:tabs>
        <w:ind w:right="130"/>
        <w:contextualSpacing/>
        <w:jc w:val="both"/>
        <w:rPr>
          <w:sz w:val="24"/>
          <w:szCs w:val="24"/>
        </w:rPr>
      </w:pPr>
    </w:p>
    <w:p w14:paraId="7532F293" w14:textId="4F182658" w:rsidR="000A59A8" w:rsidRDefault="000A59A8" w:rsidP="000A59A8">
      <w:pPr>
        <w:tabs>
          <w:tab w:val="left" w:pos="180"/>
        </w:tabs>
        <w:ind w:right="130"/>
        <w:contextualSpacing/>
        <w:jc w:val="both"/>
        <w:rPr>
          <w:sz w:val="24"/>
          <w:szCs w:val="24"/>
        </w:rPr>
      </w:pPr>
    </w:p>
    <w:sectPr w:rsidR="000A59A8" w:rsidSect="00C01BC2">
      <w:headerReference w:type="even" r:id="rId28"/>
      <w:headerReference w:type="default" r:id="rId29"/>
      <w:headerReference w:type="first" r:id="rId30"/>
      <w:footerReference w:type="first" r:id="rId31"/>
      <w:footnotePr>
        <w:numRestart w:val="eachSect"/>
      </w:footnotePr>
      <w:endnotePr>
        <w:numFmt w:val="decimal"/>
        <w:numStart w:val="7"/>
      </w:endnotePr>
      <w:type w:val="continuous"/>
      <w:pgSz w:w="15840" w:h="12240" w:orient="landscape" w:code="1"/>
      <w:pgMar w:top="1260" w:right="1166" w:bottom="1195" w:left="1440" w:header="576" w:footer="103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9A497" w14:textId="77777777" w:rsidR="004F3D38" w:rsidRDefault="004F3D38" w:rsidP="00441061">
      <w:r>
        <w:separator/>
      </w:r>
    </w:p>
  </w:endnote>
  <w:endnote w:type="continuationSeparator" w:id="0">
    <w:p w14:paraId="029F171D" w14:textId="77777777" w:rsidR="004F3D38" w:rsidRDefault="004F3D38"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D554" w14:textId="77777777" w:rsidR="0080471D" w:rsidRPr="005841A3" w:rsidRDefault="0080471D">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18</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D556" w14:textId="51AC81D4" w:rsidR="0080471D" w:rsidRPr="00F477D6" w:rsidRDefault="0080471D" w:rsidP="00F477D6">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19</w:t>
    </w:r>
    <w:r w:rsidRPr="005841A3">
      <w:rPr>
        <w:b/>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ED991" w14:textId="77777777" w:rsidR="0080471D" w:rsidRPr="005841A3" w:rsidRDefault="0080471D">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33D1" w14:textId="77777777" w:rsidR="0080471D" w:rsidRPr="00707225" w:rsidRDefault="0080471D" w:rsidP="00D81E8F">
    <w:pPr>
      <w:pStyle w:val="Footer"/>
      <w:tabs>
        <w:tab w:val="clear" w:pos="8640"/>
      </w:tabs>
      <w:ind w:right="-295"/>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CA6278">
      <w:rPr>
        <w:b/>
        <w:noProof/>
        <w:sz w:val="17"/>
        <w:szCs w:val="17"/>
      </w:rPr>
      <w:t>13</w:t>
    </w:r>
    <w:r w:rsidRPr="005841A3">
      <w:rPr>
        <w:b/>
        <w:sz w:val="17"/>
        <w:szCs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F7D6" w14:textId="77777777" w:rsidR="0080471D" w:rsidRPr="005841A3" w:rsidRDefault="0080471D" w:rsidP="004F7071">
    <w:pPr>
      <w:pStyle w:val="Footer"/>
      <w:ind w:hanging="54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CA6278">
      <w:rPr>
        <w:b/>
        <w:noProof/>
        <w:sz w:val="17"/>
        <w:szCs w:val="17"/>
      </w:rPr>
      <w:t>14</w:t>
    </w:r>
    <w:r w:rsidRPr="005841A3">
      <w:rPr>
        <w:b/>
        <w:sz w:val="17"/>
        <w:szCs w:val="1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387661"/>
      <w:docPartObj>
        <w:docPartGallery w:val="Page Numbers (Bottom of Page)"/>
        <w:docPartUnique/>
      </w:docPartObj>
    </w:sdtPr>
    <w:sdtEndPr>
      <w:rPr>
        <w:noProof/>
      </w:rPr>
    </w:sdtEndPr>
    <w:sdtContent>
      <w:p w14:paraId="68C6FE40" w14:textId="59D7B0FD" w:rsidR="0080471D" w:rsidRDefault="0080471D">
        <w:pPr>
          <w:pStyle w:val="Footer"/>
        </w:pPr>
        <w:r w:rsidRPr="00FC3BEC">
          <w:rPr>
            <w:b/>
            <w:sz w:val="17"/>
            <w:szCs w:val="17"/>
          </w:rPr>
          <w:fldChar w:fldCharType="begin"/>
        </w:r>
        <w:r w:rsidRPr="00FC3BEC">
          <w:rPr>
            <w:b/>
            <w:sz w:val="17"/>
            <w:szCs w:val="17"/>
          </w:rPr>
          <w:instrText xml:space="preserve"> PAGE   \* MERGEFORMAT </w:instrText>
        </w:r>
        <w:r w:rsidRPr="00FC3BEC">
          <w:rPr>
            <w:b/>
            <w:sz w:val="17"/>
            <w:szCs w:val="17"/>
          </w:rPr>
          <w:fldChar w:fldCharType="separate"/>
        </w:r>
        <w:r w:rsidR="00CA6278">
          <w:rPr>
            <w:b/>
            <w:noProof/>
            <w:sz w:val="17"/>
            <w:szCs w:val="17"/>
          </w:rPr>
          <w:t>8</w:t>
        </w:r>
        <w:r w:rsidRPr="00FC3BEC">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BD7FC" w14:textId="77777777" w:rsidR="004F3D38" w:rsidRDefault="004F3D38" w:rsidP="00441061">
      <w:r>
        <w:separator/>
      </w:r>
    </w:p>
  </w:footnote>
  <w:footnote w:type="continuationSeparator" w:id="0">
    <w:p w14:paraId="3B41EF8B" w14:textId="77777777" w:rsidR="004F3D38" w:rsidRDefault="004F3D38" w:rsidP="00441061">
      <w:r>
        <w:continuationSeparator/>
      </w:r>
    </w:p>
  </w:footnote>
  <w:footnote w:id="1">
    <w:p w14:paraId="01597C0B" w14:textId="3AD98357" w:rsidR="0080471D" w:rsidRPr="00604DD0" w:rsidRDefault="0080471D" w:rsidP="0030144D">
      <w:pPr>
        <w:pStyle w:val="FootnoteText"/>
        <w:rPr>
          <w:rFonts w:ascii="Times New Roman" w:hAnsi="Times New Roman"/>
          <w:sz w:val="14"/>
          <w:szCs w:val="14"/>
        </w:rPr>
      </w:pPr>
      <w:r w:rsidRPr="00055D32">
        <w:rPr>
          <w:rStyle w:val="FootnoteReference"/>
          <w:rFonts w:ascii="Times New Roman" w:hAnsi="Times New Roman"/>
          <w:sz w:val="14"/>
          <w:szCs w:val="14"/>
        </w:rPr>
        <w:footnoteRef/>
      </w:r>
      <w:r w:rsidRPr="00055D32">
        <w:rPr>
          <w:rFonts w:ascii="Times New Roman" w:hAnsi="Times New Roman"/>
          <w:sz w:val="14"/>
          <w:szCs w:val="14"/>
        </w:rPr>
        <w:t xml:space="preserve"> </w:t>
      </w:r>
      <w:r w:rsidRPr="00604DD0">
        <w:rPr>
          <w:rFonts w:ascii="Times New Roman" w:hAnsi="Times New Roman"/>
          <w:sz w:val="14"/>
          <w:szCs w:val="14"/>
        </w:rPr>
        <w:t>Human Development Report, 2015, Human Development Index 0.733.</w:t>
      </w:r>
    </w:p>
  </w:footnote>
  <w:footnote w:id="2">
    <w:p w14:paraId="60F8610D" w14:textId="321C1BCE" w:rsidR="0080471D" w:rsidRPr="00604DD0" w:rsidRDefault="0080471D" w:rsidP="0030144D">
      <w:pPr>
        <w:pStyle w:val="FootnoteText"/>
        <w:tabs>
          <w:tab w:val="left" w:pos="4883"/>
        </w:tabs>
        <w:rPr>
          <w:rFonts w:ascii="Times New Roman" w:hAnsi="Times New Roman"/>
          <w:sz w:val="14"/>
          <w:szCs w:val="14"/>
        </w:rPr>
      </w:pPr>
      <w:r w:rsidRPr="00604DD0">
        <w:rPr>
          <w:rStyle w:val="FootnoteReference"/>
          <w:rFonts w:ascii="Times New Roman" w:hAnsi="Times New Roman"/>
          <w:sz w:val="14"/>
          <w:szCs w:val="14"/>
        </w:rPr>
        <w:footnoteRef/>
      </w:r>
      <w:r w:rsidRPr="00604DD0">
        <w:rPr>
          <w:rFonts w:ascii="Times New Roman" w:hAnsi="Times New Roman"/>
          <w:sz w:val="14"/>
          <w:szCs w:val="14"/>
        </w:rPr>
        <w:t xml:space="preserve"> Albania: Trends in Poverty 2002-2012, Institute of Statistics (INSTAT)/World Bank, 2013.</w:t>
      </w:r>
      <w:r w:rsidRPr="00604DD0">
        <w:rPr>
          <w:rFonts w:ascii="Times New Roman" w:hAnsi="Times New Roman"/>
          <w:sz w:val="14"/>
          <w:szCs w:val="14"/>
        </w:rPr>
        <w:tab/>
      </w:r>
    </w:p>
  </w:footnote>
  <w:footnote w:id="3">
    <w:p w14:paraId="352704F1" w14:textId="377A240E" w:rsidR="0080471D" w:rsidRPr="00604DD0" w:rsidRDefault="0080471D" w:rsidP="00055D32">
      <w:pPr>
        <w:pStyle w:val="FootnoteText"/>
        <w:rPr>
          <w:rStyle w:val="FootnoteReference"/>
          <w:rFonts w:ascii="Times New Roman" w:hAnsi="Times New Roman"/>
          <w:sz w:val="14"/>
          <w:szCs w:val="14"/>
        </w:rPr>
      </w:pPr>
      <w:r w:rsidRPr="00604DD0">
        <w:rPr>
          <w:rStyle w:val="FootnoteReference"/>
          <w:rFonts w:ascii="Times New Roman" w:hAnsi="Times New Roman"/>
          <w:sz w:val="14"/>
          <w:szCs w:val="14"/>
        </w:rPr>
        <w:footnoteRef/>
      </w:r>
      <w:r w:rsidRPr="00604DD0">
        <w:rPr>
          <w:rStyle w:val="FootnoteReference"/>
          <w:rFonts w:ascii="Times New Roman" w:hAnsi="Times New Roman"/>
          <w:sz w:val="14"/>
          <w:szCs w:val="14"/>
        </w:rPr>
        <w:t xml:space="preserve"> </w:t>
      </w:r>
      <w:hyperlink r:id="rId1" w:history="1">
        <w:r w:rsidRPr="00604DD0">
          <w:rPr>
            <w:rStyle w:val="Hyperlink"/>
            <w:rFonts w:ascii="Times New Roman" w:hAnsi="Times New Roman"/>
            <w:sz w:val="14"/>
            <w:szCs w:val="14"/>
          </w:rPr>
          <w:t>http://ec.europa.eu/eurostat/statistics-explained/index.php/Asylum_statistics</w:t>
        </w:r>
      </w:hyperlink>
      <w:r w:rsidRPr="00604DD0">
        <w:rPr>
          <w:rFonts w:ascii="Times New Roman" w:hAnsi="Times New Roman"/>
          <w:sz w:val="14"/>
          <w:szCs w:val="14"/>
        </w:rPr>
        <w:t xml:space="preserve"> </w:t>
      </w:r>
    </w:p>
  </w:footnote>
  <w:footnote w:id="4">
    <w:p w14:paraId="03D331CC" w14:textId="7FE04917" w:rsidR="0080471D" w:rsidRPr="00604DD0" w:rsidRDefault="0080471D" w:rsidP="0030144D">
      <w:pPr>
        <w:pStyle w:val="FootnoteText"/>
        <w:rPr>
          <w:rFonts w:ascii="Times New Roman" w:hAnsi="Times New Roman"/>
          <w:sz w:val="14"/>
          <w:szCs w:val="14"/>
        </w:rPr>
      </w:pPr>
      <w:r w:rsidRPr="00604DD0">
        <w:rPr>
          <w:rStyle w:val="FootnoteReference"/>
          <w:rFonts w:ascii="Times New Roman" w:hAnsi="Times New Roman"/>
          <w:sz w:val="14"/>
          <w:szCs w:val="14"/>
        </w:rPr>
        <w:footnoteRef/>
      </w:r>
      <w:r w:rsidRPr="00604DD0">
        <w:rPr>
          <w:rFonts w:ascii="Times New Roman" w:hAnsi="Times New Roman"/>
          <w:sz w:val="14"/>
          <w:szCs w:val="14"/>
        </w:rPr>
        <w:t xml:space="preserve"> National Strategy for Development and Integration, Government of Albania, 2015-2020.</w:t>
      </w:r>
    </w:p>
  </w:footnote>
  <w:footnote w:id="5">
    <w:p w14:paraId="09AED3D6" w14:textId="77777777" w:rsidR="0080471D" w:rsidRPr="00604DD0" w:rsidRDefault="0080471D" w:rsidP="00604DD0">
      <w:pPr>
        <w:pStyle w:val="FootnoteText"/>
        <w:rPr>
          <w:rFonts w:ascii="Times New Roman" w:hAnsi="Times New Roman"/>
          <w:sz w:val="14"/>
          <w:szCs w:val="14"/>
        </w:rPr>
      </w:pPr>
      <w:r w:rsidRPr="00604DD0">
        <w:rPr>
          <w:rStyle w:val="FootnoteReference"/>
          <w:rFonts w:ascii="Times New Roman" w:hAnsi="Times New Roman"/>
          <w:sz w:val="14"/>
          <w:szCs w:val="14"/>
        </w:rPr>
        <w:footnoteRef/>
      </w:r>
      <w:r w:rsidRPr="00604DD0">
        <w:rPr>
          <w:rFonts w:ascii="Times New Roman" w:hAnsi="Times New Roman"/>
          <w:sz w:val="14"/>
          <w:szCs w:val="14"/>
        </w:rPr>
        <w:t xml:space="preserve"> Open Government Partnership, Trust in Government Survey (2014, 2015).  </w:t>
      </w:r>
    </w:p>
  </w:footnote>
  <w:footnote w:id="6">
    <w:p w14:paraId="1591BEC2" w14:textId="6E287BAE" w:rsidR="0080471D" w:rsidRPr="00604DD0" w:rsidRDefault="0080471D">
      <w:pPr>
        <w:pStyle w:val="FootnoteText"/>
        <w:rPr>
          <w:rFonts w:ascii="Times New Roman" w:hAnsi="Times New Roman"/>
          <w:sz w:val="14"/>
          <w:szCs w:val="14"/>
        </w:rPr>
      </w:pPr>
      <w:r w:rsidRPr="00604DD0">
        <w:rPr>
          <w:rStyle w:val="FootnoteReference"/>
          <w:rFonts w:ascii="Times New Roman" w:hAnsi="Times New Roman"/>
          <w:sz w:val="14"/>
          <w:szCs w:val="14"/>
        </w:rPr>
        <w:footnoteRef/>
      </w:r>
      <w:r w:rsidRPr="00604DD0">
        <w:rPr>
          <w:rFonts w:ascii="Times New Roman" w:hAnsi="Times New Roman"/>
          <w:sz w:val="14"/>
          <w:szCs w:val="14"/>
        </w:rPr>
        <w:t xml:space="preserve"> European Union Progress Report, 2015.</w:t>
      </w:r>
    </w:p>
  </w:footnote>
  <w:footnote w:id="7">
    <w:p w14:paraId="3ED614B8" w14:textId="6451CC61" w:rsidR="0080471D" w:rsidRPr="00604DD0" w:rsidRDefault="0080471D">
      <w:pPr>
        <w:pStyle w:val="FootnoteText"/>
        <w:rPr>
          <w:rFonts w:ascii="Times New Roman" w:hAnsi="Times New Roman"/>
          <w:sz w:val="14"/>
          <w:szCs w:val="14"/>
        </w:rPr>
      </w:pPr>
      <w:r w:rsidRPr="00604DD0">
        <w:rPr>
          <w:rStyle w:val="FootnoteReference"/>
          <w:rFonts w:ascii="Times New Roman" w:hAnsi="Times New Roman"/>
          <w:sz w:val="14"/>
          <w:szCs w:val="14"/>
        </w:rPr>
        <w:footnoteRef/>
      </w:r>
      <w:r w:rsidRPr="00604DD0">
        <w:rPr>
          <w:rFonts w:ascii="Times New Roman" w:hAnsi="Times New Roman"/>
          <w:sz w:val="14"/>
          <w:szCs w:val="14"/>
        </w:rPr>
        <w:t xml:space="preserve"> Cross-cutting Public Administration Reform Strategy 2015-2020. </w:t>
      </w:r>
    </w:p>
  </w:footnote>
  <w:footnote w:id="8">
    <w:p w14:paraId="33089146" w14:textId="77777777" w:rsidR="0080471D" w:rsidRPr="00604DD0" w:rsidRDefault="0080471D" w:rsidP="001F3D3A">
      <w:pPr>
        <w:pStyle w:val="FootnoteText"/>
        <w:rPr>
          <w:rFonts w:ascii="Times New Roman" w:hAnsi="Times New Roman"/>
          <w:sz w:val="14"/>
          <w:szCs w:val="14"/>
        </w:rPr>
      </w:pPr>
      <w:r w:rsidRPr="00604DD0">
        <w:rPr>
          <w:rStyle w:val="FootnoteReference"/>
          <w:rFonts w:ascii="Times New Roman" w:hAnsi="Times New Roman"/>
          <w:sz w:val="14"/>
          <w:szCs w:val="14"/>
        </w:rPr>
        <w:footnoteRef/>
      </w:r>
      <w:r w:rsidRPr="00604DD0">
        <w:rPr>
          <w:rFonts w:ascii="Times New Roman" w:hAnsi="Times New Roman"/>
          <w:sz w:val="14"/>
          <w:szCs w:val="14"/>
        </w:rPr>
        <w:t xml:space="preserve"> Ibid. </w:t>
      </w:r>
    </w:p>
  </w:footnote>
  <w:footnote w:id="9">
    <w:p w14:paraId="305E982C" w14:textId="3E85758B" w:rsidR="0080471D" w:rsidRPr="00604DD0" w:rsidRDefault="0080471D" w:rsidP="0030144D">
      <w:pPr>
        <w:rPr>
          <w:sz w:val="14"/>
          <w:szCs w:val="14"/>
        </w:rPr>
      </w:pPr>
      <w:r w:rsidRPr="00604DD0">
        <w:rPr>
          <w:rStyle w:val="FootnoteReference"/>
          <w:sz w:val="14"/>
          <w:szCs w:val="14"/>
        </w:rPr>
        <w:footnoteRef/>
      </w:r>
      <w:r w:rsidRPr="00604DD0">
        <w:rPr>
          <w:sz w:val="14"/>
          <w:szCs w:val="14"/>
        </w:rPr>
        <w:t xml:space="preserve"> United States Agency for International Development, Creating an Equitable, Transparent, and Predictable Unconditional Grant Formula, September 2015. </w:t>
      </w:r>
    </w:p>
  </w:footnote>
  <w:footnote w:id="10">
    <w:p w14:paraId="38009FDC" w14:textId="77777777" w:rsidR="0080471D" w:rsidRPr="00604DD0" w:rsidRDefault="0080471D" w:rsidP="0030144D">
      <w:pPr>
        <w:pStyle w:val="FootnoteText"/>
        <w:rPr>
          <w:rStyle w:val="Hyperlink"/>
          <w:rFonts w:ascii="Times New Roman" w:hAnsi="Times New Roman"/>
          <w:sz w:val="14"/>
          <w:szCs w:val="14"/>
        </w:rPr>
      </w:pPr>
      <w:r w:rsidRPr="00604DD0">
        <w:rPr>
          <w:rStyle w:val="FootnoteReference"/>
          <w:rFonts w:ascii="Times New Roman" w:hAnsi="Times New Roman"/>
          <w:sz w:val="14"/>
          <w:szCs w:val="14"/>
        </w:rPr>
        <w:footnoteRef/>
      </w:r>
      <w:r w:rsidRPr="00604DD0">
        <w:rPr>
          <w:rFonts w:ascii="Times New Roman" w:hAnsi="Times New Roman"/>
          <w:sz w:val="14"/>
          <w:szCs w:val="14"/>
        </w:rPr>
        <w:t xml:space="preserve"> Decentralization Strategy </w:t>
      </w:r>
      <w:hyperlink r:id="rId2" w:history="1">
        <w:r w:rsidRPr="00604DD0">
          <w:rPr>
            <w:rStyle w:val="Hyperlink"/>
            <w:rFonts w:ascii="Times New Roman" w:hAnsi="Times New Roman"/>
            <w:sz w:val="14"/>
            <w:szCs w:val="14"/>
          </w:rPr>
          <w:t>http://www.ceshtjetvendore.gov.al/files/pages_files/15-04-20-02-59-36Decentralisation_Strategy_Final_-_Feb_2015_-_English.pdf</w:t>
        </w:r>
      </w:hyperlink>
      <w:r w:rsidRPr="00604DD0">
        <w:rPr>
          <w:rStyle w:val="Hyperlink"/>
          <w:rFonts w:ascii="Times New Roman" w:hAnsi="Times New Roman"/>
          <w:sz w:val="14"/>
          <w:szCs w:val="14"/>
        </w:rPr>
        <w:t xml:space="preserve"> </w:t>
      </w:r>
    </w:p>
  </w:footnote>
  <w:footnote w:id="11">
    <w:p w14:paraId="0B018687" w14:textId="47B7BBA9" w:rsidR="0080471D" w:rsidRPr="005907E4" w:rsidRDefault="0080471D" w:rsidP="0030144D">
      <w:pPr>
        <w:rPr>
          <w:color w:val="000000" w:themeColor="text1"/>
          <w:sz w:val="14"/>
          <w:szCs w:val="16"/>
        </w:rPr>
      </w:pPr>
      <w:r w:rsidRPr="005907E4">
        <w:rPr>
          <w:rStyle w:val="FootnoteReference"/>
          <w:color w:val="000000" w:themeColor="text1"/>
          <w:sz w:val="14"/>
          <w:szCs w:val="16"/>
        </w:rPr>
        <w:footnoteRef/>
      </w:r>
      <w:r w:rsidRPr="005907E4">
        <w:rPr>
          <w:color w:val="000000" w:themeColor="text1"/>
          <w:sz w:val="14"/>
          <w:szCs w:val="16"/>
        </w:rPr>
        <w:t xml:space="preserve"> Ibid</w:t>
      </w:r>
      <w:r>
        <w:rPr>
          <w:color w:val="000000" w:themeColor="text1"/>
          <w:sz w:val="14"/>
          <w:szCs w:val="16"/>
        </w:rPr>
        <w:t>.</w:t>
      </w:r>
      <w:r w:rsidRPr="005907E4">
        <w:rPr>
          <w:color w:val="000000" w:themeColor="text1"/>
          <w:sz w:val="14"/>
          <w:szCs w:val="16"/>
        </w:rPr>
        <w:t xml:space="preserve"> </w:t>
      </w:r>
    </w:p>
  </w:footnote>
  <w:footnote w:id="12">
    <w:p w14:paraId="5492A715" w14:textId="0337121C" w:rsidR="0080471D" w:rsidRPr="005907E4" w:rsidRDefault="0080471D" w:rsidP="0030144D">
      <w:pPr>
        <w:pStyle w:val="FootnoteText"/>
        <w:rPr>
          <w:rFonts w:ascii="Times New Roman" w:hAnsi="Times New Roman"/>
          <w:color w:val="000000" w:themeColor="text1"/>
          <w:sz w:val="14"/>
          <w:szCs w:val="16"/>
        </w:rPr>
      </w:pPr>
      <w:r w:rsidRPr="005907E4">
        <w:rPr>
          <w:rStyle w:val="FootnoteReference"/>
          <w:rFonts w:ascii="Times New Roman" w:hAnsi="Times New Roman"/>
          <w:color w:val="000000" w:themeColor="text1"/>
          <w:sz w:val="14"/>
          <w:szCs w:val="16"/>
        </w:rPr>
        <w:footnoteRef/>
      </w:r>
      <w:r w:rsidRPr="005907E4">
        <w:rPr>
          <w:rFonts w:ascii="Times New Roman" w:hAnsi="Times New Roman"/>
          <w:color w:val="000000" w:themeColor="text1"/>
          <w:sz w:val="14"/>
          <w:szCs w:val="16"/>
        </w:rPr>
        <w:t xml:space="preserve"> INSTAT/World Bank, 2013</w:t>
      </w:r>
      <w:r>
        <w:rPr>
          <w:rFonts w:ascii="Times New Roman" w:hAnsi="Times New Roman"/>
          <w:color w:val="000000" w:themeColor="text1"/>
          <w:sz w:val="14"/>
          <w:szCs w:val="16"/>
        </w:rPr>
        <w:t xml:space="preserve">. </w:t>
      </w:r>
    </w:p>
  </w:footnote>
  <w:footnote w:id="13">
    <w:p w14:paraId="1782F4E3" w14:textId="501AC255" w:rsidR="0080471D" w:rsidRPr="005907E4" w:rsidRDefault="0080471D" w:rsidP="0030144D">
      <w:pPr>
        <w:pStyle w:val="FootnoteText"/>
        <w:rPr>
          <w:rFonts w:ascii="Times New Roman" w:hAnsi="Times New Roman"/>
          <w:color w:val="000000" w:themeColor="text1"/>
          <w:sz w:val="14"/>
          <w:szCs w:val="16"/>
        </w:rPr>
      </w:pPr>
      <w:r w:rsidRPr="005907E4">
        <w:rPr>
          <w:rStyle w:val="FootnoteReference"/>
          <w:rFonts w:ascii="Times New Roman" w:hAnsi="Times New Roman"/>
          <w:color w:val="000000" w:themeColor="text1"/>
          <w:sz w:val="14"/>
          <w:szCs w:val="16"/>
        </w:rPr>
        <w:footnoteRef/>
      </w:r>
      <w:r w:rsidRPr="005907E4">
        <w:rPr>
          <w:rFonts w:ascii="Times New Roman" w:hAnsi="Times New Roman"/>
          <w:color w:val="000000" w:themeColor="text1"/>
          <w:sz w:val="14"/>
          <w:szCs w:val="16"/>
        </w:rPr>
        <w:t xml:space="preserve"> Needs Assessment Study on Roma and Egyptian Communities, UNDP, 2012. </w:t>
      </w:r>
    </w:p>
  </w:footnote>
  <w:footnote w:id="14">
    <w:p w14:paraId="671E8986" w14:textId="26D32392" w:rsidR="0080471D" w:rsidRPr="005907E4" w:rsidRDefault="0080471D" w:rsidP="00D007A2">
      <w:pPr>
        <w:pStyle w:val="FootnoteText"/>
        <w:rPr>
          <w:rFonts w:ascii="Times New Roman" w:hAnsi="Times New Roman"/>
          <w:color w:val="000000" w:themeColor="text1"/>
          <w:sz w:val="14"/>
          <w:szCs w:val="16"/>
        </w:rPr>
      </w:pPr>
      <w:r w:rsidRPr="005907E4">
        <w:rPr>
          <w:rStyle w:val="FootnoteReference"/>
          <w:rFonts w:ascii="Times New Roman" w:hAnsi="Times New Roman"/>
          <w:color w:val="000000" w:themeColor="text1"/>
          <w:sz w:val="14"/>
          <w:szCs w:val="16"/>
        </w:rPr>
        <w:footnoteRef/>
      </w:r>
      <w:r w:rsidRPr="005907E4">
        <w:rPr>
          <w:rFonts w:ascii="Times New Roman" w:hAnsi="Times New Roman"/>
          <w:color w:val="000000" w:themeColor="text1"/>
          <w:sz w:val="14"/>
          <w:szCs w:val="16"/>
        </w:rPr>
        <w:t xml:space="preserve"> Roma and Egyptian Association</w:t>
      </w:r>
      <w:r>
        <w:rPr>
          <w:rFonts w:ascii="Times New Roman" w:hAnsi="Times New Roman"/>
          <w:color w:val="000000" w:themeColor="text1"/>
          <w:sz w:val="14"/>
          <w:szCs w:val="16"/>
        </w:rPr>
        <w:t>s</w:t>
      </w:r>
      <w:r w:rsidRPr="005907E4">
        <w:rPr>
          <w:rFonts w:ascii="Times New Roman" w:hAnsi="Times New Roman"/>
          <w:color w:val="000000" w:themeColor="text1"/>
          <w:sz w:val="14"/>
          <w:szCs w:val="16"/>
        </w:rPr>
        <w:t xml:space="preserve"> estimate 120,000 </w:t>
      </w:r>
      <w:r>
        <w:rPr>
          <w:rFonts w:ascii="Times New Roman" w:hAnsi="Times New Roman"/>
          <w:color w:val="000000" w:themeColor="text1"/>
          <w:sz w:val="14"/>
          <w:szCs w:val="16"/>
        </w:rPr>
        <w:t>to</w:t>
      </w:r>
      <w:r w:rsidRPr="005907E4">
        <w:rPr>
          <w:rFonts w:ascii="Times New Roman" w:hAnsi="Times New Roman"/>
          <w:color w:val="000000" w:themeColor="text1"/>
          <w:sz w:val="14"/>
          <w:szCs w:val="16"/>
        </w:rPr>
        <w:t xml:space="preserve"> 200.000</w:t>
      </w:r>
      <w:r>
        <w:rPr>
          <w:rFonts w:ascii="Times New Roman" w:hAnsi="Times New Roman"/>
          <w:color w:val="000000" w:themeColor="text1"/>
          <w:sz w:val="14"/>
          <w:szCs w:val="16"/>
        </w:rPr>
        <w:t>.</w:t>
      </w:r>
    </w:p>
  </w:footnote>
  <w:footnote w:id="15">
    <w:p w14:paraId="013F30B0" w14:textId="6A807532" w:rsidR="0080471D" w:rsidRPr="005907E4" w:rsidRDefault="0080471D" w:rsidP="00F71055">
      <w:pPr>
        <w:pStyle w:val="FootnoteText"/>
        <w:rPr>
          <w:rFonts w:ascii="Times New Roman" w:hAnsi="Times New Roman"/>
          <w:color w:val="000000" w:themeColor="text1"/>
          <w:sz w:val="14"/>
          <w:szCs w:val="16"/>
        </w:rPr>
      </w:pPr>
      <w:r w:rsidRPr="005907E4">
        <w:rPr>
          <w:rFonts w:ascii="Times New Roman" w:hAnsi="Times New Roman"/>
          <w:color w:val="000000" w:themeColor="text1"/>
          <w:sz w:val="14"/>
          <w:szCs w:val="16"/>
          <w:vertAlign w:val="superscript"/>
        </w:rPr>
        <w:footnoteRef/>
      </w:r>
      <w:r w:rsidRPr="005907E4">
        <w:rPr>
          <w:rFonts w:ascii="Times New Roman" w:hAnsi="Times New Roman"/>
          <w:color w:val="000000" w:themeColor="text1"/>
          <w:sz w:val="14"/>
          <w:szCs w:val="16"/>
        </w:rPr>
        <w:t xml:space="preserve"> Domestic Violence in Albania, </w:t>
      </w:r>
      <w:r>
        <w:rPr>
          <w:rFonts w:ascii="Times New Roman" w:hAnsi="Times New Roman"/>
          <w:color w:val="000000" w:themeColor="text1"/>
          <w:sz w:val="14"/>
          <w:szCs w:val="16"/>
        </w:rPr>
        <w:t>UNDP/INSTAT,</w:t>
      </w:r>
      <w:r w:rsidRPr="005907E4">
        <w:rPr>
          <w:rFonts w:ascii="Times New Roman" w:hAnsi="Times New Roman"/>
          <w:color w:val="000000" w:themeColor="text1"/>
          <w:sz w:val="14"/>
          <w:szCs w:val="16"/>
        </w:rPr>
        <w:t xml:space="preserve"> 2013. </w:t>
      </w:r>
      <w:r>
        <w:rPr>
          <w:rFonts w:ascii="Times New Roman" w:hAnsi="Times New Roman"/>
          <w:color w:val="000000" w:themeColor="text1"/>
          <w:sz w:val="14"/>
          <w:szCs w:val="16"/>
        </w:rPr>
        <w:t xml:space="preserve"> </w:t>
      </w:r>
    </w:p>
  </w:footnote>
  <w:footnote w:id="16">
    <w:p w14:paraId="012A58A7" w14:textId="60EF48EA" w:rsidR="0080471D" w:rsidRPr="005907E4" w:rsidRDefault="0080471D" w:rsidP="0030144D">
      <w:pPr>
        <w:pStyle w:val="FootnoteText"/>
        <w:rPr>
          <w:rFonts w:ascii="Times New Roman" w:hAnsi="Times New Roman"/>
          <w:color w:val="000000" w:themeColor="text1"/>
          <w:sz w:val="14"/>
          <w:szCs w:val="16"/>
        </w:rPr>
      </w:pPr>
      <w:r w:rsidRPr="005907E4">
        <w:rPr>
          <w:rStyle w:val="FootnoteReference"/>
          <w:rFonts w:ascii="Times New Roman" w:hAnsi="Times New Roman"/>
          <w:color w:val="000000" w:themeColor="text1"/>
          <w:sz w:val="14"/>
          <w:szCs w:val="16"/>
        </w:rPr>
        <w:footnoteRef/>
      </w:r>
      <w:r w:rsidRPr="005907E4">
        <w:rPr>
          <w:rFonts w:ascii="Times New Roman" w:hAnsi="Times New Roman"/>
          <w:color w:val="000000" w:themeColor="text1"/>
          <w:sz w:val="14"/>
          <w:szCs w:val="16"/>
        </w:rPr>
        <w:t xml:space="preserve"> </w:t>
      </w:r>
      <w:hyperlink r:id="rId3" w:history="1">
        <w:r w:rsidRPr="00554B58">
          <w:rPr>
            <w:rStyle w:val="Hyperlink"/>
            <w:rFonts w:ascii="Times New Roman" w:hAnsi="Times New Roman"/>
            <w:sz w:val="14"/>
            <w:szCs w:val="16"/>
          </w:rPr>
          <w:t>http://europeandcis.undp.org/blog/2013/02/13/albania-young-people-talk-jobs-and-what-they-want-post2015/</w:t>
        </w:r>
      </w:hyperlink>
      <w:r>
        <w:rPr>
          <w:rFonts w:ascii="Times New Roman" w:hAnsi="Times New Roman"/>
          <w:color w:val="000000" w:themeColor="text1"/>
          <w:sz w:val="14"/>
          <w:szCs w:val="16"/>
        </w:rPr>
        <w:t xml:space="preserve"> </w:t>
      </w:r>
      <w:r w:rsidRPr="005907E4">
        <w:rPr>
          <w:rFonts w:ascii="Times New Roman" w:hAnsi="Times New Roman"/>
          <w:color w:val="000000" w:themeColor="text1"/>
          <w:sz w:val="14"/>
          <w:szCs w:val="16"/>
        </w:rPr>
        <w:t xml:space="preserve">  </w:t>
      </w:r>
    </w:p>
  </w:footnote>
  <w:footnote w:id="17">
    <w:p w14:paraId="54447667" w14:textId="18A41AA4" w:rsidR="0080471D" w:rsidRPr="005907E4" w:rsidRDefault="0080471D" w:rsidP="00F71055">
      <w:pPr>
        <w:pStyle w:val="FootnoteText"/>
        <w:rPr>
          <w:rFonts w:ascii="Times New Roman" w:hAnsi="Times New Roman"/>
          <w:color w:val="000000" w:themeColor="text1"/>
          <w:sz w:val="14"/>
          <w:szCs w:val="14"/>
        </w:rPr>
      </w:pPr>
      <w:r w:rsidRPr="005907E4">
        <w:rPr>
          <w:rStyle w:val="FootnoteReference"/>
          <w:rFonts w:ascii="Times New Roman" w:hAnsi="Times New Roman"/>
          <w:color w:val="000000" w:themeColor="text1"/>
          <w:sz w:val="14"/>
          <w:szCs w:val="16"/>
        </w:rPr>
        <w:footnoteRef/>
      </w:r>
      <w:r w:rsidRPr="005907E4">
        <w:rPr>
          <w:rFonts w:ascii="Times New Roman" w:hAnsi="Times New Roman"/>
          <w:color w:val="000000" w:themeColor="text1"/>
          <w:sz w:val="14"/>
          <w:szCs w:val="16"/>
        </w:rPr>
        <w:t xml:space="preserve"> I</w:t>
      </w:r>
      <w:r w:rsidRPr="005907E4">
        <w:rPr>
          <w:rFonts w:ascii="Times New Roman" w:hAnsi="Times New Roman"/>
          <w:color w:val="000000" w:themeColor="text1"/>
          <w:sz w:val="14"/>
          <w:szCs w:val="14"/>
        </w:rPr>
        <w:t>NSTAT, L</w:t>
      </w:r>
      <w:r>
        <w:rPr>
          <w:rFonts w:ascii="Times New Roman" w:hAnsi="Times New Roman"/>
          <w:color w:val="000000" w:themeColor="text1"/>
          <w:sz w:val="14"/>
          <w:szCs w:val="14"/>
        </w:rPr>
        <w:t xml:space="preserve">abour Force </w:t>
      </w:r>
      <w:r w:rsidRPr="005907E4">
        <w:rPr>
          <w:rFonts w:ascii="Times New Roman" w:hAnsi="Times New Roman"/>
          <w:color w:val="000000" w:themeColor="text1"/>
          <w:sz w:val="14"/>
          <w:szCs w:val="14"/>
        </w:rPr>
        <w:t>S</w:t>
      </w:r>
      <w:r>
        <w:rPr>
          <w:rFonts w:ascii="Times New Roman" w:hAnsi="Times New Roman"/>
          <w:color w:val="000000" w:themeColor="text1"/>
          <w:sz w:val="14"/>
          <w:szCs w:val="14"/>
        </w:rPr>
        <w:t>urvey,</w:t>
      </w:r>
      <w:r w:rsidRPr="005907E4">
        <w:rPr>
          <w:rFonts w:ascii="Times New Roman" w:hAnsi="Times New Roman"/>
          <w:color w:val="000000" w:themeColor="text1"/>
          <w:sz w:val="14"/>
          <w:szCs w:val="14"/>
        </w:rPr>
        <w:t xml:space="preserve"> 2015</w:t>
      </w:r>
      <w:r>
        <w:rPr>
          <w:rFonts w:ascii="Times New Roman" w:hAnsi="Times New Roman"/>
          <w:color w:val="000000" w:themeColor="text1"/>
          <w:sz w:val="14"/>
          <w:szCs w:val="14"/>
        </w:rPr>
        <w:t>.</w:t>
      </w:r>
    </w:p>
  </w:footnote>
  <w:footnote w:id="18">
    <w:p w14:paraId="0A170A36" w14:textId="2782EBEC" w:rsidR="0080471D" w:rsidRPr="005907E4" w:rsidRDefault="0080471D" w:rsidP="003F6DEC">
      <w:pPr>
        <w:pStyle w:val="FootnoteText"/>
        <w:rPr>
          <w:rFonts w:ascii="Times New Roman" w:hAnsi="Times New Roman"/>
          <w:color w:val="000000" w:themeColor="text1"/>
          <w:sz w:val="14"/>
          <w:szCs w:val="14"/>
        </w:rPr>
      </w:pPr>
      <w:r w:rsidRPr="005907E4">
        <w:rPr>
          <w:rStyle w:val="FootnoteReference"/>
          <w:rFonts w:ascii="Times New Roman" w:hAnsi="Times New Roman"/>
          <w:color w:val="000000" w:themeColor="text1"/>
          <w:sz w:val="14"/>
          <w:szCs w:val="14"/>
        </w:rPr>
        <w:footnoteRef/>
      </w:r>
      <w:r w:rsidRPr="005907E4">
        <w:rPr>
          <w:rFonts w:ascii="Times New Roman" w:hAnsi="Times New Roman"/>
          <w:color w:val="000000" w:themeColor="text1"/>
          <w:sz w:val="14"/>
          <w:szCs w:val="14"/>
        </w:rPr>
        <w:t xml:space="preserve"> I</w:t>
      </w:r>
      <w:r>
        <w:rPr>
          <w:rFonts w:ascii="Times New Roman" w:hAnsi="Times New Roman"/>
          <w:color w:val="000000" w:themeColor="text1"/>
          <w:sz w:val="14"/>
          <w:szCs w:val="14"/>
        </w:rPr>
        <w:t>nstitute for Democracy and Mediation</w:t>
      </w:r>
      <w:r w:rsidRPr="005907E4">
        <w:rPr>
          <w:rFonts w:ascii="Times New Roman" w:hAnsi="Times New Roman"/>
          <w:color w:val="000000" w:themeColor="text1"/>
          <w:sz w:val="14"/>
          <w:szCs w:val="14"/>
        </w:rPr>
        <w:t xml:space="preserve">, Religious Extremism in Albania, 2015 </w:t>
      </w:r>
    </w:p>
  </w:footnote>
  <w:footnote w:id="19">
    <w:p w14:paraId="7A1CE3BC" w14:textId="253BB7C5" w:rsidR="0080471D" w:rsidRPr="005907E4" w:rsidRDefault="0080471D" w:rsidP="00E62C7F">
      <w:pPr>
        <w:rPr>
          <w:color w:val="000000" w:themeColor="text1"/>
          <w:sz w:val="14"/>
          <w:szCs w:val="14"/>
        </w:rPr>
      </w:pPr>
      <w:r w:rsidRPr="005907E4">
        <w:rPr>
          <w:color w:val="000000" w:themeColor="text1"/>
          <w:sz w:val="14"/>
          <w:szCs w:val="14"/>
          <w:vertAlign w:val="superscript"/>
        </w:rPr>
        <w:footnoteRef/>
      </w:r>
      <w:r w:rsidRPr="005907E4">
        <w:rPr>
          <w:color w:val="000000" w:themeColor="text1"/>
          <w:sz w:val="14"/>
          <w:szCs w:val="14"/>
        </w:rPr>
        <w:t xml:space="preserve"> N</w:t>
      </w:r>
      <w:r>
        <w:rPr>
          <w:color w:val="000000" w:themeColor="text1"/>
          <w:sz w:val="14"/>
          <w:szCs w:val="14"/>
        </w:rPr>
        <w:t xml:space="preserve">ational </w:t>
      </w:r>
      <w:r w:rsidRPr="005907E4">
        <w:rPr>
          <w:color w:val="000000" w:themeColor="text1"/>
          <w:sz w:val="14"/>
          <w:szCs w:val="14"/>
        </w:rPr>
        <w:t>E</w:t>
      </w:r>
      <w:r>
        <w:rPr>
          <w:color w:val="000000" w:themeColor="text1"/>
          <w:sz w:val="14"/>
          <w:szCs w:val="14"/>
        </w:rPr>
        <w:t xml:space="preserve">mployment </w:t>
      </w:r>
      <w:r w:rsidRPr="005907E4">
        <w:rPr>
          <w:color w:val="000000" w:themeColor="text1"/>
          <w:sz w:val="14"/>
          <w:szCs w:val="14"/>
        </w:rPr>
        <w:t>S</w:t>
      </w:r>
      <w:r>
        <w:rPr>
          <w:color w:val="000000" w:themeColor="text1"/>
          <w:sz w:val="14"/>
          <w:szCs w:val="14"/>
        </w:rPr>
        <w:t>ervice (NES)</w:t>
      </w:r>
      <w:r w:rsidRPr="005907E4">
        <w:rPr>
          <w:color w:val="000000" w:themeColor="text1"/>
          <w:sz w:val="14"/>
          <w:szCs w:val="14"/>
        </w:rPr>
        <w:t>, Skills Needs Analysis 2014</w:t>
      </w:r>
      <w:r>
        <w:rPr>
          <w:color w:val="000000" w:themeColor="text1"/>
          <w:sz w:val="14"/>
          <w:szCs w:val="14"/>
        </w:rPr>
        <w:t>.</w:t>
      </w:r>
    </w:p>
  </w:footnote>
  <w:footnote w:id="20">
    <w:p w14:paraId="3D23CB83" w14:textId="6A6DD93F" w:rsidR="0080471D" w:rsidRPr="005907E4" w:rsidRDefault="0080471D" w:rsidP="0030144D">
      <w:pPr>
        <w:pStyle w:val="FootnoteText"/>
        <w:rPr>
          <w:rFonts w:ascii="Times New Roman" w:hAnsi="Times New Roman"/>
          <w:color w:val="000000" w:themeColor="text1"/>
          <w:sz w:val="14"/>
          <w:szCs w:val="14"/>
        </w:rPr>
      </w:pPr>
      <w:r w:rsidRPr="005907E4">
        <w:rPr>
          <w:rStyle w:val="FootnoteReference"/>
          <w:rFonts w:ascii="Times New Roman" w:hAnsi="Times New Roman"/>
          <w:color w:val="000000" w:themeColor="text1"/>
          <w:sz w:val="14"/>
          <w:szCs w:val="14"/>
        </w:rPr>
        <w:footnoteRef/>
      </w:r>
      <w:r w:rsidRPr="005907E4">
        <w:rPr>
          <w:rFonts w:ascii="Times New Roman" w:hAnsi="Times New Roman"/>
          <w:color w:val="000000" w:themeColor="text1"/>
          <w:sz w:val="14"/>
          <w:szCs w:val="14"/>
          <w:vertAlign w:val="superscript"/>
        </w:rPr>
        <w:t xml:space="preserve"> </w:t>
      </w:r>
      <w:r w:rsidRPr="005907E4">
        <w:rPr>
          <w:rFonts w:ascii="Times New Roman" w:hAnsi="Times New Roman"/>
          <w:color w:val="000000" w:themeColor="text1"/>
          <w:sz w:val="14"/>
          <w:szCs w:val="16"/>
        </w:rPr>
        <w:t>I</w:t>
      </w:r>
      <w:r w:rsidRPr="005907E4">
        <w:rPr>
          <w:rFonts w:ascii="Times New Roman" w:hAnsi="Times New Roman"/>
          <w:color w:val="000000" w:themeColor="text1"/>
          <w:sz w:val="14"/>
          <w:szCs w:val="14"/>
        </w:rPr>
        <w:t>NSTAT, L</w:t>
      </w:r>
      <w:r>
        <w:rPr>
          <w:rFonts w:ascii="Times New Roman" w:hAnsi="Times New Roman"/>
          <w:color w:val="000000" w:themeColor="text1"/>
          <w:sz w:val="14"/>
          <w:szCs w:val="14"/>
        </w:rPr>
        <w:t xml:space="preserve">abour Force </w:t>
      </w:r>
      <w:r w:rsidRPr="005907E4">
        <w:rPr>
          <w:rFonts w:ascii="Times New Roman" w:hAnsi="Times New Roman"/>
          <w:color w:val="000000" w:themeColor="text1"/>
          <w:sz w:val="14"/>
          <w:szCs w:val="14"/>
        </w:rPr>
        <w:t>S</w:t>
      </w:r>
      <w:r>
        <w:rPr>
          <w:rFonts w:ascii="Times New Roman" w:hAnsi="Times New Roman"/>
          <w:color w:val="000000" w:themeColor="text1"/>
          <w:sz w:val="14"/>
          <w:szCs w:val="14"/>
        </w:rPr>
        <w:t xml:space="preserve">urvey, 2014.  </w:t>
      </w:r>
      <w:r>
        <w:rPr>
          <w:rFonts w:ascii="Times New Roman" w:hAnsi="Times New Roman"/>
          <w:color w:val="000000" w:themeColor="text1"/>
          <w:sz w:val="14"/>
          <w:szCs w:val="16"/>
        </w:rPr>
        <w:t xml:space="preserve"> </w:t>
      </w:r>
    </w:p>
  </w:footnote>
  <w:footnote w:id="21">
    <w:p w14:paraId="29289686" w14:textId="3B25B3E4" w:rsidR="0080471D" w:rsidRPr="005907E4" w:rsidRDefault="0080471D" w:rsidP="0030144D">
      <w:pPr>
        <w:pStyle w:val="FootnoteText"/>
        <w:rPr>
          <w:rFonts w:ascii="Times New Roman" w:hAnsi="Times New Roman"/>
          <w:color w:val="000000" w:themeColor="text1"/>
          <w:sz w:val="14"/>
          <w:szCs w:val="16"/>
        </w:rPr>
      </w:pPr>
      <w:r w:rsidRPr="005907E4">
        <w:rPr>
          <w:rStyle w:val="FootnoteReference"/>
          <w:rFonts w:ascii="Times New Roman" w:hAnsi="Times New Roman"/>
          <w:color w:val="000000" w:themeColor="text1"/>
          <w:sz w:val="14"/>
          <w:szCs w:val="16"/>
        </w:rPr>
        <w:footnoteRef/>
      </w:r>
      <w:r w:rsidRPr="005907E4">
        <w:rPr>
          <w:rFonts w:ascii="Times New Roman" w:hAnsi="Times New Roman"/>
          <w:color w:val="000000" w:themeColor="text1"/>
          <w:sz w:val="14"/>
          <w:szCs w:val="16"/>
        </w:rPr>
        <w:t xml:space="preserve"> UNDP </w:t>
      </w:r>
      <w:r>
        <w:rPr>
          <w:rFonts w:ascii="Times New Roman" w:hAnsi="Times New Roman"/>
          <w:color w:val="000000" w:themeColor="text1"/>
          <w:sz w:val="14"/>
          <w:szCs w:val="16"/>
        </w:rPr>
        <w:t>nationally appropriate mitigation action r</w:t>
      </w:r>
      <w:r w:rsidRPr="005907E4">
        <w:rPr>
          <w:rFonts w:ascii="Times New Roman" w:hAnsi="Times New Roman"/>
          <w:color w:val="000000" w:themeColor="text1"/>
          <w:sz w:val="14"/>
          <w:szCs w:val="16"/>
        </w:rPr>
        <w:t>eport 2014</w:t>
      </w:r>
      <w:r>
        <w:rPr>
          <w:rFonts w:ascii="Times New Roman" w:hAnsi="Times New Roman"/>
          <w:color w:val="000000" w:themeColor="text1"/>
          <w:sz w:val="14"/>
          <w:szCs w:val="16"/>
        </w:rPr>
        <w:t>.</w:t>
      </w:r>
    </w:p>
  </w:footnote>
  <w:footnote w:id="22">
    <w:p w14:paraId="0B09DBDD" w14:textId="70A10645" w:rsidR="0080471D" w:rsidRPr="00AD1A8A" w:rsidRDefault="0080471D" w:rsidP="0030144D">
      <w:pPr>
        <w:pStyle w:val="FootnoteText"/>
        <w:rPr>
          <w:rFonts w:ascii="Times New Roman" w:hAnsi="Times New Roman"/>
          <w:sz w:val="14"/>
          <w:szCs w:val="14"/>
        </w:rPr>
      </w:pPr>
      <w:r w:rsidRPr="00AD1A8A">
        <w:rPr>
          <w:rStyle w:val="FootnoteReference"/>
          <w:rFonts w:ascii="Times New Roman" w:hAnsi="Times New Roman"/>
          <w:sz w:val="14"/>
          <w:szCs w:val="14"/>
        </w:rPr>
        <w:footnoteRef/>
      </w:r>
      <w:r w:rsidRPr="00AD1A8A">
        <w:rPr>
          <w:rFonts w:ascii="Times New Roman" w:hAnsi="Times New Roman"/>
          <w:sz w:val="14"/>
          <w:szCs w:val="14"/>
        </w:rPr>
        <w:t xml:space="preserve"> </w:t>
      </w:r>
      <w:r w:rsidRPr="005907E4">
        <w:rPr>
          <w:rFonts w:ascii="Times New Roman" w:hAnsi="Times New Roman"/>
          <w:color w:val="000000" w:themeColor="text1"/>
          <w:sz w:val="14"/>
          <w:szCs w:val="16"/>
        </w:rPr>
        <w:t>National Protected Areas Agency</w:t>
      </w:r>
      <w:r>
        <w:rPr>
          <w:rFonts w:ascii="Times New Roman" w:hAnsi="Times New Roman"/>
          <w:color w:val="000000" w:themeColor="text1"/>
          <w:sz w:val="14"/>
          <w:szCs w:val="16"/>
        </w:rPr>
        <w:t>:</w:t>
      </w:r>
      <w:r w:rsidRPr="005907E4">
        <w:rPr>
          <w:rFonts w:ascii="Times New Roman" w:hAnsi="Times New Roman"/>
          <w:color w:val="000000" w:themeColor="text1"/>
          <w:sz w:val="14"/>
          <w:szCs w:val="16"/>
        </w:rPr>
        <w:t xml:space="preserve"> </w:t>
      </w:r>
      <w:hyperlink r:id="rId4" w:history="1">
        <w:r w:rsidRPr="005907E4">
          <w:rPr>
            <w:rStyle w:val="Hyperlink"/>
            <w:rFonts w:ascii="Times New Roman" w:hAnsi="Times New Roman"/>
            <w:color w:val="000000" w:themeColor="text1"/>
            <w:sz w:val="14"/>
            <w:szCs w:val="16"/>
          </w:rPr>
          <w:t>http://akzm.gov.al</w:t>
        </w:r>
      </w:hyperlink>
      <w:r w:rsidRPr="005907E4">
        <w:rPr>
          <w:rFonts w:ascii="Times New Roman" w:hAnsi="Times New Roman"/>
          <w:color w:val="000000" w:themeColor="text1"/>
          <w:sz w:val="14"/>
          <w:szCs w:val="16"/>
        </w:rPr>
        <w:t xml:space="preserve"> </w:t>
      </w:r>
    </w:p>
  </w:footnote>
  <w:footnote w:id="23">
    <w:p w14:paraId="14445C31" w14:textId="34D4EBD1" w:rsidR="0080471D" w:rsidRPr="00AD1A8A" w:rsidRDefault="0080471D" w:rsidP="0030144D">
      <w:pPr>
        <w:pStyle w:val="FootnoteText"/>
        <w:rPr>
          <w:rFonts w:ascii="Times New Roman" w:hAnsi="Times New Roman"/>
          <w:sz w:val="14"/>
          <w:szCs w:val="14"/>
        </w:rPr>
      </w:pPr>
      <w:r w:rsidRPr="00AD1A8A">
        <w:rPr>
          <w:rStyle w:val="FootnoteReference"/>
          <w:rFonts w:ascii="Times New Roman" w:hAnsi="Times New Roman"/>
          <w:sz w:val="14"/>
          <w:szCs w:val="14"/>
        </w:rPr>
        <w:footnoteRef/>
      </w:r>
      <w:r w:rsidRPr="00AD1A8A">
        <w:rPr>
          <w:rFonts w:ascii="Times New Roman" w:hAnsi="Times New Roman"/>
          <w:sz w:val="14"/>
          <w:szCs w:val="14"/>
        </w:rPr>
        <w:t xml:space="preserve"> Policy Document on Climate Change Adaptation, UNDP</w:t>
      </w:r>
      <w:r>
        <w:rPr>
          <w:rFonts w:ascii="Times New Roman" w:hAnsi="Times New Roman"/>
          <w:sz w:val="14"/>
          <w:szCs w:val="14"/>
        </w:rPr>
        <w:t>-</w:t>
      </w:r>
      <w:r w:rsidRPr="00AD1A8A">
        <w:rPr>
          <w:rFonts w:ascii="Times New Roman" w:hAnsi="Times New Roman"/>
          <w:sz w:val="14"/>
          <w:szCs w:val="14"/>
        </w:rPr>
        <w:t>Ministry of Environment</w:t>
      </w:r>
      <w:r>
        <w:rPr>
          <w:rFonts w:ascii="Times New Roman" w:hAnsi="Times New Roman"/>
          <w:sz w:val="14"/>
          <w:szCs w:val="14"/>
        </w:rPr>
        <w:t>,</w:t>
      </w:r>
      <w:r w:rsidRPr="00AD1A8A">
        <w:rPr>
          <w:rFonts w:ascii="Times New Roman" w:hAnsi="Times New Roman"/>
          <w:sz w:val="14"/>
          <w:szCs w:val="14"/>
        </w:rPr>
        <w:t xml:space="preserve"> 2013</w:t>
      </w:r>
      <w:r>
        <w:rPr>
          <w:rFonts w:ascii="Times New Roman" w:hAnsi="Times New Roman"/>
          <w:sz w:val="14"/>
          <w:szCs w:val="14"/>
        </w:rPr>
        <w:t>.</w:t>
      </w:r>
      <w:r w:rsidRPr="00AD1A8A">
        <w:rPr>
          <w:rFonts w:ascii="Times New Roman" w:hAnsi="Times New Roman"/>
          <w:sz w:val="14"/>
          <w:szCs w:val="14"/>
        </w:rPr>
        <w:t xml:space="preserve"> </w:t>
      </w:r>
    </w:p>
  </w:footnote>
  <w:footnote w:id="24">
    <w:p w14:paraId="64A65975" w14:textId="2D658D6D" w:rsidR="0080471D" w:rsidRPr="00AD1A8A" w:rsidRDefault="0080471D" w:rsidP="00787DE7">
      <w:pPr>
        <w:pStyle w:val="FootnoteText"/>
        <w:rPr>
          <w:rFonts w:ascii="Times New Roman" w:hAnsi="Times New Roman"/>
          <w:sz w:val="14"/>
          <w:szCs w:val="14"/>
        </w:rPr>
      </w:pPr>
      <w:r w:rsidRPr="00AD1A8A">
        <w:rPr>
          <w:rStyle w:val="FootnoteReference"/>
          <w:rFonts w:ascii="Times New Roman" w:hAnsi="Times New Roman"/>
          <w:sz w:val="14"/>
          <w:szCs w:val="14"/>
        </w:rPr>
        <w:footnoteRef/>
      </w:r>
      <w:r w:rsidRPr="00AD1A8A">
        <w:rPr>
          <w:rFonts w:ascii="Times New Roman" w:hAnsi="Times New Roman"/>
          <w:sz w:val="14"/>
          <w:szCs w:val="14"/>
        </w:rPr>
        <w:t xml:space="preserve"> </w:t>
      </w:r>
      <w:r>
        <w:rPr>
          <w:rFonts w:ascii="Times New Roman" w:hAnsi="Times New Roman"/>
          <w:sz w:val="14"/>
          <w:szCs w:val="14"/>
        </w:rPr>
        <w:t>Albania Assessment of Development Results (ADR)</w:t>
      </w:r>
      <w:r w:rsidRPr="00AD1A8A">
        <w:rPr>
          <w:rFonts w:ascii="Times New Roman" w:hAnsi="Times New Roman"/>
          <w:sz w:val="14"/>
          <w:szCs w:val="14"/>
        </w:rPr>
        <w:t>, 2016</w:t>
      </w:r>
      <w:r>
        <w:rPr>
          <w:rFonts w:ascii="Times New Roman" w:hAnsi="Times New Roman"/>
          <w:sz w:val="14"/>
          <w:szCs w:val="14"/>
        </w:rPr>
        <w:t>.</w:t>
      </w:r>
      <w:r w:rsidRPr="00AD1A8A">
        <w:rPr>
          <w:rFonts w:ascii="Times New Roman" w:hAnsi="Times New Roman"/>
          <w:sz w:val="14"/>
          <w:szCs w:val="14"/>
        </w:rPr>
        <w:t xml:space="preserve"> </w:t>
      </w:r>
    </w:p>
  </w:footnote>
  <w:footnote w:id="25">
    <w:p w14:paraId="053C5027" w14:textId="2BEF4C91" w:rsidR="0080471D" w:rsidRPr="00AD1A8A" w:rsidRDefault="0080471D" w:rsidP="00787DE7">
      <w:pPr>
        <w:pStyle w:val="FootnoteText"/>
        <w:rPr>
          <w:rFonts w:ascii="Times New Roman" w:hAnsi="Times New Roman"/>
          <w:sz w:val="14"/>
          <w:szCs w:val="14"/>
        </w:rPr>
      </w:pPr>
      <w:r w:rsidRPr="00AD1A8A">
        <w:rPr>
          <w:rStyle w:val="FootnoteReference"/>
          <w:rFonts w:ascii="Times New Roman" w:hAnsi="Times New Roman"/>
          <w:sz w:val="14"/>
          <w:szCs w:val="14"/>
        </w:rPr>
        <w:footnoteRef/>
      </w:r>
      <w:r w:rsidRPr="00AD1A8A">
        <w:rPr>
          <w:rFonts w:ascii="Times New Roman" w:hAnsi="Times New Roman"/>
          <w:sz w:val="14"/>
          <w:szCs w:val="14"/>
        </w:rPr>
        <w:t xml:space="preserve"> </w:t>
      </w:r>
      <w:r>
        <w:rPr>
          <w:rFonts w:ascii="Times New Roman" w:hAnsi="Times New Roman"/>
          <w:sz w:val="14"/>
          <w:szCs w:val="14"/>
        </w:rPr>
        <w:t>I</w:t>
      </w:r>
      <w:r w:rsidRPr="00AD1A8A">
        <w:rPr>
          <w:rFonts w:ascii="Times New Roman" w:hAnsi="Times New Roman"/>
          <w:sz w:val="14"/>
          <w:szCs w:val="14"/>
        </w:rPr>
        <w:t>bid</w:t>
      </w:r>
      <w:r>
        <w:rPr>
          <w:rFonts w:ascii="Times New Roman" w:hAnsi="Times New Roman"/>
          <w:sz w:val="14"/>
          <w:szCs w:val="14"/>
        </w:rPr>
        <w:t>,</w:t>
      </w:r>
      <w:r w:rsidRPr="00AD1A8A">
        <w:rPr>
          <w:rFonts w:ascii="Times New Roman" w:hAnsi="Times New Roman"/>
          <w:sz w:val="14"/>
          <w:szCs w:val="14"/>
        </w:rPr>
        <w:t xml:space="preserve"> </w:t>
      </w:r>
      <w:r>
        <w:rPr>
          <w:rFonts w:ascii="Times New Roman" w:hAnsi="Times New Roman"/>
          <w:sz w:val="14"/>
          <w:szCs w:val="14"/>
        </w:rPr>
        <w:t>p.</w:t>
      </w:r>
      <w:r w:rsidRPr="00AD1A8A">
        <w:rPr>
          <w:rFonts w:ascii="Times New Roman" w:hAnsi="Times New Roman"/>
          <w:sz w:val="14"/>
          <w:szCs w:val="14"/>
        </w:rPr>
        <w:t>36</w:t>
      </w:r>
      <w:r>
        <w:rPr>
          <w:rFonts w:ascii="Times New Roman" w:hAnsi="Times New Roman"/>
          <w:sz w:val="14"/>
          <w:szCs w:val="14"/>
        </w:rPr>
        <w:t>.</w:t>
      </w:r>
    </w:p>
  </w:footnote>
  <w:footnote w:id="26">
    <w:p w14:paraId="74AA41A5" w14:textId="44DD3A5C" w:rsidR="0080471D" w:rsidRPr="00AD1A8A" w:rsidRDefault="0080471D" w:rsidP="0030144D">
      <w:pPr>
        <w:pStyle w:val="FootnoteText"/>
        <w:rPr>
          <w:rFonts w:ascii="Times New Roman" w:hAnsi="Times New Roman"/>
          <w:sz w:val="14"/>
          <w:szCs w:val="14"/>
        </w:rPr>
      </w:pPr>
      <w:r w:rsidRPr="00AD1A8A">
        <w:rPr>
          <w:rStyle w:val="FootnoteReference"/>
          <w:rFonts w:ascii="Times New Roman" w:hAnsi="Times New Roman"/>
          <w:sz w:val="14"/>
          <w:szCs w:val="14"/>
        </w:rPr>
        <w:footnoteRef/>
      </w:r>
      <w:r w:rsidRPr="00AD1A8A">
        <w:rPr>
          <w:rFonts w:ascii="Times New Roman" w:hAnsi="Times New Roman"/>
          <w:sz w:val="14"/>
          <w:szCs w:val="14"/>
        </w:rPr>
        <w:t xml:space="preserve"> Ibid </w:t>
      </w:r>
      <w:r>
        <w:rPr>
          <w:rFonts w:ascii="Times New Roman" w:hAnsi="Times New Roman"/>
          <w:sz w:val="14"/>
          <w:szCs w:val="14"/>
        </w:rPr>
        <w:t>p.</w:t>
      </w:r>
      <w:r w:rsidRPr="00AD1A8A">
        <w:rPr>
          <w:rFonts w:ascii="Times New Roman" w:hAnsi="Times New Roman"/>
          <w:sz w:val="14"/>
          <w:szCs w:val="14"/>
        </w:rPr>
        <w:t>36</w:t>
      </w:r>
      <w:r>
        <w:rPr>
          <w:rFonts w:ascii="Times New Roman" w:hAnsi="Times New Roman"/>
          <w:sz w:val="14"/>
          <w:szCs w:val="14"/>
        </w:rPr>
        <w:t>.</w:t>
      </w:r>
    </w:p>
  </w:footnote>
  <w:footnote w:id="27">
    <w:p w14:paraId="42A55B0A" w14:textId="7614ACDE" w:rsidR="0080471D" w:rsidRPr="00AD1A8A" w:rsidRDefault="0080471D" w:rsidP="0030144D">
      <w:pPr>
        <w:pStyle w:val="FootnoteText"/>
        <w:rPr>
          <w:rFonts w:ascii="Times New Roman" w:hAnsi="Times New Roman"/>
          <w:sz w:val="14"/>
          <w:szCs w:val="14"/>
        </w:rPr>
      </w:pPr>
      <w:r w:rsidRPr="00AD1A8A">
        <w:rPr>
          <w:rStyle w:val="FootnoteReference"/>
          <w:rFonts w:ascii="Times New Roman" w:hAnsi="Times New Roman"/>
          <w:sz w:val="14"/>
          <w:szCs w:val="14"/>
        </w:rPr>
        <w:footnoteRef/>
      </w:r>
      <w:r w:rsidRPr="00AD1A8A">
        <w:rPr>
          <w:rFonts w:ascii="Times New Roman" w:hAnsi="Times New Roman"/>
          <w:sz w:val="14"/>
          <w:szCs w:val="14"/>
        </w:rPr>
        <w:t xml:space="preserve"> Ibid </w:t>
      </w:r>
      <w:r>
        <w:rPr>
          <w:rFonts w:ascii="Times New Roman" w:hAnsi="Times New Roman"/>
          <w:sz w:val="14"/>
          <w:szCs w:val="14"/>
        </w:rPr>
        <w:t>p.</w:t>
      </w:r>
      <w:r w:rsidRPr="00AD1A8A">
        <w:rPr>
          <w:rFonts w:ascii="Times New Roman" w:hAnsi="Times New Roman"/>
          <w:sz w:val="14"/>
          <w:szCs w:val="14"/>
        </w:rPr>
        <w:t>71</w:t>
      </w:r>
      <w:r>
        <w:rPr>
          <w:rFonts w:ascii="Times New Roman" w:hAnsi="Times New Roman"/>
          <w:sz w:val="14"/>
          <w:szCs w:val="14"/>
        </w:rPr>
        <w:t>.</w:t>
      </w:r>
    </w:p>
  </w:footnote>
  <w:footnote w:id="28">
    <w:p w14:paraId="3AEF2BBE" w14:textId="40A48DCB" w:rsidR="0080471D" w:rsidRPr="00AD1A8A" w:rsidRDefault="0080471D">
      <w:pPr>
        <w:pStyle w:val="FootnoteText"/>
        <w:rPr>
          <w:rFonts w:ascii="Times New Roman" w:hAnsi="Times New Roman"/>
          <w:sz w:val="14"/>
          <w:szCs w:val="14"/>
        </w:rPr>
      </w:pPr>
      <w:r w:rsidRPr="00AD1A8A">
        <w:rPr>
          <w:rStyle w:val="FootnoteReference"/>
          <w:rFonts w:ascii="Times New Roman" w:hAnsi="Times New Roman"/>
          <w:sz w:val="14"/>
          <w:szCs w:val="14"/>
        </w:rPr>
        <w:footnoteRef/>
      </w:r>
      <w:r w:rsidRPr="00AD1A8A">
        <w:rPr>
          <w:rFonts w:ascii="Times New Roman" w:hAnsi="Times New Roman"/>
          <w:sz w:val="14"/>
          <w:szCs w:val="14"/>
        </w:rPr>
        <w:t xml:space="preserve"> Ibid pp.35-36</w:t>
      </w:r>
      <w:r>
        <w:rPr>
          <w:rFonts w:ascii="Times New Roman" w:hAnsi="Times New Roman"/>
          <w:sz w:val="14"/>
          <w:szCs w:val="14"/>
        </w:rPr>
        <w:t>.</w:t>
      </w:r>
    </w:p>
  </w:footnote>
  <w:footnote w:id="29">
    <w:p w14:paraId="5EE7AC1C" w14:textId="582D03BA" w:rsidR="0080471D" w:rsidRPr="00AD1A8A" w:rsidRDefault="0080471D" w:rsidP="0030144D">
      <w:pPr>
        <w:pStyle w:val="FootnoteText"/>
        <w:rPr>
          <w:rFonts w:ascii="Times New Roman" w:hAnsi="Times New Roman"/>
          <w:sz w:val="14"/>
          <w:szCs w:val="14"/>
        </w:rPr>
      </w:pPr>
      <w:r w:rsidRPr="00AD1A8A">
        <w:rPr>
          <w:rStyle w:val="FootnoteReference"/>
          <w:rFonts w:ascii="Times New Roman" w:hAnsi="Times New Roman"/>
          <w:sz w:val="14"/>
          <w:szCs w:val="14"/>
        </w:rPr>
        <w:footnoteRef/>
      </w:r>
      <w:r w:rsidRPr="00AD1A8A">
        <w:rPr>
          <w:rFonts w:ascii="Times New Roman" w:hAnsi="Times New Roman"/>
          <w:sz w:val="14"/>
          <w:szCs w:val="14"/>
        </w:rPr>
        <w:t xml:space="preserve"> Ibid </w:t>
      </w:r>
      <w:r>
        <w:rPr>
          <w:rFonts w:ascii="Times New Roman" w:hAnsi="Times New Roman"/>
          <w:sz w:val="14"/>
          <w:szCs w:val="14"/>
        </w:rPr>
        <w:t>p.</w:t>
      </w:r>
      <w:r w:rsidRPr="00AD1A8A">
        <w:rPr>
          <w:rFonts w:ascii="Times New Roman" w:hAnsi="Times New Roman"/>
          <w:sz w:val="14"/>
          <w:szCs w:val="14"/>
        </w:rPr>
        <w:t>36</w:t>
      </w:r>
      <w:r>
        <w:rPr>
          <w:rFonts w:ascii="Times New Roman" w:hAnsi="Times New Roman"/>
          <w:sz w:val="14"/>
          <w:szCs w:val="14"/>
        </w:rPr>
        <w:t>.</w:t>
      </w:r>
    </w:p>
  </w:footnote>
  <w:footnote w:id="30">
    <w:p w14:paraId="0329882D" w14:textId="76D184F0" w:rsidR="0080471D" w:rsidRPr="00450656" w:rsidRDefault="0080471D" w:rsidP="004B5F95">
      <w:pPr>
        <w:jc w:val="both"/>
        <w:rPr>
          <w:sz w:val="14"/>
          <w:szCs w:val="14"/>
        </w:rPr>
      </w:pPr>
      <w:r w:rsidRPr="00450656">
        <w:rPr>
          <w:rStyle w:val="FootnoteReference"/>
          <w:sz w:val="14"/>
          <w:szCs w:val="14"/>
        </w:rPr>
        <w:footnoteRef/>
      </w:r>
      <w:r w:rsidRPr="00450656">
        <w:rPr>
          <w:sz w:val="14"/>
          <w:szCs w:val="14"/>
        </w:rPr>
        <w:t xml:space="preserve"> World Bank: An Update on Poverty and Inequality in Albania</w:t>
      </w:r>
      <w:r>
        <w:rPr>
          <w:sz w:val="14"/>
          <w:szCs w:val="14"/>
        </w:rPr>
        <w:t>,</w:t>
      </w:r>
      <w:r w:rsidRPr="00450656">
        <w:rPr>
          <w:sz w:val="14"/>
          <w:szCs w:val="14"/>
        </w:rPr>
        <w:t xml:space="preserve"> 2015. </w:t>
      </w:r>
    </w:p>
  </w:footnote>
  <w:footnote w:id="31">
    <w:p w14:paraId="0014C610" w14:textId="40E57E85" w:rsidR="0080471D" w:rsidRPr="00AD1A8A" w:rsidRDefault="0080471D">
      <w:pPr>
        <w:pStyle w:val="FootnoteText"/>
        <w:rPr>
          <w:rFonts w:ascii="Times New Roman" w:hAnsi="Times New Roman"/>
          <w:sz w:val="14"/>
          <w:szCs w:val="14"/>
        </w:rPr>
      </w:pPr>
      <w:r w:rsidRPr="00AD1A8A">
        <w:rPr>
          <w:rStyle w:val="FootnoteReference"/>
          <w:rFonts w:ascii="Times New Roman" w:hAnsi="Times New Roman"/>
          <w:sz w:val="14"/>
          <w:szCs w:val="14"/>
        </w:rPr>
        <w:footnoteRef/>
      </w:r>
      <w:r w:rsidRPr="00AD1A8A">
        <w:rPr>
          <w:rFonts w:ascii="Times New Roman" w:hAnsi="Times New Roman"/>
          <w:sz w:val="14"/>
          <w:szCs w:val="14"/>
        </w:rPr>
        <w:t xml:space="preserve"> ADR</w:t>
      </w:r>
      <w:r>
        <w:rPr>
          <w:rFonts w:ascii="Times New Roman" w:hAnsi="Times New Roman"/>
          <w:sz w:val="14"/>
          <w:szCs w:val="14"/>
        </w:rPr>
        <w:t>, pp.67-68.</w:t>
      </w:r>
    </w:p>
  </w:footnote>
  <w:footnote w:id="32">
    <w:p w14:paraId="5B6890F6" w14:textId="53B691F9" w:rsidR="0080471D" w:rsidRPr="007A72FD" w:rsidRDefault="0080471D" w:rsidP="005B4401">
      <w:pPr>
        <w:rPr>
          <w:rFonts w:eastAsiaTheme="minorHAnsi"/>
          <w:sz w:val="14"/>
          <w:szCs w:val="14"/>
        </w:rPr>
      </w:pPr>
      <w:r w:rsidRPr="007A72FD">
        <w:rPr>
          <w:rStyle w:val="FootnoteReference"/>
          <w:sz w:val="14"/>
          <w:szCs w:val="14"/>
        </w:rPr>
        <w:footnoteRef/>
      </w:r>
      <w:r w:rsidRPr="007A72FD">
        <w:rPr>
          <w:sz w:val="14"/>
          <w:szCs w:val="14"/>
        </w:rPr>
        <w:t xml:space="preserve"> </w:t>
      </w:r>
      <w:r w:rsidRPr="007A72FD">
        <w:rPr>
          <w:rFonts w:eastAsiaTheme="minorHAnsi"/>
          <w:sz w:val="14"/>
          <w:szCs w:val="14"/>
        </w:rPr>
        <w:t>1. No action has yet been taken; 2. Partially operational 3. Operational 4. Operational and there is demonstrable evidence that this is leading to fulfillment of nationally and internationally ratified HR obligations.</w:t>
      </w:r>
    </w:p>
    <w:p w14:paraId="4A98069F" w14:textId="33DAD2FE" w:rsidR="0080471D" w:rsidRPr="007A72FD" w:rsidRDefault="0080471D">
      <w:pPr>
        <w:pStyle w:val="FootnoteText"/>
        <w:rPr>
          <w:rFonts w:ascii="Times New Roman" w:hAnsi="Times New Roman"/>
          <w:sz w:val="14"/>
          <w:szCs w:val="14"/>
        </w:rPr>
      </w:pPr>
    </w:p>
  </w:footnote>
  <w:footnote w:id="33">
    <w:p w14:paraId="7D7B4A53" w14:textId="4586449D" w:rsidR="0080471D" w:rsidRDefault="0080471D">
      <w:pPr>
        <w:pStyle w:val="FootnoteText"/>
      </w:pPr>
      <w:r w:rsidRPr="007A72FD">
        <w:rPr>
          <w:rStyle w:val="FootnoteReference"/>
          <w:rFonts w:ascii="Times New Roman" w:hAnsi="Times New Roman"/>
          <w:sz w:val="14"/>
          <w:szCs w:val="14"/>
        </w:rPr>
        <w:footnoteRef/>
      </w:r>
      <w:r w:rsidRPr="007A72FD">
        <w:rPr>
          <w:rFonts w:ascii="Times New Roman" w:hAnsi="Times New Roman"/>
          <w:sz w:val="14"/>
          <w:szCs w:val="14"/>
        </w:rPr>
        <w:t xml:space="preserve"> </w:t>
      </w:r>
      <w:r w:rsidRPr="007A72FD">
        <w:rPr>
          <w:rFonts w:ascii="Times New Roman" w:eastAsiaTheme="minorHAnsi" w:hAnsi="Times New Roman"/>
          <w:sz w:val="14"/>
          <w:szCs w:val="14"/>
        </w:rPr>
        <w:t>1- Not achieved; 2- Partially achieved; 3- Mostly achieved; 4- Fully achieved</w:t>
      </w:r>
    </w:p>
  </w:footnote>
  <w:footnote w:id="34">
    <w:p w14:paraId="3AC0DA21" w14:textId="750BCAB2" w:rsidR="0080471D" w:rsidRPr="000B1D22" w:rsidRDefault="0080471D" w:rsidP="000A59A8">
      <w:pPr>
        <w:pStyle w:val="FootnoteText"/>
        <w:rPr>
          <w:sz w:val="17"/>
          <w:szCs w:val="17"/>
        </w:rPr>
      </w:pPr>
      <w:r w:rsidRPr="000B1D22">
        <w:rPr>
          <w:rStyle w:val="FootnoteReference"/>
          <w:rFonts w:ascii="Times New Roman" w:hAnsi="Times New Roman"/>
          <w:sz w:val="17"/>
          <w:szCs w:val="17"/>
        </w:rPr>
        <w:footnoteRef/>
      </w:r>
      <w:r w:rsidRPr="000B1D22">
        <w:rPr>
          <w:rFonts w:ascii="Times New Roman" w:hAnsi="Times New Roman"/>
          <w:sz w:val="17"/>
          <w:szCs w:val="17"/>
        </w:rPr>
        <w:t xml:space="preserve"> 1=none in place; 2=preparation of the Energy Efficiency Fund in line with Global Conservation Fund (GCF) requirements  ; 3=endorsement of the Energy Efficiency Fund ; 4=submission to GCF</w:t>
      </w:r>
      <w:r w:rsidRPr="000B1D22">
        <w:rPr>
          <w:sz w:val="17"/>
          <w:szCs w:val="17"/>
        </w:rPr>
        <w:t xml:space="preserve">  </w:t>
      </w:r>
    </w:p>
  </w:footnote>
  <w:footnote w:id="35">
    <w:p w14:paraId="137D0925" w14:textId="5CFD242C" w:rsidR="0080471D" w:rsidRPr="0049412C" w:rsidRDefault="0080471D" w:rsidP="000A59A8">
      <w:pPr>
        <w:pStyle w:val="FootnoteText"/>
        <w:rPr>
          <w:rFonts w:ascii="Times New Roman" w:hAnsi="Times New Roman"/>
          <w:sz w:val="17"/>
          <w:szCs w:val="17"/>
        </w:rPr>
      </w:pPr>
      <w:r w:rsidRPr="0049412C">
        <w:rPr>
          <w:rStyle w:val="FootnoteReference"/>
          <w:rFonts w:ascii="Times New Roman" w:hAnsi="Times New Roman"/>
          <w:sz w:val="17"/>
          <w:szCs w:val="17"/>
        </w:rPr>
        <w:footnoteRef/>
      </w:r>
      <w:r w:rsidRPr="0049412C">
        <w:rPr>
          <w:rFonts w:ascii="Times New Roman" w:hAnsi="Times New Roman"/>
          <w:sz w:val="17"/>
          <w:szCs w:val="17"/>
        </w:rPr>
        <w:t xml:space="preserve"> </w:t>
      </w:r>
      <w:r w:rsidRPr="0049412C">
        <w:rPr>
          <w:rFonts w:ascii="Times New Roman" w:hAnsi="Times New Roman"/>
          <w:color w:val="000000"/>
          <w:sz w:val="17"/>
          <w:szCs w:val="17"/>
          <w:vertAlign w:val="superscript"/>
        </w:rPr>
        <w:t xml:space="preserve"> </w:t>
      </w:r>
      <w:r w:rsidRPr="0049412C">
        <w:rPr>
          <w:rFonts w:ascii="Times New Roman" w:hAnsi="Times New Roman"/>
          <w:color w:val="000000"/>
          <w:sz w:val="17"/>
          <w:szCs w:val="17"/>
        </w:rPr>
        <w:t>1=Not at all; 2=to a very partial extent; 3=to some extent; 4=to a significant extent; 5=to full extent.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D54D" w14:textId="25B711D1" w:rsidR="0080471D" w:rsidRPr="003C26C1" w:rsidRDefault="0080471D" w:rsidP="00A24133">
    <w:pPr>
      <w:pStyle w:val="Header"/>
      <w:jc w:val="center"/>
      <w:rPr>
        <w:rFonts w:ascii="Times New Roman" w:hAnsi="Times New Roman"/>
        <w:sz w:val="18"/>
        <w:lang w:val="en-US"/>
      </w:rPr>
    </w:pPr>
    <w:r w:rsidRPr="003C26C1">
      <w:rPr>
        <w:rFonts w:ascii="Times New Roman" w:hAnsi="Times New Roman"/>
        <w:b/>
        <w:sz w:val="18"/>
        <w:lang w:val="en-US"/>
      </w:rPr>
      <w:t>Dat</w:t>
    </w:r>
    <w:r w:rsidRPr="003C26C1">
      <w:rPr>
        <w:rFonts w:ascii="Times New Roman" w:hAnsi="Times New Roman"/>
        <w:b/>
        <w:sz w:val="18"/>
      </w:rPr>
      <w:t>e:</w:t>
    </w:r>
    <w:r w:rsidRPr="003C26C1">
      <w:rPr>
        <w:rFonts w:ascii="Times New Roman" w:hAnsi="Times New Roman"/>
        <w:sz w:val="18"/>
        <w:lang w:val="en-US"/>
      </w:rPr>
      <w:t xml:space="preserve"> </w:t>
    </w:r>
    <w:r>
      <w:rPr>
        <w:rFonts w:ascii="Times New Roman" w:hAnsi="Times New Roman"/>
        <w:sz w:val="18"/>
        <w:lang w:val="en-US"/>
      </w:rPr>
      <w:t>March 2016</w:t>
    </w:r>
  </w:p>
  <w:p w14:paraId="2440D54E" w14:textId="275CCFFF" w:rsidR="0080471D" w:rsidRPr="00FB6D3A" w:rsidRDefault="0080471D" w:rsidP="00A24133">
    <w:pPr>
      <w:pStyle w:val="Header"/>
      <w:jc w:val="center"/>
      <w:rPr>
        <w:rFonts w:ascii="Times New Roman" w:hAnsi="Times New Roman"/>
        <w:sz w:val="18"/>
        <w:lang w:val="en-US"/>
      </w:rPr>
    </w:pPr>
    <w:r w:rsidRPr="003C26C1">
      <w:rPr>
        <w:rFonts w:ascii="Times New Roman" w:hAnsi="Times New Roman"/>
        <w:b/>
        <w:sz w:val="18"/>
        <w:lang w:val="en-US"/>
      </w:rPr>
      <w:t>Version and status:</w:t>
    </w:r>
    <w:r w:rsidRPr="003C26C1">
      <w:rPr>
        <w:rFonts w:ascii="Times New Roman" w:hAnsi="Times New Roman"/>
        <w:sz w:val="18"/>
        <w:lang w:val="en-US"/>
      </w:rPr>
      <w:t xml:space="preserve"> Revised based on Executive Board decision 2014/7 and for adoption for submissions to the </w:t>
    </w:r>
    <w:r>
      <w:rPr>
        <w:rFonts w:ascii="Times New Roman" w:hAnsi="Times New Roman"/>
        <w:sz w:val="18"/>
        <w:lang w:val="en-US"/>
      </w:rPr>
      <w:t>September 2016</w:t>
    </w:r>
    <w:r w:rsidRPr="003C26C1">
      <w:rPr>
        <w:rFonts w:ascii="Times New Roman" w:hAnsi="Times New Roman"/>
        <w:sz w:val="18"/>
        <w:lang w:val="en-US"/>
      </w:rPr>
      <w:t xml:space="preserve"> session of the Executive Board onwards)</w:t>
    </w:r>
  </w:p>
  <w:p w14:paraId="2440D54F" w14:textId="77777777" w:rsidR="0080471D" w:rsidRDefault="008047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24"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486"/>
    </w:tblGrid>
    <w:tr w:rsidR="0080471D" w:rsidRPr="00407FEE" w14:paraId="03B2B803" w14:textId="77777777" w:rsidTr="003A41D8">
      <w:trPr>
        <w:trHeight w:hRule="exact" w:val="864"/>
      </w:trPr>
      <w:tc>
        <w:tcPr>
          <w:tcW w:w="4838" w:type="dxa"/>
          <w:shd w:val="clear" w:color="auto" w:fill="auto"/>
          <w:vAlign w:val="bottom"/>
        </w:tcPr>
        <w:p w14:paraId="52C827AA" w14:textId="77777777" w:rsidR="0080471D" w:rsidRPr="00407FEE" w:rsidRDefault="0080471D" w:rsidP="008B1FAE">
          <w:pPr>
            <w:tabs>
              <w:tab w:val="center" w:pos="4320"/>
              <w:tab w:val="right" w:pos="8640"/>
            </w:tabs>
            <w:spacing w:after="80"/>
            <w:rPr>
              <w:b/>
              <w:noProof/>
              <w:sz w:val="17"/>
            </w:rPr>
          </w:pPr>
          <w:r w:rsidRPr="00407FEE">
            <w:rPr>
              <w:b/>
              <w:noProof/>
              <w:sz w:val="17"/>
            </w:rPr>
            <w:t>D</w:t>
          </w:r>
          <w:r>
            <w:rPr>
              <w:b/>
              <w:noProof/>
              <w:sz w:val="17"/>
            </w:rPr>
            <w:t>P/DCP/ALB/2</w:t>
          </w:r>
        </w:p>
      </w:tc>
      <w:tc>
        <w:tcPr>
          <w:tcW w:w="8486" w:type="dxa"/>
          <w:shd w:val="clear" w:color="auto" w:fill="auto"/>
          <w:vAlign w:val="bottom"/>
        </w:tcPr>
        <w:p w14:paraId="63A673BB" w14:textId="77777777" w:rsidR="0080471D" w:rsidRPr="00407FEE" w:rsidRDefault="0080471D" w:rsidP="008B1FAE">
          <w:pPr>
            <w:tabs>
              <w:tab w:val="center" w:pos="4320"/>
              <w:tab w:val="left" w:pos="7038"/>
              <w:tab w:val="right" w:pos="8640"/>
            </w:tabs>
            <w:ind w:right="-299"/>
            <w:jc w:val="right"/>
            <w:rPr>
              <w:noProof/>
              <w:sz w:val="17"/>
            </w:rPr>
          </w:pPr>
        </w:p>
      </w:tc>
    </w:tr>
  </w:tbl>
  <w:p w14:paraId="173F2834" w14:textId="77777777" w:rsidR="0080471D" w:rsidRPr="00F477D6" w:rsidRDefault="0080471D">
    <w:pPr>
      <w:pStyle w:val="Header"/>
      <w:rPr>
        <w:sz w:val="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0471D" w:rsidRPr="00D64B78" w14:paraId="2E57F568" w14:textId="77777777" w:rsidTr="00F477D6">
      <w:trPr>
        <w:trHeight w:hRule="exact" w:val="864"/>
      </w:trPr>
      <w:tc>
        <w:tcPr>
          <w:tcW w:w="4838" w:type="dxa"/>
          <w:tcBorders>
            <w:bottom w:val="single" w:sz="4" w:space="0" w:color="auto"/>
          </w:tcBorders>
          <w:vAlign w:val="bottom"/>
        </w:tcPr>
        <w:p w14:paraId="3CF4D751" w14:textId="77777777" w:rsidR="0080471D" w:rsidRPr="00D64B78" w:rsidRDefault="0080471D" w:rsidP="00F477D6">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17F5089C" w14:textId="76A27697" w:rsidR="0080471D" w:rsidRPr="00D64B78" w:rsidRDefault="0080471D" w:rsidP="00F477D6">
          <w:pPr>
            <w:widowControl w:val="0"/>
            <w:tabs>
              <w:tab w:val="center" w:pos="4320"/>
              <w:tab w:val="right" w:pos="8640"/>
            </w:tabs>
            <w:jc w:val="right"/>
            <w:rPr>
              <w:sz w:val="17"/>
              <w:szCs w:val="17"/>
            </w:rPr>
          </w:pPr>
          <w:r w:rsidRPr="00D64B78">
            <w:rPr>
              <w:b/>
              <w:sz w:val="17"/>
              <w:szCs w:val="17"/>
            </w:rPr>
            <w:t>DP/DCP/</w:t>
          </w:r>
          <w:r>
            <w:rPr>
              <w:b/>
              <w:sz w:val="17"/>
              <w:szCs w:val="17"/>
            </w:rPr>
            <w:t>ALB</w:t>
          </w:r>
          <w:r w:rsidRPr="00D64B78">
            <w:rPr>
              <w:b/>
              <w:sz w:val="17"/>
              <w:szCs w:val="17"/>
            </w:rPr>
            <w:t>/</w:t>
          </w:r>
          <w:r>
            <w:rPr>
              <w:b/>
              <w:sz w:val="17"/>
              <w:szCs w:val="17"/>
            </w:rPr>
            <w:t>2</w:t>
          </w:r>
        </w:p>
      </w:tc>
    </w:tr>
  </w:tbl>
  <w:p w14:paraId="2440D553" w14:textId="77777777" w:rsidR="0080471D" w:rsidRPr="00916E69" w:rsidRDefault="0080471D">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0471D" w:rsidRPr="006A7669" w14:paraId="050B75CF" w14:textId="77777777" w:rsidTr="00F477D6">
      <w:trPr>
        <w:trHeight w:hRule="exact" w:val="864"/>
      </w:trPr>
      <w:tc>
        <w:tcPr>
          <w:tcW w:w="1267" w:type="dxa"/>
          <w:tcBorders>
            <w:bottom w:val="single" w:sz="4" w:space="0" w:color="auto"/>
          </w:tcBorders>
          <w:shd w:val="clear" w:color="auto" w:fill="auto"/>
          <w:vAlign w:val="bottom"/>
        </w:tcPr>
        <w:p w14:paraId="18897AFB" w14:textId="77777777" w:rsidR="0080471D" w:rsidRPr="006A7669" w:rsidRDefault="0080471D" w:rsidP="00F477D6">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6D3FB04B" w14:textId="77777777" w:rsidR="0080471D" w:rsidRPr="006A7669" w:rsidRDefault="0080471D" w:rsidP="00F47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A7669">
            <w:rPr>
              <w:spacing w:val="2"/>
              <w:w w:val="96"/>
              <w:kern w:val="14"/>
              <w:sz w:val="28"/>
              <w:lang w:val="en-GB"/>
            </w:rPr>
            <w:t>United Nations</w:t>
          </w:r>
        </w:p>
      </w:tc>
      <w:tc>
        <w:tcPr>
          <w:tcW w:w="245" w:type="dxa"/>
          <w:tcBorders>
            <w:bottom w:val="single" w:sz="4" w:space="0" w:color="auto"/>
          </w:tcBorders>
          <w:shd w:val="clear" w:color="auto" w:fill="auto"/>
          <w:vAlign w:val="bottom"/>
        </w:tcPr>
        <w:p w14:paraId="3F5B2788" w14:textId="77777777" w:rsidR="0080471D" w:rsidRPr="006A7669" w:rsidRDefault="0080471D" w:rsidP="00F477D6">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70850AB" w14:textId="3A3ABCC4" w:rsidR="0080471D" w:rsidRPr="006A7669" w:rsidRDefault="0080471D" w:rsidP="00F477D6">
          <w:pPr>
            <w:suppressAutoHyphens/>
            <w:spacing w:after="80"/>
            <w:jc w:val="right"/>
            <w:rPr>
              <w:spacing w:val="4"/>
              <w:w w:val="103"/>
              <w:kern w:val="14"/>
              <w:position w:val="-4"/>
              <w:lang w:val="en-GB"/>
            </w:rPr>
          </w:pPr>
          <w:r w:rsidRPr="006A7669">
            <w:rPr>
              <w:spacing w:val="4"/>
              <w:w w:val="103"/>
              <w:kern w:val="14"/>
              <w:position w:val="-4"/>
              <w:sz w:val="40"/>
              <w:lang w:val="en-GB"/>
            </w:rPr>
            <w:t>DP</w:t>
          </w:r>
          <w:r w:rsidRPr="006A7669">
            <w:rPr>
              <w:spacing w:val="4"/>
              <w:w w:val="103"/>
              <w:kern w:val="14"/>
              <w:position w:val="-4"/>
              <w:lang w:val="en-GB"/>
            </w:rPr>
            <w:t>/DCP/</w:t>
          </w:r>
          <w:r>
            <w:rPr>
              <w:spacing w:val="4"/>
              <w:w w:val="103"/>
              <w:kern w:val="14"/>
              <w:position w:val="-4"/>
              <w:lang w:val="en-GB"/>
            </w:rPr>
            <w:t>ALB</w:t>
          </w:r>
          <w:r w:rsidRPr="006A7669">
            <w:rPr>
              <w:spacing w:val="4"/>
              <w:w w:val="103"/>
              <w:kern w:val="14"/>
              <w:position w:val="-4"/>
              <w:lang w:val="en-GB"/>
            </w:rPr>
            <w:t>/</w:t>
          </w:r>
          <w:r>
            <w:rPr>
              <w:spacing w:val="4"/>
              <w:w w:val="103"/>
              <w:kern w:val="14"/>
              <w:position w:val="-4"/>
              <w:lang w:val="en-GB"/>
            </w:rPr>
            <w:t>2</w:t>
          </w:r>
        </w:p>
      </w:tc>
    </w:tr>
    <w:tr w:rsidR="0080471D" w:rsidRPr="006A7669" w14:paraId="3900D382" w14:textId="77777777" w:rsidTr="00F477D6">
      <w:trPr>
        <w:gridAfter w:val="1"/>
        <w:wAfter w:w="28" w:type="dxa"/>
        <w:trHeight w:hRule="exact" w:val="2880"/>
      </w:trPr>
      <w:tc>
        <w:tcPr>
          <w:tcW w:w="1267" w:type="dxa"/>
          <w:tcBorders>
            <w:top w:val="single" w:sz="4" w:space="0" w:color="auto"/>
            <w:bottom w:val="single" w:sz="12" w:space="0" w:color="auto"/>
          </w:tcBorders>
          <w:shd w:val="clear" w:color="auto" w:fill="auto"/>
        </w:tcPr>
        <w:p w14:paraId="23B336D4" w14:textId="77777777" w:rsidR="0080471D" w:rsidRPr="006A7669" w:rsidRDefault="0080471D" w:rsidP="00F477D6">
          <w:pPr>
            <w:tabs>
              <w:tab w:val="center" w:pos="4320"/>
              <w:tab w:val="right" w:pos="8640"/>
            </w:tabs>
            <w:spacing w:before="109"/>
            <w:rPr>
              <w:noProof/>
              <w:sz w:val="17"/>
            </w:rPr>
          </w:pPr>
          <w:r w:rsidRPr="006A7669">
            <w:rPr>
              <w:noProof/>
              <w:sz w:val="17"/>
            </w:rPr>
            <w:t xml:space="preserve"> </w:t>
          </w:r>
          <w:r w:rsidRPr="006A7669">
            <w:rPr>
              <w:noProof/>
              <w:sz w:val="17"/>
            </w:rPr>
            <w:drawing>
              <wp:inline distT="0" distB="0" distL="0" distR="0" wp14:anchorId="6FBEE822" wp14:editId="09DC4C40">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D4B386F" w14:textId="77777777" w:rsidR="0080471D" w:rsidRPr="006A7669" w:rsidRDefault="0080471D" w:rsidP="00F477D6">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9C0D6DD" w14:textId="77777777" w:rsidR="0080471D" w:rsidRDefault="0080471D" w:rsidP="00F47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A7669">
            <w:rPr>
              <w:b/>
              <w:sz w:val="34"/>
            </w:rPr>
            <w:t>Executive Board of the</w:t>
          </w:r>
          <w:r w:rsidRPr="006A7669">
            <w:rPr>
              <w:b/>
              <w:sz w:val="34"/>
            </w:rPr>
            <w:br/>
            <w:t>United Nations Development</w:t>
          </w:r>
          <w:r w:rsidRPr="006A7669">
            <w:rPr>
              <w:b/>
              <w:sz w:val="34"/>
            </w:rPr>
            <w:br/>
            <w:t xml:space="preserve">Programme, the United Nations Population Fund and the </w:t>
          </w:r>
        </w:p>
        <w:p w14:paraId="35FF9C46" w14:textId="77777777" w:rsidR="0080471D" w:rsidRDefault="0080471D" w:rsidP="00F47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A7669">
            <w:rPr>
              <w:b/>
              <w:sz w:val="34"/>
            </w:rPr>
            <w:t xml:space="preserve">United Nations Office for </w:t>
          </w:r>
        </w:p>
        <w:p w14:paraId="2A1B07EA" w14:textId="77777777" w:rsidR="0080471D" w:rsidRPr="006A7669" w:rsidRDefault="0080471D" w:rsidP="00F47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6A7669">
            <w:rPr>
              <w:b/>
              <w:sz w:val="34"/>
            </w:rPr>
            <w:t>Project Services</w:t>
          </w:r>
        </w:p>
      </w:tc>
      <w:tc>
        <w:tcPr>
          <w:tcW w:w="245" w:type="dxa"/>
          <w:tcBorders>
            <w:top w:val="single" w:sz="4" w:space="0" w:color="auto"/>
            <w:bottom w:val="single" w:sz="12" w:space="0" w:color="auto"/>
          </w:tcBorders>
          <w:shd w:val="clear" w:color="auto" w:fill="auto"/>
        </w:tcPr>
        <w:p w14:paraId="6A0B77B8" w14:textId="77777777" w:rsidR="0080471D" w:rsidRPr="006A7669" w:rsidRDefault="0080471D" w:rsidP="00F477D6">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4FCB445" w14:textId="77777777" w:rsidR="0080471D" w:rsidRPr="006A7669" w:rsidRDefault="0080471D" w:rsidP="00F477D6">
          <w:pPr>
            <w:suppressAutoHyphens/>
            <w:spacing w:before="240" w:line="240" w:lineRule="exact"/>
            <w:rPr>
              <w:spacing w:val="4"/>
              <w:w w:val="103"/>
              <w:kern w:val="14"/>
              <w:lang w:val="en-GB"/>
            </w:rPr>
          </w:pPr>
          <w:r w:rsidRPr="006A7669">
            <w:rPr>
              <w:spacing w:val="4"/>
              <w:w w:val="103"/>
              <w:kern w:val="14"/>
              <w:lang w:val="en-GB"/>
            </w:rPr>
            <w:t>Distr.: General</w:t>
          </w:r>
        </w:p>
        <w:p w14:paraId="7D9CA084" w14:textId="069114D3" w:rsidR="0080471D" w:rsidRPr="006A7669" w:rsidRDefault="0080471D" w:rsidP="00F477D6">
          <w:pPr>
            <w:suppressAutoHyphens/>
            <w:spacing w:line="240" w:lineRule="exact"/>
            <w:rPr>
              <w:spacing w:val="4"/>
              <w:w w:val="103"/>
              <w:kern w:val="14"/>
              <w:lang w:val="en-GB"/>
            </w:rPr>
          </w:pPr>
          <w:r>
            <w:rPr>
              <w:spacing w:val="4"/>
              <w:w w:val="103"/>
              <w:kern w:val="14"/>
              <w:lang w:val="en-GB"/>
            </w:rPr>
            <w:t>13</w:t>
          </w:r>
          <w:r w:rsidRPr="006A7669">
            <w:rPr>
              <w:spacing w:val="4"/>
              <w:w w:val="103"/>
              <w:kern w:val="14"/>
              <w:lang w:val="en-GB"/>
            </w:rPr>
            <w:t xml:space="preserve"> </w:t>
          </w:r>
          <w:r>
            <w:rPr>
              <w:spacing w:val="4"/>
              <w:w w:val="103"/>
              <w:kern w:val="14"/>
              <w:lang w:val="en-GB"/>
            </w:rPr>
            <w:t>June 2016</w:t>
          </w:r>
        </w:p>
        <w:p w14:paraId="7CC6E5E7" w14:textId="77777777" w:rsidR="0080471D" w:rsidRPr="006A7669" w:rsidRDefault="0080471D" w:rsidP="00F477D6">
          <w:pPr>
            <w:suppressAutoHyphens/>
            <w:spacing w:line="240" w:lineRule="exact"/>
            <w:rPr>
              <w:spacing w:val="4"/>
              <w:w w:val="103"/>
              <w:kern w:val="14"/>
              <w:lang w:val="en-GB"/>
            </w:rPr>
          </w:pPr>
        </w:p>
        <w:p w14:paraId="756EDC28" w14:textId="77777777" w:rsidR="0080471D" w:rsidRPr="006A7669" w:rsidRDefault="0080471D" w:rsidP="00F477D6">
          <w:pPr>
            <w:suppressAutoHyphens/>
            <w:spacing w:line="240" w:lineRule="exact"/>
            <w:rPr>
              <w:spacing w:val="4"/>
              <w:w w:val="103"/>
              <w:kern w:val="14"/>
              <w:lang w:val="en-GB"/>
            </w:rPr>
          </w:pPr>
          <w:r w:rsidRPr="006A7669">
            <w:rPr>
              <w:spacing w:val="4"/>
              <w:w w:val="103"/>
              <w:kern w:val="14"/>
              <w:lang w:val="en-GB"/>
            </w:rPr>
            <w:t>Original: English</w:t>
          </w:r>
        </w:p>
      </w:tc>
    </w:tr>
  </w:tbl>
  <w:p w14:paraId="2440D565" w14:textId="77777777" w:rsidR="0080471D" w:rsidRPr="00F477D6" w:rsidRDefault="0080471D">
    <w:pPr>
      <w:pStyle w:val="Header"/>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0471D" w:rsidRPr="00D64B78" w14:paraId="548687D7" w14:textId="77777777" w:rsidTr="00D81E8F">
      <w:trPr>
        <w:trHeight w:hRule="exact" w:val="864"/>
      </w:trPr>
      <w:tc>
        <w:tcPr>
          <w:tcW w:w="4838" w:type="dxa"/>
          <w:tcBorders>
            <w:bottom w:val="single" w:sz="4" w:space="0" w:color="auto"/>
          </w:tcBorders>
          <w:vAlign w:val="bottom"/>
        </w:tcPr>
        <w:p w14:paraId="03571783" w14:textId="77777777" w:rsidR="0080471D" w:rsidRPr="00D64B78" w:rsidRDefault="0080471D" w:rsidP="00D81E8F">
          <w:pPr>
            <w:widowControl w:val="0"/>
            <w:tabs>
              <w:tab w:val="center" w:pos="4320"/>
              <w:tab w:val="right" w:pos="8640"/>
            </w:tabs>
            <w:spacing w:after="80"/>
            <w:rPr>
              <w:b/>
              <w:sz w:val="17"/>
              <w:szCs w:val="17"/>
            </w:rPr>
          </w:pPr>
          <w:r w:rsidRPr="00D64B78">
            <w:rPr>
              <w:b/>
              <w:sz w:val="17"/>
              <w:szCs w:val="17"/>
            </w:rPr>
            <w:t>DP/DCP/</w:t>
          </w:r>
          <w:r>
            <w:rPr>
              <w:b/>
              <w:sz w:val="17"/>
              <w:szCs w:val="17"/>
            </w:rPr>
            <w:t>SSD</w:t>
          </w:r>
          <w:r w:rsidRPr="00D64B78">
            <w:rPr>
              <w:b/>
              <w:sz w:val="17"/>
              <w:szCs w:val="17"/>
            </w:rPr>
            <w:t>/2</w:t>
          </w:r>
        </w:p>
      </w:tc>
      <w:tc>
        <w:tcPr>
          <w:tcW w:w="5047" w:type="dxa"/>
          <w:tcBorders>
            <w:bottom w:val="single" w:sz="4" w:space="0" w:color="auto"/>
          </w:tcBorders>
          <w:vAlign w:val="bottom"/>
        </w:tcPr>
        <w:p w14:paraId="3F2DA101" w14:textId="77777777" w:rsidR="0080471D" w:rsidRPr="00D64B78" w:rsidRDefault="0080471D" w:rsidP="00D81E8F">
          <w:pPr>
            <w:widowControl w:val="0"/>
            <w:tabs>
              <w:tab w:val="center" w:pos="4320"/>
              <w:tab w:val="right" w:pos="8640"/>
            </w:tabs>
            <w:rPr>
              <w:sz w:val="17"/>
              <w:szCs w:val="17"/>
            </w:rPr>
          </w:pPr>
        </w:p>
      </w:tc>
    </w:tr>
  </w:tbl>
  <w:p w14:paraId="48163333" w14:textId="77777777" w:rsidR="0080471D" w:rsidRPr="00944DE8" w:rsidRDefault="0080471D">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70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0471D" w:rsidRPr="00D64B78" w14:paraId="57E12ADC" w14:textId="77777777" w:rsidTr="00543E8E">
      <w:trPr>
        <w:trHeight w:hRule="exact" w:val="864"/>
      </w:trPr>
      <w:tc>
        <w:tcPr>
          <w:tcW w:w="4838" w:type="dxa"/>
          <w:tcBorders>
            <w:bottom w:val="single" w:sz="4" w:space="0" w:color="auto"/>
          </w:tcBorders>
          <w:vAlign w:val="bottom"/>
        </w:tcPr>
        <w:p w14:paraId="04CECA6A" w14:textId="77777777" w:rsidR="0080471D" w:rsidRPr="00D64B78" w:rsidRDefault="0080471D" w:rsidP="00D81E8F">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0C37E88D" w14:textId="349C2861" w:rsidR="0080471D" w:rsidRPr="00D64B78" w:rsidRDefault="0080471D" w:rsidP="00543E8E">
          <w:pPr>
            <w:widowControl w:val="0"/>
            <w:tabs>
              <w:tab w:val="center" w:pos="4320"/>
              <w:tab w:val="right" w:pos="8640"/>
            </w:tabs>
            <w:jc w:val="right"/>
            <w:rPr>
              <w:sz w:val="17"/>
              <w:szCs w:val="17"/>
            </w:rPr>
          </w:pPr>
          <w:r w:rsidRPr="00D64B78">
            <w:rPr>
              <w:b/>
              <w:sz w:val="17"/>
              <w:szCs w:val="17"/>
            </w:rPr>
            <w:t>DP/DCP/</w:t>
          </w:r>
          <w:r>
            <w:rPr>
              <w:b/>
              <w:sz w:val="17"/>
              <w:szCs w:val="17"/>
            </w:rPr>
            <w:t>ALB</w:t>
          </w:r>
          <w:r w:rsidRPr="00D64B78">
            <w:rPr>
              <w:b/>
              <w:sz w:val="17"/>
              <w:szCs w:val="17"/>
            </w:rPr>
            <w:t>/</w:t>
          </w:r>
          <w:r>
            <w:rPr>
              <w:b/>
              <w:sz w:val="17"/>
              <w:szCs w:val="17"/>
            </w:rPr>
            <w:t>2</w:t>
          </w:r>
        </w:p>
      </w:tc>
    </w:tr>
  </w:tbl>
  <w:p w14:paraId="74361841" w14:textId="77777777" w:rsidR="0080471D" w:rsidRDefault="008047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0471D" w:rsidRPr="006A7669" w14:paraId="5D1E26C8" w14:textId="77777777" w:rsidTr="00D81E8F">
      <w:trPr>
        <w:trHeight w:hRule="exact" w:val="864"/>
      </w:trPr>
      <w:tc>
        <w:tcPr>
          <w:tcW w:w="1267" w:type="dxa"/>
          <w:tcBorders>
            <w:bottom w:val="single" w:sz="4" w:space="0" w:color="auto"/>
          </w:tcBorders>
          <w:shd w:val="clear" w:color="auto" w:fill="auto"/>
          <w:vAlign w:val="bottom"/>
        </w:tcPr>
        <w:p w14:paraId="03971E4C" w14:textId="77777777" w:rsidR="0080471D" w:rsidRPr="006A7669" w:rsidRDefault="0080471D" w:rsidP="00D81E8F">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5772069A" w14:textId="77777777" w:rsidR="0080471D" w:rsidRPr="006A7669" w:rsidRDefault="0080471D" w:rsidP="00D81E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A7669">
            <w:rPr>
              <w:spacing w:val="2"/>
              <w:w w:val="96"/>
              <w:kern w:val="14"/>
              <w:sz w:val="28"/>
              <w:lang w:val="en-GB"/>
            </w:rPr>
            <w:t>United Nations</w:t>
          </w:r>
        </w:p>
      </w:tc>
      <w:tc>
        <w:tcPr>
          <w:tcW w:w="245" w:type="dxa"/>
          <w:tcBorders>
            <w:bottom w:val="single" w:sz="4" w:space="0" w:color="auto"/>
          </w:tcBorders>
          <w:shd w:val="clear" w:color="auto" w:fill="auto"/>
          <w:vAlign w:val="bottom"/>
        </w:tcPr>
        <w:p w14:paraId="4C74163D" w14:textId="77777777" w:rsidR="0080471D" w:rsidRPr="006A7669" w:rsidRDefault="0080471D" w:rsidP="00D81E8F">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1C860944" w14:textId="77777777" w:rsidR="0080471D" w:rsidRPr="006A7669" w:rsidRDefault="0080471D" w:rsidP="00D81E8F">
          <w:pPr>
            <w:suppressAutoHyphens/>
            <w:spacing w:after="80"/>
            <w:jc w:val="right"/>
            <w:rPr>
              <w:spacing w:val="4"/>
              <w:w w:val="103"/>
              <w:kern w:val="14"/>
              <w:position w:val="-4"/>
              <w:lang w:val="en-GB"/>
            </w:rPr>
          </w:pPr>
          <w:r w:rsidRPr="006A7669">
            <w:rPr>
              <w:spacing w:val="4"/>
              <w:w w:val="103"/>
              <w:kern w:val="14"/>
              <w:position w:val="-4"/>
              <w:sz w:val="40"/>
              <w:lang w:val="en-GB"/>
            </w:rPr>
            <w:t>DP</w:t>
          </w:r>
          <w:r w:rsidRPr="006A7669">
            <w:rPr>
              <w:spacing w:val="4"/>
              <w:w w:val="103"/>
              <w:kern w:val="14"/>
              <w:position w:val="-4"/>
              <w:lang w:val="en-GB"/>
            </w:rPr>
            <w:t>/DCP/</w:t>
          </w:r>
          <w:r>
            <w:rPr>
              <w:spacing w:val="4"/>
              <w:w w:val="103"/>
              <w:kern w:val="14"/>
              <w:position w:val="-4"/>
              <w:lang w:val="en-GB"/>
            </w:rPr>
            <w:t>MOZ</w:t>
          </w:r>
          <w:r w:rsidRPr="006A7669">
            <w:rPr>
              <w:spacing w:val="4"/>
              <w:w w:val="103"/>
              <w:kern w:val="14"/>
              <w:position w:val="-4"/>
              <w:lang w:val="en-GB"/>
            </w:rPr>
            <w:t>/</w:t>
          </w:r>
          <w:r>
            <w:rPr>
              <w:spacing w:val="4"/>
              <w:w w:val="103"/>
              <w:kern w:val="14"/>
              <w:position w:val="-4"/>
              <w:lang w:val="en-GB"/>
            </w:rPr>
            <w:t>3</w:t>
          </w:r>
        </w:p>
      </w:tc>
    </w:tr>
    <w:tr w:rsidR="0080471D" w:rsidRPr="006A7669" w14:paraId="23092E82" w14:textId="77777777" w:rsidTr="00D81E8F">
      <w:trPr>
        <w:gridAfter w:val="1"/>
        <w:wAfter w:w="28" w:type="dxa"/>
        <w:trHeight w:hRule="exact" w:val="2880"/>
      </w:trPr>
      <w:tc>
        <w:tcPr>
          <w:tcW w:w="1267" w:type="dxa"/>
          <w:tcBorders>
            <w:top w:val="single" w:sz="4" w:space="0" w:color="auto"/>
            <w:bottom w:val="single" w:sz="12" w:space="0" w:color="auto"/>
          </w:tcBorders>
          <w:shd w:val="clear" w:color="auto" w:fill="auto"/>
        </w:tcPr>
        <w:p w14:paraId="68C29F85" w14:textId="77777777" w:rsidR="0080471D" w:rsidRPr="006A7669" w:rsidRDefault="0080471D" w:rsidP="00D81E8F">
          <w:pPr>
            <w:tabs>
              <w:tab w:val="center" w:pos="4320"/>
              <w:tab w:val="right" w:pos="8640"/>
            </w:tabs>
            <w:spacing w:before="109"/>
            <w:rPr>
              <w:noProof/>
              <w:sz w:val="17"/>
            </w:rPr>
          </w:pPr>
          <w:r w:rsidRPr="006A7669">
            <w:rPr>
              <w:noProof/>
              <w:sz w:val="17"/>
            </w:rPr>
            <w:t xml:space="preserve"> </w:t>
          </w:r>
          <w:r w:rsidRPr="006A7669">
            <w:rPr>
              <w:noProof/>
              <w:sz w:val="17"/>
            </w:rPr>
            <w:drawing>
              <wp:inline distT="0" distB="0" distL="0" distR="0" wp14:anchorId="60277D7D" wp14:editId="660620F0">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D6E9B7E" w14:textId="77777777" w:rsidR="0080471D" w:rsidRPr="006A7669" w:rsidRDefault="0080471D" w:rsidP="00D81E8F">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674FF302" w14:textId="77777777" w:rsidR="0080471D" w:rsidRDefault="0080471D" w:rsidP="00D81E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A7669">
            <w:rPr>
              <w:b/>
              <w:sz w:val="34"/>
            </w:rPr>
            <w:t>Executive Board of the</w:t>
          </w:r>
          <w:r w:rsidRPr="006A7669">
            <w:rPr>
              <w:b/>
              <w:sz w:val="34"/>
            </w:rPr>
            <w:br/>
            <w:t>United Nations Development</w:t>
          </w:r>
          <w:r w:rsidRPr="006A7669">
            <w:rPr>
              <w:b/>
              <w:sz w:val="34"/>
            </w:rPr>
            <w:br/>
            <w:t xml:space="preserve">Programme, the United Nations Population Fund and the </w:t>
          </w:r>
        </w:p>
        <w:p w14:paraId="012A8373" w14:textId="77777777" w:rsidR="0080471D" w:rsidRDefault="0080471D" w:rsidP="00D81E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A7669">
            <w:rPr>
              <w:b/>
              <w:sz w:val="34"/>
            </w:rPr>
            <w:t xml:space="preserve">United Nations Office for </w:t>
          </w:r>
        </w:p>
        <w:p w14:paraId="57017F95" w14:textId="77777777" w:rsidR="0080471D" w:rsidRPr="006A7669" w:rsidRDefault="0080471D" w:rsidP="00D81E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6A7669">
            <w:rPr>
              <w:b/>
              <w:sz w:val="34"/>
            </w:rPr>
            <w:t>Project Services</w:t>
          </w:r>
        </w:p>
      </w:tc>
      <w:tc>
        <w:tcPr>
          <w:tcW w:w="245" w:type="dxa"/>
          <w:tcBorders>
            <w:top w:val="single" w:sz="4" w:space="0" w:color="auto"/>
            <w:bottom w:val="single" w:sz="12" w:space="0" w:color="auto"/>
          </w:tcBorders>
          <w:shd w:val="clear" w:color="auto" w:fill="auto"/>
        </w:tcPr>
        <w:p w14:paraId="6F8868CB" w14:textId="77777777" w:rsidR="0080471D" w:rsidRPr="006A7669" w:rsidRDefault="0080471D" w:rsidP="00D81E8F">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F292E1A" w14:textId="77777777" w:rsidR="0080471D" w:rsidRPr="006A7669" w:rsidRDefault="0080471D" w:rsidP="00D81E8F">
          <w:pPr>
            <w:suppressAutoHyphens/>
            <w:spacing w:before="240" w:line="240" w:lineRule="exact"/>
            <w:rPr>
              <w:spacing w:val="4"/>
              <w:w w:val="103"/>
              <w:kern w:val="14"/>
              <w:lang w:val="en-GB"/>
            </w:rPr>
          </w:pPr>
          <w:r w:rsidRPr="006A7669">
            <w:rPr>
              <w:spacing w:val="4"/>
              <w:w w:val="103"/>
              <w:kern w:val="14"/>
              <w:lang w:val="en-GB"/>
            </w:rPr>
            <w:t>Distr.: General</w:t>
          </w:r>
        </w:p>
        <w:p w14:paraId="49DA8D1C" w14:textId="77777777" w:rsidR="0080471D" w:rsidRPr="006A7669" w:rsidRDefault="0080471D" w:rsidP="00D81E8F">
          <w:pPr>
            <w:suppressAutoHyphens/>
            <w:spacing w:line="240" w:lineRule="exact"/>
            <w:rPr>
              <w:spacing w:val="4"/>
              <w:w w:val="103"/>
              <w:kern w:val="14"/>
              <w:lang w:val="en-GB"/>
            </w:rPr>
          </w:pPr>
          <w:r>
            <w:rPr>
              <w:spacing w:val="4"/>
              <w:w w:val="103"/>
              <w:kern w:val="14"/>
              <w:lang w:val="en-GB"/>
            </w:rPr>
            <w:t>13</w:t>
          </w:r>
          <w:r w:rsidRPr="006A7669">
            <w:rPr>
              <w:spacing w:val="4"/>
              <w:w w:val="103"/>
              <w:kern w:val="14"/>
              <w:lang w:val="en-GB"/>
            </w:rPr>
            <w:t xml:space="preserve"> </w:t>
          </w:r>
          <w:r>
            <w:rPr>
              <w:spacing w:val="4"/>
              <w:w w:val="103"/>
              <w:kern w:val="14"/>
              <w:lang w:val="en-GB"/>
            </w:rPr>
            <w:t>June 2016</w:t>
          </w:r>
        </w:p>
        <w:p w14:paraId="60645A10" w14:textId="77777777" w:rsidR="0080471D" w:rsidRPr="006A7669" w:rsidRDefault="0080471D" w:rsidP="00D81E8F">
          <w:pPr>
            <w:suppressAutoHyphens/>
            <w:spacing w:line="240" w:lineRule="exact"/>
            <w:rPr>
              <w:spacing w:val="4"/>
              <w:w w:val="103"/>
              <w:kern w:val="14"/>
              <w:lang w:val="en-GB"/>
            </w:rPr>
          </w:pPr>
        </w:p>
        <w:p w14:paraId="04E0116D" w14:textId="77777777" w:rsidR="0080471D" w:rsidRPr="006A7669" w:rsidRDefault="0080471D" w:rsidP="00D81E8F">
          <w:pPr>
            <w:suppressAutoHyphens/>
            <w:spacing w:line="240" w:lineRule="exact"/>
            <w:rPr>
              <w:spacing w:val="4"/>
              <w:w w:val="103"/>
              <w:kern w:val="14"/>
              <w:lang w:val="en-GB"/>
            </w:rPr>
          </w:pPr>
          <w:r w:rsidRPr="006A7669">
            <w:rPr>
              <w:spacing w:val="4"/>
              <w:w w:val="103"/>
              <w:kern w:val="14"/>
              <w:lang w:val="en-GB"/>
            </w:rPr>
            <w:t>Original: English</w:t>
          </w:r>
        </w:p>
      </w:tc>
    </w:tr>
  </w:tbl>
  <w:p w14:paraId="3249F5A3" w14:textId="77777777" w:rsidR="0080471D" w:rsidRPr="00ED7FBC" w:rsidRDefault="0080471D">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69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0471D" w:rsidRPr="00407FEE" w14:paraId="6ED26CAC" w14:textId="77777777" w:rsidTr="00543E8E">
      <w:trPr>
        <w:trHeight w:hRule="exact" w:val="864"/>
      </w:trPr>
      <w:tc>
        <w:tcPr>
          <w:tcW w:w="4838" w:type="dxa"/>
          <w:shd w:val="clear" w:color="auto" w:fill="auto"/>
          <w:vAlign w:val="bottom"/>
        </w:tcPr>
        <w:p w14:paraId="6A138733" w14:textId="36CD5559" w:rsidR="0080471D" w:rsidRPr="00407FEE" w:rsidRDefault="0080471D" w:rsidP="00F477D6">
          <w:pPr>
            <w:tabs>
              <w:tab w:val="center" w:pos="4320"/>
              <w:tab w:val="right" w:pos="8640"/>
            </w:tabs>
            <w:spacing w:after="80"/>
            <w:rPr>
              <w:b/>
              <w:noProof/>
              <w:sz w:val="17"/>
            </w:rPr>
          </w:pPr>
          <w:r w:rsidRPr="00407FEE">
            <w:rPr>
              <w:b/>
              <w:noProof/>
              <w:sz w:val="17"/>
            </w:rPr>
            <w:t>D</w:t>
          </w:r>
          <w:r>
            <w:rPr>
              <w:b/>
              <w:noProof/>
              <w:sz w:val="17"/>
            </w:rPr>
            <w:t>P/DCP/ALB/2</w:t>
          </w:r>
        </w:p>
      </w:tc>
      <w:tc>
        <w:tcPr>
          <w:tcW w:w="5033" w:type="dxa"/>
          <w:shd w:val="clear" w:color="auto" w:fill="auto"/>
          <w:vAlign w:val="bottom"/>
        </w:tcPr>
        <w:p w14:paraId="0A36AE89" w14:textId="77777777" w:rsidR="0080471D" w:rsidRPr="00407FEE" w:rsidRDefault="0080471D" w:rsidP="00F477D6">
          <w:pPr>
            <w:tabs>
              <w:tab w:val="center" w:pos="4320"/>
              <w:tab w:val="right" w:pos="8640"/>
            </w:tabs>
            <w:jc w:val="right"/>
            <w:rPr>
              <w:noProof/>
              <w:sz w:val="17"/>
            </w:rPr>
          </w:pPr>
        </w:p>
      </w:tc>
    </w:tr>
  </w:tbl>
  <w:p w14:paraId="2440D56A" w14:textId="5BC6846D" w:rsidR="0080471D" w:rsidRDefault="0080471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24"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486"/>
    </w:tblGrid>
    <w:tr w:rsidR="0080471D" w:rsidRPr="00407FEE" w14:paraId="0CC7CA81" w14:textId="77777777" w:rsidTr="008B1FAE">
      <w:trPr>
        <w:trHeight w:hRule="exact" w:val="864"/>
      </w:trPr>
      <w:tc>
        <w:tcPr>
          <w:tcW w:w="4838" w:type="dxa"/>
          <w:shd w:val="clear" w:color="auto" w:fill="auto"/>
          <w:vAlign w:val="bottom"/>
        </w:tcPr>
        <w:p w14:paraId="5578149D" w14:textId="77777777" w:rsidR="0080471D" w:rsidRPr="00407FEE" w:rsidRDefault="0080471D" w:rsidP="00F477D6">
          <w:pPr>
            <w:tabs>
              <w:tab w:val="center" w:pos="4320"/>
              <w:tab w:val="right" w:pos="8640"/>
            </w:tabs>
            <w:spacing w:after="80"/>
            <w:rPr>
              <w:b/>
              <w:noProof/>
              <w:sz w:val="17"/>
            </w:rPr>
          </w:pPr>
          <w:r w:rsidRPr="00407FEE">
            <w:rPr>
              <w:b/>
              <w:noProof/>
              <w:sz w:val="17"/>
            </w:rPr>
            <w:t>D</w:t>
          </w:r>
          <w:r>
            <w:rPr>
              <w:b/>
              <w:noProof/>
              <w:sz w:val="17"/>
            </w:rPr>
            <w:t>P/DCP/ALB/2</w:t>
          </w:r>
        </w:p>
      </w:tc>
      <w:tc>
        <w:tcPr>
          <w:tcW w:w="8486" w:type="dxa"/>
          <w:shd w:val="clear" w:color="auto" w:fill="auto"/>
          <w:vAlign w:val="bottom"/>
        </w:tcPr>
        <w:p w14:paraId="7ABBAC24" w14:textId="77777777" w:rsidR="0080471D" w:rsidRPr="00407FEE" w:rsidRDefault="0080471D" w:rsidP="008B1FAE">
          <w:pPr>
            <w:tabs>
              <w:tab w:val="center" w:pos="4320"/>
              <w:tab w:val="left" w:pos="7038"/>
              <w:tab w:val="right" w:pos="8640"/>
            </w:tabs>
            <w:ind w:right="-299"/>
            <w:jc w:val="right"/>
            <w:rPr>
              <w:noProof/>
              <w:sz w:val="17"/>
            </w:rPr>
          </w:pPr>
        </w:p>
      </w:tc>
    </w:tr>
  </w:tbl>
  <w:p w14:paraId="67B08037" w14:textId="77777777" w:rsidR="0080471D" w:rsidRDefault="0080471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80471D" w:rsidRPr="00D64B78" w14:paraId="44C3002A" w14:textId="77777777" w:rsidTr="008B1FAE">
      <w:trPr>
        <w:trHeight w:hRule="exact" w:val="864"/>
      </w:trPr>
      <w:tc>
        <w:tcPr>
          <w:tcW w:w="4838" w:type="dxa"/>
          <w:tcBorders>
            <w:bottom w:val="single" w:sz="4" w:space="0" w:color="auto"/>
          </w:tcBorders>
          <w:vAlign w:val="bottom"/>
        </w:tcPr>
        <w:p w14:paraId="2CC800CE" w14:textId="77777777" w:rsidR="0080471D" w:rsidRPr="00D64B78" w:rsidRDefault="0080471D" w:rsidP="00D81E8F">
          <w:pPr>
            <w:widowControl w:val="0"/>
            <w:tabs>
              <w:tab w:val="center" w:pos="4320"/>
              <w:tab w:val="right" w:pos="8640"/>
            </w:tabs>
            <w:spacing w:after="80"/>
            <w:rPr>
              <w:b/>
              <w:sz w:val="17"/>
              <w:szCs w:val="17"/>
            </w:rPr>
          </w:pPr>
        </w:p>
      </w:tc>
      <w:tc>
        <w:tcPr>
          <w:tcW w:w="8482" w:type="dxa"/>
          <w:tcBorders>
            <w:bottom w:val="single" w:sz="4" w:space="0" w:color="auto"/>
          </w:tcBorders>
          <w:vAlign w:val="bottom"/>
        </w:tcPr>
        <w:p w14:paraId="0FD3A08D" w14:textId="77777777" w:rsidR="0080471D" w:rsidRPr="00D64B78" w:rsidRDefault="0080471D" w:rsidP="00543E8E">
          <w:pPr>
            <w:widowControl w:val="0"/>
            <w:tabs>
              <w:tab w:val="center" w:pos="4320"/>
              <w:tab w:val="right" w:pos="8640"/>
            </w:tabs>
            <w:jc w:val="right"/>
            <w:rPr>
              <w:sz w:val="17"/>
              <w:szCs w:val="17"/>
            </w:rPr>
          </w:pPr>
          <w:r w:rsidRPr="00D64B78">
            <w:rPr>
              <w:b/>
              <w:sz w:val="17"/>
              <w:szCs w:val="17"/>
            </w:rPr>
            <w:t>DP/DCP/</w:t>
          </w:r>
          <w:r>
            <w:rPr>
              <w:b/>
              <w:sz w:val="17"/>
              <w:szCs w:val="17"/>
            </w:rPr>
            <w:t>ALB</w:t>
          </w:r>
          <w:r w:rsidRPr="00D64B78">
            <w:rPr>
              <w:b/>
              <w:sz w:val="17"/>
              <w:szCs w:val="17"/>
            </w:rPr>
            <w:t>/</w:t>
          </w:r>
          <w:r>
            <w:rPr>
              <w:b/>
              <w:sz w:val="17"/>
              <w:szCs w:val="17"/>
            </w:rPr>
            <w:t>2</w:t>
          </w:r>
        </w:p>
      </w:tc>
    </w:tr>
  </w:tbl>
  <w:p w14:paraId="07EA14EB" w14:textId="77777777" w:rsidR="0080471D" w:rsidRDefault="00804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5"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9"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4" w15:restartNumberingAfterBreak="0">
    <w:nsid w:val="3D9652BE"/>
    <w:multiLevelType w:val="multilevel"/>
    <w:tmpl w:val="F9EC7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6C6BC0"/>
    <w:multiLevelType w:val="hybridMultilevel"/>
    <w:tmpl w:val="4C9A1FEE"/>
    <w:lvl w:ilvl="0" w:tplc="4EFC6B66">
      <w:start w:val="1"/>
      <w:numFmt w:val="decimal"/>
      <w:lvlText w:val="%1."/>
      <w:lvlJc w:val="left"/>
      <w:pPr>
        <w:ind w:left="-28" w:hanging="360"/>
      </w:pPr>
      <w:rPr>
        <w:rFonts w:cs="Arial" w:hint="default"/>
        <w:b w:val="0"/>
      </w:rPr>
    </w:lvl>
    <w:lvl w:ilvl="1" w:tplc="04090019">
      <w:start w:val="1"/>
      <w:numFmt w:val="lowerLetter"/>
      <w:lvlText w:val="%2."/>
      <w:lvlJc w:val="left"/>
      <w:pPr>
        <w:ind w:left="692" w:hanging="360"/>
      </w:pPr>
    </w:lvl>
    <w:lvl w:ilvl="2" w:tplc="0409001B" w:tentative="1">
      <w:start w:val="1"/>
      <w:numFmt w:val="lowerRoman"/>
      <w:lvlText w:val="%3."/>
      <w:lvlJc w:val="right"/>
      <w:pPr>
        <w:ind w:left="1412" w:hanging="180"/>
      </w:pPr>
    </w:lvl>
    <w:lvl w:ilvl="3" w:tplc="0409000F" w:tentative="1">
      <w:start w:val="1"/>
      <w:numFmt w:val="decimal"/>
      <w:lvlText w:val="%4."/>
      <w:lvlJc w:val="left"/>
      <w:pPr>
        <w:ind w:left="2132" w:hanging="360"/>
      </w:pPr>
    </w:lvl>
    <w:lvl w:ilvl="4" w:tplc="04090019" w:tentative="1">
      <w:start w:val="1"/>
      <w:numFmt w:val="lowerLetter"/>
      <w:lvlText w:val="%5."/>
      <w:lvlJc w:val="left"/>
      <w:pPr>
        <w:ind w:left="2852" w:hanging="360"/>
      </w:pPr>
    </w:lvl>
    <w:lvl w:ilvl="5" w:tplc="0409001B" w:tentative="1">
      <w:start w:val="1"/>
      <w:numFmt w:val="lowerRoman"/>
      <w:lvlText w:val="%6."/>
      <w:lvlJc w:val="right"/>
      <w:pPr>
        <w:ind w:left="3572" w:hanging="180"/>
      </w:pPr>
    </w:lvl>
    <w:lvl w:ilvl="6" w:tplc="0409000F" w:tentative="1">
      <w:start w:val="1"/>
      <w:numFmt w:val="decimal"/>
      <w:lvlText w:val="%7."/>
      <w:lvlJc w:val="left"/>
      <w:pPr>
        <w:ind w:left="4292" w:hanging="360"/>
      </w:pPr>
    </w:lvl>
    <w:lvl w:ilvl="7" w:tplc="04090019" w:tentative="1">
      <w:start w:val="1"/>
      <w:numFmt w:val="lowerLetter"/>
      <w:lvlText w:val="%8."/>
      <w:lvlJc w:val="left"/>
      <w:pPr>
        <w:ind w:left="5012" w:hanging="360"/>
      </w:pPr>
    </w:lvl>
    <w:lvl w:ilvl="8" w:tplc="0409001B" w:tentative="1">
      <w:start w:val="1"/>
      <w:numFmt w:val="lowerRoman"/>
      <w:lvlText w:val="%9."/>
      <w:lvlJc w:val="right"/>
      <w:pPr>
        <w:ind w:left="5732" w:hanging="180"/>
      </w:pPr>
    </w:lvl>
  </w:abstractNum>
  <w:abstractNum w:abstractNumId="16"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3FF31E17"/>
    <w:multiLevelType w:val="hybridMultilevel"/>
    <w:tmpl w:val="6E8205CC"/>
    <w:lvl w:ilvl="0" w:tplc="AEAA51C6">
      <w:start w:val="1"/>
      <w:numFmt w:val="upperRoman"/>
      <w:lvlText w:val="%1."/>
      <w:lvlJc w:val="left"/>
      <w:pPr>
        <w:ind w:left="765" w:hanging="720"/>
      </w:pPr>
      <w:rPr>
        <w:rFonts w:hint="default"/>
        <w:color w:val="00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428B7E03"/>
    <w:multiLevelType w:val="multilevel"/>
    <w:tmpl w:val="85627498"/>
    <w:name w:val="TOC32"/>
    <w:lvl w:ilvl="0">
      <w:start w:val="4"/>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E1F33"/>
    <w:multiLevelType w:val="hybridMultilevel"/>
    <w:tmpl w:val="DF78B6E0"/>
    <w:lvl w:ilvl="0" w:tplc="8ADEC86E">
      <w:numFmt w:val="decimal"/>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9"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1"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2"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4"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5"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6" w15:restartNumberingAfterBreak="0">
    <w:nsid w:val="6FBB3BC1"/>
    <w:multiLevelType w:val="multilevel"/>
    <w:tmpl w:val="13306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6"/>
  </w:num>
  <w:num w:numId="2">
    <w:abstractNumId w:val="29"/>
  </w:num>
  <w:num w:numId="3">
    <w:abstractNumId w:val="23"/>
  </w:num>
  <w:num w:numId="4">
    <w:abstractNumId w:val="33"/>
  </w:num>
  <w:num w:numId="5">
    <w:abstractNumId w:val="25"/>
  </w:num>
  <w:num w:numId="6">
    <w:abstractNumId w:val="0"/>
  </w:num>
  <w:num w:numId="7">
    <w:abstractNumId w:val="12"/>
  </w:num>
  <w:num w:numId="8">
    <w:abstractNumId w:val="30"/>
  </w:num>
  <w:num w:numId="9">
    <w:abstractNumId w:val="40"/>
  </w:num>
  <w:num w:numId="10">
    <w:abstractNumId w:val="32"/>
  </w:num>
  <w:num w:numId="11">
    <w:abstractNumId w:val="39"/>
  </w:num>
  <w:num w:numId="12">
    <w:abstractNumId w:val="21"/>
  </w:num>
  <w:num w:numId="13">
    <w:abstractNumId w:val="4"/>
  </w:num>
  <w:num w:numId="14">
    <w:abstractNumId w:val="11"/>
  </w:num>
  <w:num w:numId="15">
    <w:abstractNumId w:val="35"/>
  </w:num>
  <w:num w:numId="16">
    <w:abstractNumId w:val="7"/>
  </w:num>
  <w:num w:numId="17">
    <w:abstractNumId w:val="9"/>
  </w:num>
  <w:num w:numId="18">
    <w:abstractNumId w:val="13"/>
  </w:num>
  <w:num w:numId="19">
    <w:abstractNumId w:val="38"/>
  </w:num>
  <w:num w:numId="20">
    <w:abstractNumId w:val="6"/>
  </w:num>
  <w:num w:numId="21">
    <w:abstractNumId w:val="5"/>
  </w:num>
  <w:num w:numId="22">
    <w:abstractNumId w:val="37"/>
  </w:num>
  <w:num w:numId="23">
    <w:abstractNumId w:val="10"/>
  </w:num>
  <w:num w:numId="24">
    <w:abstractNumId w:val="2"/>
  </w:num>
  <w:num w:numId="25">
    <w:abstractNumId w:val="34"/>
  </w:num>
  <w:num w:numId="26">
    <w:abstractNumId w:val="31"/>
  </w:num>
  <w:num w:numId="27">
    <w:abstractNumId w:val="27"/>
  </w:num>
  <w:num w:numId="28">
    <w:abstractNumId w:val="1"/>
  </w:num>
  <w:num w:numId="29">
    <w:abstractNumId w:val="22"/>
  </w:num>
  <w:num w:numId="30">
    <w:abstractNumId w:val="26"/>
  </w:num>
  <w:num w:numId="31">
    <w:abstractNumId w:val="8"/>
  </w:num>
  <w:num w:numId="32">
    <w:abstractNumId w:val="3"/>
  </w:num>
  <w:num w:numId="33">
    <w:abstractNumId w:val="20"/>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5"/>
  </w:num>
  <w:num w:numId="37">
    <w:abstractNumId w:val="24"/>
  </w:num>
  <w:num w:numId="38">
    <w:abstractNumId w:val="14"/>
  </w:num>
  <w:num w:numId="39">
    <w:abstractNumId w:val="36"/>
  </w:num>
  <w:num w:numId="40">
    <w:abstractNumId w:val="19"/>
  </w:num>
  <w:num w:numId="4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yNDE2tDAxMzO2NDVS0lEKTi0uzszPAykwqgUAiJKlRiwAAAA="/>
  </w:docVars>
  <w:rsids>
    <w:rsidRoot w:val="00D9153B"/>
    <w:rsid w:val="000010B5"/>
    <w:rsid w:val="000027D2"/>
    <w:rsid w:val="00005E26"/>
    <w:rsid w:val="00015FDE"/>
    <w:rsid w:val="00016217"/>
    <w:rsid w:val="00016861"/>
    <w:rsid w:val="000200CF"/>
    <w:rsid w:val="000205F1"/>
    <w:rsid w:val="00022047"/>
    <w:rsid w:val="000274B9"/>
    <w:rsid w:val="0002758B"/>
    <w:rsid w:val="000276A0"/>
    <w:rsid w:val="00030B03"/>
    <w:rsid w:val="00031517"/>
    <w:rsid w:val="000330DB"/>
    <w:rsid w:val="00033C3D"/>
    <w:rsid w:val="0003429F"/>
    <w:rsid w:val="00035536"/>
    <w:rsid w:val="0003562A"/>
    <w:rsid w:val="00036095"/>
    <w:rsid w:val="00036647"/>
    <w:rsid w:val="00036AF4"/>
    <w:rsid w:val="00041C10"/>
    <w:rsid w:val="00043804"/>
    <w:rsid w:val="000441A1"/>
    <w:rsid w:val="00050869"/>
    <w:rsid w:val="00055D32"/>
    <w:rsid w:val="000561C1"/>
    <w:rsid w:val="00056204"/>
    <w:rsid w:val="000566EE"/>
    <w:rsid w:val="000570D1"/>
    <w:rsid w:val="000571A9"/>
    <w:rsid w:val="00060290"/>
    <w:rsid w:val="00063E24"/>
    <w:rsid w:val="00072229"/>
    <w:rsid w:val="0007240E"/>
    <w:rsid w:val="00073304"/>
    <w:rsid w:val="00073CF1"/>
    <w:rsid w:val="00074BD0"/>
    <w:rsid w:val="00074D9A"/>
    <w:rsid w:val="00074DB9"/>
    <w:rsid w:val="000753C4"/>
    <w:rsid w:val="00075DF0"/>
    <w:rsid w:val="000762CA"/>
    <w:rsid w:val="000776FB"/>
    <w:rsid w:val="000803A4"/>
    <w:rsid w:val="000806E3"/>
    <w:rsid w:val="0008339E"/>
    <w:rsid w:val="00090AD1"/>
    <w:rsid w:val="00090F4F"/>
    <w:rsid w:val="00091476"/>
    <w:rsid w:val="00092879"/>
    <w:rsid w:val="00094A30"/>
    <w:rsid w:val="00094E87"/>
    <w:rsid w:val="00097FB2"/>
    <w:rsid w:val="000A151D"/>
    <w:rsid w:val="000A24C5"/>
    <w:rsid w:val="000A2962"/>
    <w:rsid w:val="000A3079"/>
    <w:rsid w:val="000A3F7F"/>
    <w:rsid w:val="000A59A8"/>
    <w:rsid w:val="000A6C78"/>
    <w:rsid w:val="000B1D22"/>
    <w:rsid w:val="000B2FE4"/>
    <w:rsid w:val="000B3A13"/>
    <w:rsid w:val="000B3F4E"/>
    <w:rsid w:val="000B4BB2"/>
    <w:rsid w:val="000C76B0"/>
    <w:rsid w:val="000C7BBE"/>
    <w:rsid w:val="000D2475"/>
    <w:rsid w:val="000D442C"/>
    <w:rsid w:val="000D4DC4"/>
    <w:rsid w:val="000D73C4"/>
    <w:rsid w:val="000E26F2"/>
    <w:rsid w:val="000E308D"/>
    <w:rsid w:val="000E612D"/>
    <w:rsid w:val="000E6DF0"/>
    <w:rsid w:val="000E745A"/>
    <w:rsid w:val="000E7E9E"/>
    <w:rsid w:val="000F0044"/>
    <w:rsid w:val="000F0D8D"/>
    <w:rsid w:val="000F703B"/>
    <w:rsid w:val="00106EF8"/>
    <w:rsid w:val="001072E2"/>
    <w:rsid w:val="001101A2"/>
    <w:rsid w:val="00111489"/>
    <w:rsid w:val="00111797"/>
    <w:rsid w:val="00111B19"/>
    <w:rsid w:val="00114A64"/>
    <w:rsid w:val="00115F59"/>
    <w:rsid w:val="00116AAC"/>
    <w:rsid w:val="00116BEC"/>
    <w:rsid w:val="00116C1A"/>
    <w:rsid w:val="00121F3E"/>
    <w:rsid w:val="0012229E"/>
    <w:rsid w:val="00123849"/>
    <w:rsid w:val="00123A5E"/>
    <w:rsid w:val="00125010"/>
    <w:rsid w:val="00125266"/>
    <w:rsid w:val="00125B82"/>
    <w:rsid w:val="00126B72"/>
    <w:rsid w:val="001305E6"/>
    <w:rsid w:val="0013239A"/>
    <w:rsid w:val="001372D4"/>
    <w:rsid w:val="0013751A"/>
    <w:rsid w:val="0013761A"/>
    <w:rsid w:val="0014423A"/>
    <w:rsid w:val="00147042"/>
    <w:rsid w:val="00147092"/>
    <w:rsid w:val="001471A7"/>
    <w:rsid w:val="001506F6"/>
    <w:rsid w:val="00153736"/>
    <w:rsid w:val="00154032"/>
    <w:rsid w:val="001547D3"/>
    <w:rsid w:val="001559BD"/>
    <w:rsid w:val="00157F79"/>
    <w:rsid w:val="00163E84"/>
    <w:rsid w:val="00165868"/>
    <w:rsid w:val="001668AA"/>
    <w:rsid w:val="001675B1"/>
    <w:rsid w:val="0016789D"/>
    <w:rsid w:val="00167C87"/>
    <w:rsid w:val="00172EE3"/>
    <w:rsid w:val="00177E7E"/>
    <w:rsid w:val="0018356F"/>
    <w:rsid w:val="00185381"/>
    <w:rsid w:val="001859E6"/>
    <w:rsid w:val="00185E90"/>
    <w:rsid w:val="001876C5"/>
    <w:rsid w:val="00187D68"/>
    <w:rsid w:val="00190155"/>
    <w:rsid w:val="001906B5"/>
    <w:rsid w:val="00193095"/>
    <w:rsid w:val="00194163"/>
    <w:rsid w:val="00194FEB"/>
    <w:rsid w:val="001970A4"/>
    <w:rsid w:val="00197AD1"/>
    <w:rsid w:val="001A2AA1"/>
    <w:rsid w:val="001B0020"/>
    <w:rsid w:val="001B3F87"/>
    <w:rsid w:val="001B4026"/>
    <w:rsid w:val="001B598C"/>
    <w:rsid w:val="001B6AD4"/>
    <w:rsid w:val="001B76A6"/>
    <w:rsid w:val="001C07F8"/>
    <w:rsid w:val="001C2F59"/>
    <w:rsid w:val="001C6C08"/>
    <w:rsid w:val="001D152E"/>
    <w:rsid w:val="001D2056"/>
    <w:rsid w:val="001D42D1"/>
    <w:rsid w:val="001D64E5"/>
    <w:rsid w:val="001D6EB8"/>
    <w:rsid w:val="001E05EC"/>
    <w:rsid w:val="001E195E"/>
    <w:rsid w:val="001E2DC7"/>
    <w:rsid w:val="001E4809"/>
    <w:rsid w:val="001E4F4F"/>
    <w:rsid w:val="001E5E47"/>
    <w:rsid w:val="001E62B9"/>
    <w:rsid w:val="001F0726"/>
    <w:rsid w:val="001F27F4"/>
    <w:rsid w:val="001F3D3A"/>
    <w:rsid w:val="001F3DC0"/>
    <w:rsid w:val="001F4C5A"/>
    <w:rsid w:val="001F4EA9"/>
    <w:rsid w:val="001F4F73"/>
    <w:rsid w:val="001F56F1"/>
    <w:rsid w:val="001F6425"/>
    <w:rsid w:val="001F64B7"/>
    <w:rsid w:val="001F6772"/>
    <w:rsid w:val="001F7421"/>
    <w:rsid w:val="00200195"/>
    <w:rsid w:val="00200B5F"/>
    <w:rsid w:val="002019E9"/>
    <w:rsid w:val="00201EEF"/>
    <w:rsid w:val="002047C8"/>
    <w:rsid w:val="002052B3"/>
    <w:rsid w:val="002058F9"/>
    <w:rsid w:val="00207D70"/>
    <w:rsid w:val="00212B1F"/>
    <w:rsid w:val="00213D7C"/>
    <w:rsid w:val="00214513"/>
    <w:rsid w:val="00214BE8"/>
    <w:rsid w:val="002155B7"/>
    <w:rsid w:val="0021766A"/>
    <w:rsid w:val="002225D3"/>
    <w:rsid w:val="00222A35"/>
    <w:rsid w:val="0022301D"/>
    <w:rsid w:val="00224B2C"/>
    <w:rsid w:val="00225E2E"/>
    <w:rsid w:val="00227E55"/>
    <w:rsid w:val="0023178D"/>
    <w:rsid w:val="00232AA0"/>
    <w:rsid w:val="002344F8"/>
    <w:rsid w:val="00234CDF"/>
    <w:rsid w:val="00236B91"/>
    <w:rsid w:val="002424C0"/>
    <w:rsid w:val="00242CAA"/>
    <w:rsid w:val="00245D74"/>
    <w:rsid w:val="00246D03"/>
    <w:rsid w:val="00246DDF"/>
    <w:rsid w:val="002573CC"/>
    <w:rsid w:val="00260FAA"/>
    <w:rsid w:val="00261AAE"/>
    <w:rsid w:val="00262338"/>
    <w:rsid w:val="00263938"/>
    <w:rsid w:val="002646D7"/>
    <w:rsid w:val="00265B95"/>
    <w:rsid w:val="002671D7"/>
    <w:rsid w:val="0027259C"/>
    <w:rsid w:val="002726E3"/>
    <w:rsid w:val="002729AA"/>
    <w:rsid w:val="00273543"/>
    <w:rsid w:val="0027387E"/>
    <w:rsid w:val="00274C82"/>
    <w:rsid w:val="0027654D"/>
    <w:rsid w:val="002810DF"/>
    <w:rsid w:val="002812AB"/>
    <w:rsid w:val="002816D8"/>
    <w:rsid w:val="00282A8C"/>
    <w:rsid w:val="002854EE"/>
    <w:rsid w:val="0028565C"/>
    <w:rsid w:val="0028664B"/>
    <w:rsid w:val="002873AC"/>
    <w:rsid w:val="002875DE"/>
    <w:rsid w:val="00287E07"/>
    <w:rsid w:val="00290EB3"/>
    <w:rsid w:val="002924B3"/>
    <w:rsid w:val="00292846"/>
    <w:rsid w:val="00292A90"/>
    <w:rsid w:val="00295DA4"/>
    <w:rsid w:val="002971D6"/>
    <w:rsid w:val="0029791D"/>
    <w:rsid w:val="002A0D03"/>
    <w:rsid w:val="002A2F08"/>
    <w:rsid w:val="002A3641"/>
    <w:rsid w:val="002A495F"/>
    <w:rsid w:val="002A706F"/>
    <w:rsid w:val="002A70EA"/>
    <w:rsid w:val="002A7363"/>
    <w:rsid w:val="002A7758"/>
    <w:rsid w:val="002A7F43"/>
    <w:rsid w:val="002B365E"/>
    <w:rsid w:val="002B489A"/>
    <w:rsid w:val="002B6341"/>
    <w:rsid w:val="002C0526"/>
    <w:rsid w:val="002C27A8"/>
    <w:rsid w:val="002C333E"/>
    <w:rsid w:val="002C36C8"/>
    <w:rsid w:val="002C51A0"/>
    <w:rsid w:val="002C7971"/>
    <w:rsid w:val="002D0584"/>
    <w:rsid w:val="002D2E2A"/>
    <w:rsid w:val="002D4274"/>
    <w:rsid w:val="002D5295"/>
    <w:rsid w:val="002D52BF"/>
    <w:rsid w:val="002D68FA"/>
    <w:rsid w:val="002D7ECA"/>
    <w:rsid w:val="002E0141"/>
    <w:rsid w:val="002E0B5D"/>
    <w:rsid w:val="002E0B76"/>
    <w:rsid w:val="002E1495"/>
    <w:rsid w:val="002E2900"/>
    <w:rsid w:val="002E3C0D"/>
    <w:rsid w:val="002E43EC"/>
    <w:rsid w:val="002E5435"/>
    <w:rsid w:val="002E5B3C"/>
    <w:rsid w:val="002E7A79"/>
    <w:rsid w:val="002F2C6E"/>
    <w:rsid w:val="002F3C88"/>
    <w:rsid w:val="002F4067"/>
    <w:rsid w:val="002F47EB"/>
    <w:rsid w:val="002F7339"/>
    <w:rsid w:val="002F7461"/>
    <w:rsid w:val="0030144D"/>
    <w:rsid w:val="003025E2"/>
    <w:rsid w:val="00303564"/>
    <w:rsid w:val="00306D24"/>
    <w:rsid w:val="00307712"/>
    <w:rsid w:val="00313060"/>
    <w:rsid w:val="0031404A"/>
    <w:rsid w:val="00314B7C"/>
    <w:rsid w:val="00314E49"/>
    <w:rsid w:val="003152AA"/>
    <w:rsid w:val="00315445"/>
    <w:rsid w:val="00317183"/>
    <w:rsid w:val="003204AE"/>
    <w:rsid w:val="003208EF"/>
    <w:rsid w:val="00324846"/>
    <w:rsid w:val="00324ABD"/>
    <w:rsid w:val="00324D9B"/>
    <w:rsid w:val="003262D6"/>
    <w:rsid w:val="00326C8A"/>
    <w:rsid w:val="003272A6"/>
    <w:rsid w:val="003273CB"/>
    <w:rsid w:val="0033125E"/>
    <w:rsid w:val="003314E7"/>
    <w:rsid w:val="00336913"/>
    <w:rsid w:val="0033718C"/>
    <w:rsid w:val="00337407"/>
    <w:rsid w:val="00340E02"/>
    <w:rsid w:val="00343E6E"/>
    <w:rsid w:val="003450C8"/>
    <w:rsid w:val="0034782B"/>
    <w:rsid w:val="00351E5C"/>
    <w:rsid w:val="00354ED7"/>
    <w:rsid w:val="003554DF"/>
    <w:rsid w:val="0035580F"/>
    <w:rsid w:val="00357CB4"/>
    <w:rsid w:val="003604EE"/>
    <w:rsid w:val="00360CA2"/>
    <w:rsid w:val="00361600"/>
    <w:rsid w:val="00361C8D"/>
    <w:rsid w:val="0036286B"/>
    <w:rsid w:val="00363371"/>
    <w:rsid w:val="00364989"/>
    <w:rsid w:val="003664C0"/>
    <w:rsid w:val="00366769"/>
    <w:rsid w:val="00367E04"/>
    <w:rsid w:val="00371A50"/>
    <w:rsid w:val="003761F2"/>
    <w:rsid w:val="00376A05"/>
    <w:rsid w:val="003774FE"/>
    <w:rsid w:val="00377C4E"/>
    <w:rsid w:val="00380643"/>
    <w:rsid w:val="00386E5B"/>
    <w:rsid w:val="00390E30"/>
    <w:rsid w:val="00393ABE"/>
    <w:rsid w:val="0039458D"/>
    <w:rsid w:val="00394D61"/>
    <w:rsid w:val="003A1F5A"/>
    <w:rsid w:val="003A2382"/>
    <w:rsid w:val="003A2ECE"/>
    <w:rsid w:val="003A41D8"/>
    <w:rsid w:val="003A4252"/>
    <w:rsid w:val="003A4E6A"/>
    <w:rsid w:val="003A539A"/>
    <w:rsid w:val="003A62A4"/>
    <w:rsid w:val="003A7476"/>
    <w:rsid w:val="003A7D86"/>
    <w:rsid w:val="003B0AA1"/>
    <w:rsid w:val="003B243D"/>
    <w:rsid w:val="003B26AD"/>
    <w:rsid w:val="003B304F"/>
    <w:rsid w:val="003B3A59"/>
    <w:rsid w:val="003B5D18"/>
    <w:rsid w:val="003B6BBB"/>
    <w:rsid w:val="003B795D"/>
    <w:rsid w:val="003C1083"/>
    <w:rsid w:val="003C26A6"/>
    <w:rsid w:val="003C26C1"/>
    <w:rsid w:val="003C5C11"/>
    <w:rsid w:val="003C6A5A"/>
    <w:rsid w:val="003C6AAD"/>
    <w:rsid w:val="003D1D4D"/>
    <w:rsid w:val="003D37DD"/>
    <w:rsid w:val="003D45DF"/>
    <w:rsid w:val="003D47C6"/>
    <w:rsid w:val="003D7544"/>
    <w:rsid w:val="003D7E38"/>
    <w:rsid w:val="003D7EAC"/>
    <w:rsid w:val="003E379A"/>
    <w:rsid w:val="003E52B0"/>
    <w:rsid w:val="003E64DC"/>
    <w:rsid w:val="003E7A43"/>
    <w:rsid w:val="003F0B58"/>
    <w:rsid w:val="003F0D40"/>
    <w:rsid w:val="003F2236"/>
    <w:rsid w:val="003F27B7"/>
    <w:rsid w:val="003F35FF"/>
    <w:rsid w:val="003F4051"/>
    <w:rsid w:val="003F5812"/>
    <w:rsid w:val="003F6AA4"/>
    <w:rsid w:val="003F6DEC"/>
    <w:rsid w:val="003F6EA1"/>
    <w:rsid w:val="00400E4A"/>
    <w:rsid w:val="00402E9A"/>
    <w:rsid w:val="004035DB"/>
    <w:rsid w:val="00403FA8"/>
    <w:rsid w:val="00404040"/>
    <w:rsid w:val="00404213"/>
    <w:rsid w:val="004048AC"/>
    <w:rsid w:val="00404B8E"/>
    <w:rsid w:val="004068C2"/>
    <w:rsid w:val="00415E7F"/>
    <w:rsid w:val="00420288"/>
    <w:rsid w:val="00421C78"/>
    <w:rsid w:val="00422317"/>
    <w:rsid w:val="004224CE"/>
    <w:rsid w:val="00424A78"/>
    <w:rsid w:val="004251A4"/>
    <w:rsid w:val="004254DB"/>
    <w:rsid w:val="00427EEA"/>
    <w:rsid w:val="00431836"/>
    <w:rsid w:val="004321E6"/>
    <w:rsid w:val="0043278E"/>
    <w:rsid w:val="00433582"/>
    <w:rsid w:val="004346A6"/>
    <w:rsid w:val="004360AC"/>
    <w:rsid w:val="00436B83"/>
    <w:rsid w:val="00437753"/>
    <w:rsid w:val="00441061"/>
    <w:rsid w:val="00450656"/>
    <w:rsid w:val="00450C70"/>
    <w:rsid w:val="00453344"/>
    <w:rsid w:val="00454E76"/>
    <w:rsid w:val="00457080"/>
    <w:rsid w:val="004571D7"/>
    <w:rsid w:val="00460891"/>
    <w:rsid w:val="00464FB2"/>
    <w:rsid w:val="00466CDC"/>
    <w:rsid w:val="0046745E"/>
    <w:rsid w:val="0046799D"/>
    <w:rsid w:val="004736BE"/>
    <w:rsid w:val="0047556D"/>
    <w:rsid w:val="00475789"/>
    <w:rsid w:val="00476170"/>
    <w:rsid w:val="0048174F"/>
    <w:rsid w:val="004820B0"/>
    <w:rsid w:val="00482E2F"/>
    <w:rsid w:val="004859B4"/>
    <w:rsid w:val="00486ACD"/>
    <w:rsid w:val="00492C65"/>
    <w:rsid w:val="0049403F"/>
    <w:rsid w:val="0049412C"/>
    <w:rsid w:val="00494323"/>
    <w:rsid w:val="00494349"/>
    <w:rsid w:val="00494485"/>
    <w:rsid w:val="004A0F27"/>
    <w:rsid w:val="004A0F37"/>
    <w:rsid w:val="004A0F68"/>
    <w:rsid w:val="004A3608"/>
    <w:rsid w:val="004A4FBD"/>
    <w:rsid w:val="004A67F9"/>
    <w:rsid w:val="004A737C"/>
    <w:rsid w:val="004A7810"/>
    <w:rsid w:val="004A7E93"/>
    <w:rsid w:val="004B3CFB"/>
    <w:rsid w:val="004B5786"/>
    <w:rsid w:val="004B5D6B"/>
    <w:rsid w:val="004B5F95"/>
    <w:rsid w:val="004B76F8"/>
    <w:rsid w:val="004C1AF3"/>
    <w:rsid w:val="004C1FA6"/>
    <w:rsid w:val="004C5CFD"/>
    <w:rsid w:val="004D12C0"/>
    <w:rsid w:val="004D18EA"/>
    <w:rsid w:val="004D3713"/>
    <w:rsid w:val="004D6254"/>
    <w:rsid w:val="004D7E99"/>
    <w:rsid w:val="004E00CE"/>
    <w:rsid w:val="004E05B6"/>
    <w:rsid w:val="004E2BDB"/>
    <w:rsid w:val="004F0514"/>
    <w:rsid w:val="004F22D1"/>
    <w:rsid w:val="004F3D38"/>
    <w:rsid w:val="004F50AF"/>
    <w:rsid w:val="004F52EB"/>
    <w:rsid w:val="004F681D"/>
    <w:rsid w:val="004F6E14"/>
    <w:rsid w:val="004F7071"/>
    <w:rsid w:val="0050228C"/>
    <w:rsid w:val="00502857"/>
    <w:rsid w:val="005044A9"/>
    <w:rsid w:val="00505994"/>
    <w:rsid w:val="00505FD4"/>
    <w:rsid w:val="00506E25"/>
    <w:rsid w:val="0051132C"/>
    <w:rsid w:val="00513483"/>
    <w:rsid w:val="00514A55"/>
    <w:rsid w:val="00514D8B"/>
    <w:rsid w:val="00514EF5"/>
    <w:rsid w:val="00515E41"/>
    <w:rsid w:val="0051782D"/>
    <w:rsid w:val="0052087E"/>
    <w:rsid w:val="0052315E"/>
    <w:rsid w:val="00525781"/>
    <w:rsid w:val="00530ED3"/>
    <w:rsid w:val="0053438E"/>
    <w:rsid w:val="0053528D"/>
    <w:rsid w:val="005355EE"/>
    <w:rsid w:val="00535B16"/>
    <w:rsid w:val="005366D0"/>
    <w:rsid w:val="00537E27"/>
    <w:rsid w:val="00540B4D"/>
    <w:rsid w:val="00540FFA"/>
    <w:rsid w:val="00542930"/>
    <w:rsid w:val="005435B3"/>
    <w:rsid w:val="00543E8E"/>
    <w:rsid w:val="00550849"/>
    <w:rsid w:val="00554BF3"/>
    <w:rsid w:val="0055655F"/>
    <w:rsid w:val="0055657D"/>
    <w:rsid w:val="00560829"/>
    <w:rsid w:val="00560D0D"/>
    <w:rsid w:val="00564ED2"/>
    <w:rsid w:val="00565FB1"/>
    <w:rsid w:val="005662FB"/>
    <w:rsid w:val="00567781"/>
    <w:rsid w:val="00567ECC"/>
    <w:rsid w:val="005713B1"/>
    <w:rsid w:val="0058263F"/>
    <w:rsid w:val="00583090"/>
    <w:rsid w:val="005835F4"/>
    <w:rsid w:val="00583EFE"/>
    <w:rsid w:val="005841A3"/>
    <w:rsid w:val="005907E4"/>
    <w:rsid w:val="00590EAE"/>
    <w:rsid w:val="0059112A"/>
    <w:rsid w:val="00593216"/>
    <w:rsid w:val="00594BC3"/>
    <w:rsid w:val="00596CA7"/>
    <w:rsid w:val="00596DC8"/>
    <w:rsid w:val="00596E16"/>
    <w:rsid w:val="005A16A3"/>
    <w:rsid w:val="005A1C48"/>
    <w:rsid w:val="005A253A"/>
    <w:rsid w:val="005B4401"/>
    <w:rsid w:val="005B4421"/>
    <w:rsid w:val="005B7929"/>
    <w:rsid w:val="005C1A6F"/>
    <w:rsid w:val="005C25D1"/>
    <w:rsid w:val="005C35A9"/>
    <w:rsid w:val="005C464B"/>
    <w:rsid w:val="005C74A0"/>
    <w:rsid w:val="005D052C"/>
    <w:rsid w:val="005D16FE"/>
    <w:rsid w:val="005D4084"/>
    <w:rsid w:val="005D4777"/>
    <w:rsid w:val="005D4C2B"/>
    <w:rsid w:val="005E54F9"/>
    <w:rsid w:val="005E6493"/>
    <w:rsid w:val="005E6824"/>
    <w:rsid w:val="005E7953"/>
    <w:rsid w:val="005E7E82"/>
    <w:rsid w:val="005F1FAE"/>
    <w:rsid w:val="005F6C28"/>
    <w:rsid w:val="005F7AB6"/>
    <w:rsid w:val="005F7E3C"/>
    <w:rsid w:val="00600FA8"/>
    <w:rsid w:val="00604DD0"/>
    <w:rsid w:val="006063DA"/>
    <w:rsid w:val="00606CE3"/>
    <w:rsid w:val="00611DD3"/>
    <w:rsid w:val="00611EF0"/>
    <w:rsid w:val="00612219"/>
    <w:rsid w:val="00612E04"/>
    <w:rsid w:val="006131D4"/>
    <w:rsid w:val="006173A4"/>
    <w:rsid w:val="00617C44"/>
    <w:rsid w:val="00622CE4"/>
    <w:rsid w:val="006234A7"/>
    <w:rsid w:val="00623F98"/>
    <w:rsid w:val="00625917"/>
    <w:rsid w:val="0062789F"/>
    <w:rsid w:val="006301BE"/>
    <w:rsid w:val="0063096E"/>
    <w:rsid w:val="00633349"/>
    <w:rsid w:val="00633D61"/>
    <w:rsid w:val="0063402B"/>
    <w:rsid w:val="00636570"/>
    <w:rsid w:val="00636BE1"/>
    <w:rsid w:val="00637901"/>
    <w:rsid w:val="00637E1B"/>
    <w:rsid w:val="006402DF"/>
    <w:rsid w:val="0064164B"/>
    <w:rsid w:val="00644468"/>
    <w:rsid w:val="00645F5E"/>
    <w:rsid w:val="00647B1E"/>
    <w:rsid w:val="00647C55"/>
    <w:rsid w:val="0065008B"/>
    <w:rsid w:val="00653A3B"/>
    <w:rsid w:val="00653FD9"/>
    <w:rsid w:val="00654D42"/>
    <w:rsid w:val="00656328"/>
    <w:rsid w:val="00660279"/>
    <w:rsid w:val="006622B9"/>
    <w:rsid w:val="00662E1E"/>
    <w:rsid w:val="0066371E"/>
    <w:rsid w:val="006724AD"/>
    <w:rsid w:val="00672BAB"/>
    <w:rsid w:val="0067314A"/>
    <w:rsid w:val="00673D1E"/>
    <w:rsid w:val="006779CF"/>
    <w:rsid w:val="00677A8F"/>
    <w:rsid w:val="00677F8A"/>
    <w:rsid w:val="006819F7"/>
    <w:rsid w:val="00681FD6"/>
    <w:rsid w:val="006821E3"/>
    <w:rsid w:val="00683AD6"/>
    <w:rsid w:val="006842AE"/>
    <w:rsid w:val="0069097D"/>
    <w:rsid w:val="006A174E"/>
    <w:rsid w:val="006A5773"/>
    <w:rsid w:val="006A5804"/>
    <w:rsid w:val="006A58F0"/>
    <w:rsid w:val="006A7235"/>
    <w:rsid w:val="006B0372"/>
    <w:rsid w:val="006B0764"/>
    <w:rsid w:val="006B3A5E"/>
    <w:rsid w:val="006B4467"/>
    <w:rsid w:val="006B6C46"/>
    <w:rsid w:val="006B6E78"/>
    <w:rsid w:val="006C0039"/>
    <w:rsid w:val="006C1927"/>
    <w:rsid w:val="006C2585"/>
    <w:rsid w:val="006C4008"/>
    <w:rsid w:val="006C43DC"/>
    <w:rsid w:val="006C5931"/>
    <w:rsid w:val="006C73EF"/>
    <w:rsid w:val="006D1723"/>
    <w:rsid w:val="006D2A84"/>
    <w:rsid w:val="006D5D3F"/>
    <w:rsid w:val="006D60ED"/>
    <w:rsid w:val="006E1166"/>
    <w:rsid w:val="006E596E"/>
    <w:rsid w:val="006F033F"/>
    <w:rsid w:val="006F1887"/>
    <w:rsid w:val="006F24D8"/>
    <w:rsid w:val="006F33B8"/>
    <w:rsid w:val="006F4C9C"/>
    <w:rsid w:val="006F640F"/>
    <w:rsid w:val="006F6989"/>
    <w:rsid w:val="006F762A"/>
    <w:rsid w:val="00701B6B"/>
    <w:rsid w:val="0070384F"/>
    <w:rsid w:val="00703A9E"/>
    <w:rsid w:val="00703D6D"/>
    <w:rsid w:val="00704152"/>
    <w:rsid w:val="00704FB5"/>
    <w:rsid w:val="00706B71"/>
    <w:rsid w:val="0071277A"/>
    <w:rsid w:val="00712EE5"/>
    <w:rsid w:val="00713493"/>
    <w:rsid w:val="00713494"/>
    <w:rsid w:val="00714031"/>
    <w:rsid w:val="0071466E"/>
    <w:rsid w:val="00714A6C"/>
    <w:rsid w:val="00714CD3"/>
    <w:rsid w:val="007200F4"/>
    <w:rsid w:val="007206A8"/>
    <w:rsid w:val="0072116D"/>
    <w:rsid w:val="0072226F"/>
    <w:rsid w:val="00722734"/>
    <w:rsid w:val="00725B78"/>
    <w:rsid w:val="00727082"/>
    <w:rsid w:val="0073233C"/>
    <w:rsid w:val="00732D0C"/>
    <w:rsid w:val="00733EAD"/>
    <w:rsid w:val="00734F54"/>
    <w:rsid w:val="00737C04"/>
    <w:rsid w:val="00740577"/>
    <w:rsid w:val="007422DF"/>
    <w:rsid w:val="00744110"/>
    <w:rsid w:val="00744595"/>
    <w:rsid w:val="00747A52"/>
    <w:rsid w:val="007508D2"/>
    <w:rsid w:val="00750F1E"/>
    <w:rsid w:val="00751C12"/>
    <w:rsid w:val="00752691"/>
    <w:rsid w:val="007528F2"/>
    <w:rsid w:val="007575C4"/>
    <w:rsid w:val="0076108B"/>
    <w:rsid w:val="007636EF"/>
    <w:rsid w:val="00763700"/>
    <w:rsid w:val="0076427C"/>
    <w:rsid w:val="00765217"/>
    <w:rsid w:val="007659AA"/>
    <w:rsid w:val="0077266C"/>
    <w:rsid w:val="00772802"/>
    <w:rsid w:val="00775066"/>
    <w:rsid w:val="00775B09"/>
    <w:rsid w:val="00776406"/>
    <w:rsid w:val="0078005A"/>
    <w:rsid w:val="00781126"/>
    <w:rsid w:val="00781B6F"/>
    <w:rsid w:val="00781F9C"/>
    <w:rsid w:val="00782DFD"/>
    <w:rsid w:val="00784424"/>
    <w:rsid w:val="00785474"/>
    <w:rsid w:val="00787B99"/>
    <w:rsid w:val="00787DE7"/>
    <w:rsid w:val="0079421C"/>
    <w:rsid w:val="0079526D"/>
    <w:rsid w:val="00795A2C"/>
    <w:rsid w:val="00797390"/>
    <w:rsid w:val="007A05B6"/>
    <w:rsid w:val="007A1C0A"/>
    <w:rsid w:val="007A1C59"/>
    <w:rsid w:val="007A452C"/>
    <w:rsid w:val="007A5B41"/>
    <w:rsid w:val="007A72FD"/>
    <w:rsid w:val="007B5792"/>
    <w:rsid w:val="007B5AE3"/>
    <w:rsid w:val="007C31E2"/>
    <w:rsid w:val="007C5CE1"/>
    <w:rsid w:val="007C6F85"/>
    <w:rsid w:val="007C709B"/>
    <w:rsid w:val="007C7771"/>
    <w:rsid w:val="007D0569"/>
    <w:rsid w:val="007D16B1"/>
    <w:rsid w:val="007D19E4"/>
    <w:rsid w:val="007D7400"/>
    <w:rsid w:val="007D7761"/>
    <w:rsid w:val="007D79FF"/>
    <w:rsid w:val="007E02A7"/>
    <w:rsid w:val="007E468A"/>
    <w:rsid w:val="007E51A5"/>
    <w:rsid w:val="007E52FD"/>
    <w:rsid w:val="007E7F4C"/>
    <w:rsid w:val="007F108B"/>
    <w:rsid w:val="007F3018"/>
    <w:rsid w:val="007F7724"/>
    <w:rsid w:val="0080471D"/>
    <w:rsid w:val="008049F1"/>
    <w:rsid w:val="00804DA8"/>
    <w:rsid w:val="008060C3"/>
    <w:rsid w:val="008063A1"/>
    <w:rsid w:val="00807F00"/>
    <w:rsid w:val="00811450"/>
    <w:rsid w:val="00812095"/>
    <w:rsid w:val="00812B49"/>
    <w:rsid w:val="008134BD"/>
    <w:rsid w:val="00814656"/>
    <w:rsid w:val="008153F5"/>
    <w:rsid w:val="0082088F"/>
    <w:rsid w:val="00820E45"/>
    <w:rsid w:val="00821E2C"/>
    <w:rsid w:val="00822835"/>
    <w:rsid w:val="00822D45"/>
    <w:rsid w:val="00826758"/>
    <w:rsid w:val="00831EE4"/>
    <w:rsid w:val="008353E0"/>
    <w:rsid w:val="008365F0"/>
    <w:rsid w:val="00841534"/>
    <w:rsid w:val="0084397D"/>
    <w:rsid w:val="008462F1"/>
    <w:rsid w:val="00846930"/>
    <w:rsid w:val="00850CDA"/>
    <w:rsid w:val="00850FDE"/>
    <w:rsid w:val="0085147C"/>
    <w:rsid w:val="00851AE4"/>
    <w:rsid w:val="00852876"/>
    <w:rsid w:val="008543F5"/>
    <w:rsid w:val="00855004"/>
    <w:rsid w:val="00856573"/>
    <w:rsid w:val="008572C4"/>
    <w:rsid w:val="0085733E"/>
    <w:rsid w:val="008604A8"/>
    <w:rsid w:val="00861AFA"/>
    <w:rsid w:val="00861B03"/>
    <w:rsid w:val="00861FED"/>
    <w:rsid w:val="00863C61"/>
    <w:rsid w:val="00865522"/>
    <w:rsid w:val="00865ADF"/>
    <w:rsid w:val="0086644C"/>
    <w:rsid w:val="008666B5"/>
    <w:rsid w:val="008703B3"/>
    <w:rsid w:val="00876985"/>
    <w:rsid w:val="00883780"/>
    <w:rsid w:val="00883B99"/>
    <w:rsid w:val="00885066"/>
    <w:rsid w:val="00885F85"/>
    <w:rsid w:val="0088665E"/>
    <w:rsid w:val="008923C8"/>
    <w:rsid w:val="00893260"/>
    <w:rsid w:val="008932A8"/>
    <w:rsid w:val="00893756"/>
    <w:rsid w:val="00894A9E"/>
    <w:rsid w:val="008950F6"/>
    <w:rsid w:val="00896815"/>
    <w:rsid w:val="00897CD1"/>
    <w:rsid w:val="008A0744"/>
    <w:rsid w:val="008A0A6E"/>
    <w:rsid w:val="008A0D0F"/>
    <w:rsid w:val="008A14B7"/>
    <w:rsid w:val="008A2FB3"/>
    <w:rsid w:val="008A398B"/>
    <w:rsid w:val="008A5601"/>
    <w:rsid w:val="008A59AD"/>
    <w:rsid w:val="008B0EEB"/>
    <w:rsid w:val="008B1FAE"/>
    <w:rsid w:val="008B431D"/>
    <w:rsid w:val="008B51FD"/>
    <w:rsid w:val="008B7186"/>
    <w:rsid w:val="008C1939"/>
    <w:rsid w:val="008C32EE"/>
    <w:rsid w:val="008C3396"/>
    <w:rsid w:val="008C621C"/>
    <w:rsid w:val="008C697C"/>
    <w:rsid w:val="008C75ED"/>
    <w:rsid w:val="008C7649"/>
    <w:rsid w:val="008C7FAD"/>
    <w:rsid w:val="008D114A"/>
    <w:rsid w:val="008D5B6A"/>
    <w:rsid w:val="008E0991"/>
    <w:rsid w:val="008E3334"/>
    <w:rsid w:val="008E338E"/>
    <w:rsid w:val="008E57FE"/>
    <w:rsid w:val="008F1775"/>
    <w:rsid w:val="008F2665"/>
    <w:rsid w:val="008F31C5"/>
    <w:rsid w:val="008F507E"/>
    <w:rsid w:val="008F6376"/>
    <w:rsid w:val="00900CC2"/>
    <w:rsid w:val="009019FB"/>
    <w:rsid w:val="00902472"/>
    <w:rsid w:val="00905B05"/>
    <w:rsid w:val="0090753C"/>
    <w:rsid w:val="00911B66"/>
    <w:rsid w:val="00912A7E"/>
    <w:rsid w:val="00915330"/>
    <w:rsid w:val="00916E69"/>
    <w:rsid w:val="00917525"/>
    <w:rsid w:val="0091777D"/>
    <w:rsid w:val="0092057D"/>
    <w:rsid w:val="009218DE"/>
    <w:rsid w:val="00921BCA"/>
    <w:rsid w:val="00922D00"/>
    <w:rsid w:val="00923F17"/>
    <w:rsid w:val="00925751"/>
    <w:rsid w:val="009266DA"/>
    <w:rsid w:val="00930DE8"/>
    <w:rsid w:val="009318DD"/>
    <w:rsid w:val="00935413"/>
    <w:rsid w:val="00935F5D"/>
    <w:rsid w:val="009368E0"/>
    <w:rsid w:val="009372E5"/>
    <w:rsid w:val="0094260B"/>
    <w:rsid w:val="00942661"/>
    <w:rsid w:val="00945307"/>
    <w:rsid w:val="0094558D"/>
    <w:rsid w:val="00945F1D"/>
    <w:rsid w:val="00946FCE"/>
    <w:rsid w:val="009515BC"/>
    <w:rsid w:val="00953ED0"/>
    <w:rsid w:val="0095492E"/>
    <w:rsid w:val="00955F7D"/>
    <w:rsid w:val="0096242F"/>
    <w:rsid w:val="00962E3B"/>
    <w:rsid w:val="00962FF5"/>
    <w:rsid w:val="00964A4E"/>
    <w:rsid w:val="00965B02"/>
    <w:rsid w:val="00965C07"/>
    <w:rsid w:val="00965D2D"/>
    <w:rsid w:val="00970711"/>
    <w:rsid w:val="00971847"/>
    <w:rsid w:val="00972964"/>
    <w:rsid w:val="0097762F"/>
    <w:rsid w:val="00977C53"/>
    <w:rsid w:val="009809B1"/>
    <w:rsid w:val="009816B8"/>
    <w:rsid w:val="00983B45"/>
    <w:rsid w:val="00983DBA"/>
    <w:rsid w:val="0098766F"/>
    <w:rsid w:val="00993912"/>
    <w:rsid w:val="00994050"/>
    <w:rsid w:val="009962CF"/>
    <w:rsid w:val="009969D6"/>
    <w:rsid w:val="009A3CBB"/>
    <w:rsid w:val="009A4543"/>
    <w:rsid w:val="009A5DB1"/>
    <w:rsid w:val="009A7C5A"/>
    <w:rsid w:val="009A7E51"/>
    <w:rsid w:val="009B21B9"/>
    <w:rsid w:val="009B4CD0"/>
    <w:rsid w:val="009B4DA7"/>
    <w:rsid w:val="009B59F0"/>
    <w:rsid w:val="009C21C6"/>
    <w:rsid w:val="009C2C69"/>
    <w:rsid w:val="009C383B"/>
    <w:rsid w:val="009C3A80"/>
    <w:rsid w:val="009C5238"/>
    <w:rsid w:val="009C580E"/>
    <w:rsid w:val="009D12B4"/>
    <w:rsid w:val="009D1E70"/>
    <w:rsid w:val="009D2135"/>
    <w:rsid w:val="009D2FA7"/>
    <w:rsid w:val="009D4C31"/>
    <w:rsid w:val="009D4CAE"/>
    <w:rsid w:val="009D55F9"/>
    <w:rsid w:val="009D5A11"/>
    <w:rsid w:val="009D7760"/>
    <w:rsid w:val="009E16E6"/>
    <w:rsid w:val="009E2953"/>
    <w:rsid w:val="009E30CE"/>
    <w:rsid w:val="009E5888"/>
    <w:rsid w:val="009F0193"/>
    <w:rsid w:val="009F04C3"/>
    <w:rsid w:val="009F0760"/>
    <w:rsid w:val="009F390B"/>
    <w:rsid w:val="009F3B29"/>
    <w:rsid w:val="009F4860"/>
    <w:rsid w:val="009F608C"/>
    <w:rsid w:val="00A00057"/>
    <w:rsid w:val="00A00485"/>
    <w:rsid w:val="00A01A5F"/>
    <w:rsid w:val="00A02C96"/>
    <w:rsid w:val="00A02E65"/>
    <w:rsid w:val="00A0340A"/>
    <w:rsid w:val="00A0440C"/>
    <w:rsid w:val="00A04F73"/>
    <w:rsid w:val="00A0585F"/>
    <w:rsid w:val="00A0694A"/>
    <w:rsid w:val="00A10A30"/>
    <w:rsid w:val="00A1137C"/>
    <w:rsid w:val="00A113D7"/>
    <w:rsid w:val="00A11F0F"/>
    <w:rsid w:val="00A16126"/>
    <w:rsid w:val="00A24133"/>
    <w:rsid w:val="00A262BF"/>
    <w:rsid w:val="00A27809"/>
    <w:rsid w:val="00A30533"/>
    <w:rsid w:val="00A317B0"/>
    <w:rsid w:val="00A34591"/>
    <w:rsid w:val="00A34E44"/>
    <w:rsid w:val="00A3640F"/>
    <w:rsid w:val="00A40CE2"/>
    <w:rsid w:val="00A43C8F"/>
    <w:rsid w:val="00A47176"/>
    <w:rsid w:val="00A475C5"/>
    <w:rsid w:val="00A4768C"/>
    <w:rsid w:val="00A50A68"/>
    <w:rsid w:val="00A50D3B"/>
    <w:rsid w:val="00A518AA"/>
    <w:rsid w:val="00A56348"/>
    <w:rsid w:val="00A567C4"/>
    <w:rsid w:val="00A5703F"/>
    <w:rsid w:val="00A57D39"/>
    <w:rsid w:val="00A61733"/>
    <w:rsid w:val="00A62A2A"/>
    <w:rsid w:val="00A6316B"/>
    <w:rsid w:val="00A65316"/>
    <w:rsid w:val="00A674FF"/>
    <w:rsid w:val="00A70F69"/>
    <w:rsid w:val="00A7120E"/>
    <w:rsid w:val="00A720D8"/>
    <w:rsid w:val="00A72611"/>
    <w:rsid w:val="00A73ABB"/>
    <w:rsid w:val="00A7476B"/>
    <w:rsid w:val="00A76D2C"/>
    <w:rsid w:val="00A77746"/>
    <w:rsid w:val="00A806AA"/>
    <w:rsid w:val="00A83BF6"/>
    <w:rsid w:val="00A87CB7"/>
    <w:rsid w:val="00A87F31"/>
    <w:rsid w:val="00A907BF"/>
    <w:rsid w:val="00A90D27"/>
    <w:rsid w:val="00A9103B"/>
    <w:rsid w:val="00A91284"/>
    <w:rsid w:val="00A918A7"/>
    <w:rsid w:val="00A92871"/>
    <w:rsid w:val="00A955EB"/>
    <w:rsid w:val="00A95E66"/>
    <w:rsid w:val="00AA1F49"/>
    <w:rsid w:val="00AA3A2E"/>
    <w:rsid w:val="00AA4099"/>
    <w:rsid w:val="00AA5951"/>
    <w:rsid w:val="00AA6913"/>
    <w:rsid w:val="00AA79D4"/>
    <w:rsid w:val="00AB2190"/>
    <w:rsid w:val="00AB39EB"/>
    <w:rsid w:val="00AB3F27"/>
    <w:rsid w:val="00AB3FD9"/>
    <w:rsid w:val="00AB4135"/>
    <w:rsid w:val="00AB7DE7"/>
    <w:rsid w:val="00AC1BE7"/>
    <w:rsid w:val="00AC275F"/>
    <w:rsid w:val="00AC50A4"/>
    <w:rsid w:val="00AC5A95"/>
    <w:rsid w:val="00AC6074"/>
    <w:rsid w:val="00AC6471"/>
    <w:rsid w:val="00AD1751"/>
    <w:rsid w:val="00AD1A8A"/>
    <w:rsid w:val="00AD2B6E"/>
    <w:rsid w:val="00AD3443"/>
    <w:rsid w:val="00AD4B3C"/>
    <w:rsid w:val="00AD68A5"/>
    <w:rsid w:val="00AE0B74"/>
    <w:rsid w:val="00AE185D"/>
    <w:rsid w:val="00AE1BFE"/>
    <w:rsid w:val="00AE3842"/>
    <w:rsid w:val="00AE3D83"/>
    <w:rsid w:val="00AE4374"/>
    <w:rsid w:val="00AE485C"/>
    <w:rsid w:val="00AE7D4F"/>
    <w:rsid w:val="00AE7FE4"/>
    <w:rsid w:val="00AF0D6B"/>
    <w:rsid w:val="00AF17D3"/>
    <w:rsid w:val="00AF1D77"/>
    <w:rsid w:val="00AF2B1F"/>
    <w:rsid w:val="00AF38BA"/>
    <w:rsid w:val="00AF4F67"/>
    <w:rsid w:val="00AF5811"/>
    <w:rsid w:val="00AF6509"/>
    <w:rsid w:val="00B00BBE"/>
    <w:rsid w:val="00B03C1B"/>
    <w:rsid w:val="00B0456E"/>
    <w:rsid w:val="00B068C4"/>
    <w:rsid w:val="00B06A05"/>
    <w:rsid w:val="00B06BF6"/>
    <w:rsid w:val="00B06F7F"/>
    <w:rsid w:val="00B100F0"/>
    <w:rsid w:val="00B135EB"/>
    <w:rsid w:val="00B13A26"/>
    <w:rsid w:val="00B1402E"/>
    <w:rsid w:val="00B14865"/>
    <w:rsid w:val="00B21D50"/>
    <w:rsid w:val="00B22F9B"/>
    <w:rsid w:val="00B23747"/>
    <w:rsid w:val="00B24090"/>
    <w:rsid w:val="00B257E3"/>
    <w:rsid w:val="00B260C7"/>
    <w:rsid w:val="00B27494"/>
    <w:rsid w:val="00B279B9"/>
    <w:rsid w:val="00B27BFD"/>
    <w:rsid w:val="00B30AD3"/>
    <w:rsid w:val="00B34F48"/>
    <w:rsid w:val="00B37E3A"/>
    <w:rsid w:val="00B51BA0"/>
    <w:rsid w:val="00B535BD"/>
    <w:rsid w:val="00B53701"/>
    <w:rsid w:val="00B56A26"/>
    <w:rsid w:val="00B6110A"/>
    <w:rsid w:val="00B6176A"/>
    <w:rsid w:val="00B6301A"/>
    <w:rsid w:val="00B64CAD"/>
    <w:rsid w:val="00B66751"/>
    <w:rsid w:val="00B66834"/>
    <w:rsid w:val="00B67AA6"/>
    <w:rsid w:val="00B7066C"/>
    <w:rsid w:val="00B70F55"/>
    <w:rsid w:val="00B717D8"/>
    <w:rsid w:val="00B72DF3"/>
    <w:rsid w:val="00B74146"/>
    <w:rsid w:val="00B75143"/>
    <w:rsid w:val="00B76F6C"/>
    <w:rsid w:val="00B8080B"/>
    <w:rsid w:val="00B80D1E"/>
    <w:rsid w:val="00B811EF"/>
    <w:rsid w:val="00B83312"/>
    <w:rsid w:val="00B83CEB"/>
    <w:rsid w:val="00B85F66"/>
    <w:rsid w:val="00B86EF1"/>
    <w:rsid w:val="00B90674"/>
    <w:rsid w:val="00B934E3"/>
    <w:rsid w:val="00B94323"/>
    <w:rsid w:val="00B9566B"/>
    <w:rsid w:val="00B961B7"/>
    <w:rsid w:val="00B963D4"/>
    <w:rsid w:val="00B9772B"/>
    <w:rsid w:val="00BA1B58"/>
    <w:rsid w:val="00BA2DEF"/>
    <w:rsid w:val="00BA42FB"/>
    <w:rsid w:val="00BA4768"/>
    <w:rsid w:val="00BA516F"/>
    <w:rsid w:val="00BA628C"/>
    <w:rsid w:val="00BA7059"/>
    <w:rsid w:val="00BB0051"/>
    <w:rsid w:val="00BB02C6"/>
    <w:rsid w:val="00BB1082"/>
    <w:rsid w:val="00BB2127"/>
    <w:rsid w:val="00BB3805"/>
    <w:rsid w:val="00BB52A5"/>
    <w:rsid w:val="00BB6740"/>
    <w:rsid w:val="00BB7EA1"/>
    <w:rsid w:val="00BB7F81"/>
    <w:rsid w:val="00BC1D4E"/>
    <w:rsid w:val="00BC269B"/>
    <w:rsid w:val="00BC27D2"/>
    <w:rsid w:val="00BC38D1"/>
    <w:rsid w:val="00BD165F"/>
    <w:rsid w:val="00BD35E1"/>
    <w:rsid w:val="00BD54FC"/>
    <w:rsid w:val="00BD63C3"/>
    <w:rsid w:val="00BD67CE"/>
    <w:rsid w:val="00BD76A4"/>
    <w:rsid w:val="00BE1150"/>
    <w:rsid w:val="00BE1C8A"/>
    <w:rsid w:val="00BE4857"/>
    <w:rsid w:val="00BE5847"/>
    <w:rsid w:val="00BE5BE0"/>
    <w:rsid w:val="00BE70E8"/>
    <w:rsid w:val="00BF0E76"/>
    <w:rsid w:val="00BF19D0"/>
    <w:rsid w:val="00BF19DC"/>
    <w:rsid w:val="00BF2B3E"/>
    <w:rsid w:val="00BF2DAF"/>
    <w:rsid w:val="00BF4E1B"/>
    <w:rsid w:val="00C011F7"/>
    <w:rsid w:val="00C01BC2"/>
    <w:rsid w:val="00C04573"/>
    <w:rsid w:val="00C0480F"/>
    <w:rsid w:val="00C1043C"/>
    <w:rsid w:val="00C12A51"/>
    <w:rsid w:val="00C12CD1"/>
    <w:rsid w:val="00C1334B"/>
    <w:rsid w:val="00C1591E"/>
    <w:rsid w:val="00C203C7"/>
    <w:rsid w:val="00C203F4"/>
    <w:rsid w:val="00C20D36"/>
    <w:rsid w:val="00C21038"/>
    <w:rsid w:val="00C2396B"/>
    <w:rsid w:val="00C240B9"/>
    <w:rsid w:val="00C2785F"/>
    <w:rsid w:val="00C303D0"/>
    <w:rsid w:val="00C30BA6"/>
    <w:rsid w:val="00C31467"/>
    <w:rsid w:val="00C34CCB"/>
    <w:rsid w:val="00C34D57"/>
    <w:rsid w:val="00C35515"/>
    <w:rsid w:val="00C35807"/>
    <w:rsid w:val="00C35A4B"/>
    <w:rsid w:val="00C36696"/>
    <w:rsid w:val="00C36720"/>
    <w:rsid w:val="00C37518"/>
    <w:rsid w:val="00C3766A"/>
    <w:rsid w:val="00C37F00"/>
    <w:rsid w:val="00C421C9"/>
    <w:rsid w:val="00C42A3A"/>
    <w:rsid w:val="00C4517F"/>
    <w:rsid w:val="00C45232"/>
    <w:rsid w:val="00C46E94"/>
    <w:rsid w:val="00C52404"/>
    <w:rsid w:val="00C52BA5"/>
    <w:rsid w:val="00C53323"/>
    <w:rsid w:val="00C54D8C"/>
    <w:rsid w:val="00C66CEF"/>
    <w:rsid w:val="00C670FE"/>
    <w:rsid w:val="00C71087"/>
    <w:rsid w:val="00C71B87"/>
    <w:rsid w:val="00C71E3C"/>
    <w:rsid w:val="00C75492"/>
    <w:rsid w:val="00C77C78"/>
    <w:rsid w:val="00C8146C"/>
    <w:rsid w:val="00C846DD"/>
    <w:rsid w:val="00C85CA6"/>
    <w:rsid w:val="00C9147E"/>
    <w:rsid w:val="00C925ED"/>
    <w:rsid w:val="00C9339F"/>
    <w:rsid w:val="00C94CA3"/>
    <w:rsid w:val="00C96A10"/>
    <w:rsid w:val="00C9753B"/>
    <w:rsid w:val="00CA0C87"/>
    <w:rsid w:val="00CA19CD"/>
    <w:rsid w:val="00CA30B6"/>
    <w:rsid w:val="00CA4A62"/>
    <w:rsid w:val="00CA561E"/>
    <w:rsid w:val="00CA6278"/>
    <w:rsid w:val="00CA659E"/>
    <w:rsid w:val="00CB23DD"/>
    <w:rsid w:val="00CB2757"/>
    <w:rsid w:val="00CB2FE7"/>
    <w:rsid w:val="00CB3B57"/>
    <w:rsid w:val="00CB42AE"/>
    <w:rsid w:val="00CB6768"/>
    <w:rsid w:val="00CB68D8"/>
    <w:rsid w:val="00CC17DB"/>
    <w:rsid w:val="00CC2F01"/>
    <w:rsid w:val="00CC3210"/>
    <w:rsid w:val="00CC6453"/>
    <w:rsid w:val="00CD01B4"/>
    <w:rsid w:val="00CD2D8A"/>
    <w:rsid w:val="00CD31EA"/>
    <w:rsid w:val="00CD4AE4"/>
    <w:rsid w:val="00CD692F"/>
    <w:rsid w:val="00CE0392"/>
    <w:rsid w:val="00CE5481"/>
    <w:rsid w:val="00CE5866"/>
    <w:rsid w:val="00CF0045"/>
    <w:rsid w:val="00CF7194"/>
    <w:rsid w:val="00CF7C90"/>
    <w:rsid w:val="00CF7EA0"/>
    <w:rsid w:val="00D00600"/>
    <w:rsid w:val="00D007A2"/>
    <w:rsid w:val="00D0329F"/>
    <w:rsid w:val="00D035FC"/>
    <w:rsid w:val="00D06299"/>
    <w:rsid w:val="00D1045D"/>
    <w:rsid w:val="00D133AA"/>
    <w:rsid w:val="00D13B0B"/>
    <w:rsid w:val="00D13CCF"/>
    <w:rsid w:val="00D14CF7"/>
    <w:rsid w:val="00D15E67"/>
    <w:rsid w:val="00D1627A"/>
    <w:rsid w:val="00D20ABB"/>
    <w:rsid w:val="00D20EA4"/>
    <w:rsid w:val="00D24AEE"/>
    <w:rsid w:val="00D252AB"/>
    <w:rsid w:val="00D26A33"/>
    <w:rsid w:val="00D3073E"/>
    <w:rsid w:val="00D31676"/>
    <w:rsid w:val="00D316C8"/>
    <w:rsid w:val="00D337D5"/>
    <w:rsid w:val="00D34817"/>
    <w:rsid w:val="00D365BB"/>
    <w:rsid w:val="00D3795A"/>
    <w:rsid w:val="00D37AB5"/>
    <w:rsid w:val="00D405C9"/>
    <w:rsid w:val="00D40C74"/>
    <w:rsid w:val="00D43282"/>
    <w:rsid w:val="00D432A6"/>
    <w:rsid w:val="00D43EA4"/>
    <w:rsid w:val="00D44508"/>
    <w:rsid w:val="00D47810"/>
    <w:rsid w:val="00D5128E"/>
    <w:rsid w:val="00D523D0"/>
    <w:rsid w:val="00D52FD0"/>
    <w:rsid w:val="00D53373"/>
    <w:rsid w:val="00D54385"/>
    <w:rsid w:val="00D6259C"/>
    <w:rsid w:val="00D63B91"/>
    <w:rsid w:val="00D64A4A"/>
    <w:rsid w:val="00D6679C"/>
    <w:rsid w:val="00D6690D"/>
    <w:rsid w:val="00D70936"/>
    <w:rsid w:val="00D73810"/>
    <w:rsid w:val="00D73EE6"/>
    <w:rsid w:val="00D742D2"/>
    <w:rsid w:val="00D744DC"/>
    <w:rsid w:val="00D75CF7"/>
    <w:rsid w:val="00D75F59"/>
    <w:rsid w:val="00D776C3"/>
    <w:rsid w:val="00D80153"/>
    <w:rsid w:val="00D81AC7"/>
    <w:rsid w:val="00D81E8F"/>
    <w:rsid w:val="00D8495C"/>
    <w:rsid w:val="00D86737"/>
    <w:rsid w:val="00D8696A"/>
    <w:rsid w:val="00D87A89"/>
    <w:rsid w:val="00D91006"/>
    <w:rsid w:val="00D9153B"/>
    <w:rsid w:val="00D95903"/>
    <w:rsid w:val="00D95D78"/>
    <w:rsid w:val="00DA0810"/>
    <w:rsid w:val="00DA3FCE"/>
    <w:rsid w:val="00DA583D"/>
    <w:rsid w:val="00DB1D93"/>
    <w:rsid w:val="00DB4203"/>
    <w:rsid w:val="00DB7CA1"/>
    <w:rsid w:val="00DC19B3"/>
    <w:rsid w:val="00DC25DA"/>
    <w:rsid w:val="00DC4C59"/>
    <w:rsid w:val="00DC504A"/>
    <w:rsid w:val="00DC5149"/>
    <w:rsid w:val="00DD1B88"/>
    <w:rsid w:val="00DD3573"/>
    <w:rsid w:val="00DD3C08"/>
    <w:rsid w:val="00DD5D34"/>
    <w:rsid w:val="00DD5FC0"/>
    <w:rsid w:val="00DE0476"/>
    <w:rsid w:val="00DE2089"/>
    <w:rsid w:val="00DE2AAC"/>
    <w:rsid w:val="00DE7CC8"/>
    <w:rsid w:val="00DE7D75"/>
    <w:rsid w:val="00DF1125"/>
    <w:rsid w:val="00DF27AC"/>
    <w:rsid w:val="00DF28E7"/>
    <w:rsid w:val="00DF399A"/>
    <w:rsid w:val="00DF413F"/>
    <w:rsid w:val="00DF6280"/>
    <w:rsid w:val="00DF687E"/>
    <w:rsid w:val="00DF7B14"/>
    <w:rsid w:val="00DF7C27"/>
    <w:rsid w:val="00E00009"/>
    <w:rsid w:val="00E00153"/>
    <w:rsid w:val="00E01EF4"/>
    <w:rsid w:val="00E02CF2"/>
    <w:rsid w:val="00E038DB"/>
    <w:rsid w:val="00E04947"/>
    <w:rsid w:val="00E069F7"/>
    <w:rsid w:val="00E06C35"/>
    <w:rsid w:val="00E0710D"/>
    <w:rsid w:val="00E07F71"/>
    <w:rsid w:val="00E114D8"/>
    <w:rsid w:val="00E1347F"/>
    <w:rsid w:val="00E1621B"/>
    <w:rsid w:val="00E17635"/>
    <w:rsid w:val="00E21114"/>
    <w:rsid w:val="00E22B84"/>
    <w:rsid w:val="00E26045"/>
    <w:rsid w:val="00E26A63"/>
    <w:rsid w:val="00E26BDB"/>
    <w:rsid w:val="00E27304"/>
    <w:rsid w:val="00E304B6"/>
    <w:rsid w:val="00E337F5"/>
    <w:rsid w:val="00E339E4"/>
    <w:rsid w:val="00E34422"/>
    <w:rsid w:val="00E34EBC"/>
    <w:rsid w:val="00E37211"/>
    <w:rsid w:val="00E37848"/>
    <w:rsid w:val="00E4034D"/>
    <w:rsid w:val="00E404B3"/>
    <w:rsid w:val="00E41EE7"/>
    <w:rsid w:val="00E42084"/>
    <w:rsid w:val="00E44854"/>
    <w:rsid w:val="00E52B8C"/>
    <w:rsid w:val="00E54191"/>
    <w:rsid w:val="00E55808"/>
    <w:rsid w:val="00E559EA"/>
    <w:rsid w:val="00E5696D"/>
    <w:rsid w:val="00E56E45"/>
    <w:rsid w:val="00E57571"/>
    <w:rsid w:val="00E6161C"/>
    <w:rsid w:val="00E62C7F"/>
    <w:rsid w:val="00E62DEC"/>
    <w:rsid w:val="00E63233"/>
    <w:rsid w:val="00E64C49"/>
    <w:rsid w:val="00E65F8A"/>
    <w:rsid w:val="00E66ECB"/>
    <w:rsid w:val="00E67486"/>
    <w:rsid w:val="00E727CE"/>
    <w:rsid w:val="00E749E1"/>
    <w:rsid w:val="00E765D5"/>
    <w:rsid w:val="00E8007A"/>
    <w:rsid w:val="00E80578"/>
    <w:rsid w:val="00E80B43"/>
    <w:rsid w:val="00E833CB"/>
    <w:rsid w:val="00E83995"/>
    <w:rsid w:val="00E83CBA"/>
    <w:rsid w:val="00E83D2E"/>
    <w:rsid w:val="00E83FB2"/>
    <w:rsid w:val="00E845D0"/>
    <w:rsid w:val="00E90615"/>
    <w:rsid w:val="00E91FE0"/>
    <w:rsid w:val="00E95AC2"/>
    <w:rsid w:val="00E97167"/>
    <w:rsid w:val="00E97DBB"/>
    <w:rsid w:val="00EA0169"/>
    <w:rsid w:val="00EA24AC"/>
    <w:rsid w:val="00EA3781"/>
    <w:rsid w:val="00EA5023"/>
    <w:rsid w:val="00EA7061"/>
    <w:rsid w:val="00EB13FE"/>
    <w:rsid w:val="00EB254B"/>
    <w:rsid w:val="00EB39F1"/>
    <w:rsid w:val="00EB472E"/>
    <w:rsid w:val="00EB5434"/>
    <w:rsid w:val="00EB5D6C"/>
    <w:rsid w:val="00EB6A9B"/>
    <w:rsid w:val="00EB76D6"/>
    <w:rsid w:val="00EC0178"/>
    <w:rsid w:val="00EC049F"/>
    <w:rsid w:val="00ED024E"/>
    <w:rsid w:val="00ED194C"/>
    <w:rsid w:val="00ED2C26"/>
    <w:rsid w:val="00ED3898"/>
    <w:rsid w:val="00ED4BC0"/>
    <w:rsid w:val="00ED5EC2"/>
    <w:rsid w:val="00EE0DF2"/>
    <w:rsid w:val="00EE21DD"/>
    <w:rsid w:val="00EE2988"/>
    <w:rsid w:val="00EE2A01"/>
    <w:rsid w:val="00EE56DF"/>
    <w:rsid w:val="00EF1A24"/>
    <w:rsid w:val="00EF1BF1"/>
    <w:rsid w:val="00EF4530"/>
    <w:rsid w:val="00EF71E1"/>
    <w:rsid w:val="00F01BD5"/>
    <w:rsid w:val="00F0264E"/>
    <w:rsid w:val="00F05EAF"/>
    <w:rsid w:val="00F06D7C"/>
    <w:rsid w:val="00F07A40"/>
    <w:rsid w:val="00F10358"/>
    <w:rsid w:val="00F1049D"/>
    <w:rsid w:val="00F119F0"/>
    <w:rsid w:val="00F11C01"/>
    <w:rsid w:val="00F147FD"/>
    <w:rsid w:val="00F15FC1"/>
    <w:rsid w:val="00F17762"/>
    <w:rsid w:val="00F21209"/>
    <w:rsid w:val="00F21D08"/>
    <w:rsid w:val="00F23C5A"/>
    <w:rsid w:val="00F23E91"/>
    <w:rsid w:val="00F277D4"/>
    <w:rsid w:val="00F31104"/>
    <w:rsid w:val="00F33E65"/>
    <w:rsid w:val="00F34E93"/>
    <w:rsid w:val="00F365AC"/>
    <w:rsid w:val="00F40C4F"/>
    <w:rsid w:val="00F4474B"/>
    <w:rsid w:val="00F477D6"/>
    <w:rsid w:val="00F513E5"/>
    <w:rsid w:val="00F5219B"/>
    <w:rsid w:val="00F53138"/>
    <w:rsid w:val="00F534C0"/>
    <w:rsid w:val="00F54930"/>
    <w:rsid w:val="00F5523B"/>
    <w:rsid w:val="00F623B6"/>
    <w:rsid w:val="00F6280F"/>
    <w:rsid w:val="00F62819"/>
    <w:rsid w:val="00F6394B"/>
    <w:rsid w:val="00F6653B"/>
    <w:rsid w:val="00F708D9"/>
    <w:rsid w:val="00F71055"/>
    <w:rsid w:val="00F720FB"/>
    <w:rsid w:val="00F721C2"/>
    <w:rsid w:val="00F73405"/>
    <w:rsid w:val="00F80602"/>
    <w:rsid w:val="00F81376"/>
    <w:rsid w:val="00F84C20"/>
    <w:rsid w:val="00F85FF6"/>
    <w:rsid w:val="00F92112"/>
    <w:rsid w:val="00F9230A"/>
    <w:rsid w:val="00F92366"/>
    <w:rsid w:val="00F92753"/>
    <w:rsid w:val="00F92A52"/>
    <w:rsid w:val="00F946C8"/>
    <w:rsid w:val="00F9598E"/>
    <w:rsid w:val="00F96B32"/>
    <w:rsid w:val="00F9735A"/>
    <w:rsid w:val="00FA42F4"/>
    <w:rsid w:val="00FA58CB"/>
    <w:rsid w:val="00FA6502"/>
    <w:rsid w:val="00FA6747"/>
    <w:rsid w:val="00FB0730"/>
    <w:rsid w:val="00FB0BC1"/>
    <w:rsid w:val="00FB14A0"/>
    <w:rsid w:val="00FB4941"/>
    <w:rsid w:val="00FB4E4A"/>
    <w:rsid w:val="00FB6D3A"/>
    <w:rsid w:val="00FB7924"/>
    <w:rsid w:val="00FB7F35"/>
    <w:rsid w:val="00FC11D6"/>
    <w:rsid w:val="00FC3BEC"/>
    <w:rsid w:val="00FC48DD"/>
    <w:rsid w:val="00FC569E"/>
    <w:rsid w:val="00FC67E5"/>
    <w:rsid w:val="00FC6BFF"/>
    <w:rsid w:val="00FD04EB"/>
    <w:rsid w:val="00FD1036"/>
    <w:rsid w:val="00FD131D"/>
    <w:rsid w:val="00FD171D"/>
    <w:rsid w:val="00FD2A03"/>
    <w:rsid w:val="00FD5177"/>
    <w:rsid w:val="00FD7CFF"/>
    <w:rsid w:val="00FD7DD6"/>
    <w:rsid w:val="00FE3284"/>
    <w:rsid w:val="00FE35E1"/>
    <w:rsid w:val="00FE6D86"/>
    <w:rsid w:val="00FF0DA7"/>
    <w:rsid w:val="00FF3276"/>
    <w:rsid w:val="00FF5B26"/>
    <w:rsid w:val="00FF69CB"/>
    <w:rsid w:val="00FF7F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440D39D"/>
  <w15:docId w15:val="{9C067B95-2102-4E30-B30F-8C1E4B64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Bullets,List Paragraph1,Akapit z listą BS,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Bullets Char,List Paragraph1 Char,Akapit z listą BS Char,WB Par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paragraph" w:customStyle="1" w:styleId="Char2">
    <w:name w:val="Char2"/>
    <w:basedOn w:val="Normal"/>
    <w:link w:val="FootnoteReference"/>
    <w:uiPriority w:val="99"/>
    <w:rsid w:val="0030144D"/>
    <w:pPr>
      <w:spacing w:after="160" w:line="240" w:lineRule="exact"/>
    </w:pPr>
    <w:rPr>
      <w:vertAlign w:val="superscript"/>
      <w:lang w:val="en-GB" w:eastAsia="en-GB"/>
    </w:rPr>
  </w:style>
  <w:style w:type="numbering" w:customStyle="1" w:styleId="NoList1">
    <w:name w:val="No List1"/>
    <w:next w:val="NoList"/>
    <w:uiPriority w:val="99"/>
    <w:semiHidden/>
    <w:unhideWhenUsed/>
    <w:rsid w:val="000A59A8"/>
  </w:style>
  <w:style w:type="character" w:customStyle="1" w:styleId="BalloonTextChar">
    <w:name w:val="Balloon Text Char"/>
    <w:basedOn w:val="DefaultParagraphFont"/>
    <w:link w:val="BalloonText"/>
    <w:uiPriority w:val="99"/>
    <w:semiHidden/>
    <w:rsid w:val="000A59A8"/>
    <w:rPr>
      <w:rFonts w:ascii="Tahoma" w:hAnsi="Tahoma" w:cs="Tahoma"/>
      <w:sz w:val="16"/>
      <w:szCs w:val="16"/>
      <w:lang w:val="en-US" w:eastAsia="en-US"/>
    </w:rPr>
  </w:style>
  <w:style w:type="paragraph" w:customStyle="1" w:styleId="EndnoteText1">
    <w:name w:val="Endnote Text1"/>
    <w:basedOn w:val="Normal"/>
    <w:next w:val="EndnoteText"/>
    <w:link w:val="EndnoteTextChar"/>
    <w:uiPriority w:val="99"/>
    <w:semiHidden/>
    <w:unhideWhenUsed/>
    <w:rsid w:val="000A59A8"/>
    <w:rPr>
      <w:lang w:val="en-GB" w:eastAsia="en-GB"/>
    </w:rPr>
  </w:style>
  <w:style w:type="character" w:customStyle="1" w:styleId="EndnoteTextChar">
    <w:name w:val="Endnote Text Char"/>
    <w:basedOn w:val="DefaultParagraphFont"/>
    <w:link w:val="EndnoteText1"/>
    <w:uiPriority w:val="99"/>
    <w:semiHidden/>
    <w:rsid w:val="000A59A8"/>
    <w:rPr>
      <w:sz w:val="20"/>
      <w:szCs w:val="20"/>
    </w:rPr>
  </w:style>
  <w:style w:type="character" w:styleId="EndnoteReference">
    <w:name w:val="endnote reference"/>
    <w:basedOn w:val="DefaultParagraphFont"/>
    <w:uiPriority w:val="99"/>
    <w:semiHidden/>
    <w:unhideWhenUsed/>
    <w:rsid w:val="000A59A8"/>
    <w:rPr>
      <w:vertAlign w:val="superscript"/>
    </w:rPr>
  </w:style>
  <w:style w:type="character" w:customStyle="1" w:styleId="apple-tab-span">
    <w:name w:val="apple-tab-span"/>
    <w:basedOn w:val="DefaultParagraphFont"/>
    <w:rsid w:val="000A59A8"/>
  </w:style>
  <w:style w:type="character" w:customStyle="1" w:styleId="FollowedHyperlink1">
    <w:name w:val="FollowedHyperlink1"/>
    <w:basedOn w:val="DefaultParagraphFont"/>
    <w:uiPriority w:val="99"/>
    <w:semiHidden/>
    <w:unhideWhenUsed/>
    <w:rsid w:val="000A59A8"/>
    <w:rPr>
      <w:color w:val="954F72"/>
      <w:u w:val="single"/>
    </w:rPr>
  </w:style>
  <w:style w:type="paragraph" w:styleId="EndnoteText">
    <w:name w:val="endnote text"/>
    <w:basedOn w:val="Normal"/>
    <w:link w:val="EndnoteTextChar1"/>
    <w:semiHidden/>
    <w:unhideWhenUsed/>
    <w:rsid w:val="000A59A8"/>
  </w:style>
  <w:style w:type="character" w:customStyle="1" w:styleId="EndnoteTextChar1">
    <w:name w:val="Endnote Text Char1"/>
    <w:basedOn w:val="DefaultParagraphFont"/>
    <w:link w:val="EndnoteText"/>
    <w:semiHidden/>
    <w:rsid w:val="000A59A8"/>
    <w:rPr>
      <w:lang w:val="en-US" w:eastAsia="en-US"/>
    </w:rPr>
  </w:style>
  <w:style w:type="character" w:styleId="FollowedHyperlink">
    <w:name w:val="FollowedHyperlink"/>
    <w:basedOn w:val="DefaultParagraphFont"/>
    <w:semiHidden/>
    <w:unhideWhenUsed/>
    <w:rsid w:val="000A5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79115668">
      <w:bodyDiv w:val="1"/>
      <w:marLeft w:val="0"/>
      <w:marRight w:val="0"/>
      <w:marTop w:val="0"/>
      <w:marBottom w:val="0"/>
      <w:divBdr>
        <w:top w:val="none" w:sz="0" w:space="0" w:color="auto"/>
        <w:left w:val="none" w:sz="0" w:space="0" w:color="auto"/>
        <w:bottom w:val="none" w:sz="0" w:space="0" w:color="auto"/>
        <w:right w:val="none" w:sz="0" w:space="0" w:color="auto"/>
      </w:divBdr>
    </w:div>
    <w:div w:id="68035689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7725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freedomhouse.org/report/nations-transit-2015/methodology"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nfo.undp.org/global/popp/rma/Pages/internal-control-framework.aspx"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undp.org/content/undp/en/home/operations/accountability/programme_and_operationspoliciesandprocedures.html" TargetMode="External"/><Relationship Id="rId27" Type="http://schemas.openxmlformats.org/officeDocument/2006/relationships/hyperlink" Target="http://worldjusticeproject.org/rule-of-law-index" TargetMode="External"/><Relationship Id="rId30"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europeandcis.undp.org/blog/2013/02/13/albania-young-people-talk-jobs-and-what-they-want-post2015/" TargetMode="External"/><Relationship Id="rId2" Type="http://schemas.openxmlformats.org/officeDocument/2006/relationships/hyperlink" Target="http://www.ceshtjetvendore.gov.al/files/pages_files/15-04-20-02-59-36Decentralisation_Strategy_Final_-_Feb_2015_-_English.pdf" TargetMode="External"/><Relationship Id="rId1" Type="http://schemas.openxmlformats.org/officeDocument/2006/relationships/hyperlink" Target="http://ec.europa.eu/eurostat/statistics-explained/index.php/Asylum_statistics" TargetMode="External"/><Relationship Id="rId4" Type="http://schemas.openxmlformats.org/officeDocument/2006/relationships/hyperlink" Target="http://akzm.gov.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91E92F1B-8025-45E2-8977-94A401F7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6434</Words>
  <Characters>36678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43026</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4</cp:revision>
  <cp:lastPrinted>2016-05-04T20:48:00Z</cp:lastPrinted>
  <dcterms:created xsi:type="dcterms:W3CDTF">2016-06-07T18:29:00Z</dcterms:created>
  <dcterms:modified xsi:type="dcterms:W3CDTF">2016-06-07T18:30:00Z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