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63DC5" w14:textId="77777777" w:rsidR="00190D29" w:rsidRPr="0003657F" w:rsidRDefault="00190D29" w:rsidP="00190D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03657F">
        <w:rPr>
          <w:b/>
          <w:color w:val="000000"/>
          <w:lang w:val="en-GB"/>
        </w:rPr>
        <w:t>Second regular session 2016</w:t>
      </w:r>
    </w:p>
    <w:p w14:paraId="4B2C9A17" w14:textId="77777777" w:rsidR="00190D29" w:rsidRPr="0003657F" w:rsidRDefault="00190D29" w:rsidP="00190D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3657F">
        <w:rPr>
          <w:color w:val="000000"/>
          <w:lang w:val="en-GB"/>
        </w:rPr>
        <w:t>6-9 and 13 September 2016, New York</w:t>
      </w:r>
    </w:p>
    <w:p w14:paraId="092030F0" w14:textId="77777777" w:rsidR="00190D29" w:rsidRPr="0003657F" w:rsidRDefault="00190D29" w:rsidP="00190D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3657F">
        <w:rPr>
          <w:color w:val="000000"/>
          <w:lang w:val="en-GB"/>
        </w:rPr>
        <w:t>Item x of the provisional agenda</w:t>
      </w:r>
    </w:p>
    <w:p w14:paraId="33020CBA" w14:textId="77777777" w:rsidR="00190D29" w:rsidRPr="0003657F" w:rsidRDefault="00190D29" w:rsidP="00190D29">
      <w:pPr>
        <w:ind w:right="1260"/>
        <w:rPr>
          <w:b/>
          <w:color w:val="000000"/>
          <w:lang w:val="en-GB"/>
        </w:rPr>
      </w:pPr>
      <w:r w:rsidRPr="0003657F">
        <w:rPr>
          <w:b/>
          <w:color w:val="000000"/>
          <w:lang w:val="en-GB"/>
        </w:rPr>
        <w:t>Country programmes and related matters</w:t>
      </w:r>
    </w:p>
    <w:p w14:paraId="70AF157B" w14:textId="77777777" w:rsidR="00190D29" w:rsidRPr="0035173D" w:rsidRDefault="00190D29" w:rsidP="00190D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7D80EB1" w14:textId="77777777" w:rsidR="00190D29" w:rsidRPr="0035173D" w:rsidRDefault="00190D29" w:rsidP="00190D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6B84B49" w14:textId="77777777" w:rsidR="00190D29" w:rsidRPr="0035173D" w:rsidRDefault="00190D29" w:rsidP="00190D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72CDEB9" w14:textId="77777777" w:rsidR="00190D29" w:rsidRPr="0035173D" w:rsidRDefault="00190D29" w:rsidP="00190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3F6949AE" w14:textId="77777777" w:rsidR="00190D29" w:rsidRPr="0035173D" w:rsidRDefault="00190D29" w:rsidP="00190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35173D">
        <w:rPr>
          <w:b/>
          <w:color w:val="000000"/>
          <w:spacing w:val="-2"/>
          <w:w w:val="103"/>
          <w:kern w:val="14"/>
          <w:sz w:val="28"/>
          <w:lang w:val="en-GB"/>
        </w:rPr>
        <w:t>Draft country programme document for Mongolia (2017-2021)</w:t>
      </w:r>
    </w:p>
    <w:p w14:paraId="453C7652" w14:textId="77777777" w:rsidR="00190D29" w:rsidRPr="0035173D" w:rsidRDefault="00190D29" w:rsidP="00190D29">
      <w:pPr>
        <w:rPr>
          <w:lang w:val="en-GB"/>
        </w:rPr>
      </w:pPr>
    </w:p>
    <w:p w14:paraId="3B940706" w14:textId="77777777" w:rsidR="00190D29" w:rsidRPr="0003657F" w:rsidRDefault="00190D29" w:rsidP="00190D29">
      <w:pPr>
        <w:tabs>
          <w:tab w:val="left" w:pos="1620"/>
        </w:tabs>
        <w:rPr>
          <w:lang w:val="en-GB"/>
        </w:rPr>
      </w:pPr>
    </w:p>
    <w:p w14:paraId="38DE45D9" w14:textId="77777777" w:rsidR="00190D29" w:rsidRPr="0035173D" w:rsidRDefault="00190D29" w:rsidP="00190D2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35173D">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190D29" w:rsidRPr="0035173D" w14:paraId="0FC48466" w14:textId="77777777" w:rsidTr="00DD7C65">
        <w:tc>
          <w:tcPr>
            <w:tcW w:w="1060" w:type="dxa"/>
            <w:shd w:val="clear" w:color="auto" w:fill="auto"/>
          </w:tcPr>
          <w:p w14:paraId="422A7969" w14:textId="77777777" w:rsidR="00190D29" w:rsidRPr="0035173D" w:rsidRDefault="00190D29" w:rsidP="00190D29">
            <w:pPr>
              <w:tabs>
                <w:tab w:val="left" w:pos="1620"/>
              </w:tabs>
              <w:suppressAutoHyphens/>
              <w:spacing w:after="120"/>
              <w:jc w:val="right"/>
              <w:rPr>
                <w:i/>
                <w:spacing w:val="4"/>
                <w:w w:val="103"/>
                <w:kern w:val="14"/>
                <w:sz w:val="14"/>
                <w:lang w:val="en-GB"/>
              </w:rPr>
            </w:pPr>
          </w:p>
        </w:tc>
        <w:tc>
          <w:tcPr>
            <w:tcW w:w="8300" w:type="dxa"/>
            <w:shd w:val="clear" w:color="auto" w:fill="auto"/>
          </w:tcPr>
          <w:p w14:paraId="72809A57" w14:textId="77777777" w:rsidR="00190D29" w:rsidRPr="0035173D" w:rsidRDefault="00190D29" w:rsidP="00190D29">
            <w:pPr>
              <w:tabs>
                <w:tab w:val="left" w:pos="1620"/>
              </w:tabs>
              <w:suppressAutoHyphens/>
              <w:spacing w:after="120"/>
              <w:rPr>
                <w:i/>
                <w:spacing w:val="4"/>
                <w:w w:val="103"/>
                <w:kern w:val="14"/>
                <w:sz w:val="14"/>
                <w:lang w:val="en-GB"/>
              </w:rPr>
            </w:pPr>
          </w:p>
        </w:tc>
        <w:tc>
          <w:tcPr>
            <w:tcW w:w="542" w:type="dxa"/>
            <w:gridSpan w:val="2"/>
            <w:shd w:val="clear" w:color="auto" w:fill="auto"/>
          </w:tcPr>
          <w:p w14:paraId="4AADFCB5" w14:textId="77777777" w:rsidR="00190D29" w:rsidRPr="0035173D" w:rsidRDefault="00190D29" w:rsidP="00190D29">
            <w:pPr>
              <w:tabs>
                <w:tab w:val="left" w:pos="1620"/>
              </w:tabs>
              <w:suppressAutoHyphens/>
              <w:spacing w:after="120"/>
              <w:jc w:val="right"/>
              <w:rPr>
                <w:i/>
                <w:spacing w:val="4"/>
                <w:w w:val="103"/>
                <w:kern w:val="14"/>
                <w:sz w:val="14"/>
                <w:lang w:val="en-GB"/>
              </w:rPr>
            </w:pPr>
            <w:r w:rsidRPr="0035173D">
              <w:rPr>
                <w:i/>
                <w:spacing w:val="4"/>
                <w:w w:val="103"/>
                <w:kern w:val="14"/>
                <w:sz w:val="14"/>
                <w:lang w:val="en-GB"/>
              </w:rPr>
              <w:t>Page</w:t>
            </w:r>
          </w:p>
        </w:tc>
      </w:tr>
      <w:tr w:rsidR="00190D29" w:rsidRPr="0035173D" w14:paraId="66781D63" w14:textId="77777777" w:rsidTr="00DD7C65">
        <w:tc>
          <w:tcPr>
            <w:tcW w:w="9360" w:type="dxa"/>
            <w:gridSpan w:val="2"/>
            <w:shd w:val="clear" w:color="auto" w:fill="auto"/>
          </w:tcPr>
          <w:p w14:paraId="0117EBF7" w14:textId="77777777" w:rsidR="00190D29" w:rsidRPr="0035173D" w:rsidRDefault="00190D29" w:rsidP="00190D29">
            <w:pPr>
              <w:numPr>
                <w:ilvl w:val="0"/>
                <w:numId w:val="53"/>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35173D">
              <w:rPr>
                <w:spacing w:val="4"/>
                <w:w w:val="103"/>
                <w:kern w:val="14"/>
                <w:lang w:val="en-GB"/>
              </w:rPr>
              <w:tab/>
              <w:t>Programme rationale</w:t>
            </w:r>
            <w:r w:rsidRPr="0035173D">
              <w:rPr>
                <w:spacing w:val="60"/>
                <w:w w:val="103"/>
                <w:kern w:val="14"/>
                <w:sz w:val="17"/>
                <w:lang w:val="en-GB"/>
              </w:rPr>
              <w:tab/>
            </w:r>
          </w:p>
        </w:tc>
        <w:tc>
          <w:tcPr>
            <w:tcW w:w="542" w:type="dxa"/>
            <w:gridSpan w:val="2"/>
            <w:vMerge w:val="restart"/>
            <w:shd w:val="clear" w:color="auto" w:fill="auto"/>
            <w:vAlign w:val="bottom"/>
          </w:tcPr>
          <w:p w14:paraId="0DC40AF8" w14:textId="77777777" w:rsidR="00190D29" w:rsidRPr="0035173D" w:rsidRDefault="00190D29" w:rsidP="00190D29">
            <w:pPr>
              <w:tabs>
                <w:tab w:val="left" w:pos="1620"/>
              </w:tabs>
              <w:suppressAutoHyphens/>
              <w:spacing w:after="120" w:line="240" w:lineRule="exact"/>
              <w:jc w:val="right"/>
              <w:rPr>
                <w:spacing w:val="4"/>
                <w:w w:val="103"/>
                <w:kern w:val="14"/>
                <w:lang w:val="en-GB"/>
              </w:rPr>
            </w:pPr>
            <w:r w:rsidRPr="0035173D">
              <w:rPr>
                <w:spacing w:val="4"/>
                <w:w w:val="103"/>
                <w:kern w:val="14"/>
                <w:lang w:val="en-GB"/>
              </w:rPr>
              <w:t>2</w:t>
            </w:r>
          </w:p>
          <w:p w14:paraId="34E59454" w14:textId="72D6010D" w:rsidR="00190D29" w:rsidRPr="0035173D" w:rsidRDefault="0054626B" w:rsidP="00190D29">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190D29" w:rsidRPr="0035173D" w14:paraId="778EE34B" w14:textId="77777777" w:rsidTr="00DD7C65">
        <w:tc>
          <w:tcPr>
            <w:tcW w:w="9360" w:type="dxa"/>
            <w:gridSpan w:val="2"/>
            <w:shd w:val="clear" w:color="auto" w:fill="auto"/>
          </w:tcPr>
          <w:p w14:paraId="290C505F" w14:textId="77777777" w:rsidR="00190D29" w:rsidRPr="0035173D" w:rsidRDefault="00190D29" w:rsidP="00190D29">
            <w:pPr>
              <w:numPr>
                <w:ilvl w:val="0"/>
                <w:numId w:val="53"/>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35173D">
              <w:rPr>
                <w:spacing w:val="4"/>
                <w:w w:val="103"/>
                <w:kern w:val="14"/>
                <w:lang w:val="en-GB"/>
              </w:rPr>
              <w:tab/>
              <w:t>Programme priorities and partnerships</w:t>
            </w:r>
            <w:r w:rsidRPr="0035173D">
              <w:rPr>
                <w:spacing w:val="60"/>
                <w:w w:val="103"/>
                <w:kern w:val="14"/>
                <w:sz w:val="17"/>
                <w:lang w:val="en-GB"/>
              </w:rPr>
              <w:tab/>
            </w:r>
          </w:p>
        </w:tc>
        <w:tc>
          <w:tcPr>
            <w:tcW w:w="542" w:type="dxa"/>
            <w:gridSpan w:val="2"/>
            <w:vMerge/>
            <w:shd w:val="clear" w:color="auto" w:fill="auto"/>
            <w:vAlign w:val="bottom"/>
          </w:tcPr>
          <w:p w14:paraId="58740FCC" w14:textId="77777777" w:rsidR="00190D29" w:rsidRPr="0035173D" w:rsidRDefault="00190D29" w:rsidP="00190D29">
            <w:pPr>
              <w:tabs>
                <w:tab w:val="left" w:pos="1620"/>
              </w:tabs>
              <w:suppressAutoHyphens/>
              <w:spacing w:after="120" w:line="240" w:lineRule="exact"/>
              <w:jc w:val="right"/>
              <w:rPr>
                <w:spacing w:val="4"/>
                <w:w w:val="103"/>
                <w:kern w:val="14"/>
                <w:lang w:val="en-GB"/>
              </w:rPr>
            </w:pPr>
          </w:p>
        </w:tc>
      </w:tr>
      <w:tr w:rsidR="00190D29" w:rsidRPr="0035173D" w14:paraId="57FCE37C" w14:textId="77777777" w:rsidTr="00DD7C65">
        <w:tc>
          <w:tcPr>
            <w:tcW w:w="9360" w:type="dxa"/>
            <w:gridSpan w:val="2"/>
            <w:shd w:val="clear" w:color="auto" w:fill="auto"/>
          </w:tcPr>
          <w:p w14:paraId="3FB29A73" w14:textId="77777777" w:rsidR="00190D29" w:rsidRPr="0035173D" w:rsidRDefault="00190D29" w:rsidP="00190D29">
            <w:pPr>
              <w:numPr>
                <w:ilvl w:val="0"/>
                <w:numId w:val="53"/>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35173D">
              <w:rPr>
                <w:spacing w:val="4"/>
                <w:w w:val="103"/>
                <w:kern w:val="14"/>
                <w:lang w:val="en-GB"/>
              </w:rPr>
              <w:tab/>
              <w:t>Programme and risk management</w:t>
            </w:r>
            <w:r w:rsidRPr="0035173D">
              <w:rPr>
                <w:spacing w:val="60"/>
                <w:w w:val="103"/>
                <w:kern w:val="14"/>
                <w:sz w:val="17"/>
                <w:lang w:val="en-GB"/>
              </w:rPr>
              <w:tab/>
            </w:r>
          </w:p>
        </w:tc>
        <w:tc>
          <w:tcPr>
            <w:tcW w:w="542" w:type="dxa"/>
            <w:gridSpan w:val="2"/>
            <w:vMerge w:val="restart"/>
            <w:shd w:val="clear" w:color="auto" w:fill="auto"/>
            <w:vAlign w:val="bottom"/>
          </w:tcPr>
          <w:p w14:paraId="41DBFE53" w14:textId="0E56D3F8" w:rsidR="00190D29" w:rsidRPr="0035173D" w:rsidRDefault="0054626B" w:rsidP="00190D29">
            <w:pPr>
              <w:tabs>
                <w:tab w:val="left" w:pos="1620"/>
              </w:tabs>
              <w:suppressAutoHyphens/>
              <w:spacing w:after="120" w:line="240" w:lineRule="exact"/>
              <w:jc w:val="right"/>
              <w:rPr>
                <w:spacing w:val="4"/>
                <w:w w:val="103"/>
                <w:kern w:val="14"/>
                <w:lang w:val="en-GB"/>
              </w:rPr>
            </w:pPr>
            <w:r>
              <w:rPr>
                <w:spacing w:val="4"/>
                <w:w w:val="103"/>
                <w:kern w:val="14"/>
                <w:lang w:val="en-GB"/>
              </w:rPr>
              <w:t>8</w:t>
            </w:r>
          </w:p>
          <w:p w14:paraId="2FB89A1C" w14:textId="4F8490F5" w:rsidR="00190D29" w:rsidRPr="0035173D" w:rsidRDefault="0054626B" w:rsidP="00190D29">
            <w:pPr>
              <w:tabs>
                <w:tab w:val="left" w:pos="1620"/>
              </w:tabs>
              <w:suppressAutoHyphens/>
              <w:spacing w:after="120" w:line="240" w:lineRule="exact"/>
              <w:jc w:val="right"/>
              <w:rPr>
                <w:spacing w:val="4"/>
                <w:w w:val="103"/>
                <w:kern w:val="14"/>
                <w:lang w:val="en-GB"/>
              </w:rPr>
            </w:pPr>
            <w:r>
              <w:rPr>
                <w:spacing w:val="4"/>
                <w:w w:val="103"/>
                <w:kern w:val="14"/>
                <w:lang w:val="en-GB"/>
              </w:rPr>
              <w:t>9</w:t>
            </w:r>
            <w:r w:rsidR="00190D29" w:rsidRPr="0035173D">
              <w:rPr>
                <w:spacing w:val="4"/>
                <w:w w:val="103"/>
                <w:kern w:val="14"/>
                <w:lang w:val="en-GB"/>
              </w:rPr>
              <w:t xml:space="preserve"> </w:t>
            </w:r>
          </w:p>
        </w:tc>
      </w:tr>
      <w:tr w:rsidR="00190D29" w:rsidRPr="0035173D" w14:paraId="2582A1E2" w14:textId="77777777" w:rsidTr="00DD7C65">
        <w:tc>
          <w:tcPr>
            <w:tcW w:w="9360" w:type="dxa"/>
            <w:gridSpan w:val="2"/>
            <w:shd w:val="clear" w:color="auto" w:fill="auto"/>
          </w:tcPr>
          <w:p w14:paraId="1BAFF88C" w14:textId="77777777" w:rsidR="00190D29" w:rsidRPr="0035173D" w:rsidRDefault="00190D29" w:rsidP="00190D29">
            <w:pPr>
              <w:numPr>
                <w:ilvl w:val="0"/>
                <w:numId w:val="53"/>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35173D">
              <w:rPr>
                <w:spacing w:val="4"/>
                <w:w w:val="103"/>
                <w:kern w:val="14"/>
                <w:lang w:val="en-GB"/>
              </w:rPr>
              <w:tab/>
              <w:t>Monitoring and evaluation</w:t>
            </w:r>
            <w:r w:rsidRPr="0035173D">
              <w:rPr>
                <w:spacing w:val="60"/>
                <w:w w:val="103"/>
                <w:kern w:val="14"/>
                <w:sz w:val="17"/>
                <w:lang w:val="en-GB"/>
              </w:rPr>
              <w:tab/>
            </w:r>
            <w:r w:rsidRPr="0035173D">
              <w:rPr>
                <w:spacing w:val="60"/>
                <w:w w:val="103"/>
                <w:kern w:val="14"/>
                <w:sz w:val="17"/>
                <w:lang w:val="en-GB"/>
              </w:rPr>
              <w:tab/>
            </w:r>
          </w:p>
        </w:tc>
        <w:tc>
          <w:tcPr>
            <w:tcW w:w="542" w:type="dxa"/>
            <w:gridSpan w:val="2"/>
            <w:vMerge/>
            <w:shd w:val="clear" w:color="auto" w:fill="auto"/>
            <w:vAlign w:val="bottom"/>
          </w:tcPr>
          <w:p w14:paraId="48DEC6EF" w14:textId="77777777" w:rsidR="00190D29" w:rsidRPr="0035173D" w:rsidRDefault="00190D29" w:rsidP="00190D29">
            <w:pPr>
              <w:tabs>
                <w:tab w:val="left" w:pos="1620"/>
              </w:tabs>
              <w:suppressAutoHyphens/>
              <w:spacing w:after="120" w:line="240" w:lineRule="exact"/>
              <w:jc w:val="right"/>
              <w:rPr>
                <w:spacing w:val="4"/>
                <w:w w:val="103"/>
                <w:kern w:val="14"/>
                <w:lang w:val="en-GB"/>
              </w:rPr>
            </w:pPr>
          </w:p>
        </w:tc>
      </w:tr>
      <w:tr w:rsidR="00190D29" w:rsidRPr="0035173D" w14:paraId="7AC78FDC" w14:textId="77777777" w:rsidTr="00DD7C65">
        <w:tc>
          <w:tcPr>
            <w:tcW w:w="9369" w:type="dxa"/>
            <w:gridSpan w:val="3"/>
            <w:shd w:val="clear" w:color="auto" w:fill="auto"/>
          </w:tcPr>
          <w:p w14:paraId="1F891386" w14:textId="77777777" w:rsidR="00190D29" w:rsidRPr="0035173D" w:rsidRDefault="00190D29" w:rsidP="00190D2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35173D">
              <w:rPr>
                <w:spacing w:val="4"/>
                <w:w w:val="103"/>
                <w:kern w:val="14"/>
                <w:lang w:val="en-GB"/>
              </w:rPr>
              <w:t xml:space="preserve">     Annex</w:t>
            </w:r>
          </w:p>
        </w:tc>
        <w:tc>
          <w:tcPr>
            <w:tcW w:w="533" w:type="dxa"/>
            <w:shd w:val="clear" w:color="auto" w:fill="auto"/>
            <w:vAlign w:val="bottom"/>
          </w:tcPr>
          <w:p w14:paraId="68BECCE6" w14:textId="77777777" w:rsidR="00190D29" w:rsidRPr="0035173D" w:rsidRDefault="00190D29" w:rsidP="00190D29">
            <w:pPr>
              <w:tabs>
                <w:tab w:val="left" w:pos="1620"/>
              </w:tabs>
              <w:suppressAutoHyphens/>
              <w:spacing w:after="120" w:line="240" w:lineRule="exact"/>
              <w:jc w:val="right"/>
              <w:rPr>
                <w:spacing w:val="4"/>
                <w:w w:val="103"/>
                <w:kern w:val="14"/>
                <w:lang w:val="en-GB"/>
              </w:rPr>
            </w:pPr>
          </w:p>
        </w:tc>
      </w:tr>
      <w:tr w:rsidR="00190D29" w:rsidRPr="0035173D" w14:paraId="5CEE2396" w14:textId="77777777" w:rsidTr="00DD7C65">
        <w:tc>
          <w:tcPr>
            <w:tcW w:w="9369" w:type="dxa"/>
            <w:gridSpan w:val="3"/>
            <w:shd w:val="clear" w:color="auto" w:fill="auto"/>
          </w:tcPr>
          <w:p w14:paraId="54E6D1DF" w14:textId="77777777" w:rsidR="00190D29" w:rsidRPr="0035173D" w:rsidRDefault="00190D29" w:rsidP="00190D2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35173D">
              <w:rPr>
                <w:spacing w:val="4"/>
                <w:w w:val="103"/>
                <w:kern w:val="14"/>
                <w:lang w:val="en-GB"/>
              </w:rPr>
              <w:t>Results and resources framework for Mongolia (2017-2021)</w:t>
            </w:r>
            <w:r w:rsidRPr="0035173D">
              <w:rPr>
                <w:spacing w:val="60"/>
                <w:w w:val="103"/>
                <w:kern w:val="14"/>
                <w:sz w:val="17"/>
                <w:lang w:val="en-GB"/>
              </w:rPr>
              <w:tab/>
            </w:r>
          </w:p>
        </w:tc>
        <w:tc>
          <w:tcPr>
            <w:tcW w:w="533" w:type="dxa"/>
            <w:shd w:val="clear" w:color="auto" w:fill="auto"/>
            <w:vAlign w:val="bottom"/>
          </w:tcPr>
          <w:p w14:paraId="360E4808" w14:textId="15E7E527" w:rsidR="00190D29" w:rsidRPr="0035173D" w:rsidRDefault="0054626B" w:rsidP="00190D29">
            <w:pPr>
              <w:tabs>
                <w:tab w:val="left" w:pos="1620"/>
              </w:tabs>
              <w:suppressAutoHyphens/>
              <w:spacing w:after="120" w:line="240" w:lineRule="exact"/>
              <w:jc w:val="right"/>
              <w:rPr>
                <w:spacing w:val="4"/>
                <w:w w:val="103"/>
                <w:kern w:val="14"/>
                <w:lang w:val="en-GB"/>
              </w:rPr>
            </w:pPr>
            <w:r>
              <w:rPr>
                <w:spacing w:val="4"/>
                <w:w w:val="103"/>
                <w:kern w:val="14"/>
                <w:lang w:val="en-GB"/>
              </w:rPr>
              <w:t>10</w:t>
            </w:r>
          </w:p>
        </w:tc>
      </w:tr>
    </w:tbl>
    <w:p w14:paraId="36D812AD" w14:textId="77777777" w:rsidR="00785474" w:rsidRPr="0003657F" w:rsidRDefault="00785474" w:rsidP="00D9153B">
      <w:pPr>
        <w:rPr>
          <w:rFonts w:ascii="Arial" w:hAnsi="Arial"/>
          <w:color w:val="000000"/>
          <w:spacing w:val="-2"/>
          <w:lang w:val="en-GB"/>
        </w:rPr>
      </w:pPr>
    </w:p>
    <w:p w14:paraId="1A5140E1" w14:textId="77777777" w:rsidR="00785474" w:rsidRPr="0003657F" w:rsidRDefault="00785474" w:rsidP="00D9153B">
      <w:pPr>
        <w:rPr>
          <w:color w:val="000000"/>
          <w:sz w:val="6"/>
          <w:lang w:val="en-GB"/>
        </w:rPr>
        <w:sectPr w:rsidR="00785474" w:rsidRPr="0003657F"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3A32BCE6" w14:textId="77777777" w:rsidR="00A918A7" w:rsidRPr="0003657F" w:rsidRDefault="00190D29" w:rsidP="00190D29">
      <w:pPr>
        <w:pStyle w:val="Heading2"/>
        <w:numPr>
          <w:ilvl w:val="0"/>
          <w:numId w:val="54"/>
        </w:numPr>
        <w:ind w:left="1260" w:right="1267" w:hanging="360"/>
        <w:jc w:val="both"/>
        <w:rPr>
          <w:rFonts w:ascii="Times New Roman" w:hAnsi="Times New Roman"/>
          <w:bCs/>
          <w:color w:val="000000"/>
          <w:szCs w:val="28"/>
          <w:lang w:val="en-GB"/>
        </w:rPr>
      </w:pPr>
      <w:r w:rsidRPr="0003657F">
        <w:rPr>
          <w:rFonts w:ascii="Times New Roman" w:hAnsi="Times New Roman"/>
          <w:bCs/>
          <w:color w:val="000000"/>
          <w:szCs w:val="28"/>
          <w:lang w:val="en-GB"/>
        </w:rPr>
        <w:lastRenderedPageBreak/>
        <w:t>Programme r</w:t>
      </w:r>
      <w:r w:rsidR="0059112A" w:rsidRPr="0003657F">
        <w:rPr>
          <w:rFonts w:ascii="Times New Roman" w:hAnsi="Times New Roman"/>
          <w:bCs/>
          <w:color w:val="000000"/>
          <w:szCs w:val="28"/>
          <w:lang w:val="en-GB"/>
        </w:rPr>
        <w:t>ationale</w:t>
      </w:r>
      <w:r w:rsidR="00A113D7" w:rsidRPr="0003657F">
        <w:rPr>
          <w:rFonts w:ascii="Times New Roman" w:hAnsi="Times New Roman"/>
          <w:bCs/>
          <w:color w:val="000000"/>
          <w:szCs w:val="28"/>
          <w:lang w:val="en-GB"/>
        </w:rPr>
        <w:t xml:space="preserve"> </w:t>
      </w:r>
    </w:p>
    <w:p w14:paraId="47859022" w14:textId="77777777" w:rsidR="00EC088F" w:rsidRPr="0003657F" w:rsidRDefault="00EC088F" w:rsidP="002B787D">
      <w:pPr>
        <w:tabs>
          <w:tab w:val="left" w:pos="1260"/>
        </w:tabs>
        <w:ind w:left="1260" w:right="720"/>
        <w:jc w:val="both"/>
        <w:rPr>
          <w:lang w:val="en-GB"/>
        </w:rPr>
      </w:pPr>
    </w:p>
    <w:p w14:paraId="69F73440" w14:textId="12E4FAE7" w:rsidR="00FD1082" w:rsidRPr="0003657F" w:rsidRDefault="007B6EAD" w:rsidP="00C25210">
      <w:pPr>
        <w:pStyle w:val="ListParagraph"/>
        <w:numPr>
          <w:ilvl w:val="0"/>
          <w:numId w:val="35"/>
        </w:numPr>
        <w:tabs>
          <w:tab w:val="left" w:pos="1620"/>
        </w:tabs>
        <w:spacing w:after="120"/>
        <w:ind w:left="1260" w:right="720" w:firstLine="0"/>
        <w:jc w:val="both"/>
        <w:rPr>
          <w:lang w:val="en-GB"/>
        </w:rPr>
      </w:pPr>
      <w:r w:rsidRPr="0003657F">
        <w:rPr>
          <w:lang w:val="en-GB"/>
        </w:rPr>
        <w:t xml:space="preserve">2015 marked the 25th anniversary of </w:t>
      </w:r>
      <w:r w:rsidR="00C25210" w:rsidRPr="0003657F">
        <w:rPr>
          <w:lang w:val="en-GB"/>
        </w:rPr>
        <w:t>the</w:t>
      </w:r>
      <w:r w:rsidRPr="0003657F">
        <w:rPr>
          <w:lang w:val="en-GB"/>
        </w:rPr>
        <w:t xml:space="preserve"> first democratic elections</w:t>
      </w:r>
      <w:r w:rsidR="00C25210" w:rsidRPr="0003657F">
        <w:rPr>
          <w:lang w:val="en-GB"/>
        </w:rPr>
        <w:t xml:space="preserve"> in Mongolia</w:t>
      </w:r>
      <w:r w:rsidRPr="0003657F">
        <w:rPr>
          <w:lang w:val="en-GB"/>
        </w:rPr>
        <w:t xml:space="preserve">. Today, Mongolia is widely viewed as a stable democracy and </w:t>
      </w:r>
      <w:r w:rsidR="00C25210" w:rsidRPr="0003657F">
        <w:rPr>
          <w:lang w:val="en-GB"/>
        </w:rPr>
        <w:t xml:space="preserve">a </w:t>
      </w:r>
      <w:r w:rsidRPr="0003657F">
        <w:rPr>
          <w:lang w:val="en-GB"/>
        </w:rPr>
        <w:t>free country</w:t>
      </w:r>
      <w:r w:rsidRPr="0003657F">
        <w:rPr>
          <w:rStyle w:val="FootnoteReference"/>
          <w:lang w:val="en-GB"/>
        </w:rPr>
        <w:footnoteReference w:id="1"/>
      </w:r>
      <w:r w:rsidRPr="0003657F">
        <w:rPr>
          <w:lang w:val="en-GB"/>
        </w:rPr>
        <w:t xml:space="preserve"> in which human rights are respected, the media is free, and genuine political competition exists. The next test of Mongolia</w:t>
      </w:r>
      <w:r w:rsidR="00C25210" w:rsidRPr="0003657F">
        <w:rPr>
          <w:lang w:val="en-GB"/>
        </w:rPr>
        <w:t>n</w:t>
      </w:r>
      <w:r w:rsidRPr="0003657F">
        <w:rPr>
          <w:lang w:val="en-GB"/>
        </w:rPr>
        <w:t xml:space="preserve"> democracy </w:t>
      </w:r>
      <w:r w:rsidR="00C25210" w:rsidRPr="0003657F">
        <w:rPr>
          <w:lang w:val="en-GB"/>
        </w:rPr>
        <w:t>will be whether it</w:t>
      </w:r>
      <w:r w:rsidRPr="0003657F">
        <w:rPr>
          <w:lang w:val="en-GB"/>
        </w:rPr>
        <w:t xml:space="preserve"> can transform </w:t>
      </w:r>
      <w:r w:rsidR="009E0F04" w:rsidRPr="0003657F">
        <w:rPr>
          <w:lang w:val="en-GB"/>
        </w:rPr>
        <w:t>the</w:t>
      </w:r>
      <w:r w:rsidRPr="0003657F">
        <w:rPr>
          <w:lang w:val="en-GB"/>
        </w:rPr>
        <w:t xml:space="preserve"> </w:t>
      </w:r>
      <w:r w:rsidR="009E0F04" w:rsidRPr="0003657F">
        <w:rPr>
          <w:lang w:val="en-GB"/>
        </w:rPr>
        <w:t xml:space="preserve">enormous development potential of its </w:t>
      </w:r>
      <w:r w:rsidR="001A0DBE" w:rsidRPr="0003657F">
        <w:rPr>
          <w:lang w:val="en-GB"/>
        </w:rPr>
        <w:t xml:space="preserve">vast </w:t>
      </w:r>
      <w:r w:rsidRPr="0003657F">
        <w:rPr>
          <w:lang w:val="en-GB"/>
        </w:rPr>
        <w:t>mineral wealth into inclusive</w:t>
      </w:r>
      <w:r w:rsidR="00C25210" w:rsidRPr="0003657F">
        <w:rPr>
          <w:lang w:val="en-GB"/>
        </w:rPr>
        <w:t>,</w:t>
      </w:r>
      <w:r w:rsidRPr="0003657F">
        <w:rPr>
          <w:lang w:val="en-GB"/>
        </w:rPr>
        <w:t xml:space="preserve"> sustainable growth. </w:t>
      </w:r>
      <w:r w:rsidR="001A0DBE" w:rsidRPr="0003657F">
        <w:rPr>
          <w:lang w:val="en-GB"/>
        </w:rPr>
        <w:t>Th</w:t>
      </w:r>
      <w:r w:rsidR="00C25210" w:rsidRPr="0003657F">
        <w:rPr>
          <w:lang w:val="en-GB"/>
        </w:rPr>
        <w:t>at will</w:t>
      </w:r>
      <w:r w:rsidR="001A0DBE" w:rsidRPr="0003657F">
        <w:rPr>
          <w:lang w:val="en-GB"/>
        </w:rPr>
        <w:t xml:space="preserve"> include </w:t>
      </w:r>
      <w:r w:rsidR="00FD1082" w:rsidRPr="0003657F">
        <w:rPr>
          <w:lang w:val="en-GB"/>
        </w:rPr>
        <w:t>diversifying and broadening its largely mining</w:t>
      </w:r>
      <w:r w:rsidR="00C25210" w:rsidRPr="0003657F">
        <w:rPr>
          <w:lang w:val="en-GB"/>
        </w:rPr>
        <w:t>-</w:t>
      </w:r>
      <w:r w:rsidR="00FD1082" w:rsidRPr="0003657F">
        <w:rPr>
          <w:lang w:val="en-GB"/>
        </w:rPr>
        <w:t xml:space="preserve"> and agriculture</w:t>
      </w:r>
      <w:r w:rsidR="00C25210" w:rsidRPr="0003657F">
        <w:rPr>
          <w:lang w:val="en-GB"/>
        </w:rPr>
        <w:t>-</w:t>
      </w:r>
      <w:r w:rsidR="00FD1082" w:rsidRPr="0003657F">
        <w:rPr>
          <w:lang w:val="en-GB"/>
        </w:rPr>
        <w:t xml:space="preserve">based economy. </w:t>
      </w:r>
    </w:p>
    <w:p w14:paraId="4B9C7B87" w14:textId="56E78777" w:rsidR="001A0DBE" w:rsidRPr="0003657F" w:rsidRDefault="00714DFD" w:rsidP="00C25210">
      <w:pPr>
        <w:pStyle w:val="ListParagraph"/>
        <w:numPr>
          <w:ilvl w:val="0"/>
          <w:numId w:val="35"/>
        </w:numPr>
        <w:tabs>
          <w:tab w:val="left" w:pos="1620"/>
        </w:tabs>
        <w:spacing w:after="120"/>
        <w:ind w:left="1260" w:right="720" w:firstLine="0"/>
        <w:jc w:val="both"/>
        <w:rPr>
          <w:lang w:val="en-GB"/>
        </w:rPr>
      </w:pPr>
      <w:r w:rsidRPr="0003657F">
        <w:rPr>
          <w:lang w:val="en-GB"/>
        </w:rPr>
        <w:t>Fueled</w:t>
      </w:r>
      <w:r w:rsidR="00894589" w:rsidRPr="0003657F">
        <w:rPr>
          <w:lang w:val="en-GB"/>
        </w:rPr>
        <w:t xml:space="preserve"> by a mining boom, the Mongolian economy was one of the fastest-growing in the world</w:t>
      </w:r>
      <w:r w:rsidR="0029223D">
        <w:rPr>
          <w:lang w:val="en-GB"/>
        </w:rPr>
        <w:t>, growth</w:t>
      </w:r>
      <w:r w:rsidR="00894589" w:rsidRPr="0003657F">
        <w:rPr>
          <w:lang w:val="en-GB"/>
        </w:rPr>
        <w:t xml:space="preserve"> reaching an average of 13.8 </w:t>
      </w:r>
      <w:r w:rsidR="00C25210" w:rsidRPr="0003657F">
        <w:rPr>
          <w:lang w:val="en-GB"/>
        </w:rPr>
        <w:t>per cent</w:t>
      </w:r>
      <w:r w:rsidR="00894589" w:rsidRPr="0003657F">
        <w:rPr>
          <w:lang w:val="en-GB"/>
        </w:rPr>
        <w:t xml:space="preserve"> during 2011-13. As a result, Mongolia has </w:t>
      </w:r>
      <w:r w:rsidR="006B497B" w:rsidRPr="0003657F">
        <w:rPr>
          <w:lang w:val="en-GB"/>
        </w:rPr>
        <w:t xml:space="preserve">recently </w:t>
      </w:r>
      <w:r w:rsidR="00BB0548" w:rsidRPr="0003657F">
        <w:rPr>
          <w:lang w:val="en-GB"/>
        </w:rPr>
        <w:t xml:space="preserve">transitioned </w:t>
      </w:r>
      <w:r w:rsidR="00894589" w:rsidRPr="0003657F">
        <w:rPr>
          <w:lang w:val="en-GB"/>
        </w:rPr>
        <w:t>to upper</w:t>
      </w:r>
      <w:r w:rsidR="0029223D">
        <w:rPr>
          <w:lang w:val="en-GB"/>
        </w:rPr>
        <w:t>-</w:t>
      </w:r>
      <w:r w:rsidR="00894589" w:rsidRPr="0003657F">
        <w:rPr>
          <w:lang w:val="en-GB"/>
        </w:rPr>
        <w:t>middle</w:t>
      </w:r>
      <w:r w:rsidR="0029223D">
        <w:rPr>
          <w:lang w:val="en-GB"/>
        </w:rPr>
        <w:t>-</w:t>
      </w:r>
      <w:r w:rsidR="00894589" w:rsidRPr="0003657F">
        <w:rPr>
          <w:lang w:val="en-GB"/>
        </w:rPr>
        <w:t xml:space="preserve">income country </w:t>
      </w:r>
      <w:r w:rsidR="006B497B" w:rsidRPr="0003657F">
        <w:rPr>
          <w:lang w:val="en-GB"/>
        </w:rPr>
        <w:t>status</w:t>
      </w:r>
      <w:r w:rsidR="00894589" w:rsidRPr="0003657F">
        <w:rPr>
          <w:rStyle w:val="FootnoteReference"/>
          <w:lang w:val="en-GB"/>
        </w:rPr>
        <w:footnoteReference w:id="2"/>
      </w:r>
      <w:r w:rsidR="00894589" w:rsidRPr="0003657F">
        <w:rPr>
          <w:lang w:val="en-GB"/>
        </w:rPr>
        <w:t xml:space="preserve"> and poverty has been reduced from 27.4 </w:t>
      </w:r>
      <w:r w:rsidR="00C25210" w:rsidRPr="0003657F">
        <w:rPr>
          <w:lang w:val="en-GB"/>
        </w:rPr>
        <w:t>per cent</w:t>
      </w:r>
      <w:r w:rsidR="00894589" w:rsidRPr="0003657F">
        <w:rPr>
          <w:lang w:val="en-GB"/>
        </w:rPr>
        <w:t xml:space="preserve"> in 2012 to 21.6 </w:t>
      </w:r>
      <w:r w:rsidR="00C25210" w:rsidRPr="0003657F">
        <w:rPr>
          <w:lang w:val="en-GB"/>
        </w:rPr>
        <w:t>per cent</w:t>
      </w:r>
      <w:r w:rsidR="00894589" w:rsidRPr="0003657F">
        <w:rPr>
          <w:lang w:val="en-GB"/>
        </w:rPr>
        <w:t xml:space="preserve"> in 2014</w:t>
      </w:r>
      <w:r w:rsidR="00894589" w:rsidRPr="0003657F">
        <w:rPr>
          <w:rStyle w:val="FootnoteReference"/>
          <w:lang w:val="en-GB"/>
        </w:rPr>
        <w:footnoteReference w:id="3"/>
      </w:r>
      <w:r w:rsidR="00894589" w:rsidRPr="0003657F">
        <w:rPr>
          <w:lang w:val="en-GB"/>
        </w:rPr>
        <w:t xml:space="preserve">. Mongolia is now ranked 90th </w:t>
      </w:r>
      <w:r w:rsidR="001A0DBE" w:rsidRPr="0003657F">
        <w:rPr>
          <w:lang w:val="en-GB"/>
        </w:rPr>
        <w:t xml:space="preserve">in the </w:t>
      </w:r>
      <w:r w:rsidR="00A359B5" w:rsidRPr="0003657F">
        <w:rPr>
          <w:lang w:val="en-GB"/>
        </w:rPr>
        <w:t>human development index</w:t>
      </w:r>
      <w:r w:rsidR="001A0DBE" w:rsidRPr="0003657F">
        <w:rPr>
          <w:lang w:val="en-GB"/>
        </w:rPr>
        <w:t xml:space="preserve"> </w:t>
      </w:r>
      <w:r w:rsidR="00894589" w:rsidRPr="0003657F">
        <w:rPr>
          <w:lang w:val="en-GB"/>
        </w:rPr>
        <w:t>and classified</w:t>
      </w:r>
      <w:r w:rsidR="00A359B5" w:rsidRPr="0003657F">
        <w:rPr>
          <w:lang w:val="en-GB"/>
        </w:rPr>
        <w:t>,</w:t>
      </w:r>
      <w:r w:rsidR="00894589" w:rsidRPr="0003657F">
        <w:rPr>
          <w:lang w:val="en-GB"/>
        </w:rPr>
        <w:t xml:space="preserve"> for the first time</w:t>
      </w:r>
      <w:r w:rsidR="00A359B5" w:rsidRPr="0003657F">
        <w:rPr>
          <w:lang w:val="en-GB"/>
        </w:rPr>
        <w:t>,</w:t>
      </w:r>
      <w:r w:rsidR="00894589" w:rsidRPr="0003657F">
        <w:rPr>
          <w:lang w:val="en-GB"/>
        </w:rPr>
        <w:t xml:space="preserve"> in the </w:t>
      </w:r>
      <w:r w:rsidR="00A359B5" w:rsidRPr="0003657F">
        <w:rPr>
          <w:lang w:val="en-GB"/>
        </w:rPr>
        <w:t>‘</w:t>
      </w:r>
      <w:r w:rsidR="00894589" w:rsidRPr="0003657F">
        <w:rPr>
          <w:lang w:val="en-GB"/>
        </w:rPr>
        <w:t>high human development</w:t>
      </w:r>
      <w:r w:rsidR="00A359B5" w:rsidRPr="0003657F">
        <w:rPr>
          <w:lang w:val="en-GB"/>
        </w:rPr>
        <w:t>’</w:t>
      </w:r>
      <w:r w:rsidR="00894589" w:rsidRPr="0003657F">
        <w:rPr>
          <w:lang w:val="en-GB"/>
        </w:rPr>
        <w:t xml:space="preserve"> category</w:t>
      </w:r>
      <w:r w:rsidR="00894589" w:rsidRPr="0003657F">
        <w:rPr>
          <w:rStyle w:val="FootnoteReference"/>
          <w:rFonts w:asciiTheme="minorHAnsi" w:hAnsiTheme="minorHAnsi"/>
          <w:sz w:val="22"/>
          <w:szCs w:val="22"/>
          <w:lang w:val="en-GB"/>
        </w:rPr>
        <w:footnoteReference w:id="4"/>
      </w:r>
      <w:r w:rsidR="00894589" w:rsidRPr="0003657F">
        <w:rPr>
          <w:lang w:val="en-GB"/>
        </w:rPr>
        <w:t xml:space="preserve">. </w:t>
      </w:r>
      <w:r w:rsidR="009D4F9C" w:rsidRPr="0003657F">
        <w:rPr>
          <w:lang w:val="en-GB"/>
        </w:rPr>
        <w:t>More recently, e</w:t>
      </w:r>
      <w:r w:rsidR="006A6D2F" w:rsidRPr="0003657F">
        <w:rPr>
          <w:lang w:val="en-GB"/>
        </w:rPr>
        <w:t>conomic growth</w:t>
      </w:r>
      <w:r w:rsidR="009D4F9C" w:rsidRPr="0003657F">
        <w:rPr>
          <w:lang w:val="en-GB"/>
        </w:rPr>
        <w:t xml:space="preserve"> has </w:t>
      </w:r>
      <w:r w:rsidR="006A6D2F" w:rsidRPr="0003657F">
        <w:rPr>
          <w:lang w:val="en-GB"/>
        </w:rPr>
        <w:t xml:space="preserve">weakened due to </w:t>
      </w:r>
      <w:r w:rsidR="0029223D">
        <w:rPr>
          <w:lang w:val="en-GB"/>
        </w:rPr>
        <w:t>falling</w:t>
      </w:r>
      <w:r w:rsidR="0029223D" w:rsidRPr="0003657F">
        <w:rPr>
          <w:lang w:val="en-GB"/>
        </w:rPr>
        <w:t xml:space="preserve"> </w:t>
      </w:r>
      <w:r w:rsidR="006A6D2F" w:rsidRPr="0003657F">
        <w:rPr>
          <w:lang w:val="en-GB"/>
        </w:rPr>
        <w:t>commodity prices</w:t>
      </w:r>
      <w:r w:rsidR="009D4F9C" w:rsidRPr="0003657F">
        <w:rPr>
          <w:lang w:val="en-GB"/>
        </w:rPr>
        <w:t>. T</w:t>
      </w:r>
      <w:r w:rsidR="006A6D2F" w:rsidRPr="0003657F">
        <w:rPr>
          <w:lang w:val="en-GB"/>
        </w:rPr>
        <w:t xml:space="preserve">he </w:t>
      </w:r>
      <w:r w:rsidR="0092564D" w:rsidRPr="0003657F">
        <w:rPr>
          <w:lang w:val="en-GB"/>
        </w:rPr>
        <w:t xml:space="preserve">growth rate </w:t>
      </w:r>
      <w:r w:rsidR="006A6D2F" w:rsidRPr="0003657F">
        <w:rPr>
          <w:lang w:val="en-GB"/>
        </w:rPr>
        <w:t>projection for 2016 is 0.8</w:t>
      </w:r>
      <w:r w:rsidR="00A359B5" w:rsidRPr="0003657F">
        <w:rPr>
          <w:lang w:val="en-GB"/>
        </w:rPr>
        <w:t xml:space="preserve"> per cent</w:t>
      </w:r>
      <w:r w:rsidR="006A6D2F" w:rsidRPr="0003657F">
        <w:rPr>
          <w:rStyle w:val="FootnoteReference"/>
          <w:lang w:val="en-GB"/>
        </w:rPr>
        <w:footnoteReference w:id="5"/>
      </w:r>
      <w:r w:rsidR="006A6D2F" w:rsidRPr="0003657F">
        <w:rPr>
          <w:lang w:val="en-GB"/>
        </w:rPr>
        <w:t>.</w:t>
      </w:r>
    </w:p>
    <w:p w14:paraId="4D3BC2AF" w14:textId="2C40B6DF" w:rsidR="00B05355" w:rsidRPr="0003657F" w:rsidRDefault="006A6D2F" w:rsidP="00C25210">
      <w:pPr>
        <w:pStyle w:val="ListParagraph"/>
        <w:numPr>
          <w:ilvl w:val="0"/>
          <w:numId w:val="35"/>
        </w:numPr>
        <w:tabs>
          <w:tab w:val="left" w:pos="1620"/>
        </w:tabs>
        <w:spacing w:after="120"/>
        <w:ind w:left="1260" w:right="720" w:firstLine="0"/>
        <w:jc w:val="both"/>
        <w:rPr>
          <w:lang w:val="en-GB"/>
        </w:rPr>
      </w:pPr>
      <w:r w:rsidRPr="0003657F">
        <w:rPr>
          <w:lang w:val="en-GB"/>
        </w:rPr>
        <w:t>T</w:t>
      </w:r>
      <w:r w:rsidR="00B05355" w:rsidRPr="0003657F">
        <w:rPr>
          <w:lang w:val="en-GB"/>
        </w:rPr>
        <w:t xml:space="preserve">he </w:t>
      </w:r>
      <w:r w:rsidR="005F02CB" w:rsidRPr="0003657F">
        <w:rPr>
          <w:lang w:val="en-GB"/>
        </w:rPr>
        <w:t>country</w:t>
      </w:r>
      <w:r w:rsidR="00B05355" w:rsidRPr="0003657F">
        <w:rPr>
          <w:lang w:val="en-GB"/>
        </w:rPr>
        <w:t xml:space="preserve"> fac</w:t>
      </w:r>
      <w:r w:rsidR="0029223D">
        <w:rPr>
          <w:lang w:val="en-GB"/>
        </w:rPr>
        <w:t>es</w:t>
      </w:r>
      <w:r w:rsidR="00B05355" w:rsidRPr="0003657F">
        <w:rPr>
          <w:lang w:val="en-GB"/>
        </w:rPr>
        <w:t xml:space="preserve"> challenges from persistent economic imbalances. The share of mining in </w:t>
      </w:r>
      <w:r w:rsidR="0029223D">
        <w:rPr>
          <w:lang w:val="en-GB"/>
        </w:rPr>
        <w:t>gross domestic product</w:t>
      </w:r>
      <w:r w:rsidR="00B05355" w:rsidRPr="0003657F">
        <w:rPr>
          <w:lang w:val="en-GB"/>
        </w:rPr>
        <w:t xml:space="preserve"> stands at 20 </w:t>
      </w:r>
      <w:r w:rsidR="00C25210" w:rsidRPr="0003657F">
        <w:rPr>
          <w:lang w:val="en-GB"/>
        </w:rPr>
        <w:t>per cent</w:t>
      </w:r>
      <w:r w:rsidR="00B05355" w:rsidRPr="0003657F">
        <w:rPr>
          <w:lang w:val="en-GB"/>
        </w:rPr>
        <w:t xml:space="preserve">, its share of exports is close to 90 </w:t>
      </w:r>
      <w:r w:rsidR="00C25210" w:rsidRPr="0003657F">
        <w:rPr>
          <w:lang w:val="en-GB"/>
        </w:rPr>
        <w:t>per cent</w:t>
      </w:r>
      <w:r w:rsidR="00B05355" w:rsidRPr="0003657F">
        <w:rPr>
          <w:lang w:val="en-GB"/>
        </w:rPr>
        <w:t xml:space="preserve">, and 20 </w:t>
      </w:r>
      <w:r w:rsidR="00C25210" w:rsidRPr="0003657F">
        <w:rPr>
          <w:lang w:val="en-GB"/>
        </w:rPr>
        <w:t>per cent</w:t>
      </w:r>
      <w:r w:rsidR="00B05355" w:rsidRPr="0003657F">
        <w:rPr>
          <w:lang w:val="en-GB"/>
        </w:rPr>
        <w:t xml:space="preserve"> of state revenue </w:t>
      </w:r>
      <w:r w:rsidR="003C6BF7">
        <w:rPr>
          <w:lang w:val="en-GB"/>
        </w:rPr>
        <w:t>is</w:t>
      </w:r>
      <w:r w:rsidR="003C6BF7" w:rsidRPr="0003657F">
        <w:rPr>
          <w:lang w:val="en-GB"/>
        </w:rPr>
        <w:t xml:space="preserve"> </w:t>
      </w:r>
      <w:r w:rsidR="00B05355" w:rsidRPr="0003657F">
        <w:rPr>
          <w:lang w:val="en-GB"/>
        </w:rPr>
        <w:t>directly</w:t>
      </w:r>
      <w:r w:rsidR="009D4F9C" w:rsidRPr="0003657F">
        <w:rPr>
          <w:lang w:val="en-GB"/>
        </w:rPr>
        <w:t xml:space="preserve"> derived</w:t>
      </w:r>
      <w:r w:rsidR="00B05355" w:rsidRPr="0003657F">
        <w:rPr>
          <w:lang w:val="en-GB"/>
        </w:rPr>
        <w:t xml:space="preserve"> from mining</w:t>
      </w:r>
      <w:r w:rsidR="00B05355" w:rsidRPr="0003657F">
        <w:rPr>
          <w:rStyle w:val="FootnoteReference"/>
          <w:lang w:val="en-GB"/>
        </w:rPr>
        <w:footnoteReference w:id="6"/>
      </w:r>
      <w:r w:rsidR="00B05355" w:rsidRPr="0003657F">
        <w:rPr>
          <w:lang w:val="en-GB"/>
        </w:rPr>
        <w:t xml:space="preserve">. </w:t>
      </w:r>
      <w:r w:rsidRPr="0003657F">
        <w:rPr>
          <w:lang w:val="en-GB"/>
        </w:rPr>
        <w:t>However</w:t>
      </w:r>
      <w:r w:rsidR="00B05355" w:rsidRPr="0003657F">
        <w:rPr>
          <w:lang w:val="en-GB"/>
        </w:rPr>
        <w:t xml:space="preserve">, </w:t>
      </w:r>
      <w:r w:rsidRPr="0003657F">
        <w:rPr>
          <w:lang w:val="en-GB"/>
        </w:rPr>
        <w:t xml:space="preserve">mining </w:t>
      </w:r>
      <w:r w:rsidR="00FD1082" w:rsidRPr="0003657F">
        <w:rPr>
          <w:lang w:val="en-GB"/>
        </w:rPr>
        <w:t>employs only 3.7</w:t>
      </w:r>
      <w:r w:rsidR="00A359B5" w:rsidRPr="0003657F">
        <w:rPr>
          <w:lang w:val="en-GB"/>
        </w:rPr>
        <w:t xml:space="preserve"> per cent</w:t>
      </w:r>
      <w:r w:rsidR="00FD1082" w:rsidRPr="0003657F">
        <w:rPr>
          <w:lang w:val="en-GB"/>
        </w:rPr>
        <w:t xml:space="preserve"> of the workforce and does not provide employment and livelihood opportunities for broad segments of the population</w:t>
      </w:r>
      <w:r w:rsidR="001A0DBE" w:rsidRPr="0003657F">
        <w:rPr>
          <w:lang w:val="en-GB"/>
        </w:rPr>
        <w:t>. In contrast</w:t>
      </w:r>
      <w:r w:rsidR="00FD1082" w:rsidRPr="0003657F">
        <w:rPr>
          <w:lang w:val="en-GB"/>
        </w:rPr>
        <w:t xml:space="preserve">, agriculture </w:t>
      </w:r>
      <w:r w:rsidR="0029223D">
        <w:rPr>
          <w:lang w:val="en-GB"/>
        </w:rPr>
        <w:t>represents</w:t>
      </w:r>
      <w:r w:rsidR="00FD1082" w:rsidRPr="0003657F">
        <w:rPr>
          <w:lang w:val="en-GB"/>
        </w:rPr>
        <w:t xml:space="preserve"> </w:t>
      </w:r>
      <w:r w:rsidR="00143374" w:rsidRPr="0003657F">
        <w:rPr>
          <w:lang w:val="en-GB"/>
        </w:rPr>
        <w:t>14</w:t>
      </w:r>
      <w:r w:rsidR="0029223D" w:rsidRPr="0029223D">
        <w:rPr>
          <w:lang w:val="en-GB"/>
        </w:rPr>
        <w:t> per </w:t>
      </w:r>
      <w:r w:rsidR="00A359B5" w:rsidRPr="0003657F">
        <w:rPr>
          <w:lang w:val="en-GB"/>
        </w:rPr>
        <w:t>cent</w:t>
      </w:r>
      <w:r w:rsidR="00FD1082" w:rsidRPr="0003657F">
        <w:rPr>
          <w:lang w:val="en-GB"/>
        </w:rPr>
        <w:t xml:space="preserve"> of </w:t>
      </w:r>
      <w:r w:rsidR="0029223D">
        <w:rPr>
          <w:lang w:val="en-GB"/>
        </w:rPr>
        <w:t>gross domestic product</w:t>
      </w:r>
      <w:r w:rsidR="00143374" w:rsidRPr="0003657F">
        <w:rPr>
          <w:rStyle w:val="FootnoteReference"/>
          <w:lang w:val="en-GB"/>
        </w:rPr>
        <w:footnoteReference w:id="7"/>
      </w:r>
      <w:r w:rsidR="00FD1082" w:rsidRPr="0003657F">
        <w:rPr>
          <w:lang w:val="en-GB"/>
        </w:rPr>
        <w:t xml:space="preserve"> </w:t>
      </w:r>
      <w:r w:rsidR="0029223D">
        <w:rPr>
          <w:lang w:val="en-GB"/>
        </w:rPr>
        <w:t>and</w:t>
      </w:r>
      <w:r w:rsidR="0029223D" w:rsidRPr="0003657F">
        <w:rPr>
          <w:lang w:val="en-GB"/>
        </w:rPr>
        <w:t xml:space="preserve"> </w:t>
      </w:r>
      <w:r w:rsidR="00B05355" w:rsidRPr="0003657F">
        <w:rPr>
          <w:lang w:val="en-GB"/>
        </w:rPr>
        <w:t>employs 2</w:t>
      </w:r>
      <w:r w:rsidR="00FD1082" w:rsidRPr="0003657F">
        <w:rPr>
          <w:lang w:val="en-GB"/>
        </w:rPr>
        <w:t>8</w:t>
      </w:r>
      <w:r w:rsidR="00A359B5" w:rsidRPr="0003657F">
        <w:rPr>
          <w:lang w:val="en-GB"/>
        </w:rPr>
        <w:t xml:space="preserve"> per cent</w:t>
      </w:r>
      <w:r w:rsidR="00B05355" w:rsidRPr="0003657F">
        <w:rPr>
          <w:rStyle w:val="FootnoteReference"/>
          <w:lang w:val="en-GB"/>
        </w:rPr>
        <w:footnoteReference w:id="8"/>
      </w:r>
      <w:r w:rsidR="00FD1082" w:rsidRPr="0003657F">
        <w:rPr>
          <w:lang w:val="en-GB"/>
        </w:rPr>
        <w:t xml:space="preserve"> of the population, many at subsistence levels</w:t>
      </w:r>
      <w:r w:rsidR="00B05355" w:rsidRPr="0003657F">
        <w:rPr>
          <w:lang w:val="en-GB"/>
        </w:rPr>
        <w:t xml:space="preserve">. </w:t>
      </w:r>
    </w:p>
    <w:p w14:paraId="08A888D9" w14:textId="25E4BB09" w:rsidR="004408C5" w:rsidRPr="0003657F" w:rsidRDefault="0029223D" w:rsidP="00C25210">
      <w:pPr>
        <w:pStyle w:val="ListParagraph"/>
        <w:numPr>
          <w:ilvl w:val="0"/>
          <w:numId w:val="35"/>
        </w:numPr>
        <w:tabs>
          <w:tab w:val="left" w:pos="1620"/>
        </w:tabs>
        <w:spacing w:after="120"/>
        <w:ind w:left="1260" w:right="720" w:firstLine="0"/>
        <w:jc w:val="both"/>
        <w:rPr>
          <w:lang w:val="en-GB"/>
        </w:rPr>
      </w:pPr>
      <w:r>
        <w:rPr>
          <w:lang w:val="en-GB"/>
        </w:rPr>
        <w:t>This</w:t>
      </w:r>
      <w:r w:rsidR="00306427" w:rsidRPr="0003657F">
        <w:rPr>
          <w:lang w:val="en-GB"/>
        </w:rPr>
        <w:t xml:space="preserve"> extractive</w:t>
      </w:r>
      <w:r>
        <w:rPr>
          <w:lang w:val="en-GB"/>
        </w:rPr>
        <w:t>-</w:t>
      </w:r>
      <w:r w:rsidR="00306427" w:rsidRPr="0003657F">
        <w:rPr>
          <w:lang w:val="en-GB"/>
        </w:rPr>
        <w:t xml:space="preserve"> and agricultur</w:t>
      </w:r>
      <w:r w:rsidR="001A0DBE" w:rsidRPr="0003657F">
        <w:rPr>
          <w:lang w:val="en-GB"/>
        </w:rPr>
        <w:t>e</w:t>
      </w:r>
      <w:r>
        <w:rPr>
          <w:lang w:val="en-GB"/>
        </w:rPr>
        <w:t>-</w:t>
      </w:r>
      <w:r w:rsidR="001A0DBE" w:rsidRPr="0003657F">
        <w:rPr>
          <w:lang w:val="en-GB"/>
        </w:rPr>
        <w:t>dependent economic growth model</w:t>
      </w:r>
      <w:r w:rsidR="00306427" w:rsidRPr="0003657F">
        <w:rPr>
          <w:lang w:val="en-GB"/>
        </w:rPr>
        <w:t xml:space="preserve"> puts</w:t>
      </w:r>
      <w:r w:rsidR="00370813" w:rsidRPr="0003657F">
        <w:rPr>
          <w:lang w:val="en-GB"/>
        </w:rPr>
        <w:t xml:space="preserve"> enormous</w:t>
      </w:r>
      <w:r w:rsidR="00306427" w:rsidRPr="0003657F">
        <w:rPr>
          <w:lang w:val="en-GB"/>
        </w:rPr>
        <w:t xml:space="preserve"> pressure on </w:t>
      </w:r>
      <w:r w:rsidR="00370813" w:rsidRPr="0003657F">
        <w:rPr>
          <w:lang w:val="en-GB"/>
        </w:rPr>
        <w:t xml:space="preserve">its </w:t>
      </w:r>
      <w:r w:rsidR="00306427" w:rsidRPr="0003657F">
        <w:rPr>
          <w:lang w:val="en-GB"/>
        </w:rPr>
        <w:t>ecosystems</w:t>
      </w:r>
      <w:r>
        <w:rPr>
          <w:lang w:val="en-GB"/>
        </w:rPr>
        <w:t>,</w:t>
      </w:r>
      <w:r w:rsidR="00306427" w:rsidRPr="0003657F">
        <w:rPr>
          <w:lang w:val="en-GB"/>
        </w:rPr>
        <w:t xml:space="preserve"> causing degradation of pasture</w:t>
      </w:r>
      <w:r w:rsidR="00F21AC8" w:rsidRPr="0003657F">
        <w:rPr>
          <w:lang w:val="en-GB"/>
        </w:rPr>
        <w:t>s,</w:t>
      </w:r>
      <w:r w:rsidR="00E83654" w:rsidRPr="0003657F">
        <w:rPr>
          <w:lang w:val="en-GB"/>
        </w:rPr>
        <w:t xml:space="preserve"> </w:t>
      </w:r>
      <w:r w:rsidR="00306427" w:rsidRPr="0003657F">
        <w:rPr>
          <w:lang w:val="en-GB"/>
        </w:rPr>
        <w:t>forest and water resources, habitat destruction</w:t>
      </w:r>
      <w:r w:rsidR="00F21AC8" w:rsidRPr="0003657F">
        <w:rPr>
          <w:lang w:val="en-GB"/>
        </w:rPr>
        <w:t xml:space="preserve"> and</w:t>
      </w:r>
      <w:r w:rsidR="00C56C35" w:rsidRPr="0003657F">
        <w:rPr>
          <w:lang w:val="en-GB"/>
        </w:rPr>
        <w:t xml:space="preserve"> a </w:t>
      </w:r>
      <w:r w:rsidR="00306427" w:rsidRPr="0003657F">
        <w:rPr>
          <w:lang w:val="en-GB"/>
        </w:rPr>
        <w:t>decline in biodiversity. Over 70</w:t>
      </w:r>
      <w:r w:rsidR="00A359B5" w:rsidRPr="0003657F">
        <w:rPr>
          <w:lang w:val="en-GB"/>
        </w:rPr>
        <w:t xml:space="preserve"> per cent</w:t>
      </w:r>
      <w:r w:rsidR="00306427" w:rsidRPr="0003657F">
        <w:rPr>
          <w:lang w:val="en-GB"/>
        </w:rPr>
        <w:t xml:space="preserve"> of the land is classified as degraded</w:t>
      </w:r>
      <w:r w:rsidR="00306427" w:rsidRPr="0003657F">
        <w:rPr>
          <w:rStyle w:val="FootnoteReference"/>
          <w:lang w:val="en-GB"/>
        </w:rPr>
        <w:footnoteReference w:id="9"/>
      </w:r>
      <w:r w:rsidR="00306427" w:rsidRPr="0003657F">
        <w:rPr>
          <w:lang w:val="en-GB"/>
        </w:rPr>
        <w:t>. Reinves</w:t>
      </w:r>
      <w:r w:rsidR="009D4F9C" w:rsidRPr="0003657F">
        <w:rPr>
          <w:lang w:val="en-GB"/>
        </w:rPr>
        <w:t>tment in natural capital is in</w:t>
      </w:r>
      <w:r w:rsidR="00306427" w:rsidRPr="0003657F">
        <w:rPr>
          <w:lang w:val="en-GB"/>
        </w:rPr>
        <w:t xml:space="preserve">sufficient to offset negative impacts and rural livelihoods are compromised as a result. </w:t>
      </w:r>
      <w:r w:rsidR="00370813" w:rsidRPr="0003657F">
        <w:rPr>
          <w:lang w:val="en-GB"/>
        </w:rPr>
        <w:t>Weak environmental governance is fueled by a lack of t</w:t>
      </w:r>
      <w:r w:rsidR="00853AC5" w:rsidRPr="0003657F">
        <w:rPr>
          <w:lang w:val="en-GB"/>
        </w:rPr>
        <w:t>ransparency in administrative decision</w:t>
      </w:r>
      <w:r>
        <w:rPr>
          <w:lang w:val="en-GB"/>
        </w:rPr>
        <w:t>-</w:t>
      </w:r>
      <w:r w:rsidR="00853AC5" w:rsidRPr="0003657F">
        <w:rPr>
          <w:lang w:val="en-GB"/>
        </w:rPr>
        <w:t>making with regard to issues such as land management, mining licenses, logging permits</w:t>
      </w:r>
      <w:r w:rsidR="00370813" w:rsidRPr="0003657F">
        <w:rPr>
          <w:lang w:val="en-GB"/>
        </w:rPr>
        <w:t>, and water. Moreover, mechanisms for m</w:t>
      </w:r>
      <w:r w:rsidR="00853AC5" w:rsidRPr="0003657F">
        <w:rPr>
          <w:lang w:val="en-GB"/>
        </w:rPr>
        <w:t>eaningful partic</w:t>
      </w:r>
      <w:r w:rsidR="002F144D" w:rsidRPr="0003657F">
        <w:rPr>
          <w:lang w:val="en-GB"/>
        </w:rPr>
        <w:t>ipation of citizens in decision-</w:t>
      </w:r>
      <w:r w:rsidR="00853AC5" w:rsidRPr="0003657F">
        <w:rPr>
          <w:lang w:val="en-GB"/>
        </w:rPr>
        <w:t xml:space="preserve">making </w:t>
      </w:r>
      <w:r w:rsidRPr="0003657F">
        <w:rPr>
          <w:lang w:val="en-GB"/>
        </w:rPr>
        <w:t>o</w:t>
      </w:r>
      <w:r>
        <w:rPr>
          <w:lang w:val="en-GB"/>
        </w:rPr>
        <w:t>n</w:t>
      </w:r>
      <w:r w:rsidRPr="0003657F">
        <w:rPr>
          <w:lang w:val="en-GB"/>
        </w:rPr>
        <w:t xml:space="preserve"> </w:t>
      </w:r>
      <w:r w:rsidR="00853AC5" w:rsidRPr="0003657F">
        <w:rPr>
          <w:lang w:val="en-GB"/>
        </w:rPr>
        <w:t>the use of natural resources on which their livelihoods depend</w:t>
      </w:r>
      <w:r w:rsidR="002F144D" w:rsidRPr="0003657F">
        <w:rPr>
          <w:lang w:val="en-GB"/>
        </w:rPr>
        <w:t xml:space="preserve"> are </w:t>
      </w:r>
      <w:r w:rsidR="00370813" w:rsidRPr="0003657F">
        <w:rPr>
          <w:lang w:val="en-GB"/>
        </w:rPr>
        <w:t xml:space="preserve">limited. </w:t>
      </w:r>
    </w:p>
    <w:p w14:paraId="44969512" w14:textId="5DC46B8C" w:rsidR="004408C5" w:rsidRPr="0003657F" w:rsidRDefault="009D4F9C" w:rsidP="00C25210">
      <w:pPr>
        <w:pStyle w:val="ListParagraph"/>
        <w:numPr>
          <w:ilvl w:val="0"/>
          <w:numId w:val="35"/>
        </w:numPr>
        <w:tabs>
          <w:tab w:val="left" w:pos="1620"/>
        </w:tabs>
        <w:spacing w:after="120"/>
        <w:ind w:left="1260" w:right="720" w:firstLine="0"/>
        <w:jc w:val="both"/>
        <w:rPr>
          <w:lang w:val="en-GB"/>
        </w:rPr>
      </w:pPr>
      <w:r w:rsidRPr="0003657F">
        <w:rPr>
          <w:lang w:val="en-GB"/>
        </w:rPr>
        <w:t xml:space="preserve">Mongolia is </w:t>
      </w:r>
      <w:r w:rsidR="004408C5" w:rsidRPr="0003657F">
        <w:rPr>
          <w:lang w:val="en-GB"/>
        </w:rPr>
        <w:t>hampered by a politicized civil service where elections result in vast changes of personnel, erosion of capacity and lack of continuity in policymaking. While legislation is in place for many of the critical policy areas, there is a gap translating policy objectives into</w:t>
      </w:r>
      <w:r w:rsidR="0092564D" w:rsidRPr="0003657F">
        <w:rPr>
          <w:lang w:val="en-GB"/>
        </w:rPr>
        <w:t xml:space="preserve"> standards, procedures</w:t>
      </w:r>
      <w:r w:rsidR="00F42B48" w:rsidRPr="0003657F">
        <w:rPr>
          <w:lang w:val="en-GB"/>
        </w:rPr>
        <w:t xml:space="preserve"> </w:t>
      </w:r>
      <w:r w:rsidR="004408C5" w:rsidRPr="0003657F">
        <w:rPr>
          <w:lang w:val="en-GB"/>
        </w:rPr>
        <w:t>and budget allocations</w:t>
      </w:r>
      <w:r w:rsidR="0092564D" w:rsidRPr="0003657F">
        <w:rPr>
          <w:lang w:val="en-GB"/>
        </w:rPr>
        <w:t xml:space="preserve">, </w:t>
      </w:r>
      <w:r w:rsidR="004408C5" w:rsidRPr="0003657F">
        <w:rPr>
          <w:lang w:val="en-GB"/>
        </w:rPr>
        <w:t>which would enable implementation and enforcement</w:t>
      </w:r>
      <w:r w:rsidR="0092564D" w:rsidRPr="0003657F">
        <w:rPr>
          <w:lang w:val="en-GB"/>
        </w:rPr>
        <w:t xml:space="preserve">. </w:t>
      </w:r>
      <w:r w:rsidR="004408C5" w:rsidRPr="0003657F">
        <w:rPr>
          <w:lang w:val="en-GB"/>
        </w:rPr>
        <w:t>Sectoral plans and their objectives are often not fully aligned</w:t>
      </w:r>
      <w:r w:rsidR="0029223D">
        <w:rPr>
          <w:lang w:val="en-GB"/>
        </w:rPr>
        <w:t>,</w:t>
      </w:r>
      <w:r w:rsidR="004408C5" w:rsidRPr="0003657F">
        <w:rPr>
          <w:lang w:val="en-GB"/>
        </w:rPr>
        <w:t xml:space="preserve"> producing fragmented policies with unintended contradictions.</w:t>
      </w:r>
    </w:p>
    <w:p w14:paraId="5FE19BC5" w14:textId="1A1BB021" w:rsidR="009340FB" w:rsidRPr="0003657F" w:rsidRDefault="0029223D" w:rsidP="00C25210">
      <w:pPr>
        <w:pStyle w:val="ListParagraph"/>
        <w:numPr>
          <w:ilvl w:val="0"/>
          <w:numId w:val="35"/>
        </w:numPr>
        <w:tabs>
          <w:tab w:val="left" w:pos="1620"/>
        </w:tabs>
        <w:spacing w:after="120"/>
        <w:ind w:left="1260" w:right="720" w:firstLine="0"/>
        <w:jc w:val="both"/>
        <w:rPr>
          <w:lang w:val="en-GB"/>
        </w:rPr>
      </w:pPr>
      <w:r>
        <w:rPr>
          <w:lang w:val="en-GB"/>
        </w:rPr>
        <w:t>T</w:t>
      </w:r>
      <w:r w:rsidR="004408C5" w:rsidRPr="0003657F">
        <w:rPr>
          <w:lang w:val="en-GB"/>
        </w:rPr>
        <w:t>he trust of citizens in political institutions is declining</w:t>
      </w:r>
      <w:r>
        <w:rPr>
          <w:lang w:val="en-GB"/>
        </w:rPr>
        <w:t>,</w:t>
      </w:r>
      <w:r w:rsidR="004408C5" w:rsidRPr="0003657F">
        <w:rPr>
          <w:lang w:val="en-GB"/>
        </w:rPr>
        <w:t xml:space="preserve"> as evidenced by the drop in voter turnout from 95.6</w:t>
      </w:r>
      <w:r w:rsidR="00A359B5" w:rsidRPr="0003657F">
        <w:rPr>
          <w:lang w:val="en-GB"/>
        </w:rPr>
        <w:t xml:space="preserve"> per cent</w:t>
      </w:r>
      <w:r w:rsidR="004408C5" w:rsidRPr="0003657F">
        <w:rPr>
          <w:lang w:val="en-GB"/>
        </w:rPr>
        <w:t xml:space="preserve"> in 1992 to 65.2</w:t>
      </w:r>
      <w:r w:rsidR="00A359B5" w:rsidRPr="0003657F">
        <w:rPr>
          <w:lang w:val="en-GB"/>
        </w:rPr>
        <w:t xml:space="preserve"> per cent</w:t>
      </w:r>
      <w:r w:rsidR="004408C5" w:rsidRPr="0003657F">
        <w:rPr>
          <w:lang w:val="en-GB"/>
        </w:rPr>
        <w:t xml:space="preserve"> in the last election</w:t>
      </w:r>
      <w:r w:rsidR="004408C5" w:rsidRPr="0003657F">
        <w:rPr>
          <w:rStyle w:val="FootnoteReference"/>
          <w:lang w:val="en-GB"/>
        </w:rPr>
        <w:footnoteReference w:id="10"/>
      </w:r>
      <w:r w:rsidR="004408C5" w:rsidRPr="0003657F">
        <w:rPr>
          <w:lang w:val="en-GB"/>
        </w:rPr>
        <w:t>. Disillusionment with politics seems to be particularly high among the you</w:t>
      </w:r>
      <w:r w:rsidR="00EA385C" w:rsidRPr="0003657F">
        <w:rPr>
          <w:lang w:val="en-GB"/>
        </w:rPr>
        <w:t>th</w:t>
      </w:r>
      <w:r w:rsidR="004408C5" w:rsidRPr="0003657F">
        <w:rPr>
          <w:lang w:val="en-GB"/>
        </w:rPr>
        <w:t>.</w:t>
      </w:r>
      <w:r w:rsidR="004408C5" w:rsidRPr="0003657F">
        <w:rPr>
          <w:rStyle w:val="FootnoteReference"/>
          <w:rFonts w:cs="Verdana"/>
          <w:lang w:val="en-GB"/>
        </w:rPr>
        <w:footnoteReference w:id="11"/>
      </w:r>
      <w:r w:rsidR="004408C5" w:rsidRPr="0003657F">
        <w:rPr>
          <w:lang w:val="en-GB"/>
        </w:rPr>
        <w:t xml:space="preserve"> </w:t>
      </w:r>
    </w:p>
    <w:p w14:paraId="6D21B24D" w14:textId="311B336B" w:rsidR="009340FB" w:rsidRPr="0003657F" w:rsidRDefault="009340FB" w:rsidP="00C25210">
      <w:pPr>
        <w:pStyle w:val="ListParagraph"/>
        <w:numPr>
          <w:ilvl w:val="0"/>
          <w:numId w:val="35"/>
        </w:numPr>
        <w:tabs>
          <w:tab w:val="left" w:pos="1620"/>
        </w:tabs>
        <w:spacing w:after="120"/>
        <w:ind w:left="1260" w:right="720" w:firstLine="0"/>
        <w:jc w:val="both"/>
        <w:rPr>
          <w:lang w:val="en-GB"/>
        </w:rPr>
      </w:pPr>
      <w:r w:rsidRPr="0003657F">
        <w:rPr>
          <w:lang w:val="en-GB"/>
        </w:rPr>
        <w:t xml:space="preserve">Due to its geographic location and fragile ecosystems, Mongolia is heavily affected by climate change. The frequency and magnitude of natural disasters and weather hazards (harsh </w:t>
      </w:r>
      <w:r w:rsidRPr="0003657F">
        <w:rPr>
          <w:lang w:val="en-GB"/>
        </w:rPr>
        <w:lastRenderedPageBreak/>
        <w:t xml:space="preserve">winters </w:t>
      </w:r>
      <w:r w:rsidR="00103D5C">
        <w:rPr>
          <w:lang w:val="en-GB"/>
        </w:rPr>
        <w:t>–</w:t>
      </w:r>
      <w:r w:rsidRPr="0003657F">
        <w:rPr>
          <w:lang w:val="en-GB"/>
        </w:rPr>
        <w:t xml:space="preserve"> </w:t>
      </w:r>
      <w:r w:rsidRPr="0003657F">
        <w:rPr>
          <w:i/>
          <w:lang w:val="en-GB"/>
        </w:rPr>
        <w:t>dzud</w:t>
      </w:r>
      <w:r w:rsidRPr="0003657F">
        <w:rPr>
          <w:lang w:val="en-GB"/>
        </w:rPr>
        <w:t>, snow, dust and sandstorms, forest and steppe fires and flash flood) have increased</w:t>
      </w:r>
      <w:r w:rsidRPr="0003657F">
        <w:rPr>
          <w:rStyle w:val="FootnoteReference"/>
          <w:lang w:val="en-GB"/>
        </w:rPr>
        <w:footnoteReference w:id="12"/>
      </w:r>
      <w:r w:rsidRPr="0003657F">
        <w:rPr>
          <w:lang w:val="en-GB"/>
        </w:rPr>
        <w:t>. Climate change exacerbates desertification, water scarcity and pasture degradation</w:t>
      </w:r>
      <w:r w:rsidR="00B66F6F" w:rsidRPr="0003657F">
        <w:rPr>
          <w:lang w:val="en-GB"/>
        </w:rPr>
        <w:t>,</w:t>
      </w:r>
      <w:r w:rsidR="00F4022D" w:rsidRPr="0003657F">
        <w:rPr>
          <w:lang w:val="en-GB"/>
        </w:rPr>
        <w:t xml:space="preserve"> </w:t>
      </w:r>
      <w:r w:rsidRPr="0003657F">
        <w:rPr>
          <w:lang w:val="en-GB"/>
        </w:rPr>
        <w:t xml:space="preserve">negatively </w:t>
      </w:r>
      <w:r w:rsidR="00F4022D" w:rsidRPr="0003657F">
        <w:rPr>
          <w:lang w:val="en-GB"/>
        </w:rPr>
        <w:t xml:space="preserve">affecting </w:t>
      </w:r>
      <w:r w:rsidRPr="0003657F">
        <w:rPr>
          <w:lang w:val="en-GB"/>
        </w:rPr>
        <w:t>rural livelihoods. The vulnerabilit</w:t>
      </w:r>
      <w:r w:rsidR="00F4022D" w:rsidRPr="0003657F">
        <w:rPr>
          <w:lang w:val="en-GB"/>
        </w:rPr>
        <w:t>y</w:t>
      </w:r>
      <w:r w:rsidRPr="0003657F">
        <w:rPr>
          <w:lang w:val="en-GB"/>
        </w:rPr>
        <w:t xml:space="preserve"> of populations in rural areas due to the lack of diversified livelihood opportunities and exposure to climate change drive</w:t>
      </w:r>
      <w:r w:rsidR="00EB5C0C" w:rsidRPr="0003657F">
        <w:rPr>
          <w:lang w:val="en-GB"/>
        </w:rPr>
        <w:t xml:space="preserve"> </w:t>
      </w:r>
      <w:r w:rsidRPr="0003657F">
        <w:rPr>
          <w:lang w:val="en-GB"/>
        </w:rPr>
        <w:t>migration into cities, especially Ulaanbaatar.</w:t>
      </w:r>
    </w:p>
    <w:p w14:paraId="40C216BA" w14:textId="016F0564" w:rsidR="004932C2" w:rsidRPr="0003657F" w:rsidRDefault="00B05355" w:rsidP="00C25210">
      <w:pPr>
        <w:pStyle w:val="ListParagraph"/>
        <w:numPr>
          <w:ilvl w:val="0"/>
          <w:numId w:val="35"/>
        </w:numPr>
        <w:tabs>
          <w:tab w:val="left" w:pos="1620"/>
        </w:tabs>
        <w:spacing w:after="120"/>
        <w:ind w:left="1260" w:right="720" w:firstLine="0"/>
        <w:jc w:val="both"/>
        <w:rPr>
          <w:lang w:val="en-GB"/>
        </w:rPr>
      </w:pPr>
      <w:r w:rsidRPr="0003657F">
        <w:rPr>
          <w:lang w:val="en-GB"/>
        </w:rPr>
        <w:t xml:space="preserve">Half a million Mongolians were lifted out of poverty during the implementation of the </w:t>
      </w:r>
      <w:r w:rsidR="00F4022D" w:rsidRPr="0003657F">
        <w:rPr>
          <w:lang w:val="en-GB"/>
        </w:rPr>
        <w:t>Millennium Development Goals</w:t>
      </w:r>
      <w:r w:rsidRPr="0003657F">
        <w:rPr>
          <w:rStyle w:val="FootnoteReference"/>
          <w:lang w:val="en-GB"/>
        </w:rPr>
        <w:footnoteReference w:id="13"/>
      </w:r>
      <w:r w:rsidRPr="0003657F">
        <w:rPr>
          <w:lang w:val="en-GB"/>
        </w:rPr>
        <w:t xml:space="preserve">. </w:t>
      </w:r>
      <w:r w:rsidR="00F4022D" w:rsidRPr="0003657F">
        <w:rPr>
          <w:lang w:val="en-GB"/>
        </w:rPr>
        <w:t>I</w:t>
      </w:r>
      <w:r w:rsidRPr="0003657F">
        <w:rPr>
          <w:lang w:val="en-GB"/>
        </w:rPr>
        <w:t xml:space="preserve">ncome inequality is lower than </w:t>
      </w:r>
      <w:r w:rsidR="00103D5C">
        <w:rPr>
          <w:lang w:val="en-GB"/>
        </w:rPr>
        <w:t xml:space="preserve">in </w:t>
      </w:r>
      <w:r w:rsidRPr="0003657F">
        <w:rPr>
          <w:lang w:val="en-GB"/>
        </w:rPr>
        <w:t>most of the countries in the Asia-Pacific region.</w:t>
      </w:r>
      <w:r w:rsidRPr="0003657F">
        <w:rPr>
          <w:rStyle w:val="FootnoteReference"/>
          <w:lang w:val="en-GB"/>
        </w:rPr>
        <w:footnoteReference w:id="14"/>
      </w:r>
      <w:r w:rsidR="00A853E8" w:rsidRPr="0003657F">
        <w:rPr>
          <w:lang w:val="en-GB"/>
        </w:rPr>
        <w:t xml:space="preserve"> </w:t>
      </w:r>
      <w:r w:rsidR="00103D5C">
        <w:rPr>
          <w:lang w:val="en-GB"/>
        </w:rPr>
        <w:t>O</w:t>
      </w:r>
      <w:r w:rsidR="00A853E8" w:rsidRPr="0003657F">
        <w:rPr>
          <w:lang w:val="en-GB"/>
        </w:rPr>
        <w:t xml:space="preserve">ne major </w:t>
      </w:r>
      <w:r w:rsidRPr="0003657F">
        <w:rPr>
          <w:lang w:val="en-GB"/>
        </w:rPr>
        <w:t>disparit</w:t>
      </w:r>
      <w:r w:rsidR="00A853E8" w:rsidRPr="0003657F">
        <w:rPr>
          <w:lang w:val="en-GB"/>
        </w:rPr>
        <w:t>y is the gap between urban and rural Mongolia. T</w:t>
      </w:r>
      <w:r w:rsidRPr="0003657F">
        <w:rPr>
          <w:lang w:val="en-GB"/>
        </w:rPr>
        <w:t xml:space="preserve">he poverty rate </w:t>
      </w:r>
      <w:r w:rsidR="005F02CB" w:rsidRPr="0003657F">
        <w:rPr>
          <w:lang w:val="en-GB"/>
        </w:rPr>
        <w:t>is</w:t>
      </w:r>
      <w:r w:rsidRPr="0003657F">
        <w:rPr>
          <w:lang w:val="en-GB"/>
        </w:rPr>
        <w:t xml:space="preserve"> the lowest (16.4</w:t>
      </w:r>
      <w:r w:rsidR="00A359B5" w:rsidRPr="0003657F">
        <w:rPr>
          <w:lang w:val="en-GB"/>
        </w:rPr>
        <w:t xml:space="preserve"> per cent</w:t>
      </w:r>
      <w:r w:rsidRPr="0003657F">
        <w:rPr>
          <w:lang w:val="en-GB"/>
        </w:rPr>
        <w:t>) in Ulaanbaatar and increase</w:t>
      </w:r>
      <w:r w:rsidR="00F4022D" w:rsidRPr="0003657F">
        <w:rPr>
          <w:lang w:val="en-GB"/>
        </w:rPr>
        <w:t>s</w:t>
      </w:r>
      <w:r w:rsidR="005F02CB" w:rsidRPr="0003657F">
        <w:rPr>
          <w:lang w:val="en-GB"/>
        </w:rPr>
        <w:t xml:space="preserve"> </w:t>
      </w:r>
      <w:r w:rsidR="00AB20F6">
        <w:rPr>
          <w:lang w:val="en-GB"/>
        </w:rPr>
        <w:t>with</w:t>
      </w:r>
      <w:r w:rsidR="00AB20F6" w:rsidRPr="0003657F">
        <w:rPr>
          <w:lang w:val="en-GB"/>
        </w:rPr>
        <w:t xml:space="preserve"> </w:t>
      </w:r>
      <w:r w:rsidR="005F02CB" w:rsidRPr="0003657F">
        <w:rPr>
          <w:lang w:val="en-GB"/>
        </w:rPr>
        <w:t xml:space="preserve">remoteness </w:t>
      </w:r>
      <w:r w:rsidRPr="0003657F">
        <w:rPr>
          <w:lang w:val="en-GB"/>
        </w:rPr>
        <w:t>(</w:t>
      </w:r>
      <w:r w:rsidR="00AB20F6">
        <w:rPr>
          <w:lang w:val="en-GB"/>
        </w:rPr>
        <w:t xml:space="preserve">about </w:t>
      </w:r>
      <w:r w:rsidRPr="0003657F">
        <w:rPr>
          <w:lang w:val="en-GB"/>
        </w:rPr>
        <w:t>27.9</w:t>
      </w:r>
      <w:r w:rsidR="00A359B5" w:rsidRPr="0003657F">
        <w:rPr>
          <w:lang w:val="en-GB"/>
        </w:rPr>
        <w:t xml:space="preserve"> per cent</w:t>
      </w:r>
      <w:r w:rsidRPr="0003657F">
        <w:rPr>
          <w:lang w:val="en-GB"/>
        </w:rPr>
        <w:t xml:space="preserve"> in rural </w:t>
      </w:r>
      <w:r w:rsidRPr="0003657F">
        <w:rPr>
          <w:i/>
          <w:lang w:val="en-GB"/>
        </w:rPr>
        <w:t>soums</w:t>
      </w:r>
      <w:r w:rsidR="00F4022D" w:rsidRPr="0003657F">
        <w:rPr>
          <w:lang w:val="en-GB"/>
        </w:rPr>
        <w:t>,</w:t>
      </w:r>
      <w:r w:rsidRPr="0003657F">
        <w:rPr>
          <w:lang w:val="en-GB"/>
        </w:rPr>
        <w:t>)</w:t>
      </w:r>
      <w:r w:rsidRPr="0003657F">
        <w:rPr>
          <w:rStyle w:val="FootnoteReference"/>
          <w:lang w:val="en-GB"/>
        </w:rPr>
        <w:footnoteReference w:id="15"/>
      </w:r>
      <w:r w:rsidRPr="0003657F">
        <w:rPr>
          <w:lang w:val="en-GB"/>
        </w:rPr>
        <w:t>. Over two</w:t>
      </w:r>
      <w:r w:rsidR="00F4022D" w:rsidRPr="0003657F">
        <w:rPr>
          <w:lang w:val="en-GB"/>
        </w:rPr>
        <w:t>-</w:t>
      </w:r>
      <w:r w:rsidRPr="0003657F">
        <w:rPr>
          <w:lang w:val="en-GB"/>
        </w:rPr>
        <w:t>thirds of the population</w:t>
      </w:r>
      <w:r w:rsidR="00622266" w:rsidRPr="0003657F">
        <w:rPr>
          <w:lang w:val="en-GB"/>
        </w:rPr>
        <w:t xml:space="preserve"> </w:t>
      </w:r>
      <w:r w:rsidRPr="0003657F">
        <w:rPr>
          <w:lang w:val="en-GB"/>
        </w:rPr>
        <w:t>reside in urban areas</w:t>
      </w:r>
      <w:r w:rsidR="00F4022D" w:rsidRPr="0003657F">
        <w:rPr>
          <w:lang w:val="en-GB"/>
        </w:rPr>
        <w:t>,</w:t>
      </w:r>
      <w:r w:rsidR="00622266" w:rsidRPr="0003657F">
        <w:rPr>
          <w:lang w:val="en-GB"/>
        </w:rPr>
        <w:t xml:space="preserve"> </w:t>
      </w:r>
      <w:r w:rsidR="00094149" w:rsidRPr="0003657F">
        <w:rPr>
          <w:lang w:val="en-GB"/>
        </w:rPr>
        <w:t>with an increasing share of poor people living in informal and semi-formal settlements (</w:t>
      </w:r>
      <w:r w:rsidR="00094149" w:rsidRPr="0003657F">
        <w:rPr>
          <w:i/>
          <w:lang w:val="en-GB"/>
        </w:rPr>
        <w:t>ger</w:t>
      </w:r>
      <w:r w:rsidR="00094149" w:rsidRPr="0003657F">
        <w:rPr>
          <w:lang w:val="en-GB"/>
        </w:rPr>
        <w:t xml:space="preserve"> districts). </w:t>
      </w:r>
      <w:r w:rsidR="007F27AA" w:rsidRPr="00B97A5C">
        <w:rPr>
          <w:lang w:val="en-GB"/>
        </w:rPr>
        <w:t xml:space="preserve">About half </w:t>
      </w:r>
      <w:r w:rsidR="00F4022D" w:rsidRPr="00B97A5C">
        <w:rPr>
          <w:lang w:val="en-GB"/>
        </w:rPr>
        <w:t>the</w:t>
      </w:r>
      <w:r w:rsidR="007F27AA" w:rsidRPr="00B97A5C">
        <w:rPr>
          <w:lang w:val="en-GB"/>
        </w:rPr>
        <w:t xml:space="preserve"> population lives in Ulaanbaatar and </w:t>
      </w:r>
      <w:r w:rsidR="00094149" w:rsidRPr="00B97A5C">
        <w:rPr>
          <w:lang w:val="en-GB"/>
        </w:rPr>
        <w:t>58.9</w:t>
      </w:r>
      <w:r w:rsidR="00A359B5" w:rsidRPr="00B97A5C">
        <w:rPr>
          <w:lang w:val="en-GB"/>
        </w:rPr>
        <w:t xml:space="preserve"> per cent</w:t>
      </w:r>
      <w:r w:rsidR="00094149" w:rsidRPr="00B97A5C">
        <w:rPr>
          <w:lang w:val="en-GB"/>
        </w:rPr>
        <w:t xml:space="preserve"> of </w:t>
      </w:r>
      <w:r w:rsidR="00F4022D" w:rsidRPr="00B97A5C">
        <w:rPr>
          <w:lang w:val="en-GB"/>
        </w:rPr>
        <w:t xml:space="preserve">the Ulaanbaatar </w:t>
      </w:r>
      <w:r w:rsidR="00094149" w:rsidRPr="00B97A5C">
        <w:rPr>
          <w:lang w:val="en-GB"/>
        </w:rPr>
        <w:t xml:space="preserve">population live in </w:t>
      </w:r>
      <w:r w:rsidR="00094149" w:rsidRPr="0003657F">
        <w:rPr>
          <w:i/>
          <w:lang w:val="en-GB"/>
        </w:rPr>
        <w:t>ger</w:t>
      </w:r>
      <w:r w:rsidR="00094149" w:rsidRPr="0003657F">
        <w:rPr>
          <w:lang w:val="en-GB"/>
        </w:rPr>
        <w:t xml:space="preserve"> districts</w:t>
      </w:r>
      <w:r w:rsidR="001D0A2A" w:rsidRPr="0003657F">
        <w:rPr>
          <w:lang w:val="en-GB"/>
        </w:rPr>
        <w:t>.</w:t>
      </w:r>
      <w:r w:rsidR="001D0A2A" w:rsidRPr="0003657F">
        <w:rPr>
          <w:rStyle w:val="FootnoteReference"/>
          <w:lang w:val="en-GB"/>
        </w:rPr>
        <w:footnoteReference w:id="16"/>
      </w:r>
      <w:r w:rsidR="004932C2" w:rsidRPr="0003657F">
        <w:rPr>
          <w:lang w:val="en-GB"/>
        </w:rPr>
        <w:t xml:space="preserve"> Most migrants have limited transferable skills and face difficulties in securing employment.</w:t>
      </w:r>
    </w:p>
    <w:p w14:paraId="70EEC6FE" w14:textId="722FF2E5" w:rsidR="00306427" w:rsidRPr="0003657F" w:rsidRDefault="003B5046" w:rsidP="00C25210">
      <w:pPr>
        <w:pStyle w:val="ListParagraph"/>
        <w:numPr>
          <w:ilvl w:val="0"/>
          <w:numId w:val="35"/>
        </w:numPr>
        <w:tabs>
          <w:tab w:val="left" w:pos="1620"/>
        </w:tabs>
        <w:spacing w:after="120"/>
        <w:ind w:left="1260" w:right="720" w:firstLine="0"/>
        <w:jc w:val="both"/>
        <w:rPr>
          <w:lang w:val="en-GB"/>
        </w:rPr>
      </w:pPr>
      <w:r w:rsidRPr="0003657F">
        <w:rPr>
          <w:lang w:val="en-GB"/>
        </w:rPr>
        <w:t>U</w:t>
      </w:r>
      <w:r w:rsidR="00094149" w:rsidRPr="0003657F">
        <w:rPr>
          <w:lang w:val="en-GB"/>
        </w:rPr>
        <w:t xml:space="preserve">rban </w:t>
      </w:r>
      <w:r w:rsidR="005F02CB" w:rsidRPr="0003657F">
        <w:rPr>
          <w:lang w:val="en-GB"/>
        </w:rPr>
        <w:t xml:space="preserve">public and </w:t>
      </w:r>
      <w:r w:rsidR="00B05355" w:rsidRPr="0003657F">
        <w:rPr>
          <w:lang w:val="en-GB"/>
        </w:rPr>
        <w:t>social services system</w:t>
      </w:r>
      <w:r w:rsidR="007D6190" w:rsidRPr="0003657F">
        <w:rPr>
          <w:lang w:val="en-GB"/>
        </w:rPr>
        <w:t>s</w:t>
      </w:r>
      <w:r w:rsidR="00094149" w:rsidRPr="0003657F">
        <w:rPr>
          <w:lang w:val="en-GB"/>
        </w:rPr>
        <w:t xml:space="preserve"> are under pressure and cannot deliver quality services to </w:t>
      </w:r>
      <w:r w:rsidR="00306427" w:rsidRPr="0003657F">
        <w:rPr>
          <w:lang w:val="en-GB"/>
        </w:rPr>
        <w:t xml:space="preserve">all </w:t>
      </w:r>
      <w:r w:rsidR="00094149" w:rsidRPr="0003657F">
        <w:rPr>
          <w:lang w:val="en-GB"/>
        </w:rPr>
        <w:t>people</w:t>
      </w:r>
      <w:r w:rsidR="00306427" w:rsidRPr="0003657F">
        <w:rPr>
          <w:lang w:val="en-GB"/>
        </w:rPr>
        <w:t xml:space="preserve">. This </w:t>
      </w:r>
      <w:r w:rsidRPr="0003657F">
        <w:rPr>
          <w:lang w:val="en-GB"/>
        </w:rPr>
        <w:t>leads to unequal</w:t>
      </w:r>
      <w:r w:rsidR="00306427" w:rsidRPr="0003657F">
        <w:rPr>
          <w:lang w:val="en-GB"/>
        </w:rPr>
        <w:t xml:space="preserve"> opportunities, especially </w:t>
      </w:r>
      <w:r w:rsidRPr="0003657F">
        <w:rPr>
          <w:lang w:val="en-GB"/>
        </w:rPr>
        <w:t>concerning</w:t>
      </w:r>
      <w:r w:rsidR="00306427" w:rsidRPr="0003657F">
        <w:rPr>
          <w:lang w:val="en-GB"/>
        </w:rPr>
        <w:t xml:space="preserve"> health, education, water and sanitation</w:t>
      </w:r>
      <w:r w:rsidRPr="0003657F">
        <w:rPr>
          <w:lang w:val="en-GB"/>
        </w:rPr>
        <w:t>,</w:t>
      </w:r>
      <w:r w:rsidR="00306427" w:rsidRPr="0003657F">
        <w:rPr>
          <w:lang w:val="en-GB"/>
        </w:rPr>
        <w:t xml:space="preserve"> and affordable </w:t>
      </w:r>
      <w:r w:rsidR="00115B80" w:rsidRPr="0003657F">
        <w:rPr>
          <w:lang w:val="en-GB"/>
        </w:rPr>
        <w:t xml:space="preserve">heating </w:t>
      </w:r>
      <w:r w:rsidR="00306427" w:rsidRPr="0003657F">
        <w:rPr>
          <w:lang w:val="en-GB"/>
        </w:rPr>
        <w:t>energy. Another consequence is the</w:t>
      </w:r>
      <w:r w:rsidR="00AB20F6" w:rsidRPr="00AB20F6">
        <w:rPr>
          <w:lang w:val="en-GB"/>
        </w:rPr>
        <w:t xml:space="preserve"> </w:t>
      </w:r>
      <w:r w:rsidR="00AB20F6" w:rsidRPr="00F63BB7">
        <w:rPr>
          <w:lang w:val="en-GB"/>
        </w:rPr>
        <w:t>pollution</w:t>
      </w:r>
      <w:r w:rsidR="00AB20F6">
        <w:rPr>
          <w:lang w:val="en-GB"/>
        </w:rPr>
        <w:t xml:space="preserve"> of</w:t>
      </w:r>
      <w:r w:rsidR="00306427" w:rsidRPr="0003657F">
        <w:rPr>
          <w:lang w:val="en-GB"/>
        </w:rPr>
        <w:t xml:space="preserve"> soil, water and air. Ulaanbaatar is one of the most polluted cities in the world in terms of air quality</w:t>
      </w:r>
      <w:r w:rsidRPr="0003657F">
        <w:rPr>
          <w:lang w:val="en-GB"/>
        </w:rPr>
        <w:t>,</w:t>
      </w:r>
      <w:r w:rsidR="00306427" w:rsidRPr="0003657F">
        <w:rPr>
          <w:lang w:val="en-GB"/>
        </w:rPr>
        <w:t xml:space="preserve"> expos</w:t>
      </w:r>
      <w:r w:rsidRPr="0003657F">
        <w:rPr>
          <w:lang w:val="en-GB"/>
        </w:rPr>
        <w:t>ing</w:t>
      </w:r>
      <w:r w:rsidR="00306427" w:rsidRPr="0003657F">
        <w:rPr>
          <w:lang w:val="en-GB"/>
        </w:rPr>
        <w:t xml:space="preserve"> its population, especially in the informal settlements, to serious health hazards</w:t>
      </w:r>
      <w:r w:rsidR="00306427" w:rsidRPr="0003657F">
        <w:rPr>
          <w:rStyle w:val="FootnoteReference"/>
          <w:lang w:val="en-GB"/>
        </w:rPr>
        <w:footnoteReference w:id="17"/>
      </w:r>
      <w:r w:rsidR="00306427" w:rsidRPr="0003657F">
        <w:rPr>
          <w:lang w:val="en-GB"/>
        </w:rPr>
        <w:t xml:space="preserve">. </w:t>
      </w:r>
    </w:p>
    <w:p w14:paraId="1354EDEB" w14:textId="39D3F170" w:rsidR="00141021" w:rsidRPr="0003657F" w:rsidRDefault="00141021" w:rsidP="00C25210">
      <w:pPr>
        <w:pStyle w:val="ListParagraph"/>
        <w:numPr>
          <w:ilvl w:val="0"/>
          <w:numId w:val="35"/>
        </w:numPr>
        <w:tabs>
          <w:tab w:val="left" w:pos="1260"/>
          <w:tab w:val="left" w:pos="1620"/>
          <w:tab w:val="left" w:pos="2070"/>
          <w:tab w:val="left" w:pos="2160"/>
        </w:tabs>
        <w:spacing w:after="120"/>
        <w:ind w:left="1260" w:right="720" w:firstLine="0"/>
        <w:jc w:val="both"/>
        <w:rPr>
          <w:lang w:val="en-GB"/>
        </w:rPr>
      </w:pPr>
      <w:r w:rsidRPr="0003657F">
        <w:rPr>
          <w:lang w:val="en-GB"/>
        </w:rPr>
        <w:t>Inequality has a gender dimension. Women earn less than men (</w:t>
      </w:r>
      <w:r w:rsidR="00E97C4D" w:rsidRPr="0003657F">
        <w:rPr>
          <w:lang w:val="en-GB"/>
        </w:rPr>
        <w:t xml:space="preserve">gross national income </w:t>
      </w:r>
      <w:r w:rsidRPr="0003657F">
        <w:rPr>
          <w:lang w:val="en-GB"/>
        </w:rPr>
        <w:t xml:space="preserve">per capita </w:t>
      </w:r>
      <w:r w:rsidR="00DD7C65" w:rsidRPr="0003657F">
        <w:rPr>
          <w:lang w:val="en-GB"/>
        </w:rPr>
        <w:t xml:space="preserve">purchasing power parity </w:t>
      </w:r>
      <w:r w:rsidRPr="0003657F">
        <w:rPr>
          <w:lang w:val="en-GB"/>
        </w:rPr>
        <w:t xml:space="preserve">for women </w:t>
      </w:r>
      <w:r w:rsidR="00DD7C65" w:rsidRPr="0003657F">
        <w:rPr>
          <w:lang w:val="en-GB"/>
        </w:rPr>
        <w:t xml:space="preserve">is </w:t>
      </w:r>
      <w:r w:rsidRPr="0003657F">
        <w:rPr>
          <w:lang w:val="en-GB"/>
        </w:rPr>
        <w:t>70.5</w:t>
      </w:r>
      <w:r w:rsidR="00A359B5" w:rsidRPr="0003657F">
        <w:rPr>
          <w:lang w:val="en-GB"/>
        </w:rPr>
        <w:t xml:space="preserve"> per cent</w:t>
      </w:r>
      <w:r w:rsidRPr="0003657F">
        <w:rPr>
          <w:lang w:val="en-GB"/>
        </w:rPr>
        <w:t xml:space="preserve"> that of men)</w:t>
      </w:r>
      <w:r w:rsidRPr="0003657F">
        <w:rPr>
          <w:rStyle w:val="FootnoteReference"/>
          <w:rFonts w:asciiTheme="minorHAnsi" w:hAnsiTheme="minorHAnsi"/>
          <w:lang w:val="en-GB"/>
        </w:rPr>
        <w:footnoteReference w:id="18"/>
      </w:r>
      <w:r w:rsidRPr="0003657F">
        <w:rPr>
          <w:lang w:val="en-GB"/>
        </w:rPr>
        <w:t>. Women are disproportionately concentrated in low-paying sectors and occupations</w:t>
      </w:r>
      <w:r w:rsidR="00A83EDE" w:rsidRPr="0003657F">
        <w:rPr>
          <w:rStyle w:val="FootnoteReference"/>
          <w:rFonts w:cstheme="minorHAnsi"/>
          <w:color w:val="002060"/>
          <w:lang w:val="en-GB"/>
        </w:rPr>
        <w:footnoteReference w:id="19"/>
      </w:r>
      <w:r w:rsidR="00DD7C65" w:rsidRPr="0003657F">
        <w:rPr>
          <w:lang w:val="en-GB"/>
        </w:rPr>
        <w:t>,</w:t>
      </w:r>
      <w:r w:rsidR="00A83EDE" w:rsidRPr="0003657F">
        <w:rPr>
          <w:lang w:val="en-GB"/>
        </w:rPr>
        <w:t xml:space="preserve"> and unpaid family workers are predominantly women</w:t>
      </w:r>
      <w:r w:rsidR="00A83EDE" w:rsidRPr="0003657F">
        <w:rPr>
          <w:rStyle w:val="FootnoteReference"/>
          <w:rFonts w:cstheme="minorHAnsi"/>
          <w:color w:val="002060"/>
          <w:lang w:val="en-GB"/>
        </w:rPr>
        <w:footnoteReference w:id="20"/>
      </w:r>
      <w:r w:rsidR="00F21AC8" w:rsidRPr="0003657F">
        <w:rPr>
          <w:lang w:val="en-GB"/>
        </w:rPr>
        <w:t>.</w:t>
      </w:r>
      <w:r w:rsidR="00A83EDE" w:rsidRPr="0003657F" w:rsidDel="00A83EDE">
        <w:rPr>
          <w:lang w:val="en-GB"/>
        </w:rPr>
        <w:t xml:space="preserve"> </w:t>
      </w:r>
      <w:r w:rsidRPr="0003657F">
        <w:rPr>
          <w:lang w:val="en-GB"/>
        </w:rPr>
        <w:t>Family properties are often registered under the husband’s name</w:t>
      </w:r>
      <w:r w:rsidRPr="0003657F">
        <w:rPr>
          <w:rStyle w:val="FootnoteReference"/>
          <w:rFonts w:cstheme="minorHAnsi"/>
          <w:color w:val="002060"/>
          <w:lang w:val="en-GB"/>
        </w:rPr>
        <w:footnoteReference w:id="21"/>
      </w:r>
      <w:r w:rsidRPr="0003657F">
        <w:rPr>
          <w:lang w:val="en-GB"/>
        </w:rPr>
        <w:t>. Female</w:t>
      </w:r>
      <w:r w:rsidR="00DD7C65" w:rsidRPr="0003657F">
        <w:rPr>
          <w:lang w:val="en-GB"/>
        </w:rPr>
        <w:t>-</w:t>
      </w:r>
      <w:r w:rsidRPr="0003657F">
        <w:rPr>
          <w:lang w:val="en-GB"/>
        </w:rPr>
        <w:t xml:space="preserve">headed households are especially vulnerable. </w:t>
      </w:r>
      <w:r w:rsidR="0070427B" w:rsidRPr="0003657F">
        <w:rPr>
          <w:lang w:val="en-GB"/>
        </w:rPr>
        <w:t xml:space="preserve">In </w:t>
      </w:r>
      <w:r w:rsidRPr="0003657F">
        <w:rPr>
          <w:lang w:val="en-GB"/>
        </w:rPr>
        <w:t>public life, the percentage of women in national parliament is 14.5</w:t>
      </w:r>
      <w:r w:rsidR="00A359B5" w:rsidRPr="0003657F">
        <w:rPr>
          <w:lang w:val="en-GB"/>
        </w:rPr>
        <w:t xml:space="preserve"> per cent</w:t>
      </w:r>
      <w:r w:rsidR="00DD7C65" w:rsidRPr="0003657F">
        <w:rPr>
          <w:lang w:val="en-GB"/>
        </w:rPr>
        <w:t>,</w:t>
      </w:r>
      <w:r w:rsidRPr="0003657F">
        <w:rPr>
          <w:lang w:val="en-GB"/>
        </w:rPr>
        <w:t xml:space="preserve"> which is below the world and Asia-Pacific averages of 22.9</w:t>
      </w:r>
      <w:r w:rsidR="00A359B5" w:rsidRPr="0003657F">
        <w:rPr>
          <w:lang w:val="en-GB"/>
        </w:rPr>
        <w:t xml:space="preserve"> per cent</w:t>
      </w:r>
      <w:r w:rsidRPr="0003657F">
        <w:rPr>
          <w:lang w:val="en-GB"/>
        </w:rPr>
        <w:t xml:space="preserve"> and 18.8</w:t>
      </w:r>
      <w:r w:rsidR="00A359B5" w:rsidRPr="0003657F">
        <w:rPr>
          <w:lang w:val="en-GB"/>
        </w:rPr>
        <w:t xml:space="preserve"> per cent</w:t>
      </w:r>
      <w:r w:rsidR="00DD7C65" w:rsidRPr="0003657F">
        <w:rPr>
          <w:lang w:val="en-GB"/>
        </w:rPr>
        <w:t>,</w:t>
      </w:r>
      <w:r w:rsidRPr="0003657F">
        <w:rPr>
          <w:lang w:val="en-GB"/>
        </w:rPr>
        <w:t xml:space="preserve"> respectively</w:t>
      </w:r>
      <w:r w:rsidRPr="0003657F">
        <w:rPr>
          <w:rStyle w:val="FootnoteReference"/>
          <w:lang w:val="en-GB"/>
        </w:rPr>
        <w:footnoteReference w:id="22"/>
      </w:r>
      <w:r w:rsidRPr="0003657F">
        <w:rPr>
          <w:lang w:val="en-GB"/>
        </w:rPr>
        <w:t xml:space="preserve">. </w:t>
      </w:r>
    </w:p>
    <w:p w14:paraId="3C381CB9" w14:textId="75C43991" w:rsidR="00E83654" w:rsidRPr="0003657F" w:rsidRDefault="006C36EB"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L</w:t>
      </w:r>
      <w:r w:rsidR="00E83654" w:rsidRPr="0003657F">
        <w:rPr>
          <w:lang w:val="en-GB"/>
        </w:rPr>
        <w:t>ack of economic diversification, rural poverty, vulnerability of rural livelihoods, over</w:t>
      </w:r>
      <w:r w:rsidR="00DD7C65" w:rsidRPr="0003657F">
        <w:rPr>
          <w:lang w:val="en-GB"/>
        </w:rPr>
        <w:t>-</w:t>
      </w:r>
      <w:r w:rsidR="00E83654" w:rsidRPr="0003657F">
        <w:rPr>
          <w:lang w:val="en-GB"/>
        </w:rPr>
        <w:t xml:space="preserve">exploitation of natural resources, </w:t>
      </w:r>
      <w:r w:rsidRPr="0003657F">
        <w:rPr>
          <w:lang w:val="en-GB"/>
        </w:rPr>
        <w:t xml:space="preserve">and </w:t>
      </w:r>
      <w:r w:rsidR="00E83654" w:rsidRPr="0003657F">
        <w:rPr>
          <w:lang w:val="en-GB"/>
        </w:rPr>
        <w:t xml:space="preserve">loss of livelihoods through natural hazards are closely intertwined with each other. They </w:t>
      </w:r>
      <w:r w:rsidRPr="0003657F">
        <w:rPr>
          <w:lang w:val="en-GB"/>
        </w:rPr>
        <w:t>exacerbate</w:t>
      </w:r>
      <w:r w:rsidR="00E83654" w:rsidRPr="0003657F">
        <w:rPr>
          <w:lang w:val="en-GB"/>
        </w:rPr>
        <w:t xml:space="preserve"> inequality and drive internal migration to urban areas</w:t>
      </w:r>
      <w:r w:rsidRPr="0003657F">
        <w:rPr>
          <w:lang w:val="en-GB"/>
        </w:rPr>
        <w:t>,</w:t>
      </w:r>
      <w:r w:rsidR="00E83654" w:rsidRPr="0003657F">
        <w:rPr>
          <w:lang w:val="en-GB"/>
        </w:rPr>
        <w:t xml:space="preserve"> </w:t>
      </w:r>
      <w:r w:rsidR="00430320" w:rsidRPr="0003657F">
        <w:rPr>
          <w:lang w:val="en-GB"/>
        </w:rPr>
        <w:t xml:space="preserve">resulting in </w:t>
      </w:r>
      <w:r w:rsidR="00E83654" w:rsidRPr="0003657F">
        <w:rPr>
          <w:lang w:val="en-GB"/>
        </w:rPr>
        <w:t>urbanization</w:t>
      </w:r>
      <w:r w:rsidRPr="0003657F">
        <w:rPr>
          <w:lang w:val="en-GB"/>
        </w:rPr>
        <w:t>-</w:t>
      </w:r>
      <w:r w:rsidR="00E83654" w:rsidRPr="0003657F">
        <w:rPr>
          <w:lang w:val="en-GB"/>
        </w:rPr>
        <w:t xml:space="preserve">related social and environmental challenges. </w:t>
      </w:r>
    </w:p>
    <w:p w14:paraId="4FB2C291" w14:textId="36BE8A55" w:rsidR="00E83654" w:rsidRPr="0003657F" w:rsidRDefault="00E83654"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Coherent polic</w:t>
      </w:r>
      <w:r w:rsidR="00430320" w:rsidRPr="0003657F">
        <w:rPr>
          <w:lang w:val="en-GB"/>
        </w:rPr>
        <w:t>ies</w:t>
      </w:r>
      <w:r w:rsidRPr="0003657F">
        <w:rPr>
          <w:lang w:val="en-GB"/>
        </w:rPr>
        <w:t xml:space="preserve"> and coordination among sectoral ministries are essential </w:t>
      </w:r>
      <w:r w:rsidR="006C36EB" w:rsidRPr="0003657F">
        <w:rPr>
          <w:lang w:val="en-GB"/>
        </w:rPr>
        <w:t xml:space="preserve">in </w:t>
      </w:r>
      <w:r w:rsidRPr="0003657F">
        <w:rPr>
          <w:lang w:val="en-GB"/>
        </w:rPr>
        <w:t>address</w:t>
      </w:r>
      <w:r w:rsidR="006C36EB" w:rsidRPr="0003657F">
        <w:rPr>
          <w:lang w:val="en-GB"/>
        </w:rPr>
        <w:t>ing</w:t>
      </w:r>
      <w:r w:rsidRPr="0003657F">
        <w:rPr>
          <w:lang w:val="en-GB"/>
        </w:rPr>
        <w:t xml:space="preserve"> these challenges. At </w:t>
      </w:r>
      <w:r w:rsidR="006C36EB" w:rsidRPr="0003657F">
        <w:rPr>
          <w:lang w:val="en-GB"/>
        </w:rPr>
        <w:t xml:space="preserve">the </w:t>
      </w:r>
      <w:r w:rsidRPr="0003657F">
        <w:rPr>
          <w:lang w:val="en-GB"/>
        </w:rPr>
        <w:t>national level, a policy shift is required from targeting short-term gains of resource exploitation to</w:t>
      </w:r>
      <w:r w:rsidR="006C36EB" w:rsidRPr="0003657F">
        <w:rPr>
          <w:lang w:val="en-GB"/>
        </w:rPr>
        <w:t>wards</w:t>
      </w:r>
      <w:r w:rsidRPr="0003657F">
        <w:rPr>
          <w:lang w:val="en-GB"/>
        </w:rPr>
        <w:t xml:space="preserve"> balanced</w:t>
      </w:r>
      <w:r w:rsidR="006C36EB" w:rsidRPr="0003657F">
        <w:rPr>
          <w:lang w:val="en-GB"/>
        </w:rPr>
        <w:t>,</w:t>
      </w:r>
      <w:r w:rsidRPr="0003657F">
        <w:rPr>
          <w:lang w:val="en-GB"/>
        </w:rPr>
        <w:t xml:space="preserve"> diversified economic growth</w:t>
      </w:r>
      <w:r w:rsidR="006C36EB" w:rsidRPr="0003657F">
        <w:rPr>
          <w:lang w:val="en-GB"/>
        </w:rPr>
        <w:t>,</w:t>
      </w:r>
      <w:r w:rsidRPr="0003657F">
        <w:rPr>
          <w:lang w:val="en-GB"/>
        </w:rPr>
        <w:t xml:space="preserve"> ensuring investment in natural capital. Macro-economic development policy and planning should integrate environmental sustainability and safeguard ecologically vulnerable areas. Development activities should be undertaken without compromising nature’s regenerative capacity. Health</w:t>
      </w:r>
      <w:r w:rsidR="0059632A">
        <w:rPr>
          <w:lang w:val="en-GB"/>
        </w:rPr>
        <w:t>y</w:t>
      </w:r>
      <w:r w:rsidRPr="0003657F">
        <w:rPr>
          <w:lang w:val="en-GB"/>
        </w:rPr>
        <w:t xml:space="preserve"> ecosystems providing necessary services and functions </w:t>
      </w:r>
      <w:r w:rsidR="00A83EDE" w:rsidRPr="0003657F">
        <w:rPr>
          <w:lang w:val="en-GB"/>
        </w:rPr>
        <w:t>are critical</w:t>
      </w:r>
      <w:r w:rsidRPr="0003657F">
        <w:rPr>
          <w:lang w:val="en-GB"/>
        </w:rPr>
        <w:t xml:space="preserve"> for sustaining rural livelihoods and building resilience to climate change, disaster risks and economic shocks.</w:t>
      </w:r>
    </w:p>
    <w:p w14:paraId="17DF1AF5" w14:textId="75A042AA" w:rsidR="00D95EEA" w:rsidRPr="0003657F" w:rsidRDefault="00D95EEA"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To improve </w:t>
      </w:r>
      <w:r w:rsidR="006625EF" w:rsidRPr="0003657F">
        <w:rPr>
          <w:lang w:val="en-GB"/>
        </w:rPr>
        <w:t xml:space="preserve">equitable </w:t>
      </w:r>
      <w:r w:rsidRPr="0003657F">
        <w:rPr>
          <w:lang w:val="en-GB"/>
        </w:rPr>
        <w:t xml:space="preserve">access </w:t>
      </w:r>
      <w:r w:rsidR="006625EF" w:rsidRPr="0003657F">
        <w:rPr>
          <w:lang w:val="en-GB"/>
        </w:rPr>
        <w:t xml:space="preserve">to </w:t>
      </w:r>
      <w:r w:rsidR="006C36EB" w:rsidRPr="0003657F">
        <w:rPr>
          <w:lang w:val="en-GB"/>
        </w:rPr>
        <w:t xml:space="preserve">high-quality </w:t>
      </w:r>
      <w:r w:rsidRPr="0003657F">
        <w:rPr>
          <w:lang w:val="en-GB"/>
        </w:rPr>
        <w:t>service</w:t>
      </w:r>
      <w:r w:rsidR="006625EF" w:rsidRPr="0003657F">
        <w:rPr>
          <w:lang w:val="en-GB"/>
        </w:rPr>
        <w:t>s</w:t>
      </w:r>
      <w:r w:rsidRPr="0003657F">
        <w:rPr>
          <w:lang w:val="en-GB"/>
        </w:rPr>
        <w:t xml:space="preserve"> at </w:t>
      </w:r>
      <w:r w:rsidR="006C36EB" w:rsidRPr="0003657F">
        <w:rPr>
          <w:lang w:val="en-GB"/>
        </w:rPr>
        <w:t xml:space="preserve">the </w:t>
      </w:r>
      <w:r w:rsidRPr="0003657F">
        <w:rPr>
          <w:lang w:val="en-GB"/>
        </w:rPr>
        <w:t xml:space="preserve">subnational level, </w:t>
      </w:r>
      <w:r w:rsidR="007D18CA" w:rsidRPr="0003657F">
        <w:rPr>
          <w:lang w:val="en-GB"/>
        </w:rPr>
        <w:t>continued local governance</w:t>
      </w:r>
      <w:r w:rsidRPr="0003657F">
        <w:rPr>
          <w:lang w:val="en-GB"/>
        </w:rPr>
        <w:t xml:space="preserve"> reforms are required</w:t>
      </w:r>
      <w:r w:rsidR="007D18CA" w:rsidRPr="0003657F">
        <w:rPr>
          <w:lang w:val="en-GB"/>
        </w:rPr>
        <w:t xml:space="preserve">. </w:t>
      </w:r>
      <w:r w:rsidRPr="0003657F">
        <w:rPr>
          <w:lang w:val="en-GB"/>
        </w:rPr>
        <w:t>Th</w:t>
      </w:r>
      <w:r w:rsidR="006C36EB" w:rsidRPr="0003657F">
        <w:rPr>
          <w:lang w:val="en-GB"/>
        </w:rPr>
        <w:t>ese</w:t>
      </w:r>
      <w:r w:rsidRPr="0003657F">
        <w:rPr>
          <w:lang w:val="en-GB"/>
        </w:rPr>
        <w:t xml:space="preserve"> </w:t>
      </w:r>
      <w:r w:rsidR="007D18CA" w:rsidRPr="0003657F">
        <w:rPr>
          <w:lang w:val="en-GB"/>
        </w:rPr>
        <w:t xml:space="preserve">would include a </w:t>
      </w:r>
      <w:r w:rsidRPr="0003657F">
        <w:rPr>
          <w:lang w:val="en-GB"/>
        </w:rPr>
        <w:t xml:space="preserve">delineation of powers and </w:t>
      </w:r>
      <w:r w:rsidRPr="0003657F">
        <w:rPr>
          <w:lang w:val="en-GB"/>
        </w:rPr>
        <w:lastRenderedPageBreak/>
        <w:t xml:space="preserve">functions between different levels of government, </w:t>
      </w:r>
      <w:r w:rsidR="007D18CA" w:rsidRPr="0003657F">
        <w:rPr>
          <w:lang w:val="en-GB"/>
        </w:rPr>
        <w:t>‘right</w:t>
      </w:r>
      <w:r w:rsidR="006C36EB" w:rsidRPr="0003657F">
        <w:rPr>
          <w:lang w:val="en-GB"/>
        </w:rPr>
        <w:t>-</w:t>
      </w:r>
      <w:r w:rsidR="007D18CA" w:rsidRPr="0003657F">
        <w:rPr>
          <w:lang w:val="en-GB"/>
        </w:rPr>
        <w:t xml:space="preserve">sizing’ the units of subnational government </w:t>
      </w:r>
      <w:r w:rsidR="006C36EB" w:rsidRPr="0003657F">
        <w:rPr>
          <w:lang w:val="en-GB"/>
        </w:rPr>
        <w:t>t</w:t>
      </w:r>
      <w:r w:rsidR="007D18CA" w:rsidRPr="0003657F">
        <w:rPr>
          <w:lang w:val="en-GB"/>
        </w:rPr>
        <w:t>o become financially sustainable, clarifying fiscal transfers and revenue collection at subnational level</w:t>
      </w:r>
      <w:r w:rsidR="006C36EB" w:rsidRPr="0003657F">
        <w:rPr>
          <w:lang w:val="en-GB"/>
        </w:rPr>
        <w:t>s</w:t>
      </w:r>
      <w:r w:rsidR="007D18CA" w:rsidRPr="0003657F">
        <w:rPr>
          <w:lang w:val="en-GB"/>
        </w:rPr>
        <w:t xml:space="preserve">, and </w:t>
      </w:r>
      <w:r w:rsidR="0059632A">
        <w:rPr>
          <w:lang w:val="en-GB"/>
        </w:rPr>
        <w:t>increas</w:t>
      </w:r>
      <w:r w:rsidR="0059632A" w:rsidRPr="0003657F">
        <w:rPr>
          <w:lang w:val="en-GB"/>
        </w:rPr>
        <w:t xml:space="preserve">ing </w:t>
      </w:r>
      <w:r w:rsidR="006C36EB" w:rsidRPr="0003657F">
        <w:rPr>
          <w:lang w:val="en-GB"/>
        </w:rPr>
        <w:t>the</w:t>
      </w:r>
      <w:r w:rsidRPr="0003657F">
        <w:rPr>
          <w:lang w:val="en-GB"/>
        </w:rPr>
        <w:t xml:space="preserve"> accountability of elected officials to citizens. </w:t>
      </w:r>
    </w:p>
    <w:p w14:paraId="6519DA28" w14:textId="61D141CA" w:rsidR="009340FB" w:rsidRPr="0003657F" w:rsidRDefault="009340FB"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A key factor for success </w:t>
      </w:r>
      <w:r w:rsidR="00AE137B" w:rsidRPr="0003657F">
        <w:rPr>
          <w:lang w:val="en-GB"/>
        </w:rPr>
        <w:t>will be</w:t>
      </w:r>
      <w:r w:rsidRPr="0003657F">
        <w:rPr>
          <w:lang w:val="en-GB"/>
        </w:rPr>
        <w:t xml:space="preserve"> the continued deepening of democracy and strengthening of key institutions to enable people’s voice to be taken into account in decision</w:t>
      </w:r>
      <w:r w:rsidR="00AE137B" w:rsidRPr="0003657F">
        <w:rPr>
          <w:lang w:val="en-GB"/>
        </w:rPr>
        <w:t>-</w:t>
      </w:r>
      <w:r w:rsidRPr="0003657F">
        <w:rPr>
          <w:lang w:val="en-GB"/>
        </w:rPr>
        <w:t xml:space="preserve">making and to ensure </w:t>
      </w:r>
      <w:r w:rsidR="00AE137B" w:rsidRPr="0003657F">
        <w:rPr>
          <w:lang w:val="en-GB"/>
        </w:rPr>
        <w:t>the accountability of</w:t>
      </w:r>
      <w:r w:rsidRPr="0003657F">
        <w:rPr>
          <w:lang w:val="en-GB"/>
        </w:rPr>
        <w:t xml:space="preserve"> government institutions delivering sustainable development and </w:t>
      </w:r>
      <w:r w:rsidR="0059632A">
        <w:rPr>
          <w:lang w:val="en-GB"/>
        </w:rPr>
        <w:t>vital</w:t>
      </w:r>
      <w:r w:rsidR="0059632A" w:rsidRPr="0003657F">
        <w:rPr>
          <w:lang w:val="en-GB"/>
        </w:rPr>
        <w:t xml:space="preserve"> </w:t>
      </w:r>
      <w:r w:rsidRPr="0003657F">
        <w:rPr>
          <w:lang w:val="en-GB"/>
        </w:rPr>
        <w:t xml:space="preserve">services. Rebuilding trust in political institutions and changing citizens’ view of their government </w:t>
      </w:r>
      <w:r w:rsidR="00AE137B" w:rsidRPr="0003657F">
        <w:rPr>
          <w:lang w:val="en-GB"/>
        </w:rPr>
        <w:t xml:space="preserve">as </w:t>
      </w:r>
      <w:r w:rsidR="0059632A">
        <w:rPr>
          <w:lang w:val="en-GB"/>
        </w:rPr>
        <w:t>be</w:t>
      </w:r>
      <w:r w:rsidR="0059632A" w:rsidRPr="0003657F">
        <w:rPr>
          <w:lang w:val="en-GB"/>
        </w:rPr>
        <w:t xml:space="preserve">ing </w:t>
      </w:r>
      <w:r w:rsidRPr="0003657F">
        <w:rPr>
          <w:lang w:val="en-GB"/>
        </w:rPr>
        <w:t>fair, democratic</w:t>
      </w:r>
      <w:r w:rsidR="00AE137B" w:rsidRPr="0003657F">
        <w:rPr>
          <w:lang w:val="en-GB"/>
        </w:rPr>
        <w:t>,</w:t>
      </w:r>
      <w:r w:rsidRPr="0003657F">
        <w:rPr>
          <w:lang w:val="en-GB"/>
        </w:rPr>
        <w:t xml:space="preserve"> and associated with economic success</w:t>
      </w:r>
      <w:r w:rsidR="00AE137B" w:rsidRPr="0003657F">
        <w:rPr>
          <w:lang w:val="en-GB"/>
        </w:rPr>
        <w:t>,</w:t>
      </w:r>
      <w:r w:rsidRPr="0003657F">
        <w:rPr>
          <w:lang w:val="en-GB"/>
        </w:rPr>
        <w:t xml:space="preserve"> </w:t>
      </w:r>
      <w:r w:rsidR="00AE137B" w:rsidRPr="0003657F">
        <w:rPr>
          <w:lang w:val="en-GB"/>
        </w:rPr>
        <w:t>are crucially</w:t>
      </w:r>
      <w:r w:rsidRPr="0003657F">
        <w:rPr>
          <w:lang w:val="en-GB"/>
        </w:rPr>
        <w:t xml:space="preserve"> importan</w:t>
      </w:r>
      <w:r w:rsidR="00AE137B" w:rsidRPr="0003657F">
        <w:rPr>
          <w:lang w:val="en-GB"/>
        </w:rPr>
        <w:t>t</w:t>
      </w:r>
      <w:r w:rsidRPr="0003657F">
        <w:rPr>
          <w:lang w:val="en-GB"/>
        </w:rPr>
        <w:t xml:space="preserve"> for governance in Mongolia. </w:t>
      </w:r>
    </w:p>
    <w:p w14:paraId="2BD3105E" w14:textId="1DAE9E02" w:rsidR="00B83002" w:rsidRPr="0003657F" w:rsidRDefault="000D0011" w:rsidP="008E3991">
      <w:pPr>
        <w:pStyle w:val="ListParagraph"/>
        <w:numPr>
          <w:ilvl w:val="0"/>
          <w:numId w:val="35"/>
        </w:numPr>
        <w:tabs>
          <w:tab w:val="left" w:pos="1260"/>
          <w:tab w:val="left" w:pos="1620"/>
        </w:tabs>
        <w:ind w:left="1260" w:right="720" w:firstLine="0"/>
        <w:jc w:val="both"/>
        <w:rPr>
          <w:lang w:val="en-GB"/>
        </w:rPr>
      </w:pPr>
      <w:r w:rsidRPr="0003657F">
        <w:rPr>
          <w:lang w:val="en-GB"/>
        </w:rPr>
        <w:t xml:space="preserve">According to </w:t>
      </w:r>
      <w:r w:rsidR="00162C10" w:rsidRPr="0003657F">
        <w:rPr>
          <w:lang w:val="en-GB"/>
        </w:rPr>
        <w:t>the</w:t>
      </w:r>
      <w:r w:rsidRPr="0003657F">
        <w:rPr>
          <w:lang w:val="en-GB"/>
        </w:rPr>
        <w:t xml:space="preserve"> </w:t>
      </w:r>
      <w:r w:rsidR="00AE137B" w:rsidRPr="0003657F">
        <w:rPr>
          <w:lang w:val="en-GB"/>
        </w:rPr>
        <w:t xml:space="preserve">country programme action plan </w:t>
      </w:r>
      <w:r w:rsidRPr="0003657F">
        <w:rPr>
          <w:lang w:val="en-GB"/>
        </w:rPr>
        <w:t xml:space="preserve">evaluation, </w:t>
      </w:r>
      <w:r w:rsidR="00A83EDE" w:rsidRPr="0003657F">
        <w:rPr>
          <w:lang w:val="en-GB"/>
        </w:rPr>
        <w:t xml:space="preserve">in </w:t>
      </w:r>
      <w:r w:rsidR="00AE137B" w:rsidRPr="0003657F">
        <w:rPr>
          <w:lang w:val="en-GB"/>
        </w:rPr>
        <w:t xml:space="preserve">the </w:t>
      </w:r>
      <w:r w:rsidR="00A83EDE" w:rsidRPr="0003657F">
        <w:rPr>
          <w:lang w:val="en-GB"/>
        </w:rPr>
        <w:t xml:space="preserve">view of development partners </w:t>
      </w:r>
      <w:r w:rsidR="00F1684F" w:rsidRPr="0003657F">
        <w:rPr>
          <w:lang w:val="en-GB"/>
        </w:rPr>
        <w:t xml:space="preserve">UNDP </w:t>
      </w:r>
      <w:r w:rsidR="00AE137B" w:rsidRPr="0003657F">
        <w:rPr>
          <w:lang w:val="en-GB"/>
        </w:rPr>
        <w:t>i</w:t>
      </w:r>
      <w:r w:rsidR="00F1684F" w:rsidRPr="0003657F">
        <w:rPr>
          <w:lang w:val="en-GB"/>
        </w:rPr>
        <w:t xml:space="preserve">s a trusted partner to the Government </w:t>
      </w:r>
      <w:r w:rsidR="00AE137B" w:rsidRPr="0003657F">
        <w:rPr>
          <w:lang w:val="en-GB"/>
        </w:rPr>
        <w:t>i</w:t>
      </w:r>
      <w:r w:rsidR="00F1684F" w:rsidRPr="0003657F">
        <w:rPr>
          <w:lang w:val="en-GB"/>
        </w:rPr>
        <w:t>n complex and politically</w:t>
      </w:r>
      <w:r w:rsidR="00AE137B" w:rsidRPr="0003657F">
        <w:rPr>
          <w:lang w:val="en-GB"/>
        </w:rPr>
        <w:t xml:space="preserve"> </w:t>
      </w:r>
      <w:r w:rsidR="00F1684F" w:rsidRPr="0003657F">
        <w:rPr>
          <w:lang w:val="en-GB"/>
        </w:rPr>
        <w:t>sensitive issues of governance and development</w:t>
      </w:r>
      <w:r w:rsidR="00AE137B" w:rsidRPr="0003657F">
        <w:rPr>
          <w:lang w:val="en-GB"/>
        </w:rPr>
        <w:t>,</w:t>
      </w:r>
      <w:r w:rsidR="00A83EDE" w:rsidRPr="0003657F">
        <w:rPr>
          <w:lang w:val="en-GB"/>
        </w:rPr>
        <w:t xml:space="preserve"> as well as </w:t>
      </w:r>
      <w:r w:rsidR="00AE137B" w:rsidRPr="0003657F">
        <w:rPr>
          <w:lang w:val="en-GB"/>
        </w:rPr>
        <w:t>in</w:t>
      </w:r>
      <w:r w:rsidR="00F1684F" w:rsidRPr="0003657F">
        <w:rPr>
          <w:lang w:val="en-GB"/>
        </w:rPr>
        <w:t xml:space="preserve"> creat</w:t>
      </w:r>
      <w:r w:rsidR="00AE137B" w:rsidRPr="0003657F">
        <w:rPr>
          <w:lang w:val="en-GB"/>
        </w:rPr>
        <w:t>ing</w:t>
      </w:r>
      <w:r w:rsidR="00F1684F" w:rsidRPr="0003657F">
        <w:rPr>
          <w:lang w:val="en-GB"/>
        </w:rPr>
        <w:t xml:space="preserve"> space </w:t>
      </w:r>
      <w:r w:rsidR="002A2F7C" w:rsidRPr="0003657F">
        <w:rPr>
          <w:lang w:val="en-GB"/>
        </w:rPr>
        <w:t>to engage the Government on th</w:t>
      </w:r>
      <w:r w:rsidR="00AE137B" w:rsidRPr="0003657F">
        <w:rPr>
          <w:lang w:val="en-GB"/>
        </w:rPr>
        <w:t>o</w:t>
      </w:r>
      <w:r w:rsidR="002A2F7C" w:rsidRPr="0003657F">
        <w:rPr>
          <w:lang w:val="en-GB"/>
        </w:rPr>
        <w:t>se issues.</w:t>
      </w:r>
      <w:r w:rsidR="00A83EDE" w:rsidRPr="0003657F">
        <w:rPr>
          <w:lang w:val="en-GB"/>
        </w:rPr>
        <w:t xml:space="preserve"> </w:t>
      </w:r>
      <w:r w:rsidR="00F1684F" w:rsidRPr="0003657F">
        <w:rPr>
          <w:lang w:val="en-GB"/>
        </w:rPr>
        <w:t xml:space="preserve">This has enabled development of </w:t>
      </w:r>
      <w:r w:rsidR="00AE137B" w:rsidRPr="0003657F">
        <w:rPr>
          <w:lang w:val="en-GB"/>
        </w:rPr>
        <w:t xml:space="preserve">several </w:t>
      </w:r>
      <w:r w:rsidR="00F1684F" w:rsidRPr="0003657F">
        <w:rPr>
          <w:lang w:val="en-GB"/>
        </w:rPr>
        <w:t>legal and policy instruments in the country, though</w:t>
      </w:r>
      <w:r w:rsidR="00D20282" w:rsidRPr="0003657F">
        <w:rPr>
          <w:lang w:val="en-GB"/>
        </w:rPr>
        <w:t xml:space="preserve"> </w:t>
      </w:r>
      <w:r w:rsidR="00F1684F" w:rsidRPr="0003657F">
        <w:rPr>
          <w:lang w:val="en-GB"/>
        </w:rPr>
        <w:t xml:space="preserve">implementation </w:t>
      </w:r>
      <w:r w:rsidR="00D20282" w:rsidRPr="0003657F">
        <w:rPr>
          <w:lang w:val="en-GB"/>
        </w:rPr>
        <w:t xml:space="preserve">often </w:t>
      </w:r>
      <w:r w:rsidR="00F1684F" w:rsidRPr="0003657F">
        <w:rPr>
          <w:lang w:val="en-GB"/>
        </w:rPr>
        <w:t>lag</w:t>
      </w:r>
      <w:r w:rsidR="00AE137B" w:rsidRPr="0003657F">
        <w:rPr>
          <w:lang w:val="en-GB"/>
        </w:rPr>
        <w:t>s</w:t>
      </w:r>
      <w:r w:rsidR="00F1684F" w:rsidRPr="0003657F">
        <w:rPr>
          <w:lang w:val="en-GB"/>
        </w:rPr>
        <w:t xml:space="preserve"> behind. </w:t>
      </w:r>
      <w:r w:rsidR="009A201D" w:rsidRPr="0003657F">
        <w:rPr>
          <w:lang w:val="en-GB"/>
        </w:rPr>
        <w:t xml:space="preserve">Two examples </w:t>
      </w:r>
      <w:r w:rsidR="00AE137B" w:rsidRPr="0003657F">
        <w:rPr>
          <w:lang w:val="en-GB"/>
        </w:rPr>
        <w:t xml:space="preserve">are </w:t>
      </w:r>
      <w:r w:rsidR="009A201D" w:rsidRPr="0003657F">
        <w:rPr>
          <w:lang w:val="en-GB"/>
        </w:rPr>
        <w:t>the</w:t>
      </w:r>
      <w:r w:rsidR="00B83002" w:rsidRPr="0003657F">
        <w:rPr>
          <w:lang w:val="en-GB"/>
        </w:rPr>
        <w:t xml:space="preserve"> </w:t>
      </w:r>
      <w:r w:rsidR="003B299E" w:rsidRPr="0003657F">
        <w:rPr>
          <w:lang w:val="en-GB"/>
        </w:rPr>
        <w:t>l</w:t>
      </w:r>
      <w:r w:rsidR="00D20282" w:rsidRPr="0003657F">
        <w:rPr>
          <w:lang w:val="en-GB"/>
        </w:rPr>
        <w:t>aw</w:t>
      </w:r>
      <w:r w:rsidR="003B299E" w:rsidRPr="0003657F">
        <w:rPr>
          <w:lang w:val="en-GB"/>
        </w:rPr>
        <w:t>s</w:t>
      </w:r>
      <w:r w:rsidR="00D20282" w:rsidRPr="0003657F">
        <w:rPr>
          <w:lang w:val="en-GB"/>
        </w:rPr>
        <w:t xml:space="preserve"> on </w:t>
      </w:r>
      <w:r w:rsidR="003B299E" w:rsidRPr="0003657F">
        <w:rPr>
          <w:lang w:val="en-GB"/>
        </w:rPr>
        <w:t>l</w:t>
      </w:r>
      <w:r w:rsidR="00D20282" w:rsidRPr="0003657F">
        <w:rPr>
          <w:lang w:val="en-GB"/>
        </w:rPr>
        <w:t xml:space="preserve">egislation and </w:t>
      </w:r>
      <w:r w:rsidR="003B299E" w:rsidRPr="0003657F">
        <w:rPr>
          <w:lang w:val="en-GB"/>
        </w:rPr>
        <w:t>d</w:t>
      </w:r>
      <w:r w:rsidR="00B83002" w:rsidRPr="0003657F">
        <w:rPr>
          <w:lang w:val="en-GB"/>
        </w:rPr>
        <w:t xml:space="preserve">evelopment </w:t>
      </w:r>
      <w:r w:rsidR="003B299E" w:rsidRPr="0003657F">
        <w:rPr>
          <w:lang w:val="en-GB"/>
        </w:rPr>
        <w:t>p</w:t>
      </w:r>
      <w:r w:rsidR="00B83002" w:rsidRPr="0003657F">
        <w:rPr>
          <w:lang w:val="en-GB"/>
        </w:rPr>
        <w:t xml:space="preserve">olicy and </w:t>
      </w:r>
      <w:r w:rsidR="003B299E" w:rsidRPr="0003657F">
        <w:rPr>
          <w:lang w:val="en-GB"/>
        </w:rPr>
        <w:t>p</w:t>
      </w:r>
      <w:r w:rsidR="00B83002" w:rsidRPr="0003657F">
        <w:rPr>
          <w:lang w:val="en-GB"/>
        </w:rPr>
        <w:t>lanning</w:t>
      </w:r>
      <w:r w:rsidR="003B299E" w:rsidRPr="0003657F">
        <w:rPr>
          <w:lang w:val="en-GB"/>
        </w:rPr>
        <w:t>,</w:t>
      </w:r>
      <w:r w:rsidR="00B83002" w:rsidRPr="0003657F">
        <w:rPr>
          <w:lang w:val="en-GB"/>
        </w:rPr>
        <w:t xml:space="preserve"> </w:t>
      </w:r>
      <w:r w:rsidR="00F1684F" w:rsidRPr="0003657F">
        <w:rPr>
          <w:lang w:val="en-GB"/>
        </w:rPr>
        <w:t>where UNDP</w:t>
      </w:r>
      <w:r w:rsidR="00F21AC8" w:rsidRPr="0003657F">
        <w:rPr>
          <w:lang w:val="en-GB"/>
        </w:rPr>
        <w:t xml:space="preserve"> provided</w:t>
      </w:r>
      <w:r w:rsidR="00F1684F" w:rsidRPr="0003657F">
        <w:rPr>
          <w:lang w:val="en-GB"/>
        </w:rPr>
        <w:t xml:space="preserve"> expertise </w:t>
      </w:r>
      <w:r w:rsidR="00E27BFD" w:rsidRPr="0003657F">
        <w:rPr>
          <w:lang w:val="en-GB"/>
        </w:rPr>
        <w:t>ensur</w:t>
      </w:r>
      <w:r w:rsidR="003B299E" w:rsidRPr="0003657F">
        <w:rPr>
          <w:lang w:val="en-GB"/>
        </w:rPr>
        <w:t xml:space="preserve">ing that </w:t>
      </w:r>
      <w:r w:rsidR="00F1684F" w:rsidRPr="0003657F">
        <w:rPr>
          <w:lang w:val="en-GB"/>
        </w:rPr>
        <w:t>consultations brought different stakeholders together. Th</w:t>
      </w:r>
      <w:r w:rsidR="003B299E" w:rsidRPr="0003657F">
        <w:rPr>
          <w:lang w:val="en-GB"/>
        </w:rPr>
        <w:t>o</w:t>
      </w:r>
      <w:r w:rsidR="00F1684F" w:rsidRPr="0003657F">
        <w:rPr>
          <w:lang w:val="en-GB"/>
        </w:rPr>
        <w:t xml:space="preserve">se laws </w:t>
      </w:r>
      <w:r w:rsidR="00B83002" w:rsidRPr="0003657F">
        <w:rPr>
          <w:lang w:val="en-GB"/>
        </w:rPr>
        <w:t xml:space="preserve">set standards for lawmaking and harmonized </w:t>
      </w:r>
      <w:r w:rsidR="00D20282" w:rsidRPr="0003657F">
        <w:rPr>
          <w:lang w:val="en-GB"/>
        </w:rPr>
        <w:t xml:space="preserve">the </w:t>
      </w:r>
      <w:r w:rsidR="00B83002" w:rsidRPr="0003657F">
        <w:rPr>
          <w:lang w:val="en-GB"/>
        </w:rPr>
        <w:t>planning system</w:t>
      </w:r>
      <w:r w:rsidR="00E27BFD" w:rsidRPr="0003657F">
        <w:rPr>
          <w:lang w:val="en-GB"/>
        </w:rPr>
        <w:t>.</w:t>
      </w:r>
      <w:r w:rsidR="00B83002" w:rsidRPr="0003657F">
        <w:rPr>
          <w:lang w:val="en-GB"/>
        </w:rPr>
        <w:t xml:space="preserve"> UNDP contribut</w:t>
      </w:r>
      <w:r w:rsidR="00A83EDE" w:rsidRPr="0003657F">
        <w:rPr>
          <w:lang w:val="en-GB"/>
        </w:rPr>
        <w:t>ed</w:t>
      </w:r>
      <w:r w:rsidR="00B83002" w:rsidRPr="0003657F">
        <w:rPr>
          <w:lang w:val="en-GB"/>
        </w:rPr>
        <w:t xml:space="preserve"> </w:t>
      </w:r>
      <w:r w:rsidR="00A83EDE" w:rsidRPr="0003657F">
        <w:rPr>
          <w:lang w:val="en-GB"/>
        </w:rPr>
        <w:t xml:space="preserve">to </w:t>
      </w:r>
      <w:r w:rsidR="00B83002" w:rsidRPr="0003657F">
        <w:rPr>
          <w:lang w:val="en-GB"/>
        </w:rPr>
        <w:t xml:space="preserve">the formulation of </w:t>
      </w:r>
      <w:r w:rsidR="003B299E" w:rsidRPr="0003657F">
        <w:rPr>
          <w:lang w:val="en-GB"/>
        </w:rPr>
        <w:t xml:space="preserve">the </w:t>
      </w:r>
      <w:r w:rsidR="00B83002" w:rsidRPr="0003657F">
        <w:rPr>
          <w:lang w:val="en-GB"/>
        </w:rPr>
        <w:t>green development policy</w:t>
      </w:r>
      <w:r w:rsidR="00F1684F" w:rsidRPr="0003657F">
        <w:rPr>
          <w:lang w:val="en-GB"/>
        </w:rPr>
        <w:t xml:space="preserve"> by facilitating technical inputs from across the U</w:t>
      </w:r>
      <w:r w:rsidR="003B299E" w:rsidRPr="0003657F">
        <w:rPr>
          <w:lang w:val="en-GB"/>
        </w:rPr>
        <w:t>nited Nations</w:t>
      </w:r>
      <w:r w:rsidR="00F1684F" w:rsidRPr="0003657F">
        <w:rPr>
          <w:lang w:val="en-GB"/>
        </w:rPr>
        <w:t xml:space="preserve"> system</w:t>
      </w:r>
      <w:r w:rsidR="003B299E" w:rsidRPr="0003657F">
        <w:rPr>
          <w:lang w:val="en-GB"/>
        </w:rPr>
        <w:t>,</w:t>
      </w:r>
      <w:r w:rsidR="00F1684F" w:rsidRPr="0003657F">
        <w:rPr>
          <w:lang w:val="en-GB"/>
        </w:rPr>
        <w:t xml:space="preserve"> </w:t>
      </w:r>
      <w:r w:rsidR="00B83002" w:rsidRPr="0003657F">
        <w:rPr>
          <w:lang w:val="en-GB"/>
        </w:rPr>
        <w:t xml:space="preserve">and </w:t>
      </w:r>
      <w:r w:rsidR="00A83EDE" w:rsidRPr="0003657F">
        <w:rPr>
          <w:lang w:val="en-GB"/>
        </w:rPr>
        <w:t xml:space="preserve">to the </w:t>
      </w:r>
      <w:r w:rsidR="00B83002" w:rsidRPr="0003657F">
        <w:rPr>
          <w:lang w:val="en-GB"/>
        </w:rPr>
        <w:t>creati</w:t>
      </w:r>
      <w:r w:rsidR="00A83EDE" w:rsidRPr="0003657F">
        <w:rPr>
          <w:lang w:val="en-GB"/>
        </w:rPr>
        <w:t>on of</w:t>
      </w:r>
      <w:r w:rsidR="00B83002" w:rsidRPr="0003657F">
        <w:rPr>
          <w:lang w:val="en-GB"/>
        </w:rPr>
        <w:t xml:space="preserve"> a favo</w:t>
      </w:r>
      <w:r w:rsidR="0059632A">
        <w:rPr>
          <w:lang w:val="en-GB"/>
        </w:rPr>
        <w:t>u</w:t>
      </w:r>
      <w:r w:rsidR="00B83002" w:rsidRPr="0003657F">
        <w:rPr>
          <w:lang w:val="en-GB"/>
        </w:rPr>
        <w:t xml:space="preserve">rable legal environment for sustainable use of natural resources, aligned with international </w:t>
      </w:r>
      <w:r w:rsidR="00C96BE6" w:rsidRPr="0003657F">
        <w:rPr>
          <w:lang w:val="en-GB"/>
        </w:rPr>
        <w:t>standards</w:t>
      </w:r>
      <w:r w:rsidR="00B83002" w:rsidRPr="0003657F">
        <w:rPr>
          <w:lang w:val="en-GB"/>
        </w:rPr>
        <w:t xml:space="preserve"> and principles. </w:t>
      </w:r>
      <w:r w:rsidR="00F1684F" w:rsidRPr="0003657F">
        <w:rPr>
          <w:lang w:val="en-GB"/>
        </w:rPr>
        <w:t>Lessons learn</w:t>
      </w:r>
      <w:r w:rsidR="003B299E" w:rsidRPr="0003657F">
        <w:rPr>
          <w:lang w:val="en-GB"/>
        </w:rPr>
        <w:t>ed</w:t>
      </w:r>
      <w:r w:rsidR="00F1684F" w:rsidRPr="0003657F">
        <w:rPr>
          <w:lang w:val="en-GB"/>
        </w:rPr>
        <w:t xml:space="preserve"> </w:t>
      </w:r>
      <w:r w:rsidR="003B299E" w:rsidRPr="0003657F">
        <w:rPr>
          <w:lang w:val="en-GB"/>
        </w:rPr>
        <w:t>by</w:t>
      </w:r>
      <w:r w:rsidR="00F1684F" w:rsidRPr="0003657F">
        <w:rPr>
          <w:lang w:val="en-GB"/>
        </w:rPr>
        <w:t xml:space="preserve"> UNDP include</w:t>
      </w:r>
      <w:r w:rsidR="003B299E" w:rsidRPr="0003657F">
        <w:rPr>
          <w:lang w:val="en-GB"/>
        </w:rPr>
        <w:t>d</w:t>
      </w:r>
      <w:r w:rsidR="00F1684F" w:rsidRPr="0003657F">
        <w:rPr>
          <w:lang w:val="en-GB"/>
        </w:rPr>
        <w:t xml:space="preserve"> </w:t>
      </w:r>
      <w:r w:rsidR="009A201D" w:rsidRPr="0003657F">
        <w:rPr>
          <w:lang w:val="en-GB"/>
        </w:rPr>
        <w:t>the need to develop a strong</w:t>
      </w:r>
      <w:r w:rsidR="00F1684F" w:rsidRPr="0003657F">
        <w:rPr>
          <w:lang w:val="en-GB"/>
        </w:rPr>
        <w:t xml:space="preserve"> theory of change connect</w:t>
      </w:r>
      <w:r w:rsidR="009A201D" w:rsidRPr="0003657F">
        <w:rPr>
          <w:lang w:val="en-GB"/>
        </w:rPr>
        <w:t>ing initiatives to</w:t>
      </w:r>
      <w:r w:rsidR="00F1684F" w:rsidRPr="0003657F">
        <w:rPr>
          <w:lang w:val="en-GB"/>
        </w:rPr>
        <w:t xml:space="preserve"> </w:t>
      </w:r>
      <w:r w:rsidR="002A2F7C" w:rsidRPr="0003657F">
        <w:rPr>
          <w:lang w:val="en-GB"/>
        </w:rPr>
        <w:t>an overarching development vision</w:t>
      </w:r>
      <w:r w:rsidR="00E27BFD" w:rsidRPr="0003657F">
        <w:rPr>
          <w:lang w:val="en-GB"/>
        </w:rPr>
        <w:t>.</w:t>
      </w:r>
      <w:r w:rsidR="002A2F7C" w:rsidRPr="0003657F">
        <w:rPr>
          <w:lang w:val="en-GB"/>
        </w:rPr>
        <w:t xml:space="preserve"> </w:t>
      </w:r>
      <w:r w:rsidR="003B299E" w:rsidRPr="0003657F">
        <w:rPr>
          <w:lang w:val="en-GB"/>
        </w:rPr>
        <w:t>M</w:t>
      </w:r>
      <w:r w:rsidR="009A201D" w:rsidRPr="0003657F">
        <w:rPr>
          <w:lang w:val="en-GB"/>
        </w:rPr>
        <w:t>ore focus is needed on capacity development of</w:t>
      </w:r>
      <w:r w:rsidR="00162C10" w:rsidRPr="0003657F">
        <w:rPr>
          <w:lang w:val="en-GB"/>
        </w:rPr>
        <w:t xml:space="preserve"> </w:t>
      </w:r>
      <w:r w:rsidR="009A201D" w:rsidRPr="0003657F">
        <w:rPr>
          <w:lang w:val="en-GB"/>
        </w:rPr>
        <w:t>civil society and implementation gaps in the area of environmental governance, especially related to the mining sector</w:t>
      </w:r>
      <w:r w:rsidR="00162C10" w:rsidRPr="0003657F">
        <w:rPr>
          <w:lang w:val="en-GB"/>
        </w:rPr>
        <w:t xml:space="preserve">, </w:t>
      </w:r>
      <w:r w:rsidR="0018683F" w:rsidRPr="0003657F">
        <w:rPr>
          <w:lang w:val="en-GB"/>
        </w:rPr>
        <w:t>urban issues</w:t>
      </w:r>
      <w:r w:rsidR="003B299E" w:rsidRPr="0003657F">
        <w:rPr>
          <w:lang w:val="en-GB"/>
        </w:rPr>
        <w:t>,</w:t>
      </w:r>
      <w:r w:rsidR="00162C10" w:rsidRPr="0003657F">
        <w:rPr>
          <w:lang w:val="en-GB"/>
        </w:rPr>
        <w:t xml:space="preserve"> </w:t>
      </w:r>
      <w:r w:rsidR="0059632A">
        <w:rPr>
          <w:lang w:val="en-GB"/>
        </w:rPr>
        <w:t xml:space="preserve">and </w:t>
      </w:r>
      <w:r w:rsidR="00162C10" w:rsidRPr="0003657F">
        <w:rPr>
          <w:lang w:val="en-GB"/>
        </w:rPr>
        <w:t>rangeland management</w:t>
      </w:r>
      <w:r w:rsidR="009A201D" w:rsidRPr="0003657F">
        <w:rPr>
          <w:lang w:val="en-GB"/>
        </w:rPr>
        <w:t>.</w:t>
      </w:r>
      <w:r w:rsidR="00162C10" w:rsidRPr="0003657F">
        <w:rPr>
          <w:lang w:val="en-GB"/>
        </w:rPr>
        <w:t xml:space="preserve"> </w:t>
      </w:r>
      <w:r w:rsidR="003B299E" w:rsidRPr="0003657F">
        <w:rPr>
          <w:lang w:val="en-GB"/>
        </w:rPr>
        <w:t>The</w:t>
      </w:r>
      <w:r w:rsidR="00162C10" w:rsidRPr="0003657F">
        <w:rPr>
          <w:lang w:val="en-GB"/>
        </w:rPr>
        <w:t xml:space="preserve"> UNDP programme should </w:t>
      </w:r>
      <w:r w:rsidR="003B299E" w:rsidRPr="0003657F">
        <w:rPr>
          <w:lang w:val="en-GB"/>
        </w:rPr>
        <w:t>priorit</w:t>
      </w:r>
      <w:r w:rsidR="0059632A">
        <w:rPr>
          <w:lang w:val="en-GB"/>
        </w:rPr>
        <w:t>i</w:t>
      </w:r>
      <w:r w:rsidR="003B299E" w:rsidRPr="0003657F">
        <w:rPr>
          <w:lang w:val="en-GB"/>
        </w:rPr>
        <w:t>ze</w:t>
      </w:r>
      <w:r w:rsidR="00162C10" w:rsidRPr="0003657F">
        <w:rPr>
          <w:lang w:val="en-GB"/>
        </w:rPr>
        <w:t xml:space="preserve"> issues where poverty, environment and governance </w:t>
      </w:r>
      <w:r w:rsidR="004932C2" w:rsidRPr="0003657F">
        <w:rPr>
          <w:lang w:val="en-GB"/>
        </w:rPr>
        <w:t>intersect</w:t>
      </w:r>
      <w:r w:rsidR="00162C10" w:rsidRPr="0003657F">
        <w:rPr>
          <w:lang w:val="en-GB"/>
        </w:rPr>
        <w:t>.</w:t>
      </w:r>
      <w:r w:rsidR="00B83002" w:rsidRPr="0003657F">
        <w:rPr>
          <w:rStyle w:val="FootnoteReference"/>
          <w:lang w:val="en-GB"/>
        </w:rPr>
        <w:footnoteReference w:id="23"/>
      </w:r>
    </w:p>
    <w:p w14:paraId="5B27A5D6" w14:textId="77777777" w:rsidR="00162C10" w:rsidRPr="0003657F" w:rsidRDefault="00162C10" w:rsidP="00C25210">
      <w:pPr>
        <w:tabs>
          <w:tab w:val="left" w:pos="1260"/>
          <w:tab w:val="left" w:pos="1620"/>
        </w:tabs>
        <w:ind w:left="1260" w:right="720"/>
        <w:rPr>
          <w:lang w:val="en-GB"/>
        </w:rPr>
      </w:pPr>
      <w:bookmarkStart w:id="0" w:name="_GoBack"/>
      <w:bookmarkEnd w:id="0"/>
    </w:p>
    <w:p w14:paraId="1B11EBB8" w14:textId="7873A037" w:rsidR="004820B0" w:rsidRPr="0003657F" w:rsidRDefault="004820B0" w:rsidP="0003657F">
      <w:pPr>
        <w:pStyle w:val="Heading2"/>
        <w:tabs>
          <w:tab w:val="left" w:pos="1260"/>
        </w:tabs>
        <w:ind w:left="1260" w:right="1267" w:hanging="547"/>
        <w:jc w:val="both"/>
        <w:rPr>
          <w:rFonts w:ascii="Times New Roman" w:hAnsi="Times New Roman"/>
          <w:color w:val="000000"/>
          <w:spacing w:val="-3"/>
          <w:szCs w:val="28"/>
          <w:lang w:val="en-GB"/>
        </w:rPr>
      </w:pPr>
      <w:r w:rsidRPr="0003657F">
        <w:rPr>
          <w:rFonts w:ascii="Times New Roman" w:hAnsi="Times New Roman"/>
          <w:bCs/>
          <w:color w:val="000000"/>
          <w:szCs w:val="28"/>
          <w:lang w:val="en-GB"/>
        </w:rPr>
        <w:t xml:space="preserve">II. </w:t>
      </w:r>
      <w:r w:rsidR="003B299E" w:rsidRPr="0003657F">
        <w:rPr>
          <w:rFonts w:ascii="Times New Roman" w:hAnsi="Times New Roman"/>
          <w:bCs/>
          <w:color w:val="000000"/>
          <w:szCs w:val="28"/>
          <w:lang w:val="en-GB"/>
        </w:rPr>
        <w:tab/>
      </w:r>
      <w:r w:rsidR="00677F8A" w:rsidRPr="0003657F">
        <w:rPr>
          <w:rFonts w:ascii="Times New Roman" w:hAnsi="Times New Roman"/>
          <w:bCs/>
          <w:color w:val="000000"/>
          <w:szCs w:val="28"/>
          <w:lang w:val="en-GB"/>
        </w:rPr>
        <w:t xml:space="preserve">Programme </w:t>
      </w:r>
      <w:r w:rsidR="003B299E" w:rsidRPr="0003657F">
        <w:rPr>
          <w:rFonts w:ascii="Times New Roman" w:hAnsi="Times New Roman"/>
          <w:bCs/>
          <w:color w:val="000000"/>
          <w:szCs w:val="28"/>
          <w:lang w:val="en-GB"/>
        </w:rPr>
        <w:t>p</w:t>
      </w:r>
      <w:r w:rsidR="00677F8A" w:rsidRPr="0003657F">
        <w:rPr>
          <w:rFonts w:ascii="Times New Roman" w:hAnsi="Times New Roman"/>
          <w:bCs/>
          <w:color w:val="000000"/>
          <w:szCs w:val="28"/>
          <w:lang w:val="en-GB"/>
        </w:rPr>
        <w:t>riorities</w:t>
      </w:r>
      <w:r w:rsidR="002B6341" w:rsidRPr="0003657F">
        <w:rPr>
          <w:rFonts w:ascii="Times New Roman" w:hAnsi="Times New Roman"/>
          <w:bCs/>
          <w:color w:val="000000"/>
          <w:szCs w:val="28"/>
          <w:lang w:val="en-GB"/>
        </w:rPr>
        <w:t xml:space="preserve"> </w:t>
      </w:r>
      <w:r w:rsidR="004736BE" w:rsidRPr="0003657F">
        <w:rPr>
          <w:rFonts w:ascii="Times New Roman" w:hAnsi="Times New Roman"/>
          <w:bCs/>
          <w:color w:val="000000"/>
          <w:szCs w:val="28"/>
          <w:lang w:val="en-GB"/>
        </w:rPr>
        <w:t xml:space="preserve">and </w:t>
      </w:r>
      <w:r w:rsidR="003B299E" w:rsidRPr="0003657F">
        <w:rPr>
          <w:rFonts w:ascii="Times New Roman" w:hAnsi="Times New Roman"/>
          <w:bCs/>
          <w:color w:val="000000"/>
          <w:szCs w:val="28"/>
          <w:lang w:val="en-GB"/>
        </w:rPr>
        <w:t>p</w:t>
      </w:r>
      <w:r w:rsidR="002B6341" w:rsidRPr="0003657F">
        <w:rPr>
          <w:rFonts w:ascii="Times New Roman" w:hAnsi="Times New Roman"/>
          <w:bCs/>
          <w:color w:val="000000"/>
          <w:szCs w:val="28"/>
          <w:lang w:val="en-GB"/>
        </w:rPr>
        <w:t>artnerships</w:t>
      </w:r>
      <w:r w:rsidR="00074DB9" w:rsidRPr="0003657F">
        <w:rPr>
          <w:rFonts w:ascii="Times New Roman" w:hAnsi="Times New Roman"/>
          <w:bCs/>
          <w:color w:val="000000"/>
          <w:szCs w:val="28"/>
          <w:lang w:val="en-GB"/>
        </w:rPr>
        <w:t xml:space="preserve"> </w:t>
      </w:r>
    </w:p>
    <w:p w14:paraId="198CB7AE" w14:textId="77777777" w:rsidR="00E42084" w:rsidRPr="0003657F" w:rsidRDefault="00E42084" w:rsidP="0003657F">
      <w:pPr>
        <w:pStyle w:val="ListParagraph"/>
        <w:tabs>
          <w:tab w:val="left" w:pos="1260"/>
          <w:tab w:val="left" w:pos="1620"/>
        </w:tabs>
        <w:ind w:left="1267" w:right="720"/>
        <w:jc w:val="both"/>
        <w:rPr>
          <w:lang w:val="en-GB"/>
        </w:rPr>
      </w:pPr>
    </w:p>
    <w:p w14:paraId="466F4CC7" w14:textId="2454C26F" w:rsidR="00112DD5" w:rsidRPr="0003657F" w:rsidRDefault="00197FF6"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Mongolia approved a long-term development vision for the country (‘Sustainable </w:t>
      </w:r>
      <w:r w:rsidR="003B299E" w:rsidRPr="0003657F">
        <w:rPr>
          <w:lang w:val="en-GB"/>
        </w:rPr>
        <w:t>d</w:t>
      </w:r>
      <w:r w:rsidRPr="0003657F">
        <w:rPr>
          <w:lang w:val="en-GB"/>
        </w:rPr>
        <w:t xml:space="preserve">evelopment </w:t>
      </w:r>
      <w:r w:rsidR="003B299E" w:rsidRPr="0003657F">
        <w:rPr>
          <w:lang w:val="en-GB"/>
        </w:rPr>
        <w:t>c</w:t>
      </w:r>
      <w:r w:rsidRPr="0003657F">
        <w:rPr>
          <w:lang w:val="en-GB"/>
        </w:rPr>
        <w:t>oncept of Mongolia till 2030</w:t>
      </w:r>
      <w:r w:rsidR="003B299E" w:rsidRPr="0003657F">
        <w:rPr>
          <w:lang w:val="en-GB"/>
        </w:rPr>
        <w:t>’</w:t>
      </w:r>
      <w:r w:rsidRPr="0003657F">
        <w:rPr>
          <w:lang w:val="en-GB"/>
        </w:rPr>
        <w:t>) in February 2016.</w:t>
      </w:r>
      <w:r w:rsidR="007F27AA" w:rsidRPr="0003657F">
        <w:rPr>
          <w:lang w:val="en-GB"/>
        </w:rPr>
        <w:t xml:space="preserve"> </w:t>
      </w:r>
      <w:r w:rsidR="003B299E" w:rsidRPr="0003657F">
        <w:rPr>
          <w:lang w:val="en-GB"/>
        </w:rPr>
        <w:t>It</w:t>
      </w:r>
      <w:r w:rsidR="006530D1" w:rsidRPr="0003657F">
        <w:rPr>
          <w:lang w:val="en-GB"/>
        </w:rPr>
        <w:t xml:space="preserve">s declared objectives are to </w:t>
      </w:r>
      <w:r w:rsidR="007F27AA" w:rsidRPr="0003657F">
        <w:rPr>
          <w:lang w:val="en-GB"/>
        </w:rPr>
        <w:t xml:space="preserve">increase economic growth, </w:t>
      </w:r>
      <w:r w:rsidR="006530D1" w:rsidRPr="0003657F">
        <w:rPr>
          <w:lang w:val="en-GB"/>
        </w:rPr>
        <w:t xml:space="preserve">eradicate </w:t>
      </w:r>
      <w:r w:rsidR="007F27AA" w:rsidRPr="0003657F">
        <w:rPr>
          <w:lang w:val="en-GB"/>
        </w:rPr>
        <w:t>poverty</w:t>
      </w:r>
      <w:r w:rsidR="003B299E" w:rsidRPr="0003657F">
        <w:rPr>
          <w:lang w:val="en-GB"/>
        </w:rPr>
        <w:t>,</w:t>
      </w:r>
      <w:r w:rsidR="00803F85" w:rsidRPr="0003657F">
        <w:rPr>
          <w:lang w:val="en-GB"/>
        </w:rPr>
        <w:t xml:space="preserve"> and reduce inequality</w:t>
      </w:r>
      <w:r w:rsidR="003B299E" w:rsidRPr="0003657F">
        <w:rPr>
          <w:lang w:val="en-GB"/>
        </w:rPr>
        <w:t>;</w:t>
      </w:r>
      <w:r w:rsidR="007F27AA" w:rsidRPr="0003657F">
        <w:rPr>
          <w:lang w:val="en-GB"/>
        </w:rPr>
        <w:t xml:space="preserve"> increase educational attainment</w:t>
      </w:r>
      <w:r w:rsidR="003B299E" w:rsidRPr="0003657F">
        <w:rPr>
          <w:lang w:val="en-GB"/>
        </w:rPr>
        <w:t>;</w:t>
      </w:r>
      <w:r w:rsidR="007F27AA" w:rsidRPr="0003657F">
        <w:rPr>
          <w:lang w:val="en-GB"/>
        </w:rPr>
        <w:t xml:space="preserve"> improve life expectancy</w:t>
      </w:r>
      <w:r w:rsidR="003B299E" w:rsidRPr="0003657F">
        <w:rPr>
          <w:lang w:val="en-GB"/>
        </w:rPr>
        <w:t>;</w:t>
      </w:r>
      <w:r w:rsidR="007F27AA" w:rsidRPr="0003657F">
        <w:rPr>
          <w:lang w:val="en-GB"/>
        </w:rPr>
        <w:t xml:space="preserve"> preserv</w:t>
      </w:r>
      <w:r w:rsidR="006530D1" w:rsidRPr="0003657F">
        <w:rPr>
          <w:lang w:val="en-GB"/>
        </w:rPr>
        <w:t>e</w:t>
      </w:r>
      <w:r w:rsidR="00803F85" w:rsidRPr="0003657F">
        <w:rPr>
          <w:lang w:val="en-GB"/>
        </w:rPr>
        <w:t xml:space="preserve"> </w:t>
      </w:r>
      <w:r w:rsidR="007F27AA" w:rsidRPr="0003657F">
        <w:rPr>
          <w:lang w:val="en-GB"/>
        </w:rPr>
        <w:t>the ecological balance</w:t>
      </w:r>
      <w:r w:rsidR="003B299E" w:rsidRPr="0003657F">
        <w:rPr>
          <w:lang w:val="en-GB"/>
        </w:rPr>
        <w:t>;</w:t>
      </w:r>
      <w:r w:rsidR="007F27AA" w:rsidRPr="0003657F">
        <w:rPr>
          <w:lang w:val="en-GB"/>
        </w:rPr>
        <w:t xml:space="preserve"> improve </w:t>
      </w:r>
      <w:r w:rsidR="006530D1" w:rsidRPr="0003657F">
        <w:rPr>
          <w:lang w:val="en-GB"/>
        </w:rPr>
        <w:t xml:space="preserve">the </w:t>
      </w:r>
      <w:r w:rsidR="007F27AA" w:rsidRPr="0003657F">
        <w:rPr>
          <w:lang w:val="en-GB"/>
        </w:rPr>
        <w:t>business environment</w:t>
      </w:r>
      <w:r w:rsidR="003B299E" w:rsidRPr="0003657F">
        <w:rPr>
          <w:lang w:val="en-GB"/>
        </w:rPr>
        <w:t>;</w:t>
      </w:r>
      <w:r w:rsidR="007F27AA" w:rsidRPr="0003657F">
        <w:rPr>
          <w:lang w:val="en-GB"/>
        </w:rPr>
        <w:t xml:space="preserve"> and </w:t>
      </w:r>
      <w:r w:rsidR="006530D1" w:rsidRPr="0003657F">
        <w:rPr>
          <w:lang w:val="en-GB"/>
        </w:rPr>
        <w:t xml:space="preserve">build </w:t>
      </w:r>
      <w:r w:rsidR="007F27AA" w:rsidRPr="0003657F">
        <w:rPr>
          <w:lang w:val="en-GB"/>
        </w:rPr>
        <w:t>a governance system that is professional, stable</w:t>
      </w:r>
      <w:r w:rsidR="003B299E" w:rsidRPr="0003657F">
        <w:rPr>
          <w:lang w:val="en-GB"/>
        </w:rPr>
        <w:t>,</w:t>
      </w:r>
      <w:r w:rsidR="007F27AA" w:rsidRPr="0003657F">
        <w:rPr>
          <w:lang w:val="en-GB"/>
        </w:rPr>
        <w:t xml:space="preserve"> participatory</w:t>
      </w:r>
      <w:r w:rsidR="003B299E" w:rsidRPr="0003657F">
        <w:rPr>
          <w:lang w:val="en-GB"/>
        </w:rPr>
        <w:t>,</w:t>
      </w:r>
      <w:r w:rsidR="007F27AA" w:rsidRPr="0003657F">
        <w:rPr>
          <w:lang w:val="en-GB"/>
        </w:rPr>
        <w:t xml:space="preserve"> and free of corruption.</w:t>
      </w:r>
      <w:r w:rsidRPr="0003657F">
        <w:rPr>
          <w:lang w:val="en-GB"/>
        </w:rPr>
        <w:t xml:space="preserve"> T</w:t>
      </w:r>
      <w:r w:rsidR="006530D1" w:rsidRPr="0003657F">
        <w:rPr>
          <w:lang w:val="en-GB"/>
        </w:rPr>
        <w:t xml:space="preserve">he </w:t>
      </w:r>
      <w:r w:rsidRPr="0003657F">
        <w:rPr>
          <w:lang w:val="en-GB"/>
        </w:rPr>
        <w:t>vision is anchored in the 2030 Agenda for Sustainable Development</w:t>
      </w:r>
      <w:r w:rsidR="003B299E" w:rsidRPr="0003657F">
        <w:rPr>
          <w:lang w:val="en-GB"/>
        </w:rPr>
        <w:t>.</w:t>
      </w:r>
      <w:r w:rsidR="007F27AA" w:rsidRPr="0003657F">
        <w:rPr>
          <w:lang w:val="en-GB"/>
        </w:rPr>
        <w:t xml:space="preserve"> </w:t>
      </w:r>
      <w:r w:rsidR="007150B5" w:rsidRPr="0003657F">
        <w:rPr>
          <w:lang w:val="en-GB"/>
        </w:rPr>
        <w:t>UNDP supported its development</w:t>
      </w:r>
      <w:r w:rsidR="0059632A">
        <w:rPr>
          <w:lang w:val="en-GB"/>
        </w:rPr>
        <w:t>,</w:t>
      </w:r>
      <w:r w:rsidR="007150B5" w:rsidRPr="0003657F">
        <w:rPr>
          <w:lang w:val="en-GB"/>
        </w:rPr>
        <w:t xml:space="preserve"> </w:t>
      </w:r>
      <w:r w:rsidR="00BB0548" w:rsidRPr="0003657F">
        <w:rPr>
          <w:lang w:val="en-GB"/>
        </w:rPr>
        <w:t xml:space="preserve">providing advice </w:t>
      </w:r>
      <w:r w:rsidR="00E27BFD" w:rsidRPr="0003657F">
        <w:rPr>
          <w:lang w:val="en-GB"/>
        </w:rPr>
        <w:t>on</w:t>
      </w:r>
      <w:r w:rsidR="00BB0548" w:rsidRPr="0003657F">
        <w:rPr>
          <w:lang w:val="en-GB"/>
        </w:rPr>
        <w:t xml:space="preserve"> </w:t>
      </w:r>
      <w:r w:rsidR="007150B5" w:rsidRPr="0003657F">
        <w:rPr>
          <w:lang w:val="en-GB"/>
        </w:rPr>
        <w:t xml:space="preserve">mainstreaming the </w:t>
      </w:r>
      <w:r w:rsidR="003B299E" w:rsidRPr="0003657F">
        <w:rPr>
          <w:lang w:val="en-GB"/>
        </w:rPr>
        <w:t xml:space="preserve">sustainable development goals </w:t>
      </w:r>
      <w:r w:rsidR="00E27BFD" w:rsidRPr="0003657F">
        <w:rPr>
          <w:lang w:val="en-GB"/>
        </w:rPr>
        <w:t xml:space="preserve">and </w:t>
      </w:r>
      <w:r w:rsidR="006530D1" w:rsidRPr="0003657F">
        <w:rPr>
          <w:lang w:val="en-GB"/>
        </w:rPr>
        <w:t xml:space="preserve">facilitating </w:t>
      </w:r>
      <w:r w:rsidR="007150B5" w:rsidRPr="0003657F">
        <w:rPr>
          <w:lang w:val="en-GB"/>
        </w:rPr>
        <w:t xml:space="preserve">the consultation process. </w:t>
      </w:r>
    </w:p>
    <w:p w14:paraId="36E13B78" w14:textId="251ECE47" w:rsidR="00B56B24" w:rsidRPr="0003657F" w:rsidRDefault="00220883"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Implementing this vision </w:t>
      </w:r>
      <w:r w:rsidR="00584B0F" w:rsidRPr="0003657F">
        <w:rPr>
          <w:lang w:val="en-GB"/>
        </w:rPr>
        <w:t xml:space="preserve">needs </w:t>
      </w:r>
      <w:r w:rsidR="00B56B24" w:rsidRPr="0003657F">
        <w:rPr>
          <w:lang w:val="en-GB"/>
        </w:rPr>
        <w:t>a whole</w:t>
      </w:r>
      <w:r w:rsidR="00A83EDE" w:rsidRPr="0003657F">
        <w:rPr>
          <w:lang w:val="en-GB"/>
        </w:rPr>
        <w:t>-</w:t>
      </w:r>
      <w:r w:rsidR="00B56B24" w:rsidRPr="0003657F">
        <w:rPr>
          <w:lang w:val="en-GB"/>
        </w:rPr>
        <w:t>of</w:t>
      </w:r>
      <w:r w:rsidR="00A83EDE" w:rsidRPr="0003657F">
        <w:rPr>
          <w:lang w:val="en-GB"/>
        </w:rPr>
        <w:t>-</w:t>
      </w:r>
      <w:r w:rsidR="00B56B24" w:rsidRPr="0003657F">
        <w:rPr>
          <w:lang w:val="en-GB"/>
        </w:rPr>
        <w:t>society approach</w:t>
      </w:r>
      <w:r w:rsidR="0035173D" w:rsidRPr="0003657F">
        <w:rPr>
          <w:lang w:val="en-GB"/>
        </w:rPr>
        <w:t>,</w:t>
      </w:r>
      <w:r w:rsidR="00B56B24" w:rsidRPr="0003657F">
        <w:rPr>
          <w:lang w:val="en-GB"/>
        </w:rPr>
        <w:t xml:space="preserve"> as government cannot achieve such transformative changes</w:t>
      </w:r>
      <w:r w:rsidR="00C96BE6" w:rsidRPr="0003657F">
        <w:rPr>
          <w:lang w:val="en-GB"/>
        </w:rPr>
        <w:t xml:space="preserve"> alone</w:t>
      </w:r>
      <w:r w:rsidR="00B56B24" w:rsidRPr="0003657F">
        <w:rPr>
          <w:lang w:val="en-GB"/>
        </w:rPr>
        <w:t xml:space="preserve">. It requires innovations and business models </w:t>
      </w:r>
      <w:r w:rsidR="0059632A">
        <w:rPr>
          <w:lang w:val="en-GB"/>
        </w:rPr>
        <w:t>from</w:t>
      </w:r>
      <w:r w:rsidR="0059632A" w:rsidRPr="0003657F">
        <w:rPr>
          <w:lang w:val="en-GB"/>
        </w:rPr>
        <w:t xml:space="preserve"> </w:t>
      </w:r>
      <w:r w:rsidR="00B56B24" w:rsidRPr="0003657F">
        <w:rPr>
          <w:lang w:val="en-GB"/>
        </w:rPr>
        <w:t>the private sector, mobilization of civil society</w:t>
      </w:r>
      <w:r w:rsidR="0059632A">
        <w:rPr>
          <w:lang w:val="en-GB"/>
        </w:rPr>
        <w:t>,</w:t>
      </w:r>
      <w:r w:rsidR="00B56B24" w:rsidRPr="0003657F">
        <w:rPr>
          <w:lang w:val="en-GB"/>
        </w:rPr>
        <w:t xml:space="preserve"> and best practices </w:t>
      </w:r>
      <w:r w:rsidR="00584B0F" w:rsidRPr="0003657F">
        <w:rPr>
          <w:lang w:val="en-GB"/>
        </w:rPr>
        <w:t xml:space="preserve">and funding </w:t>
      </w:r>
      <w:r w:rsidR="00B56B24" w:rsidRPr="0003657F">
        <w:rPr>
          <w:lang w:val="en-GB"/>
        </w:rPr>
        <w:t xml:space="preserve">from </w:t>
      </w:r>
      <w:r w:rsidR="00584B0F" w:rsidRPr="0003657F">
        <w:rPr>
          <w:lang w:val="en-GB"/>
        </w:rPr>
        <w:t>public and private sector</w:t>
      </w:r>
      <w:r w:rsidR="0035173D" w:rsidRPr="0003657F">
        <w:rPr>
          <w:lang w:val="en-GB"/>
        </w:rPr>
        <w:t>s</w:t>
      </w:r>
      <w:r w:rsidR="00584B0F" w:rsidRPr="0003657F">
        <w:rPr>
          <w:lang w:val="en-GB"/>
        </w:rPr>
        <w:t xml:space="preserve">. </w:t>
      </w:r>
    </w:p>
    <w:p w14:paraId="79B347E0" w14:textId="496379DD" w:rsidR="00FA226A" w:rsidRPr="0003657F" w:rsidRDefault="0035173D"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The </w:t>
      </w:r>
      <w:r>
        <w:rPr>
          <w:lang w:val="en-GB"/>
        </w:rPr>
        <w:t xml:space="preserve">country </w:t>
      </w:r>
      <w:r w:rsidR="00112DD5" w:rsidRPr="0003657F">
        <w:rPr>
          <w:lang w:val="en-GB"/>
        </w:rPr>
        <w:t>programme</w:t>
      </w:r>
      <w:r w:rsidR="00677219" w:rsidRPr="0003657F">
        <w:rPr>
          <w:lang w:val="en-GB"/>
        </w:rPr>
        <w:t xml:space="preserve"> will be centred on </w:t>
      </w:r>
      <w:r w:rsidR="00BB0548" w:rsidRPr="0003657F">
        <w:rPr>
          <w:lang w:val="en-GB"/>
        </w:rPr>
        <w:t xml:space="preserve">supporting implementation </w:t>
      </w:r>
      <w:r w:rsidR="00677219" w:rsidRPr="0003657F">
        <w:rPr>
          <w:lang w:val="en-GB"/>
        </w:rPr>
        <w:t xml:space="preserve">of the </w:t>
      </w:r>
      <w:r w:rsidR="003B299E" w:rsidRPr="0003657F">
        <w:rPr>
          <w:lang w:val="en-GB"/>
        </w:rPr>
        <w:t xml:space="preserve">sustainable development goals </w:t>
      </w:r>
      <w:r w:rsidR="00D8059F" w:rsidRPr="0003657F">
        <w:rPr>
          <w:lang w:val="en-GB"/>
        </w:rPr>
        <w:t xml:space="preserve">and the realization of sustainable human development </w:t>
      </w:r>
      <w:r w:rsidR="00677219" w:rsidRPr="0003657F">
        <w:rPr>
          <w:lang w:val="en-GB"/>
        </w:rPr>
        <w:t>in Mongolia</w:t>
      </w:r>
      <w:r w:rsidR="00B50D22" w:rsidRPr="0003657F">
        <w:rPr>
          <w:lang w:val="en-GB"/>
        </w:rPr>
        <w:t xml:space="preserve"> </w:t>
      </w:r>
      <w:r w:rsidR="00D8059F" w:rsidRPr="0003657F">
        <w:rPr>
          <w:lang w:val="en-GB"/>
        </w:rPr>
        <w:t xml:space="preserve">by </w:t>
      </w:r>
      <w:r w:rsidR="00B50D22" w:rsidRPr="0003657F">
        <w:rPr>
          <w:lang w:val="en-GB"/>
        </w:rPr>
        <w:t xml:space="preserve">translating the 2030 Agenda and </w:t>
      </w:r>
      <w:r>
        <w:rPr>
          <w:lang w:val="en-GB"/>
        </w:rPr>
        <w:t>the</w:t>
      </w:r>
      <w:r w:rsidRPr="0003657F">
        <w:rPr>
          <w:lang w:val="en-GB"/>
        </w:rPr>
        <w:t xml:space="preserve"> </w:t>
      </w:r>
      <w:r w:rsidR="00B50D22" w:rsidRPr="0003657F">
        <w:rPr>
          <w:lang w:val="en-GB"/>
        </w:rPr>
        <w:t>national development vision into action</w:t>
      </w:r>
      <w:r w:rsidR="00D8059F" w:rsidRPr="0003657F">
        <w:rPr>
          <w:lang w:val="en-GB"/>
        </w:rPr>
        <w:t>.</w:t>
      </w:r>
      <w:r w:rsidR="00677219" w:rsidRPr="0003657F">
        <w:rPr>
          <w:lang w:val="en-GB"/>
        </w:rPr>
        <w:t xml:space="preserve"> </w:t>
      </w:r>
      <w:r>
        <w:rPr>
          <w:lang w:val="en-GB"/>
        </w:rPr>
        <w:t>T</w:t>
      </w:r>
      <w:r w:rsidR="00ED5FB9" w:rsidRPr="0003657F">
        <w:rPr>
          <w:lang w:val="en-GB"/>
        </w:rPr>
        <w:t xml:space="preserve">he nexus of economic growth, social development and environmental sustainability </w:t>
      </w:r>
      <w:r w:rsidR="00677219" w:rsidRPr="0003657F">
        <w:rPr>
          <w:lang w:val="en-GB"/>
        </w:rPr>
        <w:t>will be</w:t>
      </w:r>
      <w:r w:rsidR="00ED5FB9" w:rsidRPr="0003657F">
        <w:rPr>
          <w:lang w:val="en-GB"/>
        </w:rPr>
        <w:t xml:space="preserve"> the focus of the programme</w:t>
      </w:r>
      <w:r>
        <w:rPr>
          <w:lang w:val="en-GB"/>
        </w:rPr>
        <w:t xml:space="preserve">, </w:t>
      </w:r>
      <w:r w:rsidR="00ED5FB9" w:rsidRPr="0003657F">
        <w:rPr>
          <w:lang w:val="en-GB"/>
        </w:rPr>
        <w:t xml:space="preserve">with governance as a key enabler. </w:t>
      </w:r>
      <w:r w:rsidR="00D67610" w:rsidRPr="0003657F">
        <w:rPr>
          <w:lang w:val="en-GB"/>
        </w:rPr>
        <w:t xml:space="preserve">UNDP will target </w:t>
      </w:r>
      <w:r w:rsidR="003B299E" w:rsidRPr="0003657F">
        <w:rPr>
          <w:lang w:val="en-GB"/>
        </w:rPr>
        <w:t>goal</w:t>
      </w:r>
      <w:r>
        <w:rPr>
          <w:lang w:val="en-GB"/>
        </w:rPr>
        <w:t>s</w:t>
      </w:r>
      <w:r w:rsidR="00D67610" w:rsidRPr="0003657F">
        <w:rPr>
          <w:lang w:val="en-GB"/>
        </w:rPr>
        <w:t xml:space="preserve"> 1</w:t>
      </w:r>
      <w:r>
        <w:rPr>
          <w:lang w:val="en-GB"/>
        </w:rPr>
        <w:t>,</w:t>
      </w:r>
      <w:r w:rsidR="00D67610" w:rsidRPr="0003657F">
        <w:rPr>
          <w:lang w:val="en-GB"/>
        </w:rPr>
        <w:t xml:space="preserve"> eradicating poverty</w:t>
      </w:r>
      <w:r w:rsidR="0059632A">
        <w:rPr>
          <w:lang w:val="en-GB"/>
        </w:rPr>
        <w:t>;</w:t>
      </w:r>
      <w:r w:rsidR="00D67610" w:rsidRPr="0003657F">
        <w:rPr>
          <w:lang w:val="en-GB"/>
        </w:rPr>
        <w:t xml:space="preserve"> 10</w:t>
      </w:r>
      <w:r>
        <w:rPr>
          <w:lang w:val="en-GB"/>
        </w:rPr>
        <w:t>,</w:t>
      </w:r>
      <w:r w:rsidR="00D67610" w:rsidRPr="0003657F">
        <w:rPr>
          <w:lang w:val="en-GB"/>
        </w:rPr>
        <w:t xml:space="preserve"> reducing inequality</w:t>
      </w:r>
      <w:r w:rsidR="0059632A">
        <w:rPr>
          <w:lang w:val="en-GB"/>
        </w:rPr>
        <w:t>;</w:t>
      </w:r>
      <w:r w:rsidR="00D67610" w:rsidRPr="0003657F">
        <w:rPr>
          <w:lang w:val="en-GB"/>
        </w:rPr>
        <w:t xml:space="preserve"> and 16</w:t>
      </w:r>
      <w:r>
        <w:rPr>
          <w:lang w:val="en-GB"/>
        </w:rPr>
        <w:t>,</w:t>
      </w:r>
      <w:r w:rsidR="00D67610" w:rsidRPr="0003657F">
        <w:rPr>
          <w:lang w:val="en-GB"/>
        </w:rPr>
        <w:t xml:space="preserve"> promot</w:t>
      </w:r>
      <w:r>
        <w:rPr>
          <w:lang w:val="en-GB"/>
        </w:rPr>
        <w:t>ing</w:t>
      </w:r>
      <w:r w:rsidR="00D67610" w:rsidRPr="0003657F">
        <w:rPr>
          <w:lang w:val="en-GB"/>
        </w:rPr>
        <w:t xml:space="preserve"> inclusive societies. </w:t>
      </w:r>
      <w:r w:rsidR="00D322A3" w:rsidRPr="0003657F">
        <w:rPr>
          <w:lang w:val="en-GB"/>
        </w:rPr>
        <w:t xml:space="preserve">The </w:t>
      </w:r>
      <w:r>
        <w:rPr>
          <w:lang w:val="en-GB"/>
        </w:rPr>
        <w:t>programme</w:t>
      </w:r>
      <w:r w:rsidRPr="0003657F">
        <w:rPr>
          <w:lang w:val="en-GB"/>
        </w:rPr>
        <w:t xml:space="preserve"> </w:t>
      </w:r>
      <w:r w:rsidR="00D322A3" w:rsidRPr="0003657F">
        <w:rPr>
          <w:lang w:val="en-GB"/>
        </w:rPr>
        <w:t xml:space="preserve">is informed by </w:t>
      </w:r>
      <w:r>
        <w:rPr>
          <w:lang w:val="en-GB"/>
        </w:rPr>
        <w:t xml:space="preserve">the </w:t>
      </w:r>
      <w:r w:rsidR="00D322A3" w:rsidRPr="0003657F">
        <w:rPr>
          <w:lang w:val="en-GB"/>
        </w:rPr>
        <w:t xml:space="preserve">UNDP </w:t>
      </w:r>
      <w:r>
        <w:rPr>
          <w:lang w:val="en-GB"/>
        </w:rPr>
        <w:t>s</w:t>
      </w:r>
      <w:r w:rsidR="00D322A3" w:rsidRPr="0003657F">
        <w:rPr>
          <w:lang w:val="en-GB"/>
        </w:rPr>
        <w:t xml:space="preserve">trategic </w:t>
      </w:r>
      <w:r>
        <w:rPr>
          <w:lang w:val="en-GB"/>
        </w:rPr>
        <w:t>p</w:t>
      </w:r>
      <w:r w:rsidR="00D322A3" w:rsidRPr="0003657F">
        <w:rPr>
          <w:lang w:val="en-GB"/>
        </w:rPr>
        <w:t>lan</w:t>
      </w:r>
      <w:r w:rsidR="002B301A" w:rsidRPr="0003657F">
        <w:rPr>
          <w:lang w:val="en-GB"/>
        </w:rPr>
        <w:t xml:space="preserve"> and priorities drawn from </w:t>
      </w:r>
      <w:r>
        <w:rPr>
          <w:lang w:val="en-GB"/>
        </w:rPr>
        <w:t>United Nations Development Assistance Framework</w:t>
      </w:r>
      <w:r w:rsidR="00D322A3" w:rsidRPr="0003657F">
        <w:rPr>
          <w:lang w:val="en-GB"/>
        </w:rPr>
        <w:t xml:space="preserve">. </w:t>
      </w:r>
    </w:p>
    <w:p w14:paraId="6DD9620B" w14:textId="66E278B2" w:rsidR="00F01563" w:rsidRPr="0003657F" w:rsidRDefault="00C96BE6"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Using </w:t>
      </w:r>
      <w:r w:rsidR="00F01563" w:rsidRPr="0003657F">
        <w:rPr>
          <w:lang w:val="en-GB"/>
        </w:rPr>
        <w:t xml:space="preserve">a whole-of-government </w:t>
      </w:r>
      <w:r w:rsidR="00197FF6" w:rsidRPr="0003657F">
        <w:rPr>
          <w:lang w:val="en-GB"/>
        </w:rPr>
        <w:t>and society approach</w:t>
      </w:r>
      <w:r w:rsidRPr="0003657F">
        <w:rPr>
          <w:lang w:val="en-GB"/>
        </w:rPr>
        <w:t>,</w:t>
      </w:r>
      <w:r w:rsidR="00697D3E" w:rsidRPr="0003657F">
        <w:rPr>
          <w:lang w:val="en-GB"/>
        </w:rPr>
        <w:t xml:space="preserve"> UNDP will focus</w:t>
      </w:r>
      <w:r w:rsidRPr="0003657F">
        <w:rPr>
          <w:lang w:val="en-GB"/>
        </w:rPr>
        <w:t>, first,</w:t>
      </w:r>
      <w:r w:rsidR="00697D3E" w:rsidRPr="0003657F">
        <w:rPr>
          <w:lang w:val="en-GB"/>
        </w:rPr>
        <w:t xml:space="preserve"> on policy advisory services</w:t>
      </w:r>
      <w:r w:rsidR="0035173D">
        <w:rPr>
          <w:lang w:val="en-GB"/>
        </w:rPr>
        <w:t>,</w:t>
      </w:r>
      <w:r w:rsidR="00697D3E" w:rsidRPr="0003657F">
        <w:rPr>
          <w:lang w:val="en-GB"/>
        </w:rPr>
        <w:t xml:space="preserve"> building the evidence base, promoting policy coherence</w:t>
      </w:r>
      <w:r w:rsidR="008A4BDD" w:rsidRPr="0003657F">
        <w:rPr>
          <w:lang w:val="en-GB"/>
        </w:rPr>
        <w:t xml:space="preserve"> by </w:t>
      </w:r>
      <w:r w:rsidR="00697D3E" w:rsidRPr="0003657F">
        <w:rPr>
          <w:lang w:val="en-GB"/>
        </w:rPr>
        <w:t xml:space="preserve">highlighting </w:t>
      </w:r>
      <w:r w:rsidR="00697D3E" w:rsidRPr="0003657F">
        <w:rPr>
          <w:lang w:val="en-GB"/>
        </w:rPr>
        <w:lastRenderedPageBreak/>
        <w:t xml:space="preserve">interlinkages and trade-offs, supporting targeting, and identifying sustainable development pathways for Mongolia with clear policy options. Second, UNDP will </w:t>
      </w:r>
      <w:r w:rsidR="00751073" w:rsidRPr="0003657F">
        <w:rPr>
          <w:lang w:val="en-GB"/>
        </w:rPr>
        <w:t xml:space="preserve">foster innovation </w:t>
      </w:r>
      <w:r w:rsidR="006C0A2A" w:rsidRPr="0003657F">
        <w:rPr>
          <w:lang w:val="en-GB"/>
        </w:rPr>
        <w:t>and knowledge</w:t>
      </w:r>
      <w:r w:rsidR="0035173D">
        <w:rPr>
          <w:lang w:val="en-GB"/>
        </w:rPr>
        <w:t>-</w:t>
      </w:r>
      <w:r w:rsidR="006C0A2A" w:rsidRPr="0003657F">
        <w:rPr>
          <w:lang w:val="en-GB"/>
        </w:rPr>
        <w:t>generation</w:t>
      </w:r>
      <w:r w:rsidR="0035173D">
        <w:rPr>
          <w:lang w:val="en-GB"/>
        </w:rPr>
        <w:t>,</w:t>
      </w:r>
      <w:r w:rsidR="00751073" w:rsidRPr="0003657F">
        <w:rPr>
          <w:lang w:val="en-GB"/>
        </w:rPr>
        <w:t xml:space="preserve"> including integrated</w:t>
      </w:r>
      <w:r w:rsidR="0059632A">
        <w:rPr>
          <w:lang w:val="en-GB"/>
        </w:rPr>
        <w:t>,</w:t>
      </w:r>
      <w:r w:rsidR="00751073" w:rsidRPr="0003657F">
        <w:rPr>
          <w:lang w:val="en-GB"/>
        </w:rPr>
        <w:t xml:space="preserve"> issue</w:t>
      </w:r>
      <w:r w:rsidR="0035173D">
        <w:rPr>
          <w:lang w:val="en-GB"/>
        </w:rPr>
        <w:t>s</w:t>
      </w:r>
      <w:r w:rsidRPr="0003657F">
        <w:rPr>
          <w:lang w:val="en-GB"/>
        </w:rPr>
        <w:t>-</w:t>
      </w:r>
      <w:r w:rsidR="00751073" w:rsidRPr="0003657F">
        <w:rPr>
          <w:lang w:val="en-GB"/>
        </w:rPr>
        <w:t xml:space="preserve">based approaches to complex development </w:t>
      </w:r>
      <w:r w:rsidR="00112DD5" w:rsidRPr="0003657F">
        <w:rPr>
          <w:lang w:val="en-GB"/>
        </w:rPr>
        <w:t>challenges</w:t>
      </w:r>
      <w:r w:rsidR="00751073" w:rsidRPr="0003657F">
        <w:rPr>
          <w:lang w:val="en-GB"/>
        </w:rPr>
        <w:t xml:space="preserve">. </w:t>
      </w:r>
      <w:r w:rsidR="00697D3E" w:rsidRPr="0003657F">
        <w:rPr>
          <w:lang w:val="en-GB"/>
        </w:rPr>
        <w:t xml:space="preserve">Third, UNDP will act as a </w:t>
      </w:r>
      <w:r w:rsidR="006C0A2A" w:rsidRPr="0003657F">
        <w:rPr>
          <w:lang w:val="en-GB"/>
        </w:rPr>
        <w:t xml:space="preserve">connector and </w:t>
      </w:r>
      <w:r w:rsidR="00697D3E" w:rsidRPr="0003657F">
        <w:rPr>
          <w:lang w:val="en-GB"/>
        </w:rPr>
        <w:t>platform</w:t>
      </w:r>
      <w:r w:rsidR="000D7DB6" w:rsidRPr="0003657F">
        <w:rPr>
          <w:lang w:val="en-GB"/>
        </w:rPr>
        <w:t xml:space="preserve"> </w:t>
      </w:r>
      <w:r w:rsidR="00697D3E" w:rsidRPr="0003657F">
        <w:rPr>
          <w:lang w:val="en-GB"/>
        </w:rPr>
        <w:t xml:space="preserve">supporting linkages </w:t>
      </w:r>
      <w:r w:rsidR="006C0A2A" w:rsidRPr="0003657F">
        <w:rPr>
          <w:lang w:val="en-GB"/>
        </w:rPr>
        <w:t xml:space="preserve">and </w:t>
      </w:r>
      <w:r w:rsidR="00656D5C">
        <w:rPr>
          <w:lang w:val="en-GB"/>
        </w:rPr>
        <w:t>S</w:t>
      </w:r>
      <w:r w:rsidR="00780189" w:rsidRPr="0003657F">
        <w:rPr>
          <w:lang w:val="en-GB"/>
        </w:rPr>
        <w:t>outh-</w:t>
      </w:r>
      <w:r w:rsidR="00656D5C">
        <w:rPr>
          <w:lang w:val="en-GB"/>
        </w:rPr>
        <w:t>S</w:t>
      </w:r>
      <w:r w:rsidR="00780189" w:rsidRPr="0003657F">
        <w:rPr>
          <w:lang w:val="en-GB"/>
        </w:rPr>
        <w:t xml:space="preserve">outh </w:t>
      </w:r>
      <w:r w:rsidR="006C0A2A" w:rsidRPr="0003657F">
        <w:rPr>
          <w:lang w:val="en-GB"/>
        </w:rPr>
        <w:t xml:space="preserve">knowledge exchanges </w:t>
      </w:r>
      <w:r w:rsidR="00697D3E" w:rsidRPr="0003657F">
        <w:rPr>
          <w:lang w:val="en-GB"/>
        </w:rPr>
        <w:t xml:space="preserve">by bringing Mongolian </w:t>
      </w:r>
      <w:r w:rsidR="00BB0548" w:rsidRPr="0003657F">
        <w:rPr>
          <w:lang w:val="en-GB"/>
        </w:rPr>
        <w:t xml:space="preserve">good </w:t>
      </w:r>
      <w:r w:rsidR="00697D3E" w:rsidRPr="0003657F">
        <w:rPr>
          <w:lang w:val="en-GB"/>
        </w:rPr>
        <w:t>practices to global</w:t>
      </w:r>
      <w:r w:rsidR="00656D5C">
        <w:rPr>
          <w:lang w:val="en-GB"/>
        </w:rPr>
        <w:t xml:space="preserve"> and </w:t>
      </w:r>
      <w:r w:rsidR="00697D3E" w:rsidRPr="0003657F">
        <w:rPr>
          <w:lang w:val="en-GB"/>
        </w:rPr>
        <w:t>regional forum</w:t>
      </w:r>
      <w:r w:rsidR="00656D5C">
        <w:rPr>
          <w:lang w:val="en-GB"/>
        </w:rPr>
        <w:t>s, and</w:t>
      </w:r>
      <w:r w:rsidR="00697D3E" w:rsidRPr="0003657F">
        <w:rPr>
          <w:lang w:val="en-GB"/>
        </w:rPr>
        <w:t xml:space="preserve"> global innovations to Mongolia. </w:t>
      </w:r>
      <w:r w:rsidR="00F41E0E" w:rsidRPr="0003657F">
        <w:rPr>
          <w:lang w:val="en-GB"/>
        </w:rPr>
        <w:t xml:space="preserve">Models such as the </w:t>
      </w:r>
      <w:r w:rsidR="00656D5C" w:rsidRPr="006469BF">
        <w:rPr>
          <w:lang w:val="en-GB"/>
        </w:rPr>
        <w:t xml:space="preserve">International Think Tank </w:t>
      </w:r>
      <w:r w:rsidR="00656D5C">
        <w:rPr>
          <w:lang w:val="en-GB"/>
        </w:rPr>
        <w:t>for Landlocked</w:t>
      </w:r>
      <w:r w:rsidR="00656D5C" w:rsidRPr="00656D5C">
        <w:rPr>
          <w:lang w:val="en-GB"/>
        </w:rPr>
        <w:t xml:space="preserve"> </w:t>
      </w:r>
      <w:r w:rsidR="00656D5C">
        <w:rPr>
          <w:lang w:val="en-GB"/>
        </w:rPr>
        <w:t>Developing Countries</w:t>
      </w:r>
      <w:r w:rsidR="00656D5C" w:rsidRPr="006469BF">
        <w:rPr>
          <w:lang w:val="en-GB"/>
        </w:rPr>
        <w:t xml:space="preserve"> </w:t>
      </w:r>
      <w:r w:rsidR="005715EA" w:rsidRPr="0003657F">
        <w:rPr>
          <w:lang w:val="en-GB"/>
        </w:rPr>
        <w:t xml:space="preserve">could be </w:t>
      </w:r>
      <w:r w:rsidR="00A83EDE" w:rsidRPr="0003657F">
        <w:rPr>
          <w:lang w:val="en-GB"/>
        </w:rPr>
        <w:t xml:space="preserve">valuable </w:t>
      </w:r>
      <w:r w:rsidR="005715EA" w:rsidRPr="0003657F">
        <w:rPr>
          <w:lang w:val="en-GB"/>
        </w:rPr>
        <w:t xml:space="preserve">to </w:t>
      </w:r>
      <w:r w:rsidR="00656D5C">
        <w:rPr>
          <w:lang w:val="en-GB"/>
        </w:rPr>
        <w:t>the</w:t>
      </w:r>
      <w:r w:rsidR="00656D5C" w:rsidRPr="0003657F">
        <w:rPr>
          <w:lang w:val="en-GB"/>
        </w:rPr>
        <w:t xml:space="preserve"> </w:t>
      </w:r>
      <w:r w:rsidR="005715EA" w:rsidRPr="0003657F">
        <w:rPr>
          <w:lang w:val="en-GB"/>
        </w:rPr>
        <w:t>planned start</w:t>
      </w:r>
      <w:r w:rsidR="0035173D">
        <w:rPr>
          <w:lang w:val="en-GB"/>
        </w:rPr>
        <w:t>-</w:t>
      </w:r>
      <w:r w:rsidR="005715EA" w:rsidRPr="0003657F">
        <w:rPr>
          <w:lang w:val="en-GB"/>
        </w:rPr>
        <w:t>up of a Mongolian</w:t>
      </w:r>
      <w:r w:rsidR="00656D5C">
        <w:rPr>
          <w:lang w:val="en-GB"/>
        </w:rPr>
        <w:t xml:space="preserve"> i</w:t>
      </w:r>
      <w:r w:rsidR="005715EA" w:rsidRPr="0003657F">
        <w:rPr>
          <w:lang w:val="en-GB"/>
        </w:rPr>
        <w:t xml:space="preserve">nternational </w:t>
      </w:r>
      <w:r w:rsidR="00656D5C">
        <w:rPr>
          <w:lang w:val="en-GB"/>
        </w:rPr>
        <w:t>c</w:t>
      </w:r>
      <w:r w:rsidR="005715EA" w:rsidRPr="0003657F">
        <w:rPr>
          <w:lang w:val="en-GB"/>
        </w:rPr>
        <w:t xml:space="preserve">ooperation </w:t>
      </w:r>
      <w:r w:rsidR="00656D5C">
        <w:rPr>
          <w:lang w:val="en-GB"/>
        </w:rPr>
        <w:t>a</w:t>
      </w:r>
      <w:r w:rsidR="005715EA" w:rsidRPr="0003657F">
        <w:rPr>
          <w:lang w:val="en-GB"/>
        </w:rPr>
        <w:t>gency</w:t>
      </w:r>
      <w:r w:rsidR="00F41E0E" w:rsidRPr="0003657F">
        <w:rPr>
          <w:lang w:val="en-GB"/>
        </w:rPr>
        <w:t>.</w:t>
      </w:r>
      <w:r w:rsidR="005715EA" w:rsidRPr="0003657F">
        <w:rPr>
          <w:lang w:val="en-GB"/>
        </w:rPr>
        <w:t xml:space="preserve"> </w:t>
      </w:r>
      <w:r w:rsidR="0044321D" w:rsidRPr="0003657F">
        <w:rPr>
          <w:lang w:val="en-GB"/>
        </w:rPr>
        <w:t>Fourth, UNDP will</w:t>
      </w:r>
      <w:r w:rsidR="00F01563" w:rsidRPr="0003657F">
        <w:rPr>
          <w:lang w:val="en-GB"/>
        </w:rPr>
        <w:t xml:space="preserve"> </w:t>
      </w:r>
      <w:r w:rsidR="006C0A2A" w:rsidRPr="0003657F">
        <w:rPr>
          <w:lang w:val="en-GB"/>
        </w:rPr>
        <w:t xml:space="preserve">leverage its role as a connector domestically by ensuring </w:t>
      </w:r>
      <w:r w:rsidR="00F01563" w:rsidRPr="0003657F">
        <w:rPr>
          <w:lang w:val="en-GB"/>
        </w:rPr>
        <w:t xml:space="preserve">voice and participation of communities </w:t>
      </w:r>
      <w:r w:rsidR="006C0A2A" w:rsidRPr="0003657F">
        <w:rPr>
          <w:lang w:val="en-GB"/>
        </w:rPr>
        <w:t>and non-state actors in the development process</w:t>
      </w:r>
      <w:r w:rsidR="00444BA3" w:rsidRPr="0003657F">
        <w:rPr>
          <w:lang w:val="en-GB"/>
        </w:rPr>
        <w:t>.</w:t>
      </w:r>
      <w:r w:rsidR="006C0A2A" w:rsidRPr="0003657F">
        <w:rPr>
          <w:lang w:val="en-GB"/>
        </w:rPr>
        <w:t xml:space="preserve"> </w:t>
      </w:r>
    </w:p>
    <w:p w14:paraId="479341FF" w14:textId="009DB605" w:rsidR="00807C11" w:rsidRPr="0003657F" w:rsidRDefault="00807C11"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UNDP will target the poor and near</w:t>
      </w:r>
      <w:r w:rsidR="0059390B">
        <w:rPr>
          <w:lang w:val="en-GB"/>
        </w:rPr>
        <w:t>-</w:t>
      </w:r>
      <w:r w:rsidRPr="0003657F">
        <w:rPr>
          <w:lang w:val="en-GB"/>
        </w:rPr>
        <w:t>poor in rural and urban areas. In rural areas, the focus will be on natural resource</w:t>
      </w:r>
      <w:r w:rsidR="0059390B">
        <w:rPr>
          <w:lang w:val="en-GB"/>
        </w:rPr>
        <w:t>-</w:t>
      </w:r>
      <w:r w:rsidRPr="0003657F">
        <w:rPr>
          <w:lang w:val="en-GB"/>
        </w:rPr>
        <w:t>dependent communities vulnerable to climate change. In urban areas</w:t>
      </w:r>
      <w:r w:rsidR="0059390B">
        <w:rPr>
          <w:lang w:val="en-GB"/>
        </w:rPr>
        <w:t xml:space="preserve"> – </w:t>
      </w:r>
      <w:r w:rsidR="00803F85" w:rsidRPr="0003657F">
        <w:rPr>
          <w:lang w:val="en-GB"/>
        </w:rPr>
        <w:t xml:space="preserve">half of </w:t>
      </w:r>
      <w:r w:rsidR="0059390B">
        <w:rPr>
          <w:lang w:val="en-GB"/>
        </w:rPr>
        <w:t>the</w:t>
      </w:r>
      <w:r w:rsidR="0059390B" w:rsidRPr="0003657F">
        <w:rPr>
          <w:lang w:val="en-GB"/>
        </w:rPr>
        <w:t xml:space="preserve"> </w:t>
      </w:r>
      <w:r w:rsidR="00803F85" w:rsidRPr="0003657F">
        <w:rPr>
          <w:lang w:val="en-GB"/>
        </w:rPr>
        <w:t>population liv</w:t>
      </w:r>
      <w:r w:rsidR="0059390B">
        <w:rPr>
          <w:lang w:val="en-GB"/>
        </w:rPr>
        <w:t>es</w:t>
      </w:r>
      <w:r w:rsidR="00803F85" w:rsidRPr="0003657F">
        <w:rPr>
          <w:lang w:val="en-GB"/>
        </w:rPr>
        <w:t xml:space="preserve"> in the capital</w:t>
      </w:r>
      <w:r w:rsidR="0059390B">
        <w:rPr>
          <w:lang w:val="en-GB"/>
        </w:rPr>
        <w:t xml:space="preserve"> – </w:t>
      </w:r>
      <w:r w:rsidRPr="0003657F">
        <w:rPr>
          <w:lang w:val="en-GB"/>
        </w:rPr>
        <w:t xml:space="preserve">the focus will be on the urban poor </w:t>
      </w:r>
      <w:r w:rsidR="004932C2" w:rsidRPr="0003657F">
        <w:rPr>
          <w:lang w:val="en-GB"/>
        </w:rPr>
        <w:t xml:space="preserve">in </w:t>
      </w:r>
      <w:r w:rsidR="0059390B">
        <w:rPr>
          <w:lang w:val="en-GB"/>
        </w:rPr>
        <w:t>Ula</w:t>
      </w:r>
      <w:r w:rsidR="002A28EB">
        <w:rPr>
          <w:lang w:val="en-GB"/>
        </w:rPr>
        <w:t>anbaata</w:t>
      </w:r>
      <w:r w:rsidR="0059390B">
        <w:rPr>
          <w:lang w:val="en-GB"/>
        </w:rPr>
        <w:t>r</w:t>
      </w:r>
      <w:r w:rsidR="004932C2" w:rsidRPr="0003657F">
        <w:rPr>
          <w:lang w:val="en-GB"/>
        </w:rPr>
        <w:t xml:space="preserve">, </w:t>
      </w:r>
      <w:r w:rsidRPr="0003657F">
        <w:rPr>
          <w:lang w:val="en-GB"/>
        </w:rPr>
        <w:t>many of wh</w:t>
      </w:r>
      <w:r w:rsidR="00803F85" w:rsidRPr="0003657F">
        <w:rPr>
          <w:lang w:val="en-GB"/>
        </w:rPr>
        <w:t>om</w:t>
      </w:r>
      <w:r w:rsidRPr="0003657F">
        <w:rPr>
          <w:lang w:val="en-GB"/>
        </w:rPr>
        <w:t xml:space="preserve"> are recent migrants living in the </w:t>
      </w:r>
      <w:r w:rsidRPr="0003657F">
        <w:rPr>
          <w:i/>
          <w:lang w:val="en-GB"/>
        </w:rPr>
        <w:t>ger</w:t>
      </w:r>
      <w:r w:rsidRPr="0003657F">
        <w:rPr>
          <w:lang w:val="en-GB"/>
        </w:rPr>
        <w:t xml:space="preserve"> districts. </w:t>
      </w:r>
      <w:r w:rsidR="008A4BDD" w:rsidRPr="0003657F">
        <w:rPr>
          <w:lang w:val="en-GB"/>
        </w:rPr>
        <w:t xml:space="preserve">UNDP </w:t>
      </w:r>
      <w:r w:rsidRPr="0003657F">
        <w:rPr>
          <w:lang w:val="en-GB"/>
        </w:rPr>
        <w:t>will also focus on marginalized groups</w:t>
      </w:r>
      <w:r w:rsidR="003609AC" w:rsidRPr="0003657F">
        <w:rPr>
          <w:lang w:val="en-GB"/>
        </w:rPr>
        <w:t>, such as youth and women</w:t>
      </w:r>
      <w:r w:rsidRPr="0003657F">
        <w:rPr>
          <w:lang w:val="en-GB"/>
        </w:rPr>
        <w:t xml:space="preserve">. </w:t>
      </w:r>
      <w:r w:rsidR="0075123B" w:rsidRPr="0003657F">
        <w:rPr>
          <w:lang w:val="en-GB"/>
        </w:rPr>
        <w:t>Given low population density dispersed across</w:t>
      </w:r>
      <w:r w:rsidR="00B44B88" w:rsidRPr="0003657F">
        <w:rPr>
          <w:lang w:val="en-GB"/>
        </w:rPr>
        <w:t xml:space="preserve"> a</w:t>
      </w:r>
      <w:r w:rsidR="0075123B" w:rsidRPr="0003657F">
        <w:rPr>
          <w:lang w:val="en-GB"/>
        </w:rPr>
        <w:t xml:space="preserve"> vast territory</w:t>
      </w:r>
      <w:r w:rsidR="00B44B88" w:rsidRPr="0003657F">
        <w:rPr>
          <w:lang w:val="en-GB"/>
        </w:rPr>
        <w:t xml:space="preserve">, </w:t>
      </w:r>
      <w:r w:rsidR="0075123B" w:rsidRPr="0003657F">
        <w:rPr>
          <w:lang w:val="en-GB"/>
        </w:rPr>
        <w:t xml:space="preserve">UNDP will collaborate with local administrative bodies </w:t>
      </w:r>
      <w:r w:rsidR="00B44B88" w:rsidRPr="0003657F">
        <w:rPr>
          <w:lang w:val="en-GB"/>
        </w:rPr>
        <w:t>and civil</w:t>
      </w:r>
      <w:r w:rsidR="0075123B" w:rsidRPr="0003657F">
        <w:rPr>
          <w:lang w:val="en-GB"/>
        </w:rPr>
        <w:t xml:space="preserve"> society organizations</w:t>
      </w:r>
      <w:r w:rsidR="00B44B88" w:rsidRPr="0003657F">
        <w:rPr>
          <w:lang w:val="en-GB"/>
        </w:rPr>
        <w:t xml:space="preserve"> to reach target groups</w:t>
      </w:r>
      <w:r w:rsidR="0075123B" w:rsidRPr="0003657F">
        <w:rPr>
          <w:lang w:val="en-GB"/>
        </w:rPr>
        <w:t xml:space="preserve">. </w:t>
      </w:r>
    </w:p>
    <w:p w14:paraId="7757B32B" w14:textId="65FB3A3C" w:rsidR="00F51E45" w:rsidRPr="0003657F" w:rsidRDefault="00FA226A"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t>
      </w:r>
      <w:r w:rsidR="00A807E7">
        <w:rPr>
          <w:lang w:val="en-GB"/>
        </w:rPr>
        <w:t xml:space="preserve">is </w:t>
      </w:r>
      <w:r w:rsidRPr="0003657F">
        <w:rPr>
          <w:lang w:val="en-GB"/>
        </w:rPr>
        <w:t>commit</w:t>
      </w:r>
      <w:r w:rsidR="00A807E7">
        <w:rPr>
          <w:lang w:val="en-GB"/>
        </w:rPr>
        <w:t>ted</w:t>
      </w:r>
      <w:r w:rsidRPr="0003657F">
        <w:rPr>
          <w:lang w:val="en-GB"/>
        </w:rPr>
        <w:t xml:space="preserve"> to gender mainstreaming as a means </w:t>
      </w:r>
      <w:r w:rsidR="002A28EB">
        <w:rPr>
          <w:lang w:val="en-GB"/>
        </w:rPr>
        <w:t>of</w:t>
      </w:r>
      <w:r w:rsidRPr="0003657F">
        <w:rPr>
          <w:lang w:val="en-GB"/>
        </w:rPr>
        <w:t xml:space="preserve"> </w:t>
      </w:r>
      <w:r w:rsidR="00A83EDE" w:rsidRPr="0003657F">
        <w:rPr>
          <w:lang w:val="en-GB"/>
        </w:rPr>
        <w:t>promot</w:t>
      </w:r>
      <w:r w:rsidR="002A28EB">
        <w:rPr>
          <w:lang w:val="en-GB"/>
        </w:rPr>
        <w:t>ing</w:t>
      </w:r>
      <w:r w:rsidR="00F21AC8" w:rsidRPr="0003657F">
        <w:rPr>
          <w:lang w:val="en-GB"/>
        </w:rPr>
        <w:t xml:space="preserve"> </w:t>
      </w:r>
      <w:r w:rsidRPr="0003657F">
        <w:rPr>
          <w:lang w:val="en-GB"/>
        </w:rPr>
        <w:t xml:space="preserve">gender equality at all levels </w:t>
      </w:r>
      <w:r w:rsidR="002A28EB">
        <w:rPr>
          <w:lang w:val="en-GB"/>
        </w:rPr>
        <w:t>–</w:t>
      </w:r>
      <w:r w:rsidRPr="0003657F">
        <w:rPr>
          <w:lang w:val="en-GB"/>
        </w:rPr>
        <w:t xml:space="preserve"> in research, legislation, </w:t>
      </w:r>
      <w:r w:rsidR="00A807E7">
        <w:rPr>
          <w:lang w:val="en-GB"/>
        </w:rPr>
        <w:t xml:space="preserve">and </w:t>
      </w:r>
      <w:r w:rsidRPr="0003657F">
        <w:rPr>
          <w:lang w:val="en-GB"/>
        </w:rPr>
        <w:t xml:space="preserve">policy development. This </w:t>
      </w:r>
      <w:r w:rsidR="0059632A">
        <w:rPr>
          <w:lang w:val="en-GB"/>
        </w:rPr>
        <w:t>will mean</w:t>
      </w:r>
      <w:r w:rsidRPr="0003657F">
        <w:rPr>
          <w:lang w:val="en-GB"/>
        </w:rPr>
        <w:t xml:space="preserve"> that women as well as men can influence, participate in and benefit from development efforts. </w:t>
      </w:r>
      <w:r w:rsidR="00AE2A8B" w:rsidRPr="0003657F">
        <w:rPr>
          <w:lang w:val="en-GB"/>
        </w:rPr>
        <w:t>UNDP will apply gender analysis in all its new programme</w:t>
      </w:r>
      <w:r w:rsidR="008A4BDD" w:rsidRPr="0003657F">
        <w:rPr>
          <w:lang w:val="en-GB"/>
        </w:rPr>
        <w:t>s</w:t>
      </w:r>
      <w:r w:rsidR="00AE2A8B" w:rsidRPr="0003657F">
        <w:rPr>
          <w:lang w:val="en-GB"/>
        </w:rPr>
        <w:t xml:space="preserve"> to identify entry points and </w:t>
      </w:r>
      <w:r w:rsidRPr="0003657F">
        <w:rPr>
          <w:lang w:val="en-GB"/>
        </w:rPr>
        <w:t>targeted interventions to promote gender equality and women</w:t>
      </w:r>
      <w:r w:rsidR="00A807E7">
        <w:rPr>
          <w:lang w:val="en-GB"/>
        </w:rPr>
        <w:t>’</w:t>
      </w:r>
      <w:r w:rsidRPr="0003657F">
        <w:rPr>
          <w:lang w:val="en-GB"/>
        </w:rPr>
        <w:t>s empowerment.</w:t>
      </w:r>
      <w:r w:rsidR="00AE2A8B" w:rsidRPr="0003657F">
        <w:rPr>
          <w:lang w:val="en-GB"/>
        </w:rPr>
        <w:t xml:space="preserve"> </w:t>
      </w:r>
    </w:p>
    <w:p w14:paraId="7A816929" w14:textId="71F5F925" w:rsidR="00515F9B" w:rsidRPr="0003657F" w:rsidRDefault="00515F9B" w:rsidP="00C25210">
      <w:pPr>
        <w:tabs>
          <w:tab w:val="left" w:pos="1620"/>
        </w:tabs>
        <w:spacing w:after="120"/>
        <w:ind w:left="1260" w:right="1267"/>
        <w:jc w:val="both"/>
        <w:rPr>
          <w:b/>
          <w:lang w:val="en-GB"/>
        </w:rPr>
      </w:pPr>
      <w:r w:rsidRPr="0003657F">
        <w:rPr>
          <w:b/>
          <w:lang w:val="en-GB"/>
        </w:rPr>
        <w:t>Outcome 1</w:t>
      </w:r>
      <w:r w:rsidR="00A807E7">
        <w:rPr>
          <w:b/>
          <w:lang w:val="en-GB"/>
        </w:rPr>
        <w:t>.</w:t>
      </w:r>
      <w:r w:rsidRPr="0003657F">
        <w:rPr>
          <w:b/>
          <w:lang w:val="en-GB"/>
        </w:rPr>
        <w:t xml:space="preserve"> </w:t>
      </w:r>
      <w:r w:rsidR="00C261F7" w:rsidRPr="0003657F">
        <w:rPr>
          <w:b/>
          <w:lang w:val="en-GB"/>
        </w:rPr>
        <w:t>I</w:t>
      </w:r>
      <w:r w:rsidRPr="0003657F">
        <w:rPr>
          <w:b/>
          <w:lang w:val="en-GB"/>
        </w:rPr>
        <w:t xml:space="preserve">nclusive and </w:t>
      </w:r>
      <w:r w:rsidR="00C261F7" w:rsidRPr="0003657F">
        <w:rPr>
          <w:b/>
          <w:lang w:val="en-GB"/>
        </w:rPr>
        <w:t xml:space="preserve">sustainable development </w:t>
      </w:r>
    </w:p>
    <w:p w14:paraId="51AC4381" w14:textId="0463E91F" w:rsidR="00520813" w:rsidRPr="0003657F" w:rsidRDefault="00520813" w:rsidP="00C25210">
      <w:pPr>
        <w:tabs>
          <w:tab w:val="left" w:pos="1620"/>
        </w:tabs>
        <w:spacing w:after="120"/>
        <w:ind w:left="720" w:right="1267" w:firstLine="540"/>
        <w:jc w:val="both"/>
        <w:rPr>
          <w:lang w:val="en-GB"/>
        </w:rPr>
      </w:pPr>
      <w:r w:rsidRPr="0003657F">
        <w:rPr>
          <w:i/>
          <w:lang w:val="en-GB"/>
        </w:rPr>
        <w:t xml:space="preserve">Mainstreaming the </w:t>
      </w:r>
      <w:r w:rsidR="003609AC" w:rsidRPr="0003657F">
        <w:rPr>
          <w:i/>
          <w:lang w:val="en-GB"/>
        </w:rPr>
        <w:t>2030 Agenda</w:t>
      </w:r>
      <w:r w:rsidR="001A09E1" w:rsidRPr="0003657F">
        <w:rPr>
          <w:lang w:val="en-GB"/>
        </w:rPr>
        <w:t xml:space="preserve"> </w:t>
      </w:r>
    </w:p>
    <w:p w14:paraId="58A67E35" w14:textId="11BDC93C" w:rsidR="00520813" w:rsidRPr="0003657F" w:rsidRDefault="001A09E1"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will work with the Government </w:t>
      </w:r>
      <w:r w:rsidR="000900E4" w:rsidRPr="0003657F">
        <w:rPr>
          <w:lang w:val="en-GB"/>
        </w:rPr>
        <w:t xml:space="preserve">on </w:t>
      </w:r>
      <w:r w:rsidR="00F21AC8" w:rsidRPr="0003657F">
        <w:rPr>
          <w:lang w:val="en-GB"/>
        </w:rPr>
        <w:t xml:space="preserve">the 2030 </w:t>
      </w:r>
      <w:r w:rsidR="003609AC" w:rsidRPr="0003657F">
        <w:rPr>
          <w:lang w:val="en-GB"/>
        </w:rPr>
        <w:t>Agenda</w:t>
      </w:r>
      <w:r w:rsidR="000900E4" w:rsidRPr="0003657F">
        <w:rPr>
          <w:lang w:val="en-GB"/>
        </w:rPr>
        <w:t>,</w:t>
      </w:r>
      <w:r w:rsidR="00F21AC8" w:rsidRPr="0003657F">
        <w:rPr>
          <w:lang w:val="en-GB"/>
        </w:rPr>
        <w:t xml:space="preserve"> </w:t>
      </w:r>
      <w:r w:rsidR="00B86EDD" w:rsidRPr="0003657F">
        <w:rPr>
          <w:lang w:val="en-GB"/>
        </w:rPr>
        <w:t xml:space="preserve">integrating it </w:t>
      </w:r>
      <w:r w:rsidRPr="0003657F">
        <w:rPr>
          <w:lang w:val="en-GB"/>
        </w:rPr>
        <w:t xml:space="preserve">into </w:t>
      </w:r>
      <w:r w:rsidR="00A807E7">
        <w:rPr>
          <w:lang w:val="en-GB"/>
        </w:rPr>
        <w:t>l</w:t>
      </w:r>
      <w:r w:rsidRPr="0003657F">
        <w:rPr>
          <w:lang w:val="en-GB"/>
        </w:rPr>
        <w:t>ong</w:t>
      </w:r>
      <w:r w:rsidR="00A807E7">
        <w:rPr>
          <w:lang w:val="en-GB"/>
        </w:rPr>
        <w:t>-</w:t>
      </w:r>
      <w:r w:rsidRPr="0003657F">
        <w:rPr>
          <w:lang w:val="en-GB"/>
        </w:rPr>
        <w:t>, medium</w:t>
      </w:r>
      <w:r w:rsidR="00A807E7">
        <w:rPr>
          <w:lang w:val="en-GB"/>
        </w:rPr>
        <w:t>-</w:t>
      </w:r>
      <w:r w:rsidRPr="0003657F">
        <w:rPr>
          <w:lang w:val="en-GB"/>
        </w:rPr>
        <w:t xml:space="preserve"> and short-term policies and plans. This will be done in partnership with </w:t>
      </w:r>
      <w:r w:rsidR="00A83EDE" w:rsidRPr="0003657F">
        <w:rPr>
          <w:lang w:val="en-GB"/>
        </w:rPr>
        <w:t>Parliament</w:t>
      </w:r>
      <w:r w:rsidRPr="0003657F">
        <w:rPr>
          <w:lang w:val="en-GB"/>
        </w:rPr>
        <w:t xml:space="preserve">, </w:t>
      </w:r>
      <w:r w:rsidR="00A807E7">
        <w:rPr>
          <w:lang w:val="en-GB"/>
        </w:rPr>
        <w:t xml:space="preserve">the </w:t>
      </w:r>
      <w:r w:rsidRPr="0003657F">
        <w:rPr>
          <w:lang w:val="en-GB"/>
        </w:rPr>
        <w:t>Prime Min</w:t>
      </w:r>
      <w:r w:rsidR="00520813" w:rsidRPr="0003657F">
        <w:rPr>
          <w:lang w:val="en-GB"/>
        </w:rPr>
        <w:t xml:space="preserve">ister’s </w:t>
      </w:r>
      <w:r w:rsidR="00A807E7">
        <w:rPr>
          <w:lang w:val="en-GB"/>
        </w:rPr>
        <w:t>o</w:t>
      </w:r>
      <w:r w:rsidR="00520813" w:rsidRPr="0003657F">
        <w:rPr>
          <w:lang w:val="en-GB"/>
        </w:rPr>
        <w:t xml:space="preserve">ffice, </w:t>
      </w:r>
      <w:r w:rsidR="00A807E7">
        <w:rPr>
          <w:lang w:val="en-GB"/>
        </w:rPr>
        <w:t xml:space="preserve">the </w:t>
      </w:r>
      <w:r w:rsidRPr="0003657F">
        <w:rPr>
          <w:lang w:val="en-GB"/>
        </w:rPr>
        <w:t>Ministry of Finance</w:t>
      </w:r>
      <w:r w:rsidR="007150B5" w:rsidRPr="0003657F">
        <w:rPr>
          <w:lang w:val="en-GB"/>
        </w:rPr>
        <w:t xml:space="preserve">, </w:t>
      </w:r>
      <w:r w:rsidR="00A807E7">
        <w:rPr>
          <w:lang w:val="en-GB"/>
        </w:rPr>
        <w:t xml:space="preserve">the </w:t>
      </w:r>
      <w:r w:rsidR="00520813" w:rsidRPr="0003657F">
        <w:rPr>
          <w:lang w:val="en-GB"/>
        </w:rPr>
        <w:t>National Statistics Office</w:t>
      </w:r>
      <w:r w:rsidR="00A807E7">
        <w:rPr>
          <w:lang w:val="en-GB"/>
        </w:rPr>
        <w:t>,</w:t>
      </w:r>
      <w:r w:rsidR="007150B5" w:rsidRPr="0003657F">
        <w:rPr>
          <w:lang w:val="en-GB"/>
        </w:rPr>
        <w:t xml:space="preserve"> </w:t>
      </w:r>
      <w:r w:rsidR="00A807E7">
        <w:rPr>
          <w:lang w:val="en-GB"/>
        </w:rPr>
        <w:t>United Nations organization</w:t>
      </w:r>
      <w:r w:rsidR="007150B5" w:rsidRPr="0003657F">
        <w:rPr>
          <w:lang w:val="en-GB"/>
        </w:rPr>
        <w:t>s</w:t>
      </w:r>
      <w:r w:rsidR="0059632A">
        <w:rPr>
          <w:lang w:val="en-GB"/>
        </w:rPr>
        <w:t>,</w:t>
      </w:r>
      <w:r w:rsidR="007150B5" w:rsidRPr="0003657F">
        <w:rPr>
          <w:lang w:val="en-GB"/>
        </w:rPr>
        <w:t xml:space="preserve"> and development partners</w:t>
      </w:r>
      <w:r w:rsidR="005715EA" w:rsidRPr="0003657F">
        <w:rPr>
          <w:lang w:val="en-GB"/>
        </w:rPr>
        <w:t xml:space="preserve">, especially the </w:t>
      </w:r>
      <w:r w:rsidR="00A807E7">
        <w:rPr>
          <w:lang w:val="en-GB"/>
        </w:rPr>
        <w:t>international financial institution</w:t>
      </w:r>
      <w:r w:rsidR="00A807E7" w:rsidRPr="0003657F">
        <w:rPr>
          <w:lang w:val="en-GB"/>
        </w:rPr>
        <w:t>s</w:t>
      </w:r>
      <w:r w:rsidR="00A807E7">
        <w:rPr>
          <w:lang w:val="en-GB"/>
        </w:rPr>
        <w:t>,</w:t>
      </w:r>
      <w:r w:rsidR="00A807E7" w:rsidRPr="0003657F">
        <w:rPr>
          <w:lang w:val="en-GB"/>
        </w:rPr>
        <w:t xml:space="preserve"> </w:t>
      </w:r>
      <w:r w:rsidRPr="0003657F">
        <w:rPr>
          <w:lang w:val="en-GB"/>
        </w:rPr>
        <w:t xml:space="preserve">to ensure effective policy implementation and coordination. </w:t>
      </w:r>
      <w:r w:rsidR="00A807E7">
        <w:rPr>
          <w:lang w:val="en-GB"/>
        </w:rPr>
        <w:t>The</w:t>
      </w:r>
      <w:r w:rsidR="00DA7112" w:rsidRPr="0003657F">
        <w:rPr>
          <w:lang w:val="en-GB"/>
        </w:rPr>
        <w:t xml:space="preserve"> </w:t>
      </w:r>
      <w:r w:rsidRPr="0003657F">
        <w:rPr>
          <w:lang w:val="en-GB"/>
        </w:rPr>
        <w:t xml:space="preserve">UNDP approach will be to create a platform </w:t>
      </w:r>
      <w:r w:rsidR="00DA7112" w:rsidRPr="0003657F">
        <w:rPr>
          <w:lang w:val="en-GB"/>
        </w:rPr>
        <w:t>allow</w:t>
      </w:r>
      <w:r w:rsidR="00A807E7">
        <w:rPr>
          <w:lang w:val="en-GB"/>
        </w:rPr>
        <w:t>ing</w:t>
      </w:r>
      <w:r w:rsidR="00DA7112" w:rsidRPr="0003657F">
        <w:rPr>
          <w:lang w:val="en-GB"/>
        </w:rPr>
        <w:t xml:space="preserve"> multiple stakeholders to </w:t>
      </w:r>
      <w:r w:rsidRPr="0003657F">
        <w:rPr>
          <w:lang w:val="en-GB"/>
        </w:rPr>
        <w:t>contribut</w:t>
      </w:r>
      <w:r w:rsidR="00DA7112" w:rsidRPr="0003657F">
        <w:rPr>
          <w:lang w:val="en-GB"/>
        </w:rPr>
        <w:t>e</w:t>
      </w:r>
      <w:r w:rsidRPr="0003657F">
        <w:rPr>
          <w:lang w:val="en-GB"/>
        </w:rPr>
        <w:t xml:space="preserve"> to</w:t>
      </w:r>
      <w:r w:rsidR="00A83EDE" w:rsidRPr="0003657F">
        <w:rPr>
          <w:lang w:val="en-GB"/>
        </w:rPr>
        <w:t>wards</w:t>
      </w:r>
      <w:r w:rsidRPr="0003657F">
        <w:rPr>
          <w:lang w:val="en-GB"/>
        </w:rPr>
        <w:t xml:space="preserve"> </w:t>
      </w:r>
      <w:r w:rsidR="00DA7112" w:rsidRPr="0003657F">
        <w:rPr>
          <w:lang w:val="en-GB"/>
        </w:rPr>
        <w:t xml:space="preserve">attainment </w:t>
      </w:r>
      <w:r w:rsidRPr="0003657F">
        <w:rPr>
          <w:lang w:val="en-GB"/>
        </w:rPr>
        <w:t xml:space="preserve">of the </w:t>
      </w:r>
      <w:r w:rsidR="003B299E" w:rsidRPr="0003657F">
        <w:rPr>
          <w:lang w:val="en-GB"/>
        </w:rPr>
        <w:t>sustainable development goal</w:t>
      </w:r>
      <w:r w:rsidRPr="0003657F">
        <w:rPr>
          <w:lang w:val="en-GB"/>
        </w:rPr>
        <w:t xml:space="preserve">s in a coordinated way. </w:t>
      </w:r>
    </w:p>
    <w:p w14:paraId="0644A900" w14:textId="1EE45FED" w:rsidR="00520813" w:rsidRPr="0003657F" w:rsidRDefault="001A09E1"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To address </w:t>
      </w:r>
      <w:r w:rsidR="00A83EDE" w:rsidRPr="0003657F">
        <w:rPr>
          <w:lang w:val="en-GB"/>
        </w:rPr>
        <w:t xml:space="preserve">gaps between </w:t>
      </w:r>
      <w:r w:rsidRPr="0003657F">
        <w:rPr>
          <w:lang w:val="en-GB"/>
        </w:rPr>
        <w:t xml:space="preserve">policy planning and budgeting, UNDP will support </w:t>
      </w:r>
      <w:r w:rsidR="00A83EDE" w:rsidRPr="0003657F">
        <w:rPr>
          <w:lang w:val="en-GB"/>
        </w:rPr>
        <w:t xml:space="preserve">the </w:t>
      </w:r>
      <w:r w:rsidRPr="0003657F">
        <w:rPr>
          <w:lang w:val="en-GB"/>
        </w:rPr>
        <w:t>development of an integrated</w:t>
      </w:r>
      <w:r w:rsidR="003609AC" w:rsidRPr="0003657F">
        <w:rPr>
          <w:lang w:val="en-GB"/>
        </w:rPr>
        <w:t xml:space="preserve"> national</w:t>
      </w:r>
      <w:r w:rsidRPr="0003657F">
        <w:rPr>
          <w:lang w:val="en-GB"/>
        </w:rPr>
        <w:t xml:space="preserve"> financing framework identifying potential mechanisms</w:t>
      </w:r>
      <w:r w:rsidR="003609AC" w:rsidRPr="0003657F">
        <w:rPr>
          <w:lang w:val="en-GB"/>
        </w:rPr>
        <w:t xml:space="preserve"> and financing options</w:t>
      </w:r>
      <w:r w:rsidRPr="0003657F">
        <w:rPr>
          <w:lang w:val="en-GB"/>
        </w:rPr>
        <w:t xml:space="preserve">, including private sector financing, </w:t>
      </w:r>
      <w:r w:rsidR="00A807E7">
        <w:rPr>
          <w:lang w:val="en-GB"/>
        </w:rPr>
        <w:t>to</w:t>
      </w:r>
      <w:r w:rsidR="00A807E7" w:rsidRPr="0003657F">
        <w:rPr>
          <w:lang w:val="en-GB"/>
        </w:rPr>
        <w:t xml:space="preserve"> </w:t>
      </w:r>
      <w:r w:rsidRPr="0003657F">
        <w:rPr>
          <w:lang w:val="en-GB"/>
        </w:rPr>
        <w:t xml:space="preserve">implement </w:t>
      </w:r>
      <w:r w:rsidR="00A807E7">
        <w:rPr>
          <w:lang w:val="en-GB"/>
        </w:rPr>
        <w:t xml:space="preserve">the </w:t>
      </w:r>
      <w:r w:rsidR="003609AC" w:rsidRPr="0003657F">
        <w:rPr>
          <w:lang w:val="en-GB"/>
        </w:rPr>
        <w:t xml:space="preserve">2030 Agenda </w:t>
      </w:r>
      <w:r w:rsidRPr="0003657F">
        <w:rPr>
          <w:lang w:val="en-GB"/>
        </w:rPr>
        <w:t xml:space="preserve">and national policies. </w:t>
      </w:r>
    </w:p>
    <w:p w14:paraId="13140E24" w14:textId="14FF82D9" w:rsidR="00520813" w:rsidRPr="0003657F" w:rsidRDefault="00520813"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will support the availability of reliable </w:t>
      </w:r>
      <w:r w:rsidR="003B299E" w:rsidRPr="0003657F">
        <w:rPr>
          <w:lang w:val="en-GB"/>
        </w:rPr>
        <w:t>sustainable development goals</w:t>
      </w:r>
      <w:r w:rsidRPr="0003657F">
        <w:rPr>
          <w:lang w:val="en-GB"/>
        </w:rPr>
        <w:t xml:space="preserve"> data and develop national capacities </w:t>
      </w:r>
      <w:r w:rsidR="00A807E7">
        <w:rPr>
          <w:lang w:val="en-GB"/>
        </w:rPr>
        <w:t>for its generation and analysis,</w:t>
      </w:r>
      <w:r w:rsidR="005715EA" w:rsidRPr="0003657F">
        <w:rPr>
          <w:lang w:val="en-GB"/>
        </w:rPr>
        <w:t xml:space="preserve"> </w:t>
      </w:r>
      <w:r w:rsidRPr="0003657F">
        <w:rPr>
          <w:lang w:val="en-GB"/>
        </w:rPr>
        <w:t>undertak</w:t>
      </w:r>
      <w:r w:rsidR="00A807E7">
        <w:rPr>
          <w:lang w:val="en-GB"/>
        </w:rPr>
        <w:t>ing</w:t>
      </w:r>
      <w:r w:rsidRPr="0003657F">
        <w:rPr>
          <w:lang w:val="en-GB"/>
        </w:rPr>
        <w:t xml:space="preserve"> regular and effective monitoring and reporting. This includes brin</w:t>
      </w:r>
      <w:r w:rsidR="009660B7" w:rsidRPr="0003657F">
        <w:rPr>
          <w:lang w:val="en-GB"/>
        </w:rPr>
        <w:t>g</w:t>
      </w:r>
      <w:r w:rsidRPr="0003657F">
        <w:rPr>
          <w:lang w:val="en-GB"/>
        </w:rPr>
        <w:t>ing in innovations to generate an ‘open-data’ platform with multiple stakeholders for monitoring</w:t>
      </w:r>
      <w:r w:rsidR="00A807E7">
        <w:rPr>
          <w:lang w:val="en-GB"/>
        </w:rPr>
        <w:t xml:space="preserve"> progress towards the goals</w:t>
      </w:r>
      <w:r w:rsidRPr="0003657F">
        <w:rPr>
          <w:lang w:val="en-GB"/>
        </w:rPr>
        <w:t>.</w:t>
      </w:r>
      <w:r w:rsidR="007150B5" w:rsidRPr="0003657F">
        <w:rPr>
          <w:lang w:val="en-GB"/>
        </w:rPr>
        <w:t xml:space="preserve"> This effort will identify the key areas where Mongolia lags behind</w:t>
      </w:r>
      <w:r w:rsidR="00A807E7">
        <w:rPr>
          <w:lang w:val="en-GB"/>
        </w:rPr>
        <w:t>,</w:t>
      </w:r>
      <w:r w:rsidR="007150B5" w:rsidRPr="0003657F">
        <w:rPr>
          <w:lang w:val="en-GB"/>
        </w:rPr>
        <w:t xml:space="preserve"> </w:t>
      </w:r>
      <w:r w:rsidR="00A807E7">
        <w:rPr>
          <w:lang w:val="en-GB"/>
        </w:rPr>
        <w:t>where</w:t>
      </w:r>
      <w:r w:rsidR="00A807E7" w:rsidRPr="0003657F">
        <w:rPr>
          <w:lang w:val="en-GB"/>
        </w:rPr>
        <w:t xml:space="preserve"> </w:t>
      </w:r>
      <w:r w:rsidR="007150B5" w:rsidRPr="0003657F">
        <w:rPr>
          <w:lang w:val="en-GB"/>
        </w:rPr>
        <w:t>UNDP wil</w:t>
      </w:r>
      <w:r w:rsidR="00F21AC8" w:rsidRPr="0003657F">
        <w:rPr>
          <w:lang w:val="en-GB"/>
        </w:rPr>
        <w:t>l focus its policy support</w:t>
      </w:r>
      <w:r w:rsidR="003609AC" w:rsidRPr="0003657F">
        <w:rPr>
          <w:lang w:val="en-GB"/>
        </w:rPr>
        <w:t xml:space="preserve"> in collaboration with </w:t>
      </w:r>
      <w:r w:rsidR="00A807E7">
        <w:rPr>
          <w:lang w:val="en-GB"/>
        </w:rPr>
        <w:t>United Nations</w:t>
      </w:r>
      <w:r w:rsidR="00A807E7" w:rsidRPr="0003657F">
        <w:rPr>
          <w:lang w:val="en-GB"/>
        </w:rPr>
        <w:t xml:space="preserve"> </w:t>
      </w:r>
      <w:r w:rsidR="003609AC" w:rsidRPr="0003657F">
        <w:rPr>
          <w:lang w:val="en-GB"/>
        </w:rPr>
        <w:t>partners</w:t>
      </w:r>
      <w:r w:rsidR="007150B5" w:rsidRPr="0003657F">
        <w:rPr>
          <w:lang w:val="en-GB"/>
        </w:rPr>
        <w:t xml:space="preserve">. </w:t>
      </w:r>
    </w:p>
    <w:p w14:paraId="036F23D8" w14:textId="306D45FD" w:rsidR="000954E1" w:rsidRPr="0003657F" w:rsidRDefault="00DE1F4E"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Tackling the trade-offs between competing short- and long-term development objectives is central for a natural</w:t>
      </w:r>
      <w:r w:rsidR="00A807E7">
        <w:rPr>
          <w:lang w:val="en-GB"/>
        </w:rPr>
        <w:t>-</w:t>
      </w:r>
      <w:r w:rsidRPr="0003657F">
        <w:rPr>
          <w:lang w:val="en-GB"/>
        </w:rPr>
        <w:t xml:space="preserve">resource dependent country. </w:t>
      </w:r>
      <w:r w:rsidR="000954E1" w:rsidRPr="0003657F">
        <w:rPr>
          <w:bCs/>
          <w:lang w:val="en-GB"/>
        </w:rPr>
        <w:t xml:space="preserve">This requires policy coherence across different sectors and geographical areas. </w:t>
      </w:r>
      <w:r w:rsidR="00520813" w:rsidRPr="0003657F">
        <w:rPr>
          <w:bCs/>
          <w:lang w:val="en-GB"/>
        </w:rPr>
        <w:t>UNDP will</w:t>
      </w:r>
      <w:r w:rsidR="000954E1" w:rsidRPr="0003657F">
        <w:rPr>
          <w:bCs/>
          <w:lang w:val="en-GB"/>
        </w:rPr>
        <w:t xml:space="preserve"> </w:t>
      </w:r>
      <w:r w:rsidR="00520813" w:rsidRPr="0003657F">
        <w:rPr>
          <w:bCs/>
          <w:lang w:val="en-GB"/>
        </w:rPr>
        <w:t xml:space="preserve">support </w:t>
      </w:r>
      <w:r w:rsidRPr="0003657F">
        <w:rPr>
          <w:bCs/>
          <w:lang w:val="en-GB"/>
        </w:rPr>
        <w:t xml:space="preserve">national </w:t>
      </w:r>
      <w:r w:rsidR="00520813" w:rsidRPr="0003657F">
        <w:rPr>
          <w:bCs/>
          <w:lang w:val="en-GB"/>
        </w:rPr>
        <w:t xml:space="preserve">prioritization among the </w:t>
      </w:r>
      <w:r w:rsidR="003B299E" w:rsidRPr="0003657F">
        <w:rPr>
          <w:lang w:val="en-GB"/>
        </w:rPr>
        <w:t>sustainable development goals</w:t>
      </w:r>
      <w:r w:rsidR="00520813" w:rsidRPr="0003657F">
        <w:rPr>
          <w:bCs/>
          <w:lang w:val="en-GB"/>
        </w:rPr>
        <w:t xml:space="preserve"> </w:t>
      </w:r>
      <w:r w:rsidRPr="0003657F">
        <w:rPr>
          <w:bCs/>
          <w:lang w:val="en-GB"/>
        </w:rPr>
        <w:t>by</w:t>
      </w:r>
      <w:r w:rsidR="00520813" w:rsidRPr="0003657F">
        <w:rPr>
          <w:bCs/>
          <w:lang w:val="en-GB"/>
        </w:rPr>
        <w:t xml:space="preserve"> providing evidence</w:t>
      </w:r>
      <w:r w:rsidR="00176E6E">
        <w:rPr>
          <w:bCs/>
          <w:lang w:val="en-GB"/>
        </w:rPr>
        <w:t>-</w:t>
      </w:r>
      <w:r w:rsidR="00520813" w:rsidRPr="0003657F">
        <w:rPr>
          <w:bCs/>
          <w:lang w:val="en-GB"/>
        </w:rPr>
        <w:t xml:space="preserve">based policy options in terms of sequencing and ensuring interlinkages between objectives. </w:t>
      </w:r>
      <w:r w:rsidR="000954E1" w:rsidRPr="0003657F">
        <w:rPr>
          <w:bCs/>
          <w:lang w:val="en-GB"/>
        </w:rPr>
        <w:t>UNDP will also support the development of institutional options for overseeing</w:t>
      </w:r>
      <w:r w:rsidR="003609AC" w:rsidRPr="0003657F">
        <w:rPr>
          <w:bCs/>
          <w:lang w:val="en-GB"/>
        </w:rPr>
        <w:t xml:space="preserve">, </w:t>
      </w:r>
      <w:r w:rsidR="000954E1" w:rsidRPr="0003657F">
        <w:rPr>
          <w:bCs/>
          <w:lang w:val="en-GB"/>
        </w:rPr>
        <w:t>coordinating</w:t>
      </w:r>
      <w:r w:rsidR="000954E1" w:rsidRPr="0003657F">
        <w:rPr>
          <w:lang w:val="en-GB"/>
        </w:rPr>
        <w:t xml:space="preserve"> </w:t>
      </w:r>
      <w:r w:rsidR="003609AC" w:rsidRPr="0003657F">
        <w:rPr>
          <w:lang w:val="en-GB"/>
        </w:rPr>
        <w:t xml:space="preserve">and ensuring policy coherence of </w:t>
      </w:r>
      <w:r w:rsidR="000954E1" w:rsidRPr="0003657F">
        <w:rPr>
          <w:lang w:val="en-GB"/>
        </w:rPr>
        <w:t xml:space="preserve">the agenda. </w:t>
      </w:r>
      <w:r w:rsidR="00064821" w:rsidRPr="0003657F">
        <w:rPr>
          <w:lang w:val="en-GB"/>
        </w:rPr>
        <w:t xml:space="preserve">This area of work will be anchored in sustainable livelihood and natural resource management solutions at the local level. UNDP support to local communities and subnational </w:t>
      </w:r>
      <w:r w:rsidR="00064821" w:rsidRPr="0003657F">
        <w:rPr>
          <w:i/>
          <w:lang w:val="en-GB"/>
        </w:rPr>
        <w:t>Hurals</w:t>
      </w:r>
      <w:r w:rsidR="00064821" w:rsidRPr="0003657F">
        <w:rPr>
          <w:lang w:val="en-GB"/>
        </w:rPr>
        <w:t xml:space="preserve"> will be </w:t>
      </w:r>
      <w:r w:rsidR="00D64DDE" w:rsidRPr="0003657F">
        <w:rPr>
          <w:lang w:val="en-GB"/>
        </w:rPr>
        <w:t xml:space="preserve">the </w:t>
      </w:r>
      <w:r w:rsidR="00064821" w:rsidRPr="0003657F">
        <w:rPr>
          <w:lang w:val="en-GB"/>
        </w:rPr>
        <w:t>key program</w:t>
      </w:r>
      <w:r w:rsidR="00176E6E">
        <w:rPr>
          <w:lang w:val="en-GB"/>
        </w:rPr>
        <w:t>me</w:t>
      </w:r>
      <w:r w:rsidR="00064821" w:rsidRPr="0003657F">
        <w:rPr>
          <w:lang w:val="en-GB"/>
        </w:rPr>
        <w:t xml:space="preserve"> blocks complementing policy interventions. </w:t>
      </w:r>
    </w:p>
    <w:p w14:paraId="59BEC1C0" w14:textId="1E0FA214" w:rsidR="00112DD5" w:rsidRPr="0003657F" w:rsidRDefault="00112DD5"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lastRenderedPageBreak/>
        <w:t>To address the dependency on few sectors for economic growt</w:t>
      </w:r>
      <w:r w:rsidR="00743770" w:rsidRPr="0003657F">
        <w:rPr>
          <w:lang w:val="en-GB"/>
        </w:rPr>
        <w:t xml:space="preserve">h </w:t>
      </w:r>
      <w:r w:rsidR="00176E6E">
        <w:rPr>
          <w:lang w:val="en-GB"/>
        </w:rPr>
        <w:t>and</w:t>
      </w:r>
      <w:r w:rsidR="00743770" w:rsidRPr="0003657F">
        <w:rPr>
          <w:lang w:val="en-GB"/>
        </w:rPr>
        <w:t xml:space="preserve"> livelihoods, UNDP </w:t>
      </w:r>
      <w:r w:rsidRPr="0003657F">
        <w:rPr>
          <w:lang w:val="en-GB"/>
        </w:rPr>
        <w:t xml:space="preserve">will support </w:t>
      </w:r>
      <w:r w:rsidR="00AA297B">
        <w:rPr>
          <w:lang w:val="en-GB"/>
        </w:rPr>
        <w:t xml:space="preserve">creation of </w:t>
      </w:r>
      <w:r w:rsidRPr="0003657F">
        <w:rPr>
          <w:lang w:val="en-GB"/>
        </w:rPr>
        <w:t>green jobs and the transformation towards a green economy</w:t>
      </w:r>
      <w:r w:rsidR="00176E6E">
        <w:rPr>
          <w:lang w:val="en-GB"/>
        </w:rPr>
        <w:t>.</w:t>
      </w:r>
      <w:r w:rsidR="007150B5" w:rsidRPr="0003657F">
        <w:rPr>
          <w:lang w:val="en-GB"/>
        </w:rPr>
        <w:t xml:space="preserve"> </w:t>
      </w:r>
      <w:r w:rsidR="00176E6E">
        <w:rPr>
          <w:lang w:val="en-GB"/>
        </w:rPr>
        <w:t>It</w:t>
      </w:r>
      <w:r w:rsidR="007150B5" w:rsidRPr="0003657F">
        <w:rPr>
          <w:lang w:val="en-GB"/>
        </w:rPr>
        <w:t xml:space="preserve"> will work with </w:t>
      </w:r>
      <w:r w:rsidR="00176E6E">
        <w:rPr>
          <w:lang w:val="en-GB"/>
        </w:rPr>
        <w:t>the United Nations Environment Programme</w:t>
      </w:r>
      <w:r w:rsidR="0095471E" w:rsidRPr="0003657F">
        <w:rPr>
          <w:lang w:val="en-GB"/>
        </w:rPr>
        <w:t xml:space="preserve">, </w:t>
      </w:r>
      <w:r w:rsidR="00176E6E">
        <w:rPr>
          <w:lang w:val="en-GB"/>
        </w:rPr>
        <w:t xml:space="preserve">the International Labour Organization, </w:t>
      </w:r>
      <w:r w:rsidR="00064821" w:rsidRPr="0003657F">
        <w:rPr>
          <w:lang w:val="en-GB"/>
        </w:rPr>
        <w:t xml:space="preserve">and </w:t>
      </w:r>
      <w:r w:rsidR="00176E6E">
        <w:rPr>
          <w:lang w:val="en-GB"/>
        </w:rPr>
        <w:t xml:space="preserve">the </w:t>
      </w:r>
      <w:r w:rsidR="00176E6E" w:rsidRPr="0003657F">
        <w:rPr>
          <w:lang w:val="en-GB"/>
        </w:rPr>
        <w:t>United Nations Industrial Development Organization</w:t>
      </w:r>
      <w:r w:rsidR="00064821" w:rsidRPr="0003657F">
        <w:rPr>
          <w:lang w:val="en-GB"/>
        </w:rPr>
        <w:t>,</w:t>
      </w:r>
      <w:r w:rsidR="007150B5" w:rsidRPr="0003657F">
        <w:rPr>
          <w:lang w:val="en-GB"/>
        </w:rPr>
        <w:t xml:space="preserve"> under the </w:t>
      </w:r>
      <w:r w:rsidR="00176E6E" w:rsidRPr="0003657F">
        <w:t>Partnership for Action on the Green Economy</w:t>
      </w:r>
      <w:r w:rsidR="007150B5" w:rsidRPr="0003657F">
        <w:rPr>
          <w:vertAlign w:val="superscript"/>
          <w:lang w:val="en-GB"/>
        </w:rPr>
        <w:footnoteReference w:id="24"/>
      </w:r>
      <w:r w:rsidR="00176E6E">
        <w:rPr>
          <w:lang w:val="en-GB"/>
        </w:rPr>
        <w:t>,</w:t>
      </w:r>
      <w:r w:rsidR="007150B5" w:rsidRPr="0003657F">
        <w:rPr>
          <w:lang w:val="en-GB"/>
        </w:rPr>
        <w:t xml:space="preserve"> to support policy options</w:t>
      </w:r>
      <w:r w:rsidR="00176E6E">
        <w:rPr>
          <w:lang w:val="en-GB"/>
        </w:rPr>
        <w:t xml:space="preserve"> and</w:t>
      </w:r>
      <w:r w:rsidR="007150B5" w:rsidRPr="0003657F">
        <w:rPr>
          <w:lang w:val="en-GB"/>
        </w:rPr>
        <w:t xml:space="preserve"> capacity</w:t>
      </w:r>
      <w:r w:rsidR="00176E6E">
        <w:rPr>
          <w:lang w:val="en-GB"/>
        </w:rPr>
        <w:t>,</w:t>
      </w:r>
      <w:r w:rsidR="007150B5" w:rsidRPr="0003657F">
        <w:rPr>
          <w:lang w:val="en-GB"/>
        </w:rPr>
        <w:t xml:space="preserve"> and to develop financing models</w:t>
      </w:r>
      <w:r w:rsidR="00E95EED" w:rsidRPr="0003657F">
        <w:rPr>
          <w:lang w:val="en-GB"/>
        </w:rPr>
        <w:t>.</w:t>
      </w:r>
      <w:r w:rsidR="00BB0548" w:rsidRPr="0003657F">
        <w:rPr>
          <w:lang w:val="en-GB"/>
        </w:rPr>
        <w:t xml:space="preserve"> </w:t>
      </w:r>
      <w:r w:rsidR="00176E6E">
        <w:rPr>
          <w:lang w:val="en-GB"/>
        </w:rPr>
        <w:t>I</w:t>
      </w:r>
      <w:r w:rsidR="00176E6E" w:rsidRPr="006469BF">
        <w:rPr>
          <w:lang w:val="en-GB"/>
        </w:rPr>
        <w:t>n partnership with the private sec</w:t>
      </w:r>
      <w:r w:rsidR="00176E6E">
        <w:rPr>
          <w:lang w:val="en-GB"/>
        </w:rPr>
        <w:t xml:space="preserve">tor, </w:t>
      </w:r>
      <w:r w:rsidR="00BB0548" w:rsidRPr="0003657F">
        <w:rPr>
          <w:lang w:val="en-GB"/>
        </w:rPr>
        <w:t>UNDP will promote small- and medium</w:t>
      </w:r>
      <w:r w:rsidR="00176E6E">
        <w:rPr>
          <w:lang w:val="en-GB"/>
        </w:rPr>
        <w:t>-</w:t>
      </w:r>
      <w:r w:rsidR="00BB0548" w:rsidRPr="0003657F">
        <w:rPr>
          <w:lang w:val="en-GB"/>
        </w:rPr>
        <w:t>size</w:t>
      </w:r>
      <w:r w:rsidR="00176E6E">
        <w:rPr>
          <w:lang w:val="en-GB"/>
        </w:rPr>
        <w:t>d</w:t>
      </w:r>
      <w:r w:rsidR="00BB0548" w:rsidRPr="0003657F">
        <w:rPr>
          <w:lang w:val="en-GB"/>
        </w:rPr>
        <w:t xml:space="preserve"> enterprise development to diversify economic opportunities</w:t>
      </w:r>
      <w:r w:rsidR="00E95EED" w:rsidRPr="0003657F">
        <w:rPr>
          <w:lang w:val="en-GB"/>
        </w:rPr>
        <w:t>.</w:t>
      </w:r>
    </w:p>
    <w:p w14:paraId="061BCA01" w14:textId="622700B9" w:rsidR="00520813" w:rsidRPr="0003657F" w:rsidRDefault="00DE1F4E"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UNDP</w:t>
      </w:r>
      <w:r w:rsidR="0074023E">
        <w:rPr>
          <w:lang w:val="en-GB"/>
        </w:rPr>
        <w:t>,</w:t>
      </w:r>
      <w:r w:rsidRPr="0003657F">
        <w:rPr>
          <w:lang w:val="en-GB"/>
        </w:rPr>
        <w:t xml:space="preserve"> with national and local stakeholders, </w:t>
      </w:r>
      <w:r w:rsidR="0074023E">
        <w:rPr>
          <w:lang w:val="en-GB"/>
        </w:rPr>
        <w:t xml:space="preserve">will </w:t>
      </w:r>
      <w:r w:rsidRPr="0003657F">
        <w:rPr>
          <w:lang w:val="en-GB"/>
        </w:rPr>
        <w:t xml:space="preserve">demonstrate how local development planning can be applied </w:t>
      </w:r>
      <w:r w:rsidR="0040402A" w:rsidRPr="0003657F">
        <w:rPr>
          <w:lang w:val="en-GB"/>
        </w:rPr>
        <w:t xml:space="preserve">to </w:t>
      </w:r>
      <w:r w:rsidR="0074023E">
        <w:rPr>
          <w:lang w:val="en-GB"/>
        </w:rPr>
        <w:t>consolidate</w:t>
      </w:r>
      <w:r w:rsidR="007D299B" w:rsidRPr="0003657F">
        <w:rPr>
          <w:lang w:val="en-GB"/>
        </w:rPr>
        <w:t xml:space="preserve"> </w:t>
      </w:r>
      <w:r w:rsidR="0040402A" w:rsidRPr="0003657F">
        <w:rPr>
          <w:lang w:val="en-GB"/>
        </w:rPr>
        <w:t>an integrated development</w:t>
      </w:r>
      <w:r w:rsidR="007D299B" w:rsidRPr="0003657F">
        <w:rPr>
          <w:lang w:val="en-GB"/>
        </w:rPr>
        <w:t xml:space="preserve"> approach</w:t>
      </w:r>
      <w:r w:rsidR="0040402A" w:rsidRPr="0003657F">
        <w:rPr>
          <w:lang w:val="en-GB"/>
        </w:rPr>
        <w:t xml:space="preserve"> that </w:t>
      </w:r>
      <w:r w:rsidR="003609AC" w:rsidRPr="0003657F">
        <w:rPr>
          <w:lang w:val="en-GB"/>
        </w:rPr>
        <w:t xml:space="preserve">translates </w:t>
      </w:r>
      <w:r w:rsidR="0040402A" w:rsidRPr="0003657F">
        <w:rPr>
          <w:lang w:val="en-GB"/>
        </w:rPr>
        <w:t xml:space="preserve">the </w:t>
      </w:r>
      <w:r w:rsidR="003609AC" w:rsidRPr="0003657F">
        <w:rPr>
          <w:lang w:val="en-GB"/>
        </w:rPr>
        <w:t xml:space="preserve">2030 Agenda </w:t>
      </w:r>
      <w:r w:rsidR="0040402A" w:rsidRPr="0003657F">
        <w:rPr>
          <w:lang w:val="en-GB"/>
        </w:rPr>
        <w:t>into action</w:t>
      </w:r>
      <w:r w:rsidRPr="0003657F">
        <w:rPr>
          <w:lang w:val="en-GB"/>
        </w:rPr>
        <w:t>.</w:t>
      </w:r>
      <w:r w:rsidR="0040402A" w:rsidRPr="0003657F">
        <w:rPr>
          <w:lang w:val="en-GB"/>
        </w:rPr>
        <w:t xml:space="preserve"> UNDP will support local government to analyse their development options </w:t>
      </w:r>
      <w:r w:rsidR="003609AC" w:rsidRPr="0003657F">
        <w:rPr>
          <w:lang w:val="en-GB"/>
        </w:rPr>
        <w:t xml:space="preserve">and priorities for </w:t>
      </w:r>
      <w:r w:rsidR="0040402A" w:rsidRPr="0003657F">
        <w:rPr>
          <w:lang w:val="en-GB"/>
        </w:rPr>
        <w:t xml:space="preserve">accelerating </w:t>
      </w:r>
      <w:r w:rsidR="003B299E" w:rsidRPr="0003657F">
        <w:rPr>
          <w:lang w:val="en-GB"/>
        </w:rPr>
        <w:t>sustainable development goals</w:t>
      </w:r>
      <w:r w:rsidR="0040402A" w:rsidRPr="0003657F">
        <w:rPr>
          <w:lang w:val="en-GB"/>
        </w:rPr>
        <w:t xml:space="preserve"> </w:t>
      </w:r>
      <w:r w:rsidR="003609AC" w:rsidRPr="0003657F">
        <w:rPr>
          <w:lang w:val="en-GB"/>
        </w:rPr>
        <w:t>progress</w:t>
      </w:r>
      <w:r w:rsidR="0040402A" w:rsidRPr="0003657F">
        <w:rPr>
          <w:lang w:val="en-GB"/>
        </w:rPr>
        <w:t xml:space="preserve">. </w:t>
      </w:r>
      <w:r w:rsidRPr="0003657F">
        <w:rPr>
          <w:lang w:val="en-GB"/>
        </w:rPr>
        <w:t xml:space="preserve">These demonstrations </w:t>
      </w:r>
      <w:r w:rsidR="0074023E">
        <w:rPr>
          <w:lang w:val="en-GB"/>
        </w:rPr>
        <w:t xml:space="preserve">will </w:t>
      </w:r>
      <w:r w:rsidR="007D299B" w:rsidRPr="0003657F">
        <w:rPr>
          <w:lang w:val="en-GB"/>
        </w:rPr>
        <w:t xml:space="preserve">generate models that can </w:t>
      </w:r>
      <w:r w:rsidRPr="0003657F">
        <w:rPr>
          <w:lang w:val="en-GB"/>
        </w:rPr>
        <w:t>be scaled</w:t>
      </w:r>
      <w:r w:rsidR="0074023E">
        <w:rPr>
          <w:lang w:val="en-GB"/>
        </w:rPr>
        <w:t xml:space="preserve"> </w:t>
      </w:r>
      <w:r w:rsidRPr="0003657F">
        <w:rPr>
          <w:lang w:val="en-GB"/>
        </w:rPr>
        <w:t xml:space="preserve">up </w:t>
      </w:r>
      <w:r w:rsidR="007D299B" w:rsidRPr="0003657F">
        <w:rPr>
          <w:lang w:val="en-GB"/>
        </w:rPr>
        <w:t>with Government funding</w:t>
      </w:r>
      <w:r w:rsidR="00520813" w:rsidRPr="0003657F">
        <w:rPr>
          <w:lang w:val="en-GB"/>
        </w:rPr>
        <w:t xml:space="preserve">. </w:t>
      </w:r>
    </w:p>
    <w:p w14:paraId="73214760" w14:textId="0D53ABA0" w:rsidR="00520813" w:rsidRPr="0003657F" w:rsidRDefault="000B25A9" w:rsidP="00C25210">
      <w:pPr>
        <w:pStyle w:val="ListParagraph"/>
        <w:tabs>
          <w:tab w:val="left" w:pos="1260"/>
          <w:tab w:val="left" w:pos="1620"/>
        </w:tabs>
        <w:spacing w:after="120"/>
        <w:ind w:left="1260" w:right="720"/>
        <w:jc w:val="both"/>
        <w:rPr>
          <w:i/>
          <w:lang w:val="en-GB"/>
        </w:rPr>
      </w:pPr>
      <w:r w:rsidRPr="0003657F">
        <w:rPr>
          <w:i/>
          <w:lang w:val="en-GB"/>
        </w:rPr>
        <w:t>E</w:t>
      </w:r>
      <w:r w:rsidR="001A09E1" w:rsidRPr="0003657F">
        <w:rPr>
          <w:i/>
          <w:lang w:val="en-GB"/>
        </w:rPr>
        <w:t xml:space="preserve">cosystem services to support livelihoods of vulnerable groups </w:t>
      </w:r>
    </w:p>
    <w:p w14:paraId="5EBC24DC" w14:textId="75413C2C" w:rsidR="000954E1" w:rsidRPr="0003657F" w:rsidRDefault="00DE1F4E"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M</w:t>
      </w:r>
      <w:r w:rsidR="001A09E1" w:rsidRPr="0003657F">
        <w:rPr>
          <w:lang w:val="en-GB"/>
        </w:rPr>
        <w:t xml:space="preserve">ainstreaming environmental sustainability, </w:t>
      </w:r>
      <w:r w:rsidRPr="0003657F">
        <w:rPr>
          <w:lang w:val="en-GB"/>
        </w:rPr>
        <w:t>resilience</w:t>
      </w:r>
      <w:r w:rsidR="0074023E">
        <w:rPr>
          <w:lang w:val="en-GB"/>
        </w:rPr>
        <w:t>,</w:t>
      </w:r>
      <w:r w:rsidR="001A09E1" w:rsidRPr="0003657F">
        <w:rPr>
          <w:lang w:val="en-GB"/>
        </w:rPr>
        <w:t xml:space="preserve"> and climate change</w:t>
      </w:r>
      <w:r w:rsidR="0074023E">
        <w:rPr>
          <w:lang w:val="en-GB"/>
        </w:rPr>
        <w:t>,</w:t>
      </w:r>
      <w:r w:rsidR="001A09E1" w:rsidRPr="0003657F">
        <w:rPr>
          <w:lang w:val="en-GB"/>
        </w:rPr>
        <w:t xml:space="preserve"> into planning processes and economic activities</w:t>
      </w:r>
      <w:r w:rsidRPr="0003657F">
        <w:rPr>
          <w:lang w:val="en-GB"/>
        </w:rPr>
        <w:t xml:space="preserve"> </w:t>
      </w:r>
      <w:r w:rsidR="0074023E">
        <w:rPr>
          <w:lang w:val="en-GB"/>
        </w:rPr>
        <w:t>will</w:t>
      </w:r>
      <w:r w:rsidRPr="0003657F">
        <w:rPr>
          <w:lang w:val="en-GB"/>
        </w:rPr>
        <w:t xml:space="preserve"> bring a holistic perspective to development</w:t>
      </w:r>
      <w:r w:rsidR="001A09E1" w:rsidRPr="0003657F">
        <w:rPr>
          <w:lang w:val="en-GB"/>
        </w:rPr>
        <w:t xml:space="preserve">. To </w:t>
      </w:r>
      <w:r w:rsidR="00115B80" w:rsidRPr="0003657F">
        <w:rPr>
          <w:lang w:val="en-GB"/>
        </w:rPr>
        <w:t>build</w:t>
      </w:r>
      <w:r w:rsidR="00415A38" w:rsidRPr="0003657F">
        <w:rPr>
          <w:lang w:val="en-GB"/>
        </w:rPr>
        <w:t xml:space="preserve"> a</w:t>
      </w:r>
      <w:r w:rsidRPr="0003657F">
        <w:rPr>
          <w:lang w:val="en-GB"/>
        </w:rPr>
        <w:t xml:space="preserve"> c</w:t>
      </w:r>
      <w:r w:rsidR="00415A38" w:rsidRPr="0003657F">
        <w:rPr>
          <w:lang w:val="en-GB"/>
        </w:rPr>
        <w:t xml:space="preserve">ase for </w:t>
      </w:r>
      <w:r w:rsidR="001A09E1" w:rsidRPr="0003657F">
        <w:rPr>
          <w:lang w:val="en-GB"/>
        </w:rPr>
        <w:t>increased investment</w:t>
      </w:r>
      <w:r w:rsidR="00415A38" w:rsidRPr="0003657F">
        <w:rPr>
          <w:lang w:val="en-GB"/>
        </w:rPr>
        <w:t>s</w:t>
      </w:r>
      <w:r w:rsidR="001A09E1" w:rsidRPr="0003657F">
        <w:rPr>
          <w:lang w:val="en-GB"/>
        </w:rPr>
        <w:t xml:space="preserve"> </w:t>
      </w:r>
      <w:r w:rsidR="00415A38" w:rsidRPr="0003657F">
        <w:rPr>
          <w:lang w:val="en-GB"/>
        </w:rPr>
        <w:t>in</w:t>
      </w:r>
      <w:r w:rsidR="001A09E1" w:rsidRPr="0003657F">
        <w:rPr>
          <w:lang w:val="en-GB"/>
        </w:rPr>
        <w:t xml:space="preserve"> natural capital, </w:t>
      </w:r>
      <w:r w:rsidRPr="0003657F">
        <w:rPr>
          <w:lang w:val="en-GB"/>
        </w:rPr>
        <w:t>UNDP</w:t>
      </w:r>
      <w:r w:rsidR="001A09E1" w:rsidRPr="0003657F">
        <w:rPr>
          <w:lang w:val="en-GB"/>
        </w:rPr>
        <w:t xml:space="preserve"> will </w:t>
      </w:r>
      <w:r w:rsidR="00F51E45" w:rsidRPr="0003657F">
        <w:rPr>
          <w:lang w:val="en-GB"/>
        </w:rPr>
        <w:t>work with the Ministries of Environment and F</w:t>
      </w:r>
      <w:r w:rsidR="0040402A" w:rsidRPr="0003657F">
        <w:rPr>
          <w:lang w:val="en-GB"/>
        </w:rPr>
        <w:t xml:space="preserve">inance </w:t>
      </w:r>
      <w:r w:rsidR="0074023E">
        <w:rPr>
          <w:lang w:val="en-GB"/>
        </w:rPr>
        <w:t>in</w:t>
      </w:r>
      <w:r w:rsidR="00415A38" w:rsidRPr="0003657F">
        <w:rPr>
          <w:lang w:val="en-GB"/>
        </w:rPr>
        <w:t xml:space="preserve"> develop</w:t>
      </w:r>
      <w:r w:rsidR="0074023E">
        <w:rPr>
          <w:lang w:val="en-GB"/>
        </w:rPr>
        <w:t>ing</w:t>
      </w:r>
      <w:r w:rsidR="00415A38" w:rsidRPr="0003657F">
        <w:rPr>
          <w:lang w:val="en-GB"/>
        </w:rPr>
        <w:t xml:space="preserve"> </w:t>
      </w:r>
      <w:r w:rsidR="00221F95" w:rsidRPr="0003657F">
        <w:rPr>
          <w:lang w:val="en-GB"/>
        </w:rPr>
        <w:t>tools to estimate the economic and developmental value of</w:t>
      </w:r>
      <w:r w:rsidR="001A09E1" w:rsidRPr="0003657F">
        <w:rPr>
          <w:lang w:val="en-GB"/>
        </w:rPr>
        <w:t xml:space="preserve"> ecosystem services and functions</w:t>
      </w:r>
      <w:r w:rsidR="00221F95" w:rsidRPr="0003657F">
        <w:rPr>
          <w:lang w:val="en-GB"/>
        </w:rPr>
        <w:t xml:space="preserve">. </w:t>
      </w:r>
      <w:r w:rsidRPr="0003657F">
        <w:rPr>
          <w:lang w:val="en-GB"/>
        </w:rPr>
        <w:t>Th</w:t>
      </w:r>
      <w:r w:rsidR="000F0679">
        <w:rPr>
          <w:lang w:val="en-GB"/>
        </w:rPr>
        <w:t>ese</w:t>
      </w:r>
      <w:r w:rsidRPr="0003657F">
        <w:rPr>
          <w:lang w:val="en-GB"/>
        </w:rPr>
        <w:t xml:space="preserve"> will</w:t>
      </w:r>
      <w:r w:rsidR="00221F95" w:rsidRPr="0003657F">
        <w:rPr>
          <w:lang w:val="en-GB"/>
        </w:rPr>
        <w:t xml:space="preserve"> inform compensatory mechanisms and investments to mitigate the negative </w:t>
      </w:r>
      <w:r w:rsidR="0074023E">
        <w:rPr>
          <w:lang w:val="en-GB"/>
        </w:rPr>
        <w:t>effe</w:t>
      </w:r>
      <w:r w:rsidR="0074023E" w:rsidRPr="0003657F">
        <w:rPr>
          <w:lang w:val="en-GB"/>
        </w:rPr>
        <w:t>ct</w:t>
      </w:r>
      <w:r w:rsidR="0074023E">
        <w:rPr>
          <w:lang w:val="en-GB"/>
        </w:rPr>
        <w:t>s</w:t>
      </w:r>
      <w:r w:rsidR="0074023E" w:rsidRPr="0003657F">
        <w:rPr>
          <w:lang w:val="en-GB"/>
        </w:rPr>
        <w:t xml:space="preserve"> </w:t>
      </w:r>
      <w:r w:rsidR="00221F95" w:rsidRPr="0003657F">
        <w:rPr>
          <w:lang w:val="en-GB"/>
        </w:rPr>
        <w:t xml:space="preserve">of mining </w:t>
      </w:r>
      <w:r w:rsidR="001A09E1" w:rsidRPr="0003657F">
        <w:rPr>
          <w:lang w:val="en-GB"/>
        </w:rPr>
        <w:t xml:space="preserve">and other development activities </w:t>
      </w:r>
      <w:r w:rsidR="0074023E">
        <w:rPr>
          <w:lang w:val="en-GB"/>
        </w:rPr>
        <w:t>on</w:t>
      </w:r>
      <w:r w:rsidR="0074023E" w:rsidRPr="0003657F">
        <w:rPr>
          <w:lang w:val="en-GB"/>
        </w:rPr>
        <w:t xml:space="preserve"> </w:t>
      </w:r>
      <w:r w:rsidR="001A09E1" w:rsidRPr="0003657F">
        <w:rPr>
          <w:lang w:val="en-GB"/>
        </w:rPr>
        <w:t>ecosystems.</w:t>
      </w:r>
      <w:r w:rsidR="000954E1" w:rsidRPr="0003657F">
        <w:rPr>
          <w:lang w:val="en-GB"/>
        </w:rPr>
        <w:t xml:space="preserve"> </w:t>
      </w:r>
      <w:r w:rsidR="00D64DDE" w:rsidRPr="0003657F">
        <w:rPr>
          <w:lang w:val="en-GB"/>
        </w:rPr>
        <w:t>The f</w:t>
      </w:r>
      <w:r w:rsidR="00CA1719" w:rsidRPr="0003657F">
        <w:rPr>
          <w:lang w:val="en-GB"/>
        </w:rPr>
        <w:t xml:space="preserve">inal evaluation of the ‘Strengthening </w:t>
      </w:r>
      <w:r w:rsidR="0074023E">
        <w:rPr>
          <w:lang w:val="en-GB"/>
        </w:rPr>
        <w:t xml:space="preserve">the </w:t>
      </w:r>
      <w:r w:rsidR="00CA1719" w:rsidRPr="0003657F">
        <w:rPr>
          <w:lang w:val="en-GB"/>
        </w:rPr>
        <w:t xml:space="preserve">Protected Area Network in Mongolia’ </w:t>
      </w:r>
      <w:r w:rsidR="0074023E">
        <w:rPr>
          <w:lang w:val="en-GB"/>
        </w:rPr>
        <w:t>p</w:t>
      </w:r>
      <w:r w:rsidR="00CA1719" w:rsidRPr="0003657F">
        <w:rPr>
          <w:lang w:val="en-GB"/>
        </w:rPr>
        <w:t xml:space="preserve">roject noted that further efforts are needed </w:t>
      </w:r>
      <w:r w:rsidR="000F0679">
        <w:rPr>
          <w:lang w:val="en-GB"/>
        </w:rPr>
        <w:t>to</w:t>
      </w:r>
      <w:r w:rsidR="000F0679" w:rsidRPr="0003657F">
        <w:rPr>
          <w:lang w:val="en-GB"/>
        </w:rPr>
        <w:t xml:space="preserve"> </w:t>
      </w:r>
      <w:r w:rsidR="00CA1719" w:rsidRPr="0003657F">
        <w:rPr>
          <w:lang w:val="en-GB"/>
        </w:rPr>
        <w:t>engag</w:t>
      </w:r>
      <w:r w:rsidR="000F0679">
        <w:rPr>
          <w:lang w:val="en-GB"/>
        </w:rPr>
        <w:t>e</w:t>
      </w:r>
      <w:r w:rsidR="00CA1719" w:rsidRPr="0003657F">
        <w:rPr>
          <w:lang w:val="en-GB"/>
        </w:rPr>
        <w:t xml:space="preserve"> </w:t>
      </w:r>
      <w:r w:rsidR="00D64DDE" w:rsidRPr="0003657F">
        <w:rPr>
          <w:lang w:val="en-GB"/>
        </w:rPr>
        <w:t xml:space="preserve">the mining industry </w:t>
      </w:r>
      <w:r w:rsidR="000F0679">
        <w:rPr>
          <w:lang w:val="en-GB"/>
        </w:rPr>
        <w:t>in</w:t>
      </w:r>
      <w:r w:rsidR="000F0679" w:rsidRPr="0003657F">
        <w:rPr>
          <w:lang w:val="en-GB"/>
        </w:rPr>
        <w:t xml:space="preserve"> </w:t>
      </w:r>
      <w:r w:rsidR="00D64DDE" w:rsidRPr="0003657F">
        <w:rPr>
          <w:lang w:val="en-GB"/>
        </w:rPr>
        <w:t>support</w:t>
      </w:r>
      <w:r w:rsidR="000F0679">
        <w:rPr>
          <w:lang w:val="en-GB"/>
        </w:rPr>
        <w:t>ing</w:t>
      </w:r>
      <w:r w:rsidR="00D64DDE" w:rsidRPr="0003657F">
        <w:rPr>
          <w:lang w:val="en-GB"/>
        </w:rPr>
        <w:t xml:space="preserve"> protected area</w:t>
      </w:r>
      <w:r w:rsidR="00CA1719" w:rsidRPr="0003657F">
        <w:rPr>
          <w:lang w:val="en-GB"/>
        </w:rPr>
        <w:t xml:space="preserve"> management through </w:t>
      </w:r>
      <w:r w:rsidR="0074023E">
        <w:rPr>
          <w:lang w:val="en-GB"/>
        </w:rPr>
        <w:t>c</w:t>
      </w:r>
      <w:r w:rsidR="00CA1719" w:rsidRPr="0003657F">
        <w:rPr>
          <w:lang w:val="en-GB"/>
        </w:rPr>
        <w:t xml:space="preserve">orporate </w:t>
      </w:r>
      <w:r w:rsidR="0074023E">
        <w:rPr>
          <w:lang w:val="en-GB"/>
        </w:rPr>
        <w:t>s</w:t>
      </w:r>
      <w:r w:rsidR="00CA1719" w:rsidRPr="0003657F">
        <w:rPr>
          <w:lang w:val="en-GB"/>
        </w:rPr>
        <w:t xml:space="preserve">ocial </w:t>
      </w:r>
      <w:r w:rsidR="0074023E">
        <w:rPr>
          <w:lang w:val="en-GB"/>
        </w:rPr>
        <w:t>r</w:t>
      </w:r>
      <w:r w:rsidR="00CA1719" w:rsidRPr="0003657F">
        <w:rPr>
          <w:lang w:val="en-GB"/>
        </w:rPr>
        <w:t>esponsibility contributions and biodiversity offsets</w:t>
      </w:r>
      <w:r w:rsidR="00D64DDE" w:rsidRPr="0003657F">
        <w:rPr>
          <w:lang w:val="en-GB"/>
        </w:rPr>
        <w:t>.</w:t>
      </w:r>
      <w:r w:rsidR="00CA1719" w:rsidRPr="0003657F">
        <w:rPr>
          <w:lang w:val="en-GB"/>
        </w:rPr>
        <w:t xml:space="preserve"> </w:t>
      </w:r>
      <w:r w:rsidR="0074023E">
        <w:rPr>
          <w:lang w:val="en-GB"/>
        </w:rPr>
        <w:t>I</w:t>
      </w:r>
      <w:r w:rsidR="000954E1" w:rsidRPr="0003657F">
        <w:rPr>
          <w:lang w:val="en-GB"/>
        </w:rPr>
        <w:t>nnovative financing means and models for sustainable natural resources management will include</w:t>
      </w:r>
      <w:r w:rsidR="0040402A" w:rsidRPr="0003657F">
        <w:rPr>
          <w:lang w:val="en-GB"/>
        </w:rPr>
        <w:t xml:space="preserve"> </w:t>
      </w:r>
      <w:r w:rsidR="000954E1" w:rsidRPr="0003657F">
        <w:rPr>
          <w:lang w:val="en-GB"/>
        </w:rPr>
        <w:t xml:space="preserve">active </w:t>
      </w:r>
      <w:r w:rsidR="00F51E45" w:rsidRPr="0003657F">
        <w:rPr>
          <w:lang w:val="en-GB"/>
        </w:rPr>
        <w:t>engagement with</w:t>
      </w:r>
      <w:r w:rsidR="0040402A" w:rsidRPr="0003657F">
        <w:rPr>
          <w:lang w:val="en-GB"/>
        </w:rPr>
        <w:t xml:space="preserve"> the</w:t>
      </w:r>
      <w:r w:rsidR="000954E1" w:rsidRPr="0003657F">
        <w:rPr>
          <w:lang w:val="en-GB"/>
        </w:rPr>
        <w:t xml:space="preserve"> private sector</w:t>
      </w:r>
      <w:r w:rsidR="00AC62B5" w:rsidRPr="0003657F">
        <w:rPr>
          <w:lang w:val="en-GB"/>
        </w:rPr>
        <w:t>.</w:t>
      </w:r>
    </w:p>
    <w:p w14:paraId="72DEF6D7" w14:textId="12F718B0" w:rsidR="00DE1F4E" w:rsidRPr="0003657F" w:rsidRDefault="0040402A"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To </w:t>
      </w:r>
      <w:r w:rsidR="001A09E1" w:rsidRPr="0003657F">
        <w:rPr>
          <w:lang w:val="en-GB"/>
        </w:rPr>
        <w:t xml:space="preserve">address </w:t>
      </w:r>
      <w:r w:rsidR="00725764" w:rsidRPr="0003657F">
        <w:rPr>
          <w:lang w:val="en-GB"/>
        </w:rPr>
        <w:t xml:space="preserve">local </w:t>
      </w:r>
      <w:r w:rsidR="001A09E1" w:rsidRPr="0003657F">
        <w:rPr>
          <w:lang w:val="en-GB"/>
        </w:rPr>
        <w:t>capacit</w:t>
      </w:r>
      <w:r w:rsidR="00725764" w:rsidRPr="0003657F">
        <w:rPr>
          <w:lang w:val="en-GB"/>
        </w:rPr>
        <w:t>y gaps</w:t>
      </w:r>
      <w:r w:rsidR="001A09E1" w:rsidRPr="0003657F">
        <w:rPr>
          <w:lang w:val="en-GB"/>
        </w:rPr>
        <w:t xml:space="preserve"> </w:t>
      </w:r>
      <w:r w:rsidR="0074023E">
        <w:rPr>
          <w:lang w:val="en-GB"/>
        </w:rPr>
        <w:t>in the</w:t>
      </w:r>
      <w:r w:rsidR="0074023E" w:rsidRPr="0003657F">
        <w:rPr>
          <w:lang w:val="en-GB"/>
        </w:rPr>
        <w:t xml:space="preserve"> </w:t>
      </w:r>
      <w:r w:rsidR="001A09E1" w:rsidRPr="0003657F">
        <w:rPr>
          <w:lang w:val="en-GB"/>
        </w:rPr>
        <w:t>sustainable management of natural resources, UNDP</w:t>
      </w:r>
      <w:r w:rsidR="006B7858" w:rsidRPr="0003657F">
        <w:rPr>
          <w:lang w:val="en-GB"/>
        </w:rPr>
        <w:t xml:space="preserve"> will work with the </w:t>
      </w:r>
      <w:r w:rsidR="0074023E">
        <w:rPr>
          <w:lang w:val="en-GB"/>
        </w:rPr>
        <w:t>G</w:t>
      </w:r>
      <w:r w:rsidR="006B7858" w:rsidRPr="0003657F">
        <w:rPr>
          <w:lang w:val="en-GB"/>
        </w:rPr>
        <w:t xml:space="preserve">overnment to </w:t>
      </w:r>
      <w:r w:rsidR="001A09E1" w:rsidRPr="0003657F">
        <w:rPr>
          <w:lang w:val="en-GB"/>
        </w:rPr>
        <w:t>engag</w:t>
      </w:r>
      <w:r w:rsidR="006B7858" w:rsidRPr="0003657F">
        <w:rPr>
          <w:lang w:val="en-GB"/>
        </w:rPr>
        <w:t>e</w:t>
      </w:r>
      <w:r w:rsidR="001A09E1" w:rsidRPr="0003657F">
        <w:rPr>
          <w:lang w:val="en-GB"/>
        </w:rPr>
        <w:t xml:space="preserve"> resource</w:t>
      </w:r>
      <w:r w:rsidR="0074023E">
        <w:rPr>
          <w:lang w:val="en-GB"/>
        </w:rPr>
        <w:t>-</w:t>
      </w:r>
      <w:r w:rsidR="001A09E1" w:rsidRPr="0003657F">
        <w:rPr>
          <w:lang w:val="en-GB"/>
        </w:rPr>
        <w:t xml:space="preserve">dependent communities </w:t>
      </w:r>
      <w:r w:rsidR="000F0679">
        <w:rPr>
          <w:lang w:val="en-GB"/>
        </w:rPr>
        <w:t>in</w:t>
      </w:r>
      <w:r w:rsidR="000F0679" w:rsidRPr="0003657F">
        <w:rPr>
          <w:lang w:val="en-GB"/>
        </w:rPr>
        <w:t xml:space="preserve"> </w:t>
      </w:r>
      <w:r w:rsidR="0074023E">
        <w:rPr>
          <w:lang w:val="en-GB"/>
        </w:rPr>
        <w:t>obtain</w:t>
      </w:r>
      <w:r w:rsidR="000F0679">
        <w:rPr>
          <w:lang w:val="en-GB"/>
        </w:rPr>
        <w:t>ing</w:t>
      </w:r>
      <w:r w:rsidR="0074023E" w:rsidRPr="0003657F">
        <w:rPr>
          <w:lang w:val="en-GB"/>
        </w:rPr>
        <w:t xml:space="preserve"> </w:t>
      </w:r>
      <w:r w:rsidR="001A09E1" w:rsidRPr="0003657F">
        <w:rPr>
          <w:lang w:val="en-GB"/>
        </w:rPr>
        <w:t xml:space="preserve">full </w:t>
      </w:r>
      <w:r w:rsidR="00221F95" w:rsidRPr="0003657F">
        <w:rPr>
          <w:lang w:val="en-GB"/>
        </w:rPr>
        <w:t>or</w:t>
      </w:r>
      <w:r w:rsidR="001A09E1" w:rsidRPr="0003657F">
        <w:rPr>
          <w:lang w:val="en-GB"/>
        </w:rPr>
        <w:t xml:space="preserve"> partial assign</w:t>
      </w:r>
      <w:r w:rsidR="00221F95" w:rsidRPr="0003657F">
        <w:rPr>
          <w:lang w:val="en-GB"/>
        </w:rPr>
        <w:t>ments</w:t>
      </w:r>
      <w:r w:rsidR="001A09E1" w:rsidRPr="0003657F">
        <w:rPr>
          <w:lang w:val="en-GB"/>
        </w:rPr>
        <w:t xml:space="preserve"> of management rights</w:t>
      </w:r>
      <w:r w:rsidR="000F0679">
        <w:rPr>
          <w:lang w:val="en-GB"/>
        </w:rPr>
        <w:t xml:space="preserve"> and will</w:t>
      </w:r>
      <w:r w:rsidR="001A09E1" w:rsidRPr="0003657F">
        <w:rPr>
          <w:lang w:val="en-GB"/>
        </w:rPr>
        <w:t xml:space="preserve"> </w:t>
      </w:r>
      <w:r w:rsidRPr="0003657F">
        <w:rPr>
          <w:lang w:val="en-GB"/>
        </w:rPr>
        <w:t>support integrated planning and capacity development</w:t>
      </w:r>
      <w:r w:rsidR="00AC62B5" w:rsidRPr="0003657F">
        <w:rPr>
          <w:lang w:val="en-GB"/>
        </w:rPr>
        <w:t>.</w:t>
      </w:r>
      <w:r w:rsidR="001A09E1" w:rsidRPr="0003657F">
        <w:rPr>
          <w:lang w:val="en-GB"/>
        </w:rPr>
        <w:t xml:space="preserve"> </w:t>
      </w:r>
    </w:p>
    <w:p w14:paraId="6EB09E06" w14:textId="3529A536" w:rsidR="00DE1F4E" w:rsidRPr="0003657F" w:rsidRDefault="001A09E1"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Capacities of </w:t>
      </w:r>
      <w:r w:rsidR="0018794A" w:rsidRPr="0003657F">
        <w:rPr>
          <w:lang w:val="en-GB"/>
        </w:rPr>
        <w:t>civil society</w:t>
      </w:r>
      <w:r w:rsidRPr="0003657F">
        <w:rPr>
          <w:lang w:val="en-GB"/>
        </w:rPr>
        <w:t xml:space="preserve"> will be strengthened to </w:t>
      </w:r>
      <w:r w:rsidR="0074023E">
        <w:rPr>
          <w:lang w:val="en-GB"/>
        </w:rPr>
        <w:t xml:space="preserve">allow </w:t>
      </w:r>
      <w:r w:rsidR="000F0679" w:rsidRPr="00F63BB7">
        <w:rPr>
          <w:lang w:val="en-GB"/>
        </w:rPr>
        <w:t xml:space="preserve">local communities </w:t>
      </w:r>
      <w:r w:rsidR="0074023E">
        <w:rPr>
          <w:lang w:val="en-GB"/>
        </w:rPr>
        <w:t>a</w:t>
      </w:r>
      <w:r w:rsidR="0074023E" w:rsidRPr="0003657F">
        <w:rPr>
          <w:lang w:val="en-GB"/>
        </w:rPr>
        <w:t xml:space="preserve"> </w:t>
      </w:r>
      <w:r w:rsidRPr="0003657F">
        <w:rPr>
          <w:lang w:val="en-GB"/>
        </w:rPr>
        <w:t xml:space="preserve">stronger voice </w:t>
      </w:r>
      <w:r w:rsidR="0018794A" w:rsidRPr="0003657F">
        <w:rPr>
          <w:lang w:val="en-GB"/>
        </w:rPr>
        <w:t>in decision</w:t>
      </w:r>
      <w:r w:rsidR="00D8088C" w:rsidRPr="0003657F">
        <w:rPr>
          <w:lang w:val="en-GB"/>
        </w:rPr>
        <w:t>-making</w:t>
      </w:r>
      <w:r w:rsidR="0018794A" w:rsidRPr="0003657F">
        <w:rPr>
          <w:lang w:val="en-GB"/>
        </w:rPr>
        <w:t xml:space="preserve"> o</w:t>
      </w:r>
      <w:r w:rsidR="0074023E">
        <w:rPr>
          <w:lang w:val="en-GB"/>
        </w:rPr>
        <w:t>n</w:t>
      </w:r>
      <w:r w:rsidR="0018794A" w:rsidRPr="0003657F">
        <w:rPr>
          <w:lang w:val="en-GB"/>
        </w:rPr>
        <w:t xml:space="preserve"> </w:t>
      </w:r>
      <w:r w:rsidRPr="0003657F">
        <w:rPr>
          <w:lang w:val="en-GB"/>
        </w:rPr>
        <w:t xml:space="preserve">environmental </w:t>
      </w:r>
      <w:r w:rsidR="0018794A" w:rsidRPr="0003657F">
        <w:rPr>
          <w:lang w:val="en-GB"/>
        </w:rPr>
        <w:t>resource use</w:t>
      </w:r>
      <w:r w:rsidR="00D8088C" w:rsidRPr="0003657F">
        <w:rPr>
          <w:lang w:val="en-GB"/>
        </w:rPr>
        <w:t>,</w:t>
      </w:r>
      <w:r w:rsidR="0018794A" w:rsidRPr="0003657F">
        <w:rPr>
          <w:lang w:val="en-GB"/>
        </w:rPr>
        <w:t xml:space="preserve"> including land, forest</w:t>
      </w:r>
      <w:r w:rsidR="00D8088C" w:rsidRPr="0003657F">
        <w:rPr>
          <w:lang w:val="en-GB"/>
        </w:rPr>
        <w:t xml:space="preserve"> and</w:t>
      </w:r>
      <w:r w:rsidR="0018794A" w:rsidRPr="0003657F">
        <w:rPr>
          <w:lang w:val="en-GB"/>
        </w:rPr>
        <w:t xml:space="preserve"> water</w:t>
      </w:r>
      <w:r w:rsidRPr="0003657F">
        <w:rPr>
          <w:lang w:val="en-GB"/>
        </w:rPr>
        <w:t xml:space="preserve">. </w:t>
      </w:r>
      <w:r w:rsidR="00F21AC8" w:rsidRPr="0003657F">
        <w:rPr>
          <w:lang w:val="en-GB"/>
        </w:rPr>
        <w:t>This is</w:t>
      </w:r>
      <w:r w:rsidR="00DE1F4E" w:rsidRPr="0003657F">
        <w:rPr>
          <w:lang w:val="en-GB"/>
        </w:rPr>
        <w:t xml:space="preserve"> key </w:t>
      </w:r>
      <w:r w:rsidR="00D8088C" w:rsidRPr="0003657F">
        <w:rPr>
          <w:lang w:val="en-GB"/>
        </w:rPr>
        <w:t xml:space="preserve">to </w:t>
      </w:r>
      <w:r w:rsidR="00DE1F4E" w:rsidRPr="0003657F">
        <w:rPr>
          <w:lang w:val="en-GB"/>
        </w:rPr>
        <w:t>strengthening environmental governance</w:t>
      </w:r>
      <w:r w:rsidR="0040112E" w:rsidRPr="0003657F">
        <w:rPr>
          <w:lang w:val="en-GB"/>
        </w:rPr>
        <w:t xml:space="preserve"> and to </w:t>
      </w:r>
      <w:r w:rsidR="00665209" w:rsidRPr="0003657F">
        <w:rPr>
          <w:lang w:val="en-GB"/>
        </w:rPr>
        <w:t xml:space="preserve">the </w:t>
      </w:r>
      <w:r w:rsidR="0040112E" w:rsidRPr="0003657F">
        <w:rPr>
          <w:lang w:val="en-GB"/>
        </w:rPr>
        <w:t>successful implementation of the 2030 Agenda</w:t>
      </w:r>
      <w:r w:rsidR="00AC62B5" w:rsidRPr="0003657F">
        <w:rPr>
          <w:lang w:val="en-GB"/>
        </w:rPr>
        <w:t>.</w:t>
      </w:r>
      <w:r w:rsidR="00DE1F4E" w:rsidRPr="0003657F">
        <w:rPr>
          <w:lang w:val="en-GB"/>
        </w:rPr>
        <w:t xml:space="preserve"> </w:t>
      </w:r>
    </w:p>
    <w:p w14:paraId="08AB3934" w14:textId="19B3D08D" w:rsidR="000954E1" w:rsidRPr="0003657F" w:rsidRDefault="000B25A9" w:rsidP="00C25210">
      <w:pPr>
        <w:tabs>
          <w:tab w:val="left" w:pos="1620"/>
        </w:tabs>
        <w:spacing w:after="120"/>
        <w:ind w:left="1260" w:right="1267"/>
        <w:jc w:val="both"/>
        <w:rPr>
          <w:lang w:val="en-GB"/>
        </w:rPr>
      </w:pPr>
      <w:r w:rsidRPr="0003657F">
        <w:rPr>
          <w:i/>
          <w:lang w:val="en-GB"/>
        </w:rPr>
        <w:t>R</w:t>
      </w:r>
      <w:r w:rsidR="001A09E1" w:rsidRPr="0003657F">
        <w:rPr>
          <w:i/>
          <w:lang w:val="en-GB"/>
        </w:rPr>
        <w:t>esilience of rural and urban poor to shocks</w:t>
      </w:r>
      <w:r w:rsidR="001A09E1" w:rsidRPr="0003657F">
        <w:rPr>
          <w:lang w:val="en-GB"/>
        </w:rPr>
        <w:t xml:space="preserve"> </w:t>
      </w:r>
    </w:p>
    <w:p w14:paraId="2BBE3E75" w14:textId="16CF06AD" w:rsidR="000954E1" w:rsidRPr="0003657F" w:rsidRDefault="000954E1"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The negative </w:t>
      </w:r>
      <w:r w:rsidR="0074023E">
        <w:rPr>
          <w:lang w:val="en-GB"/>
        </w:rPr>
        <w:t>effe</w:t>
      </w:r>
      <w:r w:rsidR="0074023E" w:rsidRPr="0003657F">
        <w:rPr>
          <w:lang w:val="en-GB"/>
        </w:rPr>
        <w:t xml:space="preserve">cts </w:t>
      </w:r>
      <w:r w:rsidRPr="0003657F">
        <w:rPr>
          <w:lang w:val="en-GB"/>
        </w:rPr>
        <w:t>of climate change predominantly affect subsistence herders and arable farmers</w:t>
      </w:r>
      <w:r w:rsidR="00A9788D" w:rsidRPr="0003657F">
        <w:rPr>
          <w:lang w:val="en-GB"/>
        </w:rPr>
        <w:t xml:space="preserve"> in rural areas</w:t>
      </w:r>
      <w:r w:rsidR="00F21AC8" w:rsidRPr="0003657F">
        <w:rPr>
          <w:lang w:val="en-GB"/>
        </w:rPr>
        <w:t xml:space="preserve">. </w:t>
      </w:r>
      <w:r w:rsidR="0040402A" w:rsidRPr="0003657F">
        <w:rPr>
          <w:lang w:val="en-GB"/>
        </w:rPr>
        <w:t xml:space="preserve">Working with </w:t>
      </w:r>
      <w:r w:rsidR="006C36EB" w:rsidRPr="0003657F">
        <w:rPr>
          <w:lang w:val="en-GB"/>
        </w:rPr>
        <w:t>the Ministry of Environment, Green Development and Tourism</w:t>
      </w:r>
      <w:r w:rsidR="0040402A" w:rsidRPr="0003657F">
        <w:rPr>
          <w:lang w:val="en-GB"/>
        </w:rPr>
        <w:t xml:space="preserve"> and local government, </w:t>
      </w:r>
      <w:r w:rsidR="001A09E1" w:rsidRPr="0003657F">
        <w:rPr>
          <w:lang w:val="en-GB"/>
        </w:rPr>
        <w:t xml:space="preserve">UNDP </w:t>
      </w:r>
      <w:r w:rsidR="00275994" w:rsidRPr="0003657F">
        <w:rPr>
          <w:lang w:val="en-GB"/>
        </w:rPr>
        <w:t xml:space="preserve">will </w:t>
      </w:r>
      <w:r w:rsidR="0040402A" w:rsidRPr="0003657F">
        <w:rPr>
          <w:lang w:val="en-GB"/>
        </w:rPr>
        <w:t xml:space="preserve">support the </w:t>
      </w:r>
      <w:r w:rsidR="00275994" w:rsidRPr="0003657F">
        <w:rPr>
          <w:lang w:val="en-GB"/>
        </w:rPr>
        <w:t>develop</w:t>
      </w:r>
      <w:r w:rsidR="0040402A" w:rsidRPr="0003657F">
        <w:rPr>
          <w:lang w:val="en-GB"/>
        </w:rPr>
        <w:t>ment of</w:t>
      </w:r>
      <w:r w:rsidR="00275994" w:rsidRPr="0003657F">
        <w:rPr>
          <w:lang w:val="en-GB"/>
        </w:rPr>
        <w:t xml:space="preserve"> </w:t>
      </w:r>
      <w:r w:rsidR="001A09E1" w:rsidRPr="0003657F">
        <w:rPr>
          <w:lang w:val="en-GB"/>
        </w:rPr>
        <w:t>eco-region-specific measures for climate</w:t>
      </w:r>
      <w:r w:rsidR="0074023E">
        <w:rPr>
          <w:lang w:val="en-GB"/>
        </w:rPr>
        <w:t>-</w:t>
      </w:r>
      <w:r w:rsidR="001A09E1" w:rsidRPr="0003657F">
        <w:rPr>
          <w:lang w:val="en-GB"/>
        </w:rPr>
        <w:t xml:space="preserve">change adaptation and resilience. Adaptation measures will support </w:t>
      </w:r>
      <w:r w:rsidRPr="0003657F">
        <w:rPr>
          <w:lang w:val="en-GB"/>
        </w:rPr>
        <w:t xml:space="preserve">the resilience of the most vulnerable </w:t>
      </w:r>
      <w:r w:rsidR="00B135FF" w:rsidRPr="0003657F">
        <w:rPr>
          <w:lang w:val="en-GB"/>
        </w:rPr>
        <w:t>sub</w:t>
      </w:r>
      <w:r w:rsidR="003743EB" w:rsidRPr="0003657F">
        <w:rPr>
          <w:lang w:val="en-GB"/>
        </w:rPr>
        <w:t>sistence</w:t>
      </w:r>
      <w:r w:rsidR="0074023E">
        <w:rPr>
          <w:lang w:val="en-GB"/>
        </w:rPr>
        <w:t>-</w:t>
      </w:r>
      <w:r w:rsidR="003743EB" w:rsidRPr="0003657F">
        <w:rPr>
          <w:lang w:val="en-GB"/>
        </w:rPr>
        <w:t>level herder groups</w:t>
      </w:r>
      <w:r w:rsidRPr="0003657F">
        <w:rPr>
          <w:lang w:val="en-GB"/>
        </w:rPr>
        <w:t xml:space="preserve">. This will </w:t>
      </w:r>
      <w:r w:rsidR="001A09E1" w:rsidRPr="0003657F">
        <w:rPr>
          <w:lang w:val="en-GB"/>
        </w:rPr>
        <w:t xml:space="preserve">require </w:t>
      </w:r>
      <w:r w:rsidR="00275994" w:rsidRPr="0003657F">
        <w:rPr>
          <w:lang w:val="en-GB"/>
        </w:rPr>
        <w:t xml:space="preserve">strategies </w:t>
      </w:r>
      <w:r w:rsidR="001A09E1" w:rsidRPr="0003657F">
        <w:rPr>
          <w:lang w:val="en-GB"/>
        </w:rPr>
        <w:t xml:space="preserve">for sustainable </w:t>
      </w:r>
      <w:r w:rsidR="00275994" w:rsidRPr="0003657F">
        <w:rPr>
          <w:lang w:val="en-GB"/>
        </w:rPr>
        <w:t xml:space="preserve">natural resource </w:t>
      </w:r>
      <w:r w:rsidR="001A09E1" w:rsidRPr="0003657F">
        <w:rPr>
          <w:lang w:val="en-GB"/>
        </w:rPr>
        <w:t>management</w:t>
      </w:r>
      <w:r w:rsidR="0074023E">
        <w:rPr>
          <w:lang w:val="en-GB"/>
        </w:rPr>
        <w:t>,</w:t>
      </w:r>
      <w:r w:rsidR="00275994" w:rsidRPr="0003657F">
        <w:rPr>
          <w:lang w:val="en-GB"/>
        </w:rPr>
        <w:t xml:space="preserve"> while </w:t>
      </w:r>
      <w:r w:rsidR="001A09E1" w:rsidRPr="0003657F">
        <w:rPr>
          <w:lang w:val="en-GB"/>
        </w:rPr>
        <w:t xml:space="preserve">increasing </w:t>
      </w:r>
      <w:r w:rsidR="00275994" w:rsidRPr="0003657F">
        <w:rPr>
          <w:lang w:val="en-GB"/>
        </w:rPr>
        <w:t xml:space="preserve">the </w:t>
      </w:r>
      <w:r w:rsidR="001A09E1" w:rsidRPr="0003657F">
        <w:rPr>
          <w:lang w:val="en-GB"/>
        </w:rPr>
        <w:t>productivity of traditional nomadic livestock husbandry</w:t>
      </w:r>
      <w:r w:rsidR="00275994" w:rsidRPr="0003657F">
        <w:rPr>
          <w:lang w:val="en-GB"/>
        </w:rPr>
        <w:t xml:space="preserve"> to mitigate over-extensive land</w:t>
      </w:r>
      <w:r w:rsidR="0074023E">
        <w:rPr>
          <w:lang w:val="en-GB"/>
        </w:rPr>
        <w:t xml:space="preserve"> </w:t>
      </w:r>
      <w:r w:rsidR="00275994" w:rsidRPr="0003657F">
        <w:rPr>
          <w:lang w:val="en-GB"/>
        </w:rPr>
        <w:t>use</w:t>
      </w:r>
      <w:r w:rsidR="000D6A76">
        <w:rPr>
          <w:lang w:val="en-GB"/>
        </w:rPr>
        <w:t>,</w:t>
      </w:r>
      <w:r w:rsidR="00275994" w:rsidRPr="0003657F">
        <w:rPr>
          <w:lang w:val="en-GB"/>
        </w:rPr>
        <w:t xml:space="preserve"> and promoting the </w:t>
      </w:r>
      <w:r w:rsidR="001A09E1" w:rsidRPr="0003657F">
        <w:rPr>
          <w:lang w:val="en-GB"/>
        </w:rPr>
        <w:t>diversification of livelihoods.</w:t>
      </w:r>
      <w:r w:rsidR="00BB0548" w:rsidRPr="0003657F">
        <w:rPr>
          <w:lang w:val="en-GB"/>
        </w:rPr>
        <w:t xml:space="preserve"> UNDP will work with </w:t>
      </w:r>
      <w:r w:rsidR="000D6A76">
        <w:rPr>
          <w:lang w:val="en-GB"/>
        </w:rPr>
        <w:t>the Food and Agriculture Organization</w:t>
      </w:r>
      <w:r w:rsidR="000D6A76" w:rsidRPr="0003657F">
        <w:rPr>
          <w:lang w:val="en-GB"/>
        </w:rPr>
        <w:t xml:space="preserve"> </w:t>
      </w:r>
      <w:r w:rsidR="00BB0548" w:rsidRPr="0003657F">
        <w:rPr>
          <w:lang w:val="en-GB"/>
        </w:rPr>
        <w:t xml:space="preserve">in this </w:t>
      </w:r>
      <w:r w:rsidR="000F0679">
        <w:rPr>
          <w:lang w:val="en-GB"/>
        </w:rPr>
        <w:t>area</w:t>
      </w:r>
      <w:r w:rsidR="00BB0548" w:rsidRPr="0003657F">
        <w:rPr>
          <w:lang w:val="en-GB"/>
        </w:rPr>
        <w:t>.</w:t>
      </w:r>
      <w:r w:rsidR="00EA3548" w:rsidRPr="0003657F">
        <w:rPr>
          <w:lang w:val="en-GB"/>
        </w:rPr>
        <w:t xml:space="preserve"> Factoring climate</w:t>
      </w:r>
      <w:r w:rsidR="000D6A76">
        <w:rPr>
          <w:lang w:val="en-GB"/>
        </w:rPr>
        <w:t>-</w:t>
      </w:r>
      <w:r w:rsidR="0026615D">
        <w:rPr>
          <w:lang w:val="en-GB"/>
        </w:rPr>
        <w:t xml:space="preserve">and disaster-induced </w:t>
      </w:r>
      <w:r w:rsidR="00EA3548" w:rsidRPr="0003657F">
        <w:rPr>
          <w:lang w:val="en-GB"/>
        </w:rPr>
        <w:t>risks into the insurance and social protection systems</w:t>
      </w:r>
      <w:r w:rsidR="002B301A" w:rsidRPr="0003657F">
        <w:rPr>
          <w:lang w:val="en-GB"/>
        </w:rPr>
        <w:t xml:space="preserve"> will be crucial.</w:t>
      </w:r>
    </w:p>
    <w:p w14:paraId="3C6EDBAE" w14:textId="665190B5" w:rsidR="001A09E1" w:rsidRPr="0003657F" w:rsidRDefault="00981CEF"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To protect development gains and increase resilience of the poor and vulnerable against disasters, </w:t>
      </w:r>
      <w:r w:rsidR="001A09E1" w:rsidRPr="0003657F">
        <w:rPr>
          <w:lang w:val="en-GB"/>
        </w:rPr>
        <w:t xml:space="preserve">UNDP will </w:t>
      </w:r>
      <w:r w:rsidR="00112DD5" w:rsidRPr="0003657F">
        <w:rPr>
          <w:lang w:val="en-GB"/>
        </w:rPr>
        <w:t>work</w:t>
      </w:r>
      <w:r w:rsidR="001A09E1" w:rsidRPr="0003657F">
        <w:rPr>
          <w:lang w:val="en-GB"/>
        </w:rPr>
        <w:t xml:space="preserve"> </w:t>
      </w:r>
      <w:r w:rsidR="0040402A" w:rsidRPr="0003657F">
        <w:rPr>
          <w:lang w:val="en-GB"/>
        </w:rPr>
        <w:t xml:space="preserve">with </w:t>
      </w:r>
      <w:r w:rsidR="000D6A76">
        <w:rPr>
          <w:lang w:val="en-GB"/>
        </w:rPr>
        <w:t xml:space="preserve">the </w:t>
      </w:r>
      <w:r w:rsidR="000D6A76" w:rsidRPr="0003657F">
        <w:rPr>
          <w:lang w:val="en-GB"/>
        </w:rPr>
        <w:t>National Emergency Management Agency</w:t>
      </w:r>
      <w:r w:rsidR="000D6A76" w:rsidRPr="000D6A76">
        <w:rPr>
          <w:lang w:val="en-GB"/>
        </w:rPr>
        <w:t xml:space="preserve"> </w:t>
      </w:r>
      <w:r w:rsidR="000D6A76">
        <w:rPr>
          <w:lang w:val="en-GB"/>
        </w:rPr>
        <w:t>on</w:t>
      </w:r>
      <w:r w:rsidR="001A09E1" w:rsidRPr="0003657F">
        <w:rPr>
          <w:lang w:val="en-GB"/>
        </w:rPr>
        <w:t xml:space="preserve"> </w:t>
      </w:r>
      <w:r w:rsidR="0060368D" w:rsidRPr="0003657F">
        <w:rPr>
          <w:lang w:val="en-GB"/>
        </w:rPr>
        <w:t xml:space="preserve">establishing a national platform to </w:t>
      </w:r>
      <w:r w:rsidR="001A09E1" w:rsidRPr="0003657F">
        <w:rPr>
          <w:lang w:val="en-GB"/>
        </w:rPr>
        <w:t>mainstream disaster risk reduction in</w:t>
      </w:r>
      <w:r w:rsidR="0060368D" w:rsidRPr="0003657F">
        <w:rPr>
          <w:lang w:val="en-GB"/>
        </w:rPr>
        <w:t>to</w:t>
      </w:r>
      <w:r w:rsidR="001A09E1" w:rsidRPr="0003657F">
        <w:rPr>
          <w:lang w:val="en-GB"/>
        </w:rPr>
        <w:t xml:space="preserve"> development planning and improving cross</w:t>
      </w:r>
      <w:r w:rsidR="000D6A76">
        <w:rPr>
          <w:lang w:val="en-GB"/>
        </w:rPr>
        <w:t>-</w:t>
      </w:r>
      <w:r w:rsidR="001A09E1" w:rsidRPr="0003657F">
        <w:rPr>
          <w:lang w:val="en-GB"/>
        </w:rPr>
        <w:t xml:space="preserve">sectoral collaboration and coordination. </w:t>
      </w:r>
      <w:r w:rsidR="003743EB" w:rsidRPr="0003657F">
        <w:rPr>
          <w:lang w:val="en-GB"/>
        </w:rPr>
        <w:t xml:space="preserve">UNDP will </w:t>
      </w:r>
      <w:r w:rsidR="006B7858" w:rsidRPr="0003657F">
        <w:rPr>
          <w:lang w:val="en-GB"/>
        </w:rPr>
        <w:t>support</w:t>
      </w:r>
      <w:r w:rsidR="003743EB" w:rsidRPr="0003657F">
        <w:rPr>
          <w:lang w:val="en-GB"/>
        </w:rPr>
        <w:t xml:space="preserve"> community</w:t>
      </w:r>
      <w:r w:rsidR="000D6A76">
        <w:rPr>
          <w:lang w:val="en-GB"/>
        </w:rPr>
        <w:t>-</w:t>
      </w:r>
      <w:r w:rsidR="003743EB" w:rsidRPr="0003657F">
        <w:rPr>
          <w:lang w:val="en-GB"/>
        </w:rPr>
        <w:t>level preparedness and promot</w:t>
      </w:r>
      <w:r w:rsidR="000D6A76">
        <w:rPr>
          <w:lang w:val="en-GB"/>
        </w:rPr>
        <w:t>e</w:t>
      </w:r>
      <w:r w:rsidR="003743EB" w:rsidRPr="0003657F">
        <w:rPr>
          <w:lang w:val="en-GB"/>
        </w:rPr>
        <w:t xml:space="preserve"> self-help principles. R</w:t>
      </w:r>
      <w:r w:rsidR="001A09E1" w:rsidRPr="0003657F">
        <w:rPr>
          <w:lang w:val="en-GB"/>
        </w:rPr>
        <w:t xml:space="preserve">isk reduction measures at </w:t>
      </w:r>
      <w:r w:rsidR="001A09E1" w:rsidRPr="0003657F">
        <w:rPr>
          <w:lang w:val="en-GB"/>
        </w:rPr>
        <w:lastRenderedPageBreak/>
        <w:t>the community level need to be linked with efforts for climate</w:t>
      </w:r>
      <w:r w:rsidR="000D6A76">
        <w:rPr>
          <w:lang w:val="en-GB"/>
        </w:rPr>
        <w:t>-</w:t>
      </w:r>
      <w:r w:rsidR="001A09E1" w:rsidRPr="0003657F">
        <w:rPr>
          <w:lang w:val="en-GB"/>
        </w:rPr>
        <w:t>change adaptation</w:t>
      </w:r>
      <w:r w:rsidR="003743EB" w:rsidRPr="0003657F">
        <w:rPr>
          <w:lang w:val="en-GB"/>
        </w:rPr>
        <w:t>.</w:t>
      </w:r>
      <w:r w:rsidR="001A09E1" w:rsidRPr="0003657F">
        <w:rPr>
          <w:lang w:val="en-GB"/>
        </w:rPr>
        <w:t xml:space="preserve"> </w:t>
      </w:r>
      <w:r w:rsidR="000D6A76">
        <w:rPr>
          <w:lang w:val="en-GB"/>
        </w:rPr>
        <w:t>T</w:t>
      </w:r>
      <w:r w:rsidR="003743EB" w:rsidRPr="0003657F">
        <w:rPr>
          <w:lang w:val="en-GB"/>
        </w:rPr>
        <w:t xml:space="preserve">argeted measures </w:t>
      </w:r>
      <w:r w:rsidR="000D6A76">
        <w:rPr>
          <w:lang w:val="en-GB"/>
        </w:rPr>
        <w:t>are needed to mitigate risks to</w:t>
      </w:r>
      <w:r w:rsidR="000D6A76" w:rsidRPr="0003657F">
        <w:rPr>
          <w:lang w:val="en-GB"/>
        </w:rPr>
        <w:t xml:space="preserve"> </w:t>
      </w:r>
      <w:r w:rsidR="003743EB" w:rsidRPr="0003657F">
        <w:rPr>
          <w:lang w:val="en-GB"/>
        </w:rPr>
        <w:t>low</w:t>
      </w:r>
      <w:r w:rsidR="000D6A76">
        <w:rPr>
          <w:lang w:val="en-GB"/>
        </w:rPr>
        <w:t>-</w:t>
      </w:r>
      <w:r w:rsidR="003743EB" w:rsidRPr="0003657F">
        <w:rPr>
          <w:lang w:val="en-GB"/>
        </w:rPr>
        <w:t>income vulnerable populations migrating from rural to urban areas</w:t>
      </w:r>
      <w:r w:rsidR="001A09E1" w:rsidRPr="0003657F">
        <w:rPr>
          <w:lang w:val="en-GB"/>
        </w:rPr>
        <w:t xml:space="preserve"> </w:t>
      </w:r>
      <w:r w:rsidR="000D6A76">
        <w:rPr>
          <w:lang w:val="en-GB"/>
        </w:rPr>
        <w:t>and</w:t>
      </w:r>
      <w:r w:rsidR="000D6A76" w:rsidRPr="0003657F">
        <w:rPr>
          <w:lang w:val="en-GB"/>
        </w:rPr>
        <w:t xml:space="preserve"> </w:t>
      </w:r>
      <w:r w:rsidR="001A09E1" w:rsidRPr="0003657F">
        <w:rPr>
          <w:lang w:val="en-GB"/>
        </w:rPr>
        <w:t>reduc</w:t>
      </w:r>
      <w:r w:rsidR="000D6A76">
        <w:rPr>
          <w:lang w:val="en-GB"/>
        </w:rPr>
        <w:t>e</w:t>
      </w:r>
      <w:r w:rsidR="001A09E1" w:rsidRPr="0003657F">
        <w:rPr>
          <w:lang w:val="en-GB"/>
        </w:rPr>
        <w:t xml:space="preserve"> urban vulnerability to disasters</w:t>
      </w:r>
      <w:r w:rsidR="00990F9A" w:rsidRPr="0003657F">
        <w:rPr>
          <w:lang w:val="en-GB"/>
        </w:rPr>
        <w:t xml:space="preserve"> </w:t>
      </w:r>
      <w:r w:rsidR="000D6A76">
        <w:rPr>
          <w:lang w:val="en-GB"/>
        </w:rPr>
        <w:t>such as</w:t>
      </w:r>
      <w:r w:rsidR="001A09E1" w:rsidRPr="0003657F">
        <w:rPr>
          <w:lang w:val="en-GB"/>
        </w:rPr>
        <w:t xml:space="preserve"> earthquake</w:t>
      </w:r>
      <w:r w:rsidR="0053203D" w:rsidRPr="0003657F">
        <w:rPr>
          <w:lang w:val="en-GB"/>
        </w:rPr>
        <w:t>s, floods and fires</w:t>
      </w:r>
      <w:r w:rsidR="00990F9A" w:rsidRPr="0003657F">
        <w:rPr>
          <w:lang w:val="en-GB"/>
        </w:rPr>
        <w:t>.</w:t>
      </w:r>
    </w:p>
    <w:p w14:paraId="6F9E0A71" w14:textId="62295102" w:rsidR="00EA3548" w:rsidRPr="0003657F" w:rsidRDefault="000B25A9" w:rsidP="00C25210">
      <w:pPr>
        <w:pStyle w:val="ListParagraph"/>
        <w:tabs>
          <w:tab w:val="left" w:pos="1260"/>
          <w:tab w:val="left" w:pos="1620"/>
        </w:tabs>
        <w:spacing w:after="120"/>
        <w:ind w:left="1260" w:right="720"/>
        <w:jc w:val="both"/>
        <w:rPr>
          <w:i/>
          <w:lang w:val="en-GB"/>
        </w:rPr>
      </w:pPr>
      <w:r w:rsidRPr="0003657F">
        <w:rPr>
          <w:i/>
          <w:lang w:val="en-GB"/>
        </w:rPr>
        <w:t>E</w:t>
      </w:r>
      <w:r w:rsidR="000D0DDE" w:rsidRPr="0003657F">
        <w:rPr>
          <w:i/>
          <w:lang w:val="en-GB"/>
        </w:rPr>
        <w:t xml:space="preserve">quitable, </w:t>
      </w:r>
      <w:r w:rsidR="001A09E1" w:rsidRPr="0003657F">
        <w:rPr>
          <w:i/>
          <w:lang w:val="en-GB"/>
        </w:rPr>
        <w:t>sustainable</w:t>
      </w:r>
      <w:r w:rsidR="003B0112" w:rsidRPr="0003657F">
        <w:rPr>
          <w:i/>
          <w:lang w:val="en-GB"/>
        </w:rPr>
        <w:t xml:space="preserve"> and low carbon</w:t>
      </w:r>
      <w:r w:rsidR="001A09E1" w:rsidRPr="0003657F">
        <w:rPr>
          <w:i/>
          <w:lang w:val="en-GB"/>
        </w:rPr>
        <w:t xml:space="preserve"> urban development </w:t>
      </w:r>
    </w:p>
    <w:p w14:paraId="1D03930E" w14:textId="0FBBB47E" w:rsidR="00EA3548" w:rsidRPr="0003657F" w:rsidRDefault="00493F6B"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Uncontrolled urbanization is a key driver of inequality. </w:t>
      </w:r>
      <w:r w:rsidR="001A09E1" w:rsidRPr="0003657F">
        <w:rPr>
          <w:lang w:val="en-GB"/>
        </w:rPr>
        <w:t>Well-coordinated urban planning</w:t>
      </w:r>
      <w:r w:rsidRPr="0003657F">
        <w:rPr>
          <w:lang w:val="en-GB"/>
        </w:rPr>
        <w:t xml:space="preserve"> and design</w:t>
      </w:r>
      <w:r w:rsidR="00FB54DB">
        <w:rPr>
          <w:lang w:val="en-GB"/>
        </w:rPr>
        <w:t>,</w:t>
      </w:r>
      <w:r w:rsidRPr="0003657F">
        <w:rPr>
          <w:lang w:val="en-GB"/>
        </w:rPr>
        <w:t xml:space="preserve"> </w:t>
      </w:r>
      <w:r w:rsidR="001A09E1" w:rsidRPr="0003657F">
        <w:rPr>
          <w:lang w:val="en-GB"/>
        </w:rPr>
        <w:t>a</w:t>
      </w:r>
      <w:r w:rsidRPr="0003657F">
        <w:rPr>
          <w:lang w:val="en-GB"/>
        </w:rPr>
        <w:t>s well as financing</w:t>
      </w:r>
      <w:r w:rsidR="00FB54DB">
        <w:rPr>
          <w:lang w:val="en-GB"/>
        </w:rPr>
        <w:t>,</w:t>
      </w:r>
      <w:r w:rsidRPr="0003657F">
        <w:rPr>
          <w:lang w:val="en-GB"/>
        </w:rPr>
        <w:t xml:space="preserve"> </w:t>
      </w:r>
      <w:r w:rsidR="001A09E1" w:rsidRPr="0003657F">
        <w:rPr>
          <w:lang w:val="en-GB"/>
        </w:rPr>
        <w:t xml:space="preserve">are </w:t>
      </w:r>
      <w:r w:rsidRPr="0003657F">
        <w:rPr>
          <w:lang w:val="en-GB"/>
        </w:rPr>
        <w:t xml:space="preserve">crucial </w:t>
      </w:r>
      <w:r w:rsidR="001A09E1" w:rsidRPr="0003657F">
        <w:rPr>
          <w:lang w:val="en-GB"/>
        </w:rPr>
        <w:t>to sustainable urban development</w:t>
      </w:r>
      <w:r w:rsidRPr="0003657F">
        <w:rPr>
          <w:lang w:val="en-GB"/>
        </w:rPr>
        <w:t xml:space="preserve">. </w:t>
      </w:r>
      <w:r w:rsidR="00EA3548" w:rsidRPr="0003657F">
        <w:rPr>
          <w:lang w:val="en-GB"/>
        </w:rPr>
        <w:t>UNDP will</w:t>
      </w:r>
      <w:r w:rsidR="0040402A" w:rsidRPr="0003657F">
        <w:rPr>
          <w:lang w:val="en-GB"/>
        </w:rPr>
        <w:t xml:space="preserve"> work with </w:t>
      </w:r>
      <w:r w:rsidR="000818E2" w:rsidRPr="0003657F">
        <w:rPr>
          <w:lang w:val="en-GB"/>
        </w:rPr>
        <w:t xml:space="preserve">Ulaanbaatar </w:t>
      </w:r>
      <w:r w:rsidR="0040402A" w:rsidRPr="0003657F">
        <w:rPr>
          <w:lang w:val="en-GB"/>
        </w:rPr>
        <w:t>City to</w:t>
      </w:r>
      <w:r w:rsidR="00EA3548" w:rsidRPr="0003657F">
        <w:rPr>
          <w:lang w:val="en-GB"/>
        </w:rPr>
        <w:t xml:space="preserve"> </w:t>
      </w:r>
      <w:r w:rsidR="00174E27" w:rsidRPr="0003657F">
        <w:rPr>
          <w:lang w:val="en-GB"/>
        </w:rPr>
        <w:t>generate the evidence</w:t>
      </w:r>
      <w:r w:rsidR="00FB54DB">
        <w:rPr>
          <w:lang w:val="en-GB"/>
        </w:rPr>
        <w:t xml:space="preserve"> </w:t>
      </w:r>
      <w:r w:rsidR="0029279C" w:rsidRPr="0003657F">
        <w:rPr>
          <w:lang w:val="en-GB"/>
        </w:rPr>
        <w:t xml:space="preserve">base </w:t>
      </w:r>
      <w:r w:rsidR="00174E27" w:rsidRPr="0003657F">
        <w:rPr>
          <w:lang w:val="en-GB"/>
        </w:rPr>
        <w:t>and analysis to understand the ro</w:t>
      </w:r>
      <w:r w:rsidR="0029279C" w:rsidRPr="0003657F">
        <w:rPr>
          <w:lang w:val="en-GB"/>
        </w:rPr>
        <w:t>ot</w:t>
      </w:r>
      <w:r w:rsidR="00174E27" w:rsidRPr="0003657F">
        <w:rPr>
          <w:lang w:val="en-GB"/>
        </w:rPr>
        <w:t xml:space="preserve"> causes of urban poverty and inequality and in</w:t>
      </w:r>
      <w:r w:rsidR="0029279C" w:rsidRPr="0003657F">
        <w:rPr>
          <w:lang w:val="en-GB"/>
        </w:rPr>
        <w:t>tegrate</w:t>
      </w:r>
      <w:r w:rsidR="00174E27" w:rsidRPr="0003657F">
        <w:rPr>
          <w:lang w:val="en-GB"/>
        </w:rPr>
        <w:t xml:space="preserve"> targeted solutions into </w:t>
      </w:r>
      <w:r w:rsidR="0029279C" w:rsidRPr="0003657F">
        <w:rPr>
          <w:lang w:val="en-GB"/>
        </w:rPr>
        <w:t xml:space="preserve">city development plans. </w:t>
      </w:r>
      <w:r w:rsidR="00FB54DB">
        <w:rPr>
          <w:lang w:val="en-GB"/>
        </w:rPr>
        <w:t>Since</w:t>
      </w:r>
      <w:r w:rsidR="00FB54DB" w:rsidRPr="0003657F">
        <w:rPr>
          <w:lang w:val="en-GB"/>
        </w:rPr>
        <w:t xml:space="preserve"> </w:t>
      </w:r>
      <w:r w:rsidR="00FB54DB" w:rsidRPr="006469BF">
        <w:rPr>
          <w:lang w:val="en-GB"/>
        </w:rPr>
        <w:t>Ulaanbaatar</w:t>
      </w:r>
      <w:r w:rsidR="0029279C" w:rsidRPr="0003657F">
        <w:rPr>
          <w:lang w:val="en-GB"/>
        </w:rPr>
        <w:t xml:space="preserve"> </w:t>
      </w:r>
      <w:r w:rsidR="00FB54DB">
        <w:rPr>
          <w:lang w:val="en-GB"/>
        </w:rPr>
        <w:t>is</w:t>
      </w:r>
      <w:r w:rsidR="0029279C" w:rsidRPr="0003657F">
        <w:rPr>
          <w:lang w:val="en-GB"/>
        </w:rPr>
        <w:t xml:space="preserve"> the beneficiary of a number of major loans </w:t>
      </w:r>
      <w:r w:rsidR="00FB54DB">
        <w:rPr>
          <w:lang w:val="en-GB"/>
        </w:rPr>
        <w:t xml:space="preserve">from international financial institutions, </w:t>
      </w:r>
      <w:r w:rsidR="0029279C" w:rsidRPr="0003657F">
        <w:rPr>
          <w:lang w:val="en-GB"/>
        </w:rPr>
        <w:t xml:space="preserve">mainly targeting infrastructure investments, UNDP </w:t>
      </w:r>
      <w:r w:rsidR="00FB54DB">
        <w:rPr>
          <w:lang w:val="en-GB"/>
        </w:rPr>
        <w:t>will</w:t>
      </w:r>
      <w:r w:rsidR="0029279C" w:rsidRPr="0003657F">
        <w:rPr>
          <w:lang w:val="en-GB"/>
        </w:rPr>
        <w:t xml:space="preserve"> </w:t>
      </w:r>
      <w:r w:rsidR="003609AC" w:rsidRPr="0003657F">
        <w:rPr>
          <w:lang w:val="en-GB"/>
        </w:rPr>
        <w:t xml:space="preserve">support the </w:t>
      </w:r>
      <w:r w:rsidR="00FB54DB">
        <w:rPr>
          <w:lang w:val="en-GB"/>
        </w:rPr>
        <w:t>G</w:t>
      </w:r>
      <w:r w:rsidR="003609AC" w:rsidRPr="0003657F">
        <w:rPr>
          <w:lang w:val="en-GB"/>
        </w:rPr>
        <w:t>overnment</w:t>
      </w:r>
      <w:r w:rsidR="00FB54DB">
        <w:rPr>
          <w:lang w:val="en-GB"/>
        </w:rPr>
        <w:t xml:space="preserve"> and </w:t>
      </w:r>
      <w:r w:rsidR="00FB54DB" w:rsidRPr="006469BF">
        <w:rPr>
          <w:lang w:val="en-GB"/>
        </w:rPr>
        <w:t>Ulaanbaatar</w:t>
      </w:r>
      <w:r w:rsidR="00FB54DB">
        <w:rPr>
          <w:lang w:val="en-GB"/>
        </w:rPr>
        <w:t xml:space="preserve"> </w:t>
      </w:r>
      <w:r w:rsidR="003609AC" w:rsidRPr="0003657F">
        <w:rPr>
          <w:lang w:val="en-GB"/>
        </w:rPr>
        <w:t xml:space="preserve">in ensuring </w:t>
      </w:r>
      <w:r w:rsidR="0029279C" w:rsidRPr="0003657F">
        <w:rPr>
          <w:lang w:val="en-GB"/>
        </w:rPr>
        <w:t>that th</w:t>
      </w:r>
      <w:r w:rsidR="000F0679">
        <w:rPr>
          <w:lang w:val="en-GB"/>
        </w:rPr>
        <w:t>o</w:t>
      </w:r>
      <w:r w:rsidR="0029279C" w:rsidRPr="0003657F">
        <w:rPr>
          <w:lang w:val="en-GB"/>
        </w:rPr>
        <w:t>se investments translate to poverty reduction and inclusive</w:t>
      </w:r>
      <w:r w:rsidR="00FB54DB">
        <w:rPr>
          <w:lang w:val="en-GB"/>
        </w:rPr>
        <w:t>,</w:t>
      </w:r>
      <w:r w:rsidR="0029279C" w:rsidRPr="0003657F">
        <w:rPr>
          <w:lang w:val="en-GB"/>
        </w:rPr>
        <w:t xml:space="preserve"> sustainable development. </w:t>
      </w:r>
    </w:p>
    <w:p w14:paraId="2D2D3942" w14:textId="7DF74639" w:rsidR="00EA3548" w:rsidRPr="0003657F" w:rsidRDefault="00FB54DB" w:rsidP="00C25210">
      <w:pPr>
        <w:pStyle w:val="ListParagraph"/>
        <w:numPr>
          <w:ilvl w:val="0"/>
          <w:numId w:val="35"/>
        </w:numPr>
        <w:tabs>
          <w:tab w:val="left" w:pos="1260"/>
          <w:tab w:val="left" w:pos="1620"/>
        </w:tabs>
        <w:spacing w:after="120"/>
        <w:ind w:left="1260" w:right="720" w:firstLine="0"/>
        <w:jc w:val="both"/>
        <w:rPr>
          <w:lang w:val="en-GB"/>
        </w:rPr>
      </w:pPr>
      <w:r>
        <w:rPr>
          <w:lang w:val="en-GB"/>
        </w:rPr>
        <w:t xml:space="preserve">With United Nations partners, </w:t>
      </w:r>
      <w:r w:rsidR="001A09E1" w:rsidRPr="0003657F">
        <w:rPr>
          <w:lang w:val="en-GB"/>
        </w:rPr>
        <w:t xml:space="preserve">UNDP will </w:t>
      </w:r>
      <w:r w:rsidR="0040402A" w:rsidRPr="0003657F">
        <w:rPr>
          <w:lang w:val="en-GB"/>
        </w:rPr>
        <w:t xml:space="preserve">support </w:t>
      </w:r>
      <w:r>
        <w:rPr>
          <w:lang w:val="en-GB"/>
        </w:rPr>
        <w:t xml:space="preserve">the </w:t>
      </w:r>
      <w:r w:rsidR="006C36EB" w:rsidRPr="0003657F">
        <w:rPr>
          <w:lang w:val="en-GB"/>
        </w:rPr>
        <w:t>Ministry of Environment, Green Development and Tourism</w:t>
      </w:r>
      <w:r w:rsidR="0040402A" w:rsidRPr="0003657F">
        <w:rPr>
          <w:lang w:val="en-GB"/>
        </w:rPr>
        <w:t xml:space="preserve">, </w:t>
      </w:r>
      <w:r>
        <w:rPr>
          <w:lang w:val="en-GB"/>
        </w:rPr>
        <w:t xml:space="preserve">and </w:t>
      </w:r>
      <w:r w:rsidR="0040402A" w:rsidRPr="0003657F">
        <w:rPr>
          <w:lang w:val="en-GB"/>
        </w:rPr>
        <w:t>Ulaanbaatar City</w:t>
      </w:r>
      <w:r>
        <w:rPr>
          <w:lang w:val="en-GB"/>
        </w:rPr>
        <w:t>,</w:t>
      </w:r>
      <w:r w:rsidR="0040402A" w:rsidRPr="0003657F">
        <w:rPr>
          <w:lang w:val="en-GB"/>
        </w:rPr>
        <w:t xml:space="preserve"> in </w:t>
      </w:r>
      <w:r w:rsidR="00EA3548" w:rsidRPr="0003657F">
        <w:rPr>
          <w:lang w:val="en-GB"/>
        </w:rPr>
        <w:t>tackl</w:t>
      </w:r>
      <w:r w:rsidR="0040402A" w:rsidRPr="0003657F">
        <w:rPr>
          <w:lang w:val="en-GB"/>
        </w:rPr>
        <w:t>ing</w:t>
      </w:r>
      <w:r w:rsidR="001A09E1" w:rsidRPr="0003657F">
        <w:rPr>
          <w:lang w:val="en-GB"/>
        </w:rPr>
        <w:t xml:space="preserve"> urban environmental challenges. </w:t>
      </w:r>
      <w:r>
        <w:rPr>
          <w:lang w:val="en-GB"/>
        </w:rPr>
        <w:t>L</w:t>
      </w:r>
      <w:r w:rsidR="001A09E1" w:rsidRPr="0003657F">
        <w:rPr>
          <w:lang w:val="en-GB"/>
        </w:rPr>
        <w:t>ow</w:t>
      </w:r>
      <w:r>
        <w:rPr>
          <w:lang w:val="en-GB"/>
        </w:rPr>
        <w:t>-</w:t>
      </w:r>
      <w:r w:rsidR="001A09E1" w:rsidRPr="0003657F">
        <w:rPr>
          <w:lang w:val="en-GB"/>
        </w:rPr>
        <w:t>carbon and green technologies application</w:t>
      </w:r>
      <w:r>
        <w:rPr>
          <w:lang w:val="en-GB"/>
        </w:rPr>
        <w:t>s,</w:t>
      </w:r>
      <w:r w:rsidR="001A09E1" w:rsidRPr="0003657F">
        <w:rPr>
          <w:lang w:val="en-GB"/>
        </w:rPr>
        <w:t xml:space="preserve"> </w:t>
      </w:r>
      <w:r>
        <w:rPr>
          <w:lang w:val="en-GB"/>
        </w:rPr>
        <w:t>such as</w:t>
      </w:r>
      <w:r w:rsidRPr="006469BF">
        <w:rPr>
          <w:lang w:val="en-GB"/>
        </w:rPr>
        <w:t xml:space="preserve"> community solar water</w:t>
      </w:r>
      <w:r>
        <w:rPr>
          <w:lang w:val="en-GB"/>
        </w:rPr>
        <w:t>-</w:t>
      </w:r>
      <w:r w:rsidRPr="006469BF">
        <w:rPr>
          <w:lang w:val="en-GB"/>
        </w:rPr>
        <w:t xml:space="preserve">heating systems, municipal waste processing and recycling, </w:t>
      </w:r>
      <w:r>
        <w:rPr>
          <w:lang w:val="en-GB"/>
        </w:rPr>
        <w:t xml:space="preserve">and </w:t>
      </w:r>
      <w:r w:rsidRPr="006469BF">
        <w:rPr>
          <w:lang w:val="en-GB"/>
        </w:rPr>
        <w:t xml:space="preserve">sustainable transport, </w:t>
      </w:r>
      <w:r w:rsidR="001A09E1" w:rsidRPr="0003657F">
        <w:rPr>
          <w:lang w:val="en-GB"/>
        </w:rPr>
        <w:t xml:space="preserve">will be piloted for </w:t>
      </w:r>
      <w:r w:rsidR="00B63E93">
        <w:rPr>
          <w:lang w:val="en-GB"/>
        </w:rPr>
        <w:t>scaling-up</w:t>
      </w:r>
      <w:r>
        <w:rPr>
          <w:lang w:val="en-GB"/>
        </w:rPr>
        <w:t>.</w:t>
      </w:r>
      <w:r w:rsidR="001A09E1" w:rsidRPr="0003657F">
        <w:rPr>
          <w:lang w:val="en-GB"/>
        </w:rPr>
        <w:t xml:space="preserve"> UNDP will contribute to </w:t>
      </w:r>
      <w:r w:rsidR="00F50DAA" w:rsidRPr="0003657F">
        <w:rPr>
          <w:lang w:val="en-GB"/>
        </w:rPr>
        <w:t xml:space="preserve">the </w:t>
      </w:r>
      <w:r w:rsidR="001A09E1" w:rsidRPr="0003657F">
        <w:rPr>
          <w:lang w:val="en-GB"/>
        </w:rPr>
        <w:t xml:space="preserve">abatement of </w:t>
      </w:r>
      <w:r w:rsidR="0026615D">
        <w:rPr>
          <w:lang w:val="en-GB"/>
        </w:rPr>
        <w:t xml:space="preserve">damaging </w:t>
      </w:r>
      <w:r w:rsidR="001A09E1" w:rsidRPr="0003657F">
        <w:rPr>
          <w:lang w:val="en-GB"/>
        </w:rPr>
        <w:t>air pollution</w:t>
      </w:r>
      <w:r w:rsidR="0026615D">
        <w:rPr>
          <w:lang w:val="en-GB"/>
        </w:rPr>
        <w:t xml:space="preserve"> levels</w:t>
      </w:r>
      <w:r w:rsidR="001A09E1" w:rsidRPr="0003657F">
        <w:rPr>
          <w:lang w:val="en-GB"/>
        </w:rPr>
        <w:t xml:space="preserve"> </w:t>
      </w:r>
      <w:r w:rsidR="006B7858" w:rsidRPr="0003657F">
        <w:rPr>
          <w:lang w:val="en-GB"/>
        </w:rPr>
        <w:t>by supporting</w:t>
      </w:r>
      <w:r w:rsidR="001A09E1" w:rsidRPr="0003657F">
        <w:rPr>
          <w:lang w:val="en-GB"/>
        </w:rPr>
        <w:t xml:space="preserve"> </w:t>
      </w:r>
      <w:r w:rsidR="0018794A" w:rsidRPr="0003657F">
        <w:rPr>
          <w:lang w:val="en-GB"/>
        </w:rPr>
        <w:t>policy measures t</w:t>
      </w:r>
      <w:r>
        <w:rPr>
          <w:lang w:val="en-GB"/>
        </w:rPr>
        <w:t>hat</w:t>
      </w:r>
      <w:r w:rsidR="0018794A" w:rsidRPr="0003657F">
        <w:rPr>
          <w:lang w:val="en-GB"/>
        </w:rPr>
        <w:t xml:space="preserve"> increase the share of renewable energy</w:t>
      </w:r>
      <w:r>
        <w:rPr>
          <w:lang w:val="en-GB"/>
        </w:rPr>
        <w:t>,</w:t>
      </w:r>
      <w:r w:rsidR="0018794A" w:rsidRPr="0003657F">
        <w:rPr>
          <w:lang w:val="en-GB"/>
        </w:rPr>
        <w:t xml:space="preserve"> </w:t>
      </w:r>
      <w:r w:rsidR="001A09E1" w:rsidRPr="0003657F">
        <w:rPr>
          <w:lang w:val="en-GB"/>
        </w:rPr>
        <w:t xml:space="preserve">as well as </w:t>
      </w:r>
      <w:r w:rsidR="00F50DAA" w:rsidRPr="0003657F">
        <w:rPr>
          <w:lang w:val="en-GB"/>
        </w:rPr>
        <w:t>promot</w:t>
      </w:r>
      <w:r>
        <w:rPr>
          <w:lang w:val="en-GB"/>
        </w:rPr>
        <w:t>ing</w:t>
      </w:r>
      <w:r w:rsidR="00F50DAA" w:rsidRPr="0003657F">
        <w:rPr>
          <w:lang w:val="en-GB"/>
        </w:rPr>
        <w:t xml:space="preserve"> </w:t>
      </w:r>
      <w:r w:rsidR="001A09E1" w:rsidRPr="0003657F">
        <w:rPr>
          <w:lang w:val="en-GB"/>
        </w:rPr>
        <w:t xml:space="preserve">energy efficiency in the </w:t>
      </w:r>
      <w:r w:rsidR="000B597C" w:rsidRPr="0003657F">
        <w:rPr>
          <w:lang w:val="en-GB"/>
        </w:rPr>
        <w:t xml:space="preserve">construction </w:t>
      </w:r>
      <w:r w:rsidR="001A09E1" w:rsidRPr="0003657F">
        <w:rPr>
          <w:lang w:val="en-GB"/>
        </w:rPr>
        <w:t>sector</w:t>
      </w:r>
      <w:r w:rsidR="00112DD5" w:rsidRPr="0003657F">
        <w:rPr>
          <w:lang w:val="en-GB"/>
        </w:rPr>
        <w:t>.</w:t>
      </w:r>
      <w:r w:rsidR="00EA3548" w:rsidRPr="0003657F">
        <w:rPr>
          <w:lang w:val="en-GB"/>
        </w:rPr>
        <w:t xml:space="preserve"> </w:t>
      </w:r>
    </w:p>
    <w:p w14:paraId="3AFA6328" w14:textId="124DF2C5" w:rsidR="00515F9B" w:rsidRPr="0003657F" w:rsidRDefault="00515F9B" w:rsidP="00C25210">
      <w:pPr>
        <w:pStyle w:val="ListParagraph"/>
        <w:tabs>
          <w:tab w:val="left" w:pos="1260"/>
          <w:tab w:val="left" w:pos="1620"/>
        </w:tabs>
        <w:spacing w:after="120"/>
        <w:ind w:left="1260" w:right="720"/>
        <w:jc w:val="both"/>
        <w:rPr>
          <w:b/>
          <w:lang w:val="en-GB"/>
        </w:rPr>
      </w:pPr>
      <w:r w:rsidRPr="0003657F">
        <w:rPr>
          <w:b/>
          <w:lang w:val="en-GB"/>
        </w:rPr>
        <w:t>Outcome 2</w:t>
      </w:r>
      <w:r w:rsidR="00FB54DB">
        <w:rPr>
          <w:b/>
          <w:lang w:val="en-GB"/>
        </w:rPr>
        <w:t>.</w:t>
      </w:r>
      <w:r w:rsidRPr="0003657F">
        <w:rPr>
          <w:b/>
          <w:lang w:val="en-GB"/>
        </w:rPr>
        <w:t xml:space="preserve"> </w:t>
      </w:r>
      <w:r w:rsidR="00C261F7" w:rsidRPr="0003657F">
        <w:rPr>
          <w:b/>
          <w:lang w:val="en-GB"/>
        </w:rPr>
        <w:t xml:space="preserve">Voice, participation and accountability </w:t>
      </w:r>
    </w:p>
    <w:p w14:paraId="32BAC8A1" w14:textId="53671EFF" w:rsidR="00C4451D" w:rsidRPr="0003657F" w:rsidRDefault="000B25A9" w:rsidP="00C25210">
      <w:pPr>
        <w:pStyle w:val="ListParagraph"/>
        <w:tabs>
          <w:tab w:val="left" w:pos="1260"/>
          <w:tab w:val="left" w:pos="1620"/>
        </w:tabs>
        <w:spacing w:after="120"/>
        <w:ind w:left="1260" w:right="720"/>
        <w:jc w:val="both"/>
        <w:rPr>
          <w:i/>
          <w:lang w:val="en-GB"/>
        </w:rPr>
      </w:pPr>
      <w:r w:rsidRPr="0003657F">
        <w:rPr>
          <w:i/>
          <w:lang w:val="en-GB"/>
        </w:rPr>
        <w:t>G</w:t>
      </w:r>
      <w:r w:rsidR="007B6EAD" w:rsidRPr="0003657F">
        <w:rPr>
          <w:i/>
          <w:lang w:val="en-GB"/>
        </w:rPr>
        <w:t>overnance for increased voice and accountability</w:t>
      </w:r>
    </w:p>
    <w:p w14:paraId="42AF8CD3" w14:textId="50A4D773" w:rsidR="00C4451D" w:rsidRPr="0003657F" w:rsidRDefault="0012697C"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In partnership with the Parliament of Mongolia, </w:t>
      </w:r>
      <w:r w:rsidR="007B6EAD" w:rsidRPr="0003657F">
        <w:rPr>
          <w:lang w:val="en-GB"/>
        </w:rPr>
        <w:t xml:space="preserve">UNDP will </w:t>
      </w:r>
      <w:r w:rsidR="005715EA" w:rsidRPr="0003657F">
        <w:rPr>
          <w:lang w:val="en-GB"/>
        </w:rPr>
        <w:t xml:space="preserve">continue </w:t>
      </w:r>
      <w:r w:rsidR="007B6EAD" w:rsidRPr="0003657F">
        <w:rPr>
          <w:lang w:val="en-GB"/>
        </w:rPr>
        <w:t>its</w:t>
      </w:r>
      <w:r w:rsidR="005715EA" w:rsidRPr="0003657F">
        <w:rPr>
          <w:lang w:val="en-GB"/>
        </w:rPr>
        <w:t xml:space="preserve"> flagship programme</w:t>
      </w:r>
      <w:r w:rsidR="007B6EAD" w:rsidRPr="0003657F">
        <w:rPr>
          <w:lang w:val="en-GB"/>
        </w:rPr>
        <w:t xml:space="preserve"> support</w:t>
      </w:r>
      <w:r w:rsidR="005715EA" w:rsidRPr="0003657F">
        <w:rPr>
          <w:lang w:val="en-GB"/>
        </w:rPr>
        <w:t>ing</w:t>
      </w:r>
      <w:r w:rsidR="007B6EAD" w:rsidRPr="0003657F">
        <w:rPr>
          <w:lang w:val="en-GB"/>
        </w:rPr>
        <w:t xml:space="preserve"> elected representatives</w:t>
      </w:r>
      <w:r w:rsidR="0079431B">
        <w:rPr>
          <w:lang w:val="en-GB"/>
        </w:rPr>
        <w:t>,</w:t>
      </w:r>
      <w:r w:rsidR="007B6EAD" w:rsidRPr="0003657F">
        <w:rPr>
          <w:lang w:val="en-GB"/>
        </w:rPr>
        <w:t xml:space="preserve"> </w:t>
      </w:r>
      <w:r w:rsidR="00046C16" w:rsidRPr="0003657F">
        <w:rPr>
          <w:lang w:val="en-GB"/>
        </w:rPr>
        <w:t>at local</w:t>
      </w:r>
      <w:r w:rsidR="009C1EC1" w:rsidRPr="0003657F">
        <w:rPr>
          <w:lang w:val="en-GB"/>
        </w:rPr>
        <w:t xml:space="preserve"> and</w:t>
      </w:r>
      <w:r w:rsidR="00046C16" w:rsidRPr="0003657F">
        <w:rPr>
          <w:lang w:val="en-GB"/>
        </w:rPr>
        <w:t xml:space="preserve"> national level</w:t>
      </w:r>
      <w:r w:rsidR="0079431B">
        <w:rPr>
          <w:lang w:val="en-GB"/>
        </w:rPr>
        <w:t>s</w:t>
      </w:r>
      <w:r w:rsidR="00112DD5" w:rsidRPr="0003657F">
        <w:rPr>
          <w:lang w:val="en-GB"/>
        </w:rPr>
        <w:t>,</w:t>
      </w:r>
      <w:r w:rsidR="00046C16" w:rsidRPr="0003657F">
        <w:rPr>
          <w:lang w:val="en-GB"/>
        </w:rPr>
        <w:t xml:space="preserve"> </w:t>
      </w:r>
      <w:r w:rsidR="007B6EAD" w:rsidRPr="0003657F">
        <w:rPr>
          <w:lang w:val="en-GB"/>
        </w:rPr>
        <w:t xml:space="preserve">in improving their representational and oversight roles and </w:t>
      </w:r>
      <w:r w:rsidR="0079431B">
        <w:rPr>
          <w:lang w:val="en-GB"/>
        </w:rPr>
        <w:t xml:space="preserve">their </w:t>
      </w:r>
      <w:r w:rsidR="007B6EAD" w:rsidRPr="0003657F">
        <w:rPr>
          <w:lang w:val="en-GB"/>
        </w:rPr>
        <w:t xml:space="preserve">accountability to citizens. </w:t>
      </w:r>
      <w:r w:rsidR="00E07A5A" w:rsidRPr="0003657F">
        <w:rPr>
          <w:lang w:val="en-GB"/>
        </w:rPr>
        <w:t>T</w:t>
      </w:r>
      <w:r w:rsidR="00112DD5" w:rsidRPr="0003657F">
        <w:rPr>
          <w:lang w:val="en-GB"/>
        </w:rPr>
        <w:t>h</w:t>
      </w:r>
      <w:r w:rsidR="00E07A5A" w:rsidRPr="0003657F">
        <w:rPr>
          <w:lang w:val="en-GB"/>
        </w:rPr>
        <w:t xml:space="preserve">is will include </w:t>
      </w:r>
      <w:r w:rsidR="000F0679">
        <w:rPr>
          <w:lang w:val="en-GB"/>
        </w:rPr>
        <w:t>upgrad</w:t>
      </w:r>
      <w:r w:rsidR="000F0679" w:rsidRPr="0003657F">
        <w:rPr>
          <w:lang w:val="en-GB"/>
        </w:rPr>
        <w:t xml:space="preserve">ing </w:t>
      </w:r>
      <w:r w:rsidR="00E07A5A" w:rsidRPr="0003657F">
        <w:rPr>
          <w:lang w:val="en-GB"/>
        </w:rPr>
        <w:t>the state-citizen interactions in the legislative process.</w:t>
      </w:r>
      <w:r w:rsidR="005715EA" w:rsidRPr="0003657F">
        <w:rPr>
          <w:lang w:val="en-GB"/>
        </w:rPr>
        <w:t xml:space="preserve"> </w:t>
      </w:r>
      <w:r w:rsidR="0079431B">
        <w:rPr>
          <w:lang w:val="en-GB"/>
        </w:rPr>
        <w:t>T</w:t>
      </w:r>
      <w:r w:rsidR="005715EA" w:rsidRPr="0003657F">
        <w:rPr>
          <w:lang w:val="en-GB"/>
        </w:rPr>
        <w:t xml:space="preserve">he </w:t>
      </w:r>
      <w:r w:rsidR="0079431B">
        <w:rPr>
          <w:lang w:val="en-GB"/>
        </w:rPr>
        <w:t>country programme</w:t>
      </w:r>
      <w:r w:rsidR="0079431B" w:rsidRPr="0003657F">
        <w:rPr>
          <w:lang w:val="en-GB"/>
        </w:rPr>
        <w:t xml:space="preserve"> </w:t>
      </w:r>
      <w:r w:rsidR="005715EA" w:rsidRPr="0003657F">
        <w:rPr>
          <w:lang w:val="en-GB"/>
        </w:rPr>
        <w:t>will be integrated into national plans and budgets</w:t>
      </w:r>
      <w:r w:rsidR="0079431B">
        <w:rPr>
          <w:lang w:val="en-GB"/>
        </w:rPr>
        <w:t>,</w:t>
      </w:r>
      <w:r w:rsidR="005715EA" w:rsidRPr="0003657F">
        <w:rPr>
          <w:lang w:val="en-GB"/>
        </w:rPr>
        <w:t xml:space="preserve"> ensuring long-term sustainability</w:t>
      </w:r>
      <w:r w:rsidR="00A1628D" w:rsidRPr="0003657F">
        <w:rPr>
          <w:lang w:val="en-GB"/>
        </w:rPr>
        <w:t xml:space="preserve"> and continued</w:t>
      </w:r>
      <w:r w:rsidR="005715EA" w:rsidRPr="0003657F">
        <w:rPr>
          <w:lang w:val="en-GB"/>
        </w:rPr>
        <w:t xml:space="preserve"> nationwide scal</w:t>
      </w:r>
      <w:r w:rsidR="0079431B">
        <w:rPr>
          <w:lang w:val="en-GB"/>
        </w:rPr>
        <w:t>ing</w:t>
      </w:r>
      <w:r w:rsidR="005715EA" w:rsidRPr="0003657F">
        <w:rPr>
          <w:lang w:val="en-GB"/>
        </w:rPr>
        <w:t xml:space="preserve">-up. </w:t>
      </w:r>
    </w:p>
    <w:p w14:paraId="63BA474D" w14:textId="2B28F2B3" w:rsidR="00C4451D" w:rsidRPr="0003657F" w:rsidRDefault="00046C16"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Within the framework of </w:t>
      </w:r>
      <w:r w:rsidR="000F0679">
        <w:rPr>
          <w:lang w:val="en-GB"/>
        </w:rPr>
        <w:t>amplifying the</w:t>
      </w:r>
      <w:r w:rsidR="000F0679" w:rsidRPr="0003657F">
        <w:rPr>
          <w:lang w:val="en-GB"/>
        </w:rPr>
        <w:t xml:space="preserve"> </w:t>
      </w:r>
      <w:r w:rsidRPr="0003657F">
        <w:rPr>
          <w:lang w:val="en-GB"/>
        </w:rPr>
        <w:t xml:space="preserve">voice of underrepresented groups, </w:t>
      </w:r>
      <w:r w:rsidR="007B6EAD" w:rsidRPr="0003657F">
        <w:rPr>
          <w:lang w:val="en-GB"/>
        </w:rPr>
        <w:t xml:space="preserve">UNDP will </w:t>
      </w:r>
      <w:r w:rsidRPr="0003657F">
        <w:rPr>
          <w:lang w:val="en-GB"/>
        </w:rPr>
        <w:t xml:space="preserve">continue </w:t>
      </w:r>
      <w:r w:rsidR="0040402A" w:rsidRPr="0003657F">
        <w:rPr>
          <w:lang w:val="en-GB"/>
        </w:rPr>
        <w:t xml:space="preserve">to </w:t>
      </w:r>
      <w:r w:rsidR="00C4451D" w:rsidRPr="0003657F">
        <w:rPr>
          <w:lang w:val="en-GB"/>
        </w:rPr>
        <w:t>support</w:t>
      </w:r>
      <w:r w:rsidR="007B6EAD" w:rsidRPr="0003657F">
        <w:rPr>
          <w:lang w:val="en-GB"/>
        </w:rPr>
        <w:t xml:space="preserve"> increased participation of women in decision</w:t>
      </w:r>
      <w:r w:rsidR="000F0679">
        <w:rPr>
          <w:lang w:val="en-GB"/>
        </w:rPr>
        <w:t>-</w:t>
      </w:r>
      <w:r w:rsidR="007B6EAD" w:rsidRPr="0003657F">
        <w:rPr>
          <w:lang w:val="en-GB"/>
        </w:rPr>
        <w:t>making</w:t>
      </w:r>
      <w:r w:rsidR="00C4451D" w:rsidRPr="0003657F">
        <w:rPr>
          <w:lang w:val="en-GB"/>
        </w:rPr>
        <w:t xml:space="preserve"> through advocacy, capacity development and legislati</w:t>
      </w:r>
      <w:r w:rsidR="000F0679">
        <w:rPr>
          <w:lang w:val="en-GB"/>
        </w:rPr>
        <w:t>on</w:t>
      </w:r>
      <w:r w:rsidR="007B6EAD" w:rsidRPr="0003657F">
        <w:rPr>
          <w:lang w:val="en-GB"/>
        </w:rPr>
        <w:t>.</w:t>
      </w:r>
      <w:r w:rsidR="0012697C" w:rsidRPr="0003657F">
        <w:rPr>
          <w:lang w:val="en-GB"/>
        </w:rPr>
        <w:t xml:space="preserve"> </w:t>
      </w:r>
      <w:r w:rsidR="007B6EAD" w:rsidRPr="0003657F">
        <w:rPr>
          <w:lang w:val="en-GB"/>
        </w:rPr>
        <w:t xml:space="preserve"> </w:t>
      </w:r>
    </w:p>
    <w:p w14:paraId="7C4E4E34" w14:textId="11F2006E" w:rsidR="00C16459" w:rsidRPr="0003657F" w:rsidRDefault="000F0679" w:rsidP="00C25210">
      <w:pPr>
        <w:pStyle w:val="ListParagraph"/>
        <w:numPr>
          <w:ilvl w:val="0"/>
          <w:numId w:val="35"/>
        </w:numPr>
        <w:tabs>
          <w:tab w:val="left" w:pos="1260"/>
          <w:tab w:val="left" w:pos="1620"/>
        </w:tabs>
        <w:spacing w:after="120"/>
        <w:ind w:left="1260" w:right="720" w:firstLine="0"/>
        <w:jc w:val="both"/>
        <w:rPr>
          <w:lang w:val="en-GB"/>
        </w:rPr>
      </w:pPr>
      <w:r>
        <w:rPr>
          <w:lang w:val="en-GB"/>
        </w:rPr>
        <w:t>F</w:t>
      </w:r>
      <w:r w:rsidR="00C16459" w:rsidRPr="0003657F">
        <w:rPr>
          <w:lang w:val="en-GB"/>
        </w:rPr>
        <w:t>oster</w:t>
      </w:r>
      <w:r>
        <w:rPr>
          <w:lang w:val="en-GB"/>
        </w:rPr>
        <w:t>ing</w:t>
      </w:r>
      <w:r w:rsidR="00C16459" w:rsidRPr="0003657F">
        <w:rPr>
          <w:lang w:val="en-GB"/>
        </w:rPr>
        <w:t xml:space="preserve"> a culture of democracy through civic </w:t>
      </w:r>
      <w:r w:rsidR="00404B6D" w:rsidRPr="0003657F">
        <w:rPr>
          <w:lang w:val="en-GB"/>
        </w:rPr>
        <w:t xml:space="preserve">engagement </w:t>
      </w:r>
      <w:r w:rsidR="00C16459" w:rsidRPr="0003657F">
        <w:rPr>
          <w:lang w:val="en-GB"/>
        </w:rPr>
        <w:t xml:space="preserve">is </w:t>
      </w:r>
      <w:r>
        <w:rPr>
          <w:lang w:val="en-GB"/>
        </w:rPr>
        <w:t>essenti</w:t>
      </w:r>
      <w:r w:rsidRPr="0003657F">
        <w:rPr>
          <w:lang w:val="en-GB"/>
        </w:rPr>
        <w:t xml:space="preserve">al </w:t>
      </w:r>
      <w:r w:rsidR="00C16459" w:rsidRPr="0003657F">
        <w:rPr>
          <w:lang w:val="en-GB"/>
        </w:rPr>
        <w:t>in Mongolia. UNDP will support the Parliament</w:t>
      </w:r>
      <w:r w:rsidR="009F578E" w:rsidRPr="0003657F">
        <w:rPr>
          <w:lang w:val="en-GB"/>
        </w:rPr>
        <w:t xml:space="preserve"> and subnational </w:t>
      </w:r>
      <w:r w:rsidR="009F578E" w:rsidRPr="0003657F">
        <w:rPr>
          <w:i/>
          <w:lang w:val="en-GB"/>
        </w:rPr>
        <w:t>Hurals</w:t>
      </w:r>
      <w:r w:rsidR="00C16459" w:rsidRPr="0003657F">
        <w:rPr>
          <w:lang w:val="en-GB"/>
        </w:rPr>
        <w:t xml:space="preserve">, youth groups and </w:t>
      </w:r>
      <w:r w:rsidR="007C4171" w:rsidRPr="0003657F">
        <w:rPr>
          <w:lang w:val="en-GB"/>
        </w:rPr>
        <w:t>civil society</w:t>
      </w:r>
      <w:r w:rsidR="00C16459" w:rsidRPr="0003657F">
        <w:rPr>
          <w:lang w:val="en-GB"/>
        </w:rPr>
        <w:t xml:space="preserve"> in </w:t>
      </w:r>
      <w:r w:rsidR="00404B6D" w:rsidRPr="0003657F">
        <w:rPr>
          <w:lang w:val="en-GB"/>
        </w:rPr>
        <w:t xml:space="preserve">identifying innovative </w:t>
      </w:r>
      <w:r w:rsidR="00C16459" w:rsidRPr="0003657F">
        <w:rPr>
          <w:lang w:val="en-GB"/>
        </w:rPr>
        <w:t>solutions for engaging young people.</w:t>
      </w:r>
      <w:r w:rsidR="005715EA" w:rsidRPr="0003657F">
        <w:rPr>
          <w:lang w:val="en-GB"/>
        </w:rPr>
        <w:t xml:space="preserve"> This work will be </w:t>
      </w:r>
      <w:r w:rsidR="00027A2F" w:rsidRPr="0003657F">
        <w:rPr>
          <w:lang w:val="en-GB"/>
        </w:rPr>
        <w:t xml:space="preserve">undertaken </w:t>
      </w:r>
      <w:r w:rsidR="005715EA" w:rsidRPr="0003657F">
        <w:rPr>
          <w:lang w:val="en-GB"/>
        </w:rPr>
        <w:t>in partnership with UN</w:t>
      </w:r>
      <w:r w:rsidR="00556F2E" w:rsidRPr="0003657F">
        <w:rPr>
          <w:lang w:val="en-GB"/>
        </w:rPr>
        <w:t xml:space="preserve">FPA and </w:t>
      </w:r>
      <w:r w:rsidR="0079431B">
        <w:rPr>
          <w:lang w:val="en-GB"/>
        </w:rPr>
        <w:t>the United Nations Children’s Fund a</w:t>
      </w:r>
      <w:r w:rsidR="00027A2F" w:rsidRPr="0003657F">
        <w:rPr>
          <w:lang w:val="en-GB"/>
        </w:rPr>
        <w:t xml:space="preserve">s </w:t>
      </w:r>
      <w:r>
        <w:rPr>
          <w:lang w:val="en-GB"/>
        </w:rPr>
        <w:t>a</w:t>
      </w:r>
      <w:r w:rsidR="00027A2F" w:rsidRPr="0003657F">
        <w:rPr>
          <w:lang w:val="en-GB"/>
        </w:rPr>
        <w:t xml:space="preserve"> joint focus area </w:t>
      </w:r>
      <w:r w:rsidR="005715EA" w:rsidRPr="0003657F">
        <w:rPr>
          <w:lang w:val="en-GB"/>
        </w:rPr>
        <w:t xml:space="preserve">under the </w:t>
      </w:r>
      <w:r w:rsidR="0035173D">
        <w:rPr>
          <w:lang w:val="en-GB"/>
        </w:rPr>
        <w:t>United Nations Development Assistance Framework</w:t>
      </w:r>
      <w:r w:rsidR="00027A2F" w:rsidRPr="0003657F">
        <w:rPr>
          <w:lang w:val="en-GB"/>
        </w:rPr>
        <w:t>.</w:t>
      </w:r>
      <w:r w:rsidR="005715EA" w:rsidRPr="0003657F">
        <w:rPr>
          <w:lang w:val="en-GB"/>
        </w:rPr>
        <w:t xml:space="preserve"> </w:t>
      </w:r>
    </w:p>
    <w:p w14:paraId="631B1D0C" w14:textId="4494D4D0" w:rsidR="00C4451D" w:rsidRPr="0003657F" w:rsidRDefault="00C4451D"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UNDP</w:t>
      </w:r>
      <w:r w:rsidR="0079431B">
        <w:rPr>
          <w:lang w:val="en-GB"/>
        </w:rPr>
        <w:t>,</w:t>
      </w:r>
      <w:r w:rsidRPr="0003657F">
        <w:rPr>
          <w:lang w:val="en-GB"/>
        </w:rPr>
        <w:t xml:space="preserve"> </w:t>
      </w:r>
      <w:r w:rsidR="0079431B">
        <w:rPr>
          <w:lang w:val="en-GB"/>
        </w:rPr>
        <w:t>the</w:t>
      </w:r>
      <w:r w:rsidR="0079431B" w:rsidRPr="0003657F">
        <w:rPr>
          <w:lang w:val="en-GB"/>
        </w:rPr>
        <w:t xml:space="preserve"> </w:t>
      </w:r>
      <w:r w:rsidR="0040402A" w:rsidRPr="0003657F">
        <w:rPr>
          <w:lang w:val="en-GB"/>
        </w:rPr>
        <w:t>M</w:t>
      </w:r>
      <w:r w:rsidR="00492348" w:rsidRPr="0003657F">
        <w:rPr>
          <w:lang w:val="en-GB"/>
        </w:rPr>
        <w:t>inistry of Mining</w:t>
      </w:r>
      <w:r w:rsidR="0040402A" w:rsidRPr="0003657F">
        <w:rPr>
          <w:lang w:val="en-GB"/>
        </w:rPr>
        <w:t xml:space="preserve"> and </w:t>
      </w:r>
      <w:r w:rsidR="0079431B">
        <w:rPr>
          <w:lang w:val="en-GB"/>
        </w:rPr>
        <w:t xml:space="preserve">the </w:t>
      </w:r>
      <w:r w:rsidR="006C36EB" w:rsidRPr="0003657F">
        <w:rPr>
          <w:lang w:val="en-GB"/>
        </w:rPr>
        <w:t>Ministry of Environment, Green Development and Tourism</w:t>
      </w:r>
      <w:r w:rsidR="0079431B">
        <w:rPr>
          <w:lang w:val="en-GB"/>
        </w:rPr>
        <w:t>,</w:t>
      </w:r>
      <w:r w:rsidR="0040402A" w:rsidRPr="0003657F">
        <w:rPr>
          <w:lang w:val="en-GB"/>
        </w:rPr>
        <w:t xml:space="preserve"> </w:t>
      </w:r>
      <w:r w:rsidRPr="0003657F">
        <w:rPr>
          <w:lang w:val="en-GB"/>
        </w:rPr>
        <w:t xml:space="preserve">will </w:t>
      </w:r>
      <w:r w:rsidR="00B77DE5" w:rsidRPr="0003657F">
        <w:rPr>
          <w:lang w:val="en-GB"/>
        </w:rPr>
        <w:t xml:space="preserve">focus on governance in extractive industries </w:t>
      </w:r>
      <w:r w:rsidR="00A51BA0" w:rsidRPr="0003657F">
        <w:rPr>
          <w:lang w:val="en-GB"/>
        </w:rPr>
        <w:t>to improve accountability in this key sector</w:t>
      </w:r>
      <w:r w:rsidR="00B77DE5" w:rsidRPr="0003657F">
        <w:rPr>
          <w:lang w:val="en-GB"/>
        </w:rPr>
        <w:t xml:space="preserve">. </w:t>
      </w:r>
      <w:r w:rsidR="000F0679">
        <w:rPr>
          <w:lang w:val="en-GB"/>
        </w:rPr>
        <w:t>Work</w:t>
      </w:r>
      <w:r w:rsidR="000F0679" w:rsidRPr="0003657F">
        <w:rPr>
          <w:lang w:val="en-GB"/>
        </w:rPr>
        <w:t xml:space="preserve"> </w:t>
      </w:r>
      <w:r w:rsidR="00B77DE5" w:rsidRPr="0003657F">
        <w:rPr>
          <w:lang w:val="en-GB"/>
        </w:rPr>
        <w:t xml:space="preserve">will include </w:t>
      </w:r>
      <w:r w:rsidR="00A51BA0" w:rsidRPr="0003657F">
        <w:rPr>
          <w:lang w:val="en-GB"/>
        </w:rPr>
        <w:t>evidenced</w:t>
      </w:r>
      <w:r w:rsidR="0079431B">
        <w:rPr>
          <w:lang w:val="en-GB"/>
        </w:rPr>
        <w:t>-</w:t>
      </w:r>
      <w:r w:rsidR="00A51BA0" w:rsidRPr="0003657F">
        <w:rPr>
          <w:lang w:val="en-GB"/>
        </w:rPr>
        <w:t xml:space="preserve">based research into </w:t>
      </w:r>
      <w:r w:rsidR="00B77DE5" w:rsidRPr="0003657F">
        <w:rPr>
          <w:lang w:val="en-GB"/>
        </w:rPr>
        <w:t xml:space="preserve">corruption </w:t>
      </w:r>
      <w:r w:rsidRPr="0003657F">
        <w:rPr>
          <w:lang w:val="en-GB"/>
        </w:rPr>
        <w:t>risk</w:t>
      </w:r>
      <w:r w:rsidR="00A51BA0" w:rsidRPr="0003657F">
        <w:rPr>
          <w:lang w:val="en-GB"/>
        </w:rPr>
        <w:t>s</w:t>
      </w:r>
      <w:r w:rsidRPr="0003657F">
        <w:rPr>
          <w:lang w:val="en-GB"/>
        </w:rPr>
        <w:t xml:space="preserve"> </w:t>
      </w:r>
      <w:r w:rsidR="00B77DE5" w:rsidRPr="0003657F">
        <w:rPr>
          <w:lang w:val="en-GB"/>
        </w:rPr>
        <w:t>and</w:t>
      </w:r>
      <w:r w:rsidRPr="0003657F">
        <w:rPr>
          <w:lang w:val="en-GB"/>
        </w:rPr>
        <w:t xml:space="preserve"> rule of law</w:t>
      </w:r>
      <w:r w:rsidR="0079431B">
        <w:rPr>
          <w:lang w:val="en-GB"/>
        </w:rPr>
        <w:t>,</w:t>
      </w:r>
      <w:r w:rsidR="005715EA" w:rsidRPr="0003657F">
        <w:rPr>
          <w:lang w:val="en-GB"/>
        </w:rPr>
        <w:t xml:space="preserve"> as well as </w:t>
      </w:r>
      <w:r w:rsidR="0079431B">
        <w:rPr>
          <w:lang w:val="en-GB"/>
        </w:rPr>
        <w:t>S</w:t>
      </w:r>
      <w:r w:rsidR="005715EA" w:rsidRPr="0003657F">
        <w:rPr>
          <w:lang w:val="en-GB"/>
        </w:rPr>
        <w:t>outh-</w:t>
      </w:r>
      <w:r w:rsidR="0079431B">
        <w:rPr>
          <w:lang w:val="en-GB"/>
        </w:rPr>
        <w:t>S</w:t>
      </w:r>
      <w:r w:rsidR="005715EA" w:rsidRPr="0003657F">
        <w:rPr>
          <w:lang w:val="en-GB"/>
        </w:rPr>
        <w:t>outh interactions</w:t>
      </w:r>
      <w:r w:rsidR="00A1628D" w:rsidRPr="0003657F">
        <w:rPr>
          <w:lang w:val="en-GB"/>
        </w:rPr>
        <w:t xml:space="preserve">. The </w:t>
      </w:r>
      <w:r w:rsidR="00B77DE5" w:rsidRPr="0003657F">
        <w:rPr>
          <w:lang w:val="en-GB"/>
        </w:rPr>
        <w:t>result</w:t>
      </w:r>
      <w:r w:rsidR="000411AF">
        <w:rPr>
          <w:lang w:val="en-GB"/>
        </w:rPr>
        <w:t>s</w:t>
      </w:r>
      <w:r w:rsidR="00B77DE5" w:rsidRPr="0003657F">
        <w:rPr>
          <w:lang w:val="en-GB"/>
        </w:rPr>
        <w:t xml:space="preserve"> will be integrated into policy</w:t>
      </w:r>
      <w:r w:rsidR="000411AF">
        <w:rPr>
          <w:lang w:val="en-GB"/>
        </w:rPr>
        <w:t>-</w:t>
      </w:r>
      <w:r w:rsidR="00B77DE5" w:rsidRPr="0003657F">
        <w:rPr>
          <w:lang w:val="en-GB"/>
        </w:rPr>
        <w:t>level</w:t>
      </w:r>
      <w:r w:rsidR="00A51BA0" w:rsidRPr="0003657F">
        <w:rPr>
          <w:lang w:val="en-GB"/>
        </w:rPr>
        <w:t xml:space="preserve"> reforms</w:t>
      </w:r>
      <w:r w:rsidR="00B77DE5" w:rsidRPr="0003657F">
        <w:rPr>
          <w:lang w:val="en-GB"/>
        </w:rPr>
        <w:t xml:space="preserve"> and </w:t>
      </w:r>
      <w:r w:rsidRPr="0003657F">
        <w:rPr>
          <w:lang w:val="en-GB"/>
        </w:rPr>
        <w:t>capacity</w:t>
      </w:r>
      <w:r w:rsidR="000411AF">
        <w:rPr>
          <w:lang w:val="en-GB"/>
        </w:rPr>
        <w:t>-</w:t>
      </w:r>
      <w:r w:rsidRPr="0003657F">
        <w:rPr>
          <w:lang w:val="en-GB"/>
        </w:rPr>
        <w:t>development</w:t>
      </w:r>
      <w:r w:rsidR="00B77DE5" w:rsidRPr="0003657F">
        <w:rPr>
          <w:lang w:val="en-GB"/>
        </w:rPr>
        <w:t xml:space="preserve"> support</w:t>
      </w:r>
      <w:r w:rsidR="000411AF">
        <w:rPr>
          <w:lang w:val="en-GB"/>
        </w:rPr>
        <w:t>,</w:t>
      </w:r>
      <w:r w:rsidR="0040112E" w:rsidRPr="0003657F">
        <w:rPr>
          <w:lang w:val="en-GB"/>
        </w:rPr>
        <w:t xml:space="preserve"> contribut</w:t>
      </w:r>
      <w:r w:rsidR="000411AF">
        <w:rPr>
          <w:lang w:val="en-GB"/>
        </w:rPr>
        <w:t>ing</w:t>
      </w:r>
      <w:r w:rsidR="0040112E" w:rsidRPr="0003657F">
        <w:rPr>
          <w:lang w:val="en-GB"/>
        </w:rPr>
        <w:t xml:space="preserve"> to better environmental and extractive sector</w:t>
      </w:r>
      <w:r w:rsidR="008B15EC" w:rsidRPr="0003657F">
        <w:rPr>
          <w:lang w:val="en-GB"/>
        </w:rPr>
        <w:t xml:space="preserve"> g</w:t>
      </w:r>
      <w:r w:rsidR="0040112E" w:rsidRPr="0003657F">
        <w:rPr>
          <w:lang w:val="en-GB"/>
        </w:rPr>
        <w:t>overnance</w:t>
      </w:r>
      <w:r w:rsidR="008B15EC" w:rsidRPr="0003657F">
        <w:rPr>
          <w:lang w:val="en-GB"/>
        </w:rPr>
        <w:t>.</w:t>
      </w:r>
    </w:p>
    <w:p w14:paraId="22362E74" w14:textId="1CB4FF70" w:rsidR="00C4451D" w:rsidRPr="0003657F" w:rsidRDefault="00C4451D" w:rsidP="00C25210">
      <w:pPr>
        <w:pStyle w:val="ListParagraph"/>
        <w:tabs>
          <w:tab w:val="left" w:pos="1260"/>
          <w:tab w:val="left" w:pos="1620"/>
        </w:tabs>
        <w:spacing w:after="120"/>
        <w:ind w:left="1260" w:right="720"/>
        <w:jc w:val="both"/>
        <w:rPr>
          <w:i/>
          <w:lang w:val="en-GB"/>
        </w:rPr>
      </w:pPr>
      <w:r w:rsidRPr="0003657F">
        <w:rPr>
          <w:i/>
          <w:lang w:val="en-GB"/>
        </w:rPr>
        <w:t>Effective civil service</w:t>
      </w:r>
    </w:p>
    <w:p w14:paraId="13A0CA7F" w14:textId="176A7768" w:rsidR="00C4451D" w:rsidRPr="0003657F" w:rsidRDefault="00121612"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To move towards a more effective civil service in Mongolia, UNDP </w:t>
      </w:r>
      <w:r w:rsidR="00107081" w:rsidRPr="0003657F">
        <w:rPr>
          <w:lang w:val="en-GB"/>
        </w:rPr>
        <w:t xml:space="preserve">will </w:t>
      </w:r>
      <w:r w:rsidR="00AE2A8B" w:rsidRPr="0003657F">
        <w:rPr>
          <w:lang w:val="en-GB"/>
        </w:rPr>
        <w:t xml:space="preserve">work with the Cabinet </w:t>
      </w:r>
      <w:r w:rsidR="000411AF">
        <w:rPr>
          <w:lang w:val="en-GB"/>
        </w:rPr>
        <w:t>s</w:t>
      </w:r>
      <w:r w:rsidR="00AE2A8B" w:rsidRPr="0003657F">
        <w:rPr>
          <w:lang w:val="en-GB"/>
        </w:rPr>
        <w:t xml:space="preserve">ecretariat and the Civil Service Commission to </w:t>
      </w:r>
      <w:r w:rsidRPr="0003657F">
        <w:rPr>
          <w:lang w:val="en-GB"/>
        </w:rPr>
        <w:t>s</w:t>
      </w:r>
      <w:r w:rsidR="00C4451D" w:rsidRPr="0003657F">
        <w:rPr>
          <w:lang w:val="en-GB"/>
        </w:rPr>
        <w:t>trengthen</w:t>
      </w:r>
      <w:r w:rsidRPr="0003657F">
        <w:rPr>
          <w:lang w:val="en-GB"/>
        </w:rPr>
        <w:t xml:space="preserve"> the</w:t>
      </w:r>
      <w:r w:rsidR="00C4451D" w:rsidRPr="0003657F">
        <w:rPr>
          <w:lang w:val="en-GB"/>
        </w:rPr>
        <w:t xml:space="preserve"> legal and policy framework</w:t>
      </w:r>
      <w:r w:rsidR="00107081" w:rsidRPr="0003657F">
        <w:rPr>
          <w:lang w:val="en-GB"/>
        </w:rPr>
        <w:t xml:space="preserve"> for a professionalized</w:t>
      </w:r>
      <w:r w:rsidR="000411AF">
        <w:rPr>
          <w:lang w:val="en-GB"/>
        </w:rPr>
        <w:t>,</w:t>
      </w:r>
      <w:r w:rsidR="00107081" w:rsidRPr="0003657F">
        <w:rPr>
          <w:lang w:val="en-GB"/>
        </w:rPr>
        <w:t xml:space="preserve"> performance</w:t>
      </w:r>
      <w:r w:rsidR="000411AF">
        <w:rPr>
          <w:lang w:val="en-GB"/>
        </w:rPr>
        <w:t>-</w:t>
      </w:r>
      <w:r w:rsidR="00107081" w:rsidRPr="0003657F">
        <w:rPr>
          <w:lang w:val="en-GB"/>
        </w:rPr>
        <w:t>based civil service</w:t>
      </w:r>
      <w:r w:rsidR="000411AF">
        <w:rPr>
          <w:lang w:val="en-GB"/>
        </w:rPr>
        <w:t>,</w:t>
      </w:r>
      <w:r w:rsidR="00107081" w:rsidRPr="0003657F">
        <w:rPr>
          <w:lang w:val="en-GB"/>
        </w:rPr>
        <w:t xml:space="preserve"> </w:t>
      </w:r>
      <w:r w:rsidRPr="0003657F">
        <w:rPr>
          <w:lang w:val="en-GB"/>
        </w:rPr>
        <w:t xml:space="preserve">and </w:t>
      </w:r>
      <w:r w:rsidR="000F0679">
        <w:rPr>
          <w:lang w:val="en-GB"/>
        </w:rPr>
        <w:t xml:space="preserve">to </w:t>
      </w:r>
      <w:r w:rsidRPr="0003657F">
        <w:rPr>
          <w:lang w:val="en-GB"/>
        </w:rPr>
        <w:t xml:space="preserve">set up </w:t>
      </w:r>
      <w:r w:rsidR="00107081" w:rsidRPr="0003657F">
        <w:rPr>
          <w:lang w:val="en-GB"/>
        </w:rPr>
        <w:t>stronger accountability measures</w:t>
      </w:r>
      <w:r w:rsidRPr="0003657F">
        <w:rPr>
          <w:lang w:val="en-GB"/>
        </w:rPr>
        <w:t xml:space="preserve">. </w:t>
      </w:r>
      <w:r w:rsidR="00FC3B67" w:rsidRPr="0003657F">
        <w:rPr>
          <w:lang w:val="en-GB"/>
        </w:rPr>
        <w:t>Working with the UNDP Global Centre for Public Service Excellence</w:t>
      </w:r>
      <w:r w:rsidR="000411AF">
        <w:rPr>
          <w:lang w:val="en-GB"/>
        </w:rPr>
        <w:t>,</w:t>
      </w:r>
      <w:r w:rsidR="00FC3B67" w:rsidRPr="0003657F">
        <w:rPr>
          <w:lang w:val="en-GB"/>
        </w:rPr>
        <w:t xml:space="preserve"> in Singapore, </w:t>
      </w:r>
      <w:r w:rsidR="000411AF">
        <w:rPr>
          <w:lang w:val="en-GB"/>
        </w:rPr>
        <w:t>S</w:t>
      </w:r>
      <w:r w:rsidR="00FC3B67" w:rsidRPr="0003657F">
        <w:rPr>
          <w:lang w:val="en-GB"/>
        </w:rPr>
        <w:t>out</w:t>
      </w:r>
      <w:r w:rsidR="00665209" w:rsidRPr="0003657F">
        <w:rPr>
          <w:lang w:val="en-GB"/>
        </w:rPr>
        <w:t>h-</w:t>
      </w:r>
      <w:r w:rsidR="000411AF">
        <w:rPr>
          <w:lang w:val="en-GB"/>
        </w:rPr>
        <w:t>S</w:t>
      </w:r>
      <w:r w:rsidR="00665209" w:rsidRPr="0003657F">
        <w:rPr>
          <w:lang w:val="en-GB"/>
        </w:rPr>
        <w:t xml:space="preserve">outh exchanges and the adoption of global good practices into the Mongolian civil service </w:t>
      </w:r>
      <w:r w:rsidR="00FC3B67" w:rsidRPr="0003657F">
        <w:rPr>
          <w:lang w:val="en-GB"/>
        </w:rPr>
        <w:t xml:space="preserve">context will be explored. </w:t>
      </w:r>
      <w:r w:rsidR="00556F2E" w:rsidRPr="0003657F">
        <w:rPr>
          <w:lang w:val="en-GB"/>
        </w:rPr>
        <w:t xml:space="preserve">UNDP will work with </w:t>
      </w:r>
      <w:r w:rsidR="000411AF">
        <w:rPr>
          <w:lang w:val="en-GB"/>
        </w:rPr>
        <w:t xml:space="preserve">the </w:t>
      </w:r>
      <w:r w:rsidR="00556F2E" w:rsidRPr="0003657F">
        <w:rPr>
          <w:lang w:val="en-GB"/>
        </w:rPr>
        <w:t>N</w:t>
      </w:r>
      <w:r w:rsidR="00492348" w:rsidRPr="0003657F">
        <w:rPr>
          <w:lang w:val="en-GB"/>
        </w:rPr>
        <w:t xml:space="preserve">ational </w:t>
      </w:r>
      <w:r w:rsidR="00556F2E" w:rsidRPr="0003657F">
        <w:rPr>
          <w:lang w:val="en-GB"/>
        </w:rPr>
        <w:lastRenderedPageBreak/>
        <w:t>C</w:t>
      </w:r>
      <w:r w:rsidR="00492348" w:rsidRPr="0003657F">
        <w:rPr>
          <w:lang w:val="en-GB"/>
        </w:rPr>
        <w:t xml:space="preserve">ommittee on </w:t>
      </w:r>
      <w:r w:rsidR="00556F2E" w:rsidRPr="0003657F">
        <w:rPr>
          <w:lang w:val="en-GB"/>
        </w:rPr>
        <w:t>G</w:t>
      </w:r>
      <w:r w:rsidR="00492348" w:rsidRPr="0003657F">
        <w:rPr>
          <w:lang w:val="en-GB"/>
        </w:rPr>
        <w:t xml:space="preserve">ender </w:t>
      </w:r>
      <w:r w:rsidR="00556F2E" w:rsidRPr="0003657F">
        <w:rPr>
          <w:lang w:val="en-GB"/>
        </w:rPr>
        <w:t>E</w:t>
      </w:r>
      <w:r w:rsidR="00492348" w:rsidRPr="0003657F">
        <w:rPr>
          <w:lang w:val="en-GB"/>
        </w:rPr>
        <w:t>quality</w:t>
      </w:r>
      <w:r w:rsidR="00556F2E" w:rsidRPr="0003657F">
        <w:rPr>
          <w:lang w:val="en-GB"/>
        </w:rPr>
        <w:t xml:space="preserve"> to advance gender equality</w:t>
      </w:r>
      <w:r w:rsidR="000F0679">
        <w:rPr>
          <w:lang w:val="en-GB"/>
        </w:rPr>
        <w:t xml:space="preserve"> and </w:t>
      </w:r>
      <w:r w:rsidR="000F0679" w:rsidRPr="00F63BB7">
        <w:rPr>
          <w:lang w:val="en-GB"/>
        </w:rPr>
        <w:t>introduce gender-sensitive human resources procedures and practices</w:t>
      </w:r>
      <w:r w:rsidR="00556F2E" w:rsidRPr="0003657F">
        <w:rPr>
          <w:lang w:val="en-GB"/>
        </w:rPr>
        <w:t xml:space="preserve"> in</w:t>
      </w:r>
      <w:r w:rsidR="000F0679">
        <w:rPr>
          <w:lang w:val="en-GB"/>
        </w:rPr>
        <w:t>to</w:t>
      </w:r>
      <w:r w:rsidR="00556F2E" w:rsidRPr="0003657F">
        <w:rPr>
          <w:lang w:val="en-GB"/>
        </w:rPr>
        <w:t xml:space="preserve"> publi</w:t>
      </w:r>
      <w:r w:rsidR="00665209" w:rsidRPr="0003657F">
        <w:rPr>
          <w:lang w:val="en-GB"/>
        </w:rPr>
        <w:t>c administration</w:t>
      </w:r>
      <w:r w:rsidR="00556F2E" w:rsidRPr="0003657F">
        <w:rPr>
          <w:lang w:val="en-GB"/>
        </w:rPr>
        <w:t xml:space="preserve">. </w:t>
      </w:r>
    </w:p>
    <w:p w14:paraId="1A852003" w14:textId="66E1F4E6" w:rsidR="005C4E6C" w:rsidRPr="0003657F" w:rsidRDefault="00E07A5A" w:rsidP="008E3991">
      <w:pPr>
        <w:pStyle w:val="ListParagraph"/>
        <w:numPr>
          <w:ilvl w:val="0"/>
          <w:numId w:val="35"/>
        </w:numPr>
        <w:tabs>
          <w:tab w:val="left" w:pos="1260"/>
          <w:tab w:val="left" w:pos="1620"/>
        </w:tabs>
        <w:ind w:left="1260" w:right="720" w:firstLine="0"/>
        <w:jc w:val="both"/>
        <w:rPr>
          <w:lang w:val="en-GB"/>
        </w:rPr>
      </w:pPr>
      <w:r w:rsidRPr="0003657F">
        <w:rPr>
          <w:lang w:val="en-GB"/>
        </w:rPr>
        <w:t xml:space="preserve">UNDP will support processes of setting and enforcing </w:t>
      </w:r>
      <w:r w:rsidR="000F0679" w:rsidRPr="00F63BB7">
        <w:rPr>
          <w:lang w:val="en-GB"/>
        </w:rPr>
        <w:t>administrative decision</w:t>
      </w:r>
      <w:r w:rsidR="000F0679">
        <w:rPr>
          <w:lang w:val="en-GB"/>
        </w:rPr>
        <w:t>-</w:t>
      </w:r>
      <w:r w:rsidR="000F0679" w:rsidRPr="00F63BB7">
        <w:rPr>
          <w:lang w:val="en-GB"/>
        </w:rPr>
        <w:t>making</w:t>
      </w:r>
      <w:r w:rsidR="000F0679" w:rsidRPr="000F0679">
        <w:rPr>
          <w:lang w:val="en-GB"/>
        </w:rPr>
        <w:t xml:space="preserve"> </w:t>
      </w:r>
      <w:r w:rsidRPr="0003657F">
        <w:rPr>
          <w:lang w:val="en-GB"/>
        </w:rPr>
        <w:t>standards, improving public scrutiny of draft laws, reviewing administrative procedures</w:t>
      </w:r>
      <w:r w:rsidR="00157CA8" w:rsidRPr="0003657F">
        <w:rPr>
          <w:lang w:val="en-GB"/>
        </w:rPr>
        <w:t>,</w:t>
      </w:r>
      <w:r w:rsidRPr="0003657F">
        <w:rPr>
          <w:lang w:val="en-GB"/>
        </w:rPr>
        <w:t xml:space="preserve"> and establish</w:t>
      </w:r>
      <w:r w:rsidR="000411AF">
        <w:rPr>
          <w:lang w:val="en-GB"/>
        </w:rPr>
        <w:t>ing</w:t>
      </w:r>
      <w:r w:rsidRPr="0003657F">
        <w:rPr>
          <w:lang w:val="en-GB"/>
        </w:rPr>
        <w:t xml:space="preserve"> effective mechanisms for </w:t>
      </w:r>
      <w:r w:rsidR="00C532B3" w:rsidRPr="0003657F">
        <w:rPr>
          <w:lang w:val="en-GB"/>
        </w:rPr>
        <w:t>citizen-centred monitoring of public administration performance</w:t>
      </w:r>
      <w:r w:rsidRPr="0003657F">
        <w:rPr>
          <w:lang w:val="en-GB"/>
        </w:rPr>
        <w:t>.</w:t>
      </w:r>
      <w:r w:rsidR="0040112E" w:rsidRPr="0003657F">
        <w:rPr>
          <w:lang w:val="en-GB"/>
        </w:rPr>
        <w:t xml:space="preserve"> </w:t>
      </w:r>
    </w:p>
    <w:p w14:paraId="0029DD93" w14:textId="77777777" w:rsidR="004736BE" w:rsidRPr="0003657F" w:rsidRDefault="004736BE" w:rsidP="0003657F">
      <w:pPr>
        <w:pStyle w:val="ListParagraph"/>
        <w:tabs>
          <w:tab w:val="left" w:pos="1260"/>
          <w:tab w:val="left" w:pos="1620"/>
        </w:tabs>
        <w:ind w:left="1627" w:right="1267"/>
        <w:jc w:val="both"/>
        <w:rPr>
          <w:color w:val="000000"/>
          <w:lang w:val="en-GB"/>
        </w:rPr>
      </w:pPr>
    </w:p>
    <w:p w14:paraId="6125F2A5" w14:textId="6D40A862" w:rsidR="0063402B" w:rsidRPr="0003657F" w:rsidRDefault="0063402B" w:rsidP="008E3991">
      <w:pPr>
        <w:pStyle w:val="Heading1"/>
        <w:tabs>
          <w:tab w:val="left" w:pos="1260"/>
          <w:tab w:val="left" w:pos="1800"/>
        </w:tabs>
        <w:ind w:left="1267" w:right="1267" w:hanging="637"/>
        <w:jc w:val="both"/>
        <w:rPr>
          <w:rFonts w:ascii="Times New Roman" w:hAnsi="Times New Roman"/>
          <w:color w:val="000000"/>
          <w:szCs w:val="28"/>
          <w:lang w:val="en-GB"/>
        </w:rPr>
      </w:pPr>
      <w:r w:rsidRPr="0003657F">
        <w:rPr>
          <w:rFonts w:ascii="Times New Roman" w:hAnsi="Times New Roman"/>
          <w:color w:val="000000"/>
          <w:szCs w:val="28"/>
          <w:lang w:val="en-GB"/>
        </w:rPr>
        <w:t>III.</w:t>
      </w:r>
      <w:r w:rsidR="000411AF">
        <w:rPr>
          <w:rFonts w:ascii="Times New Roman" w:hAnsi="Times New Roman"/>
          <w:color w:val="000000"/>
          <w:szCs w:val="28"/>
          <w:lang w:val="en-GB"/>
        </w:rPr>
        <w:tab/>
      </w:r>
      <w:r w:rsidRPr="0003657F">
        <w:rPr>
          <w:rFonts w:ascii="Times New Roman" w:hAnsi="Times New Roman"/>
          <w:color w:val="000000"/>
          <w:szCs w:val="28"/>
          <w:lang w:val="en-GB"/>
        </w:rPr>
        <w:t xml:space="preserve">Programme and </w:t>
      </w:r>
      <w:r w:rsidR="000411AF">
        <w:rPr>
          <w:rFonts w:ascii="Times New Roman" w:hAnsi="Times New Roman"/>
          <w:color w:val="000000"/>
          <w:szCs w:val="28"/>
          <w:lang w:val="en-GB"/>
        </w:rPr>
        <w:t>r</w:t>
      </w:r>
      <w:r w:rsidRPr="0003657F">
        <w:rPr>
          <w:rFonts w:ascii="Times New Roman" w:hAnsi="Times New Roman"/>
          <w:color w:val="000000"/>
          <w:szCs w:val="28"/>
          <w:lang w:val="en-GB"/>
        </w:rPr>
        <w:t>isk</w:t>
      </w:r>
      <w:r w:rsidR="00AC1BE7" w:rsidRPr="0003657F">
        <w:rPr>
          <w:rFonts w:ascii="Times New Roman" w:hAnsi="Times New Roman"/>
          <w:color w:val="000000"/>
          <w:szCs w:val="28"/>
          <w:lang w:val="en-GB"/>
        </w:rPr>
        <w:t xml:space="preserve"> </w:t>
      </w:r>
      <w:r w:rsidR="000411AF">
        <w:rPr>
          <w:rFonts w:ascii="Times New Roman" w:hAnsi="Times New Roman"/>
          <w:color w:val="000000"/>
          <w:szCs w:val="28"/>
          <w:lang w:val="en-GB"/>
        </w:rPr>
        <w:t>m</w:t>
      </w:r>
      <w:r w:rsidR="001C6C08" w:rsidRPr="0003657F">
        <w:rPr>
          <w:rFonts w:ascii="Times New Roman" w:hAnsi="Times New Roman"/>
          <w:color w:val="000000"/>
          <w:szCs w:val="28"/>
          <w:lang w:val="en-GB"/>
        </w:rPr>
        <w:t>anagement</w:t>
      </w:r>
      <w:r w:rsidRPr="0003657F">
        <w:rPr>
          <w:rFonts w:ascii="Times New Roman" w:hAnsi="Times New Roman"/>
          <w:color w:val="000000"/>
          <w:szCs w:val="28"/>
          <w:lang w:val="en-GB"/>
        </w:rPr>
        <w:t xml:space="preserve"> </w:t>
      </w:r>
    </w:p>
    <w:p w14:paraId="07DA7E29" w14:textId="77777777" w:rsidR="00383832" w:rsidRPr="0003657F" w:rsidRDefault="00383832" w:rsidP="0003657F">
      <w:pPr>
        <w:pStyle w:val="ListParagraph"/>
        <w:tabs>
          <w:tab w:val="left" w:pos="1260"/>
          <w:tab w:val="left" w:pos="1620"/>
        </w:tabs>
        <w:ind w:left="1267" w:right="720"/>
        <w:jc w:val="both"/>
        <w:rPr>
          <w:lang w:val="en-GB"/>
        </w:rPr>
      </w:pPr>
    </w:p>
    <w:p w14:paraId="6426A111" w14:textId="29D454F5" w:rsidR="00383832" w:rsidRPr="0003657F" w:rsidRDefault="00383832"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This country programme document outlines UNDP contributions to national results and serves as the primary unit of accountability to the Executive Board for results alignment and resources assigned to the programme at </w:t>
      </w:r>
      <w:r w:rsidR="000411AF">
        <w:rPr>
          <w:lang w:val="en-GB"/>
        </w:rPr>
        <w:t xml:space="preserve">the </w:t>
      </w:r>
      <w:r w:rsidRPr="0003657F">
        <w:rPr>
          <w:lang w:val="en-GB"/>
        </w:rPr>
        <w:t>country level. Accountabilities of managers at the country, regional and headquarter</w:t>
      </w:r>
      <w:r w:rsidR="000411AF">
        <w:rPr>
          <w:lang w:val="en-GB"/>
        </w:rPr>
        <w:t>s</w:t>
      </w:r>
      <w:r w:rsidRPr="0003657F">
        <w:rPr>
          <w:lang w:val="en-GB"/>
        </w:rPr>
        <w:t xml:space="preserve"> levels with respect to country programmes </w:t>
      </w:r>
      <w:r w:rsidR="00C43744">
        <w:rPr>
          <w:lang w:val="en-GB"/>
        </w:rPr>
        <w:t>are</w:t>
      </w:r>
      <w:r w:rsidR="00C43744" w:rsidRPr="0003657F">
        <w:rPr>
          <w:lang w:val="en-GB"/>
        </w:rPr>
        <w:t xml:space="preserve"> </w:t>
      </w:r>
      <w:r w:rsidRPr="0003657F">
        <w:rPr>
          <w:lang w:val="en-GB"/>
        </w:rPr>
        <w:t>prescribed in the programme and operations policies and procedures and the internal controls framework.</w:t>
      </w:r>
    </w:p>
    <w:p w14:paraId="38FDEF87" w14:textId="135BE54D" w:rsidR="00366BAD" w:rsidRPr="0003657F" w:rsidRDefault="00383832"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The country programme will be nationally executed</w:t>
      </w:r>
      <w:r w:rsidR="005715EA" w:rsidRPr="0003657F">
        <w:rPr>
          <w:lang w:val="en-GB"/>
        </w:rPr>
        <w:t>.</w:t>
      </w:r>
      <w:r w:rsidRPr="0003657F">
        <w:rPr>
          <w:lang w:val="en-GB"/>
        </w:rPr>
        <w:t xml:space="preserve"> </w:t>
      </w:r>
      <w:r w:rsidR="005715EA" w:rsidRPr="0003657F">
        <w:rPr>
          <w:lang w:val="en-GB"/>
        </w:rPr>
        <w:t xml:space="preserve">In </w:t>
      </w:r>
      <w:r w:rsidRPr="0003657F">
        <w:rPr>
          <w:lang w:val="en-GB"/>
        </w:rPr>
        <w:t>collaboration with the Government of Mongolia</w:t>
      </w:r>
      <w:r w:rsidR="000411AF">
        <w:rPr>
          <w:lang w:val="en-GB"/>
        </w:rPr>
        <w:t>,</w:t>
      </w:r>
      <w:r w:rsidR="005715EA" w:rsidRPr="0003657F">
        <w:rPr>
          <w:lang w:val="en-GB"/>
        </w:rPr>
        <w:t xml:space="preserve"> i</w:t>
      </w:r>
      <w:r w:rsidR="00953983" w:rsidRPr="0003657F">
        <w:rPr>
          <w:lang w:val="en-GB"/>
        </w:rPr>
        <w:t>mplementation arrangements will be set</w:t>
      </w:r>
      <w:r w:rsidR="000411AF">
        <w:rPr>
          <w:lang w:val="en-GB"/>
        </w:rPr>
        <w:t xml:space="preserve"> </w:t>
      </w:r>
      <w:r w:rsidR="00953983" w:rsidRPr="0003657F">
        <w:rPr>
          <w:lang w:val="en-GB"/>
        </w:rPr>
        <w:t xml:space="preserve">up based on </w:t>
      </w:r>
      <w:r w:rsidR="006B12D0" w:rsidRPr="0003657F">
        <w:rPr>
          <w:lang w:val="en-GB"/>
        </w:rPr>
        <w:t>program</w:t>
      </w:r>
      <w:r w:rsidR="000411AF">
        <w:rPr>
          <w:lang w:val="en-GB"/>
        </w:rPr>
        <w:t>me</w:t>
      </w:r>
      <w:r w:rsidR="006B12D0" w:rsidRPr="0003657F">
        <w:rPr>
          <w:lang w:val="en-GB"/>
        </w:rPr>
        <w:t xml:space="preserve"> and project risk assessments </w:t>
      </w:r>
      <w:r w:rsidR="00C43744">
        <w:rPr>
          <w:lang w:val="en-GB"/>
        </w:rPr>
        <w:t>(</w:t>
      </w:r>
      <w:r w:rsidR="006B12D0" w:rsidRPr="0003657F">
        <w:rPr>
          <w:lang w:val="en-GB"/>
        </w:rPr>
        <w:t xml:space="preserve">including the one carried out </w:t>
      </w:r>
      <w:r w:rsidR="00C43744">
        <w:rPr>
          <w:lang w:val="en-GB"/>
        </w:rPr>
        <w:t>o</w:t>
      </w:r>
      <w:r w:rsidR="006B12D0" w:rsidRPr="0003657F">
        <w:rPr>
          <w:lang w:val="en-GB"/>
        </w:rPr>
        <w:t xml:space="preserve">n the </w:t>
      </w:r>
      <w:r w:rsidR="00953983" w:rsidRPr="0003657F">
        <w:rPr>
          <w:lang w:val="en-GB"/>
        </w:rPr>
        <w:t>harmonized approach to cash transfers</w:t>
      </w:r>
      <w:r w:rsidR="00C43744">
        <w:rPr>
          <w:lang w:val="en-GB"/>
        </w:rPr>
        <w:t>)</w:t>
      </w:r>
      <w:r w:rsidRPr="0003657F">
        <w:rPr>
          <w:lang w:val="en-GB"/>
        </w:rPr>
        <w:t xml:space="preserve">. </w:t>
      </w:r>
    </w:p>
    <w:p w14:paraId="00DAEC88" w14:textId="0F76E1FF" w:rsidR="00383832" w:rsidRPr="0003657F" w:rsidRDefault="00383832"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A </w:t>
      </w:r>
      <w:r w:rsidR="000411AF">
        <w:rPr>
          <w:lang w:val="en-GB"/>
        </w:rPr>
        <w:t>p</w:t>
      </w:r>
      <w:r w:rsidRPr="0003657F">
        <w:rPr>
          <w:lang w:val="en-GB"/>
        </w:rPr>
        <w:t xml:space="preserve">rogramme </w:t>
      </w:r>
      <w:r w:rsidR="000411AF">
        <w:rPr>
          <w:lang w:val="en-GB"/>
        </w:rPr>
        <w:t>b</w:t>
      </w:r>
      <w:r w:rsidRPr="0003657F">
        <w:rPr>
          <w:lang w:val="en-GB"/>
        </w:rPr>
        <w:t xml:space="preserve">oard, </w:t>
      </w:r>
      <w:r w:rsidR="00366BAD" w:rsidRPr="0003657F">
        <w:rPr>
          <w:lang w:val="en-GB"/>
        </w:rPr>
        <w:t xml:space="preserve">co-chaired by the Ministry of Foreign Affairs and </w:t>
      </w:r>
      <w:r w:rsidRPr="0003657F">
        <w:rPr>
          <w:lang w:val="en-GB"/>
        </w:rPr>
        <w:t>encompassing project</w:t>
      </w:r>
      <w:r w:rsidR="00C43744">
        <w:rPr>
          <w:lang w:val="en-GB"/>
        </w:rPr>
        <w:t>-</w:t>
      </w:r>
      <w:r w:rsidRPr="0003657F">
        <w:rPr>
          <w:lang w:val="en-GB"/>
        </w:rPr>
        <w:t>implementing ministries and non-state development actors</w:t>
      </w:r>
      <w:r w:rsidR="000411AF">
        <w:rPr>
          <w:lang w:val="en-GB"/>
        </w:rPr>
        <w:t>,</w:t>
      </w:r>
      <w:r w:rsidRPr="0003657F">
        <w:rPr>
          <w:lang w:val="en-GB"/>
        </w:rPr>
        <w:t xml:space="preserve"> will hold an annual programme review meeting to assess </w:t>
      </w:r>
      <w:r w:rsidR="000411AF">
        <w:rPr>
          <w:lang w:val="en-GB"/>
        </w:rPr>
        <w:t xml:space="preserve">the </w:t>
      </w:r>
      <w:r w:rsidRPr="0003657F">
        <w:rPr>
          <w:lang w:val="en-GB"/>
        </w:rPr>
        <w:t>UNDP contribution to outcome results and national development priorities.</w:t>
      </w:r>
      <w:r w:rsidR="00366BAD" w:rsidRPr="0003657F">
        <w:rPr>
          <w:lang w:val="en-GB"/>
        </w:rPr>
        <w:t xml:space="preserve"> </w:t>
      </w:r>
      <w:r w:rsidR="0035173D">
        <w:rPr>
          <w:lang w:val="en-GB"/>
        </w:rPr>
        <w:t>United Nations Development Assistance Framework</w:t>
      </w:r>
      <w:r w:rsidR="00112DD5" w:rsidRPr="0003657F">
        <w:rPr>
          <w:lang w:val="en-GB"/>
        </w:rPr>
        <w:t xml:space="preserve"> o</w:t>
      </w:r>
      <w:r w:rsidR="00366BAD" w:rsidRPr="0003657F">
        <w:rPr>
          <w:lang w:val="en-GB"/>
        </w:rPr>
        <w:t>utcome boards will coordinat</w:t>
      </w:r>
      <w:r w:rsidR="000411AF">
        <w:rPr>
          <w:lang w:val="en-GB"/>
        </w:rPr>
        <w:t xml:space="preserve">e </w:t>
      </w:r>
      <w:r w:rsidR="00366BAD" w:rsidRPr="0003657F">
        <w:rPr>
          <w:lang w:val="en-GB"/>
        </w:rPr>
        <w:t xml:space="preserve">UNDP programmes. </w:t>
      </w:r>
      <w:r w:rsidR="00953983" w:rsidRPr="0003657F">
        <w:rPr>
          <w:lang w:val="en-GB"/>
        </w:rPr>
        <w:t>UNDP will establish project</w:t>
      </w:r>
      <w:r w:rsidR="000411AF">
        <w:rPr>
          <w:lang w:val="en-GB"/>
        </w:rPr>
        <w:t>-</w:t>
      </w:r>
      <w:r w:rsidR="00953983" w:rsidRPr="0003657F">
        <w:rPr>
          <w:lang w:val="en-GB"/>
        </w:rPr>
        <w:t xml:space="preserve">level boards that include </w:t>
      </w:r>
      <w:r w:rsidR="00C43744" w:rsidRPr="00F63BB7">
        <w:rPr>
          <w:lang w:val="en-GB"/>
        </w:rPr>
        <w:t xml:space="preserve">government </w:t>
      </w:r>
      <w:r w:rsidR="00953983" w:rsidRPr="0003657F">
        <w:rPr>
          <w:lang w:val="en-GB"/>
        </w:rPr>
        <w:t>representatives and international partners, ensuring mutual accountability.</w:t>
      </w:r>
      <w:r w:rsidR="00112DD5" w:rsidRPr="0003657F">
        <w:rPr>
          <w:lang w:val="en-GB"/>
        </w:rPr>
        <w:t xml:space="preserve"> UNDP will provide support services to government agencies implementing the projects</w:t>
      </w:r>
      <w:r w:rsidR="00F21AC8" w:rsidRPr="0003657F">
        <w:rPr>
          <w:lang w:val="en-GB"/>
        </w:rPr>
        <w:t xml:space="preserve"> to accelerate</w:t>
      </w:r>
      <w:r w:rsidR="006B12D0" w:rsidRPr="0003657F">
        <w:rPr>
          <w:lang w:val="en-GB"/>
        </w:rPr>
        <w:t xml:space="preserve"> delivery</w:t>
      </w:r>
      <w:r w:rsidR="00B86EDD" w:rsidRPr="0003657F">
        <w:rPr>
          <w:lang w:val="en-GB"/>
        </w:rPr>
        <w:t xml:space="preserve"> as needed</w:t>
      </w:r>
      <w:r w:rsidR="003122AB" w:rsidRPr="0003657F">
        <w:rPr>
          <w:lang w:val="en-GB"/>
        </w:rPr>
        <w:t>.</w:t>
      </w:r>
    </w:p>
    <w:p w14:paraId="69B0D2C1" w14:textId="7B6375DD" w:rsidR="00953983" w:rsidRPr="0003657F" w:rsidRDefault="00383832"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UNDP will continue to leverage core resources to generate innovations and policy solutions</w:t>
      </w:r>
      <w:r w:rsidR="000411AF">
        <w:rPr>
          <w:lang w:val="en-GB"/>
        </w:rPr>
        <w:t>,</w:t>
      </w:r>
      <w:r w:rsidRPr="0003657F">
        <w:rPr>
          <w:lang w:val="en-GB"/>
        </w:rPr>
        <w:t xml:space="preserve"> while exploring partnerships and resources to support the scaling-up of development solutions. </w:t>
      </w:r>
      <w:r w:rsidR="00953983" w:rsidRPr="0003657F">
        <w:rPr>
          <w:lang w:val="en-GB"/>
        </w:rPr>
        <w:t xml:space="preserve">UNDP will work with the Government to design a partnership and resource mobilization strategy to meet </w:t>
      </w:r>
      <w:r w:rsidR="00D8088C" w:rsidRPr="0003657F">
        <w:rPr>
          <w:lang w:val="en-GB"/>
        </w:rPr>
        <w:t xml:space="preserve">programme </w:t>
      </w:r>
      <w:r w:rsidR="00953983" w:rsidRPr="0003657F">
        <w:rPr>
          <w:lang w:val="en-GB"/>
        </w:rPr>
        <w:t xml:space="preserve">resource requirements. </w:t>
      </w:r>
      <w:r w:rsidR="00CB0D76" w:rsidRPr="0003657F">
        <w:rPr>
          <w:lang w:val="en-GB"/>
        </w:rPr>
        <w:t>This will include leveraging co-financing contributions to UNDP programmes and services supporting key policy and development objectives of the Government</w:t>
      </w:r>
      <w:r w:rsidR="00A9788D" w:rsidRPr="0003657F">
        <w:rPr>
          <w:lang w:val="en-GB"/>
        </w:rPr>
        <w:t>.</w:t>
      </w:r>
      <w:r w:rsidR="00CB0D76" w:rsidRPr="0003657F">
        <w:rPr>
          <w:lang w:val="en-GB"/>
        </w:rPr>
        <w:t xml:space="preserve"> </w:t>
      </w:r>
      <w:r w:rsidR="00953983" w:rsidRPr="0003657F">
        <w:rPr>
          <w:lang w:val="en-GB"/>
        </w:rPr>
        <w:t xml:space="preserve">UNDP will also seek partnerships with other </w:t>
      </w:r>
      <w:r w:rsidR="000411AF">
        <w:rPr>
          <w:lang w:val="en-GB"/>
        </w:rPr>
        <w:t>United Nations organizations</w:t>
      </w:r>
      <w:r w:rsidR="00953983" w:rsidRPr="0003657F">
        <w:rPr>
          <w:lang w:val="en-GB"/>
        </w:rPr>
        <w:t xml:space="preserve">, development partners and </w:t>
      </w:r>
      <w:r w:rsidR="000411AF">
        <w:rPr>
          <w:lang w:val="en-GB"/>
        </w:rPr>
        <w:t xml:space="preserve">the </w:t>
      </w:r>
      <w:r w:rsidR="00953983" w:rsidRPr="0003657F">
        <w:rPr>
          <w:lang w:val="en-GB"/>
        </w:rPr>
        <w:t>private sector</w:t>
      </w:r>
      <w:r w:rsidR="002F4DB4">
        <w:rPr>
          <w:lang w:val="en-GB"/>
        </w:rPr>
        <w:t>,</w:t>
      </w:r>
      <w:r w:rsidR="00953983" w:rsidRPr="0003657F">
        <w:rPr>
          <w:lang w:val="en-GB"/>
        </w:rPr>
        <w:t xml:space="preserve"> </w:t>
      </w:r>
      <w:r w:rsidR="00D97989" w:rsidRPr="0003657F">
        <w:rPr>
          <w:lang w:val="en-GB"/>
        </w:rPr>
        <w:t xml:space="preserve">to </w:t>
      </w:r>
      <w:r w:rsidR="005715EA" w:rsidRPr="0003657F">
        <w:rPr>
          <w:lang w:val="en-GB"/>
        </w:rPr>
        <w:t>scale</w:t>
      </w:r>
      <w:r w:rsidR="002F4DB4">
        <w:rPr>
          <w:lang w:val="en-GB"/>
        </w:rPr>
        <w:t xml:space="preserve"> </w:t>
      </w:r>
      <w:r w:rsidR="005715EA" w:rsidRPr="0003657F">
        <w:rPr>
          <w:lang w:val="en-GB"/>
        </w:rPr>
        <w:t xml:space="preserve">up results and </w:t>
      </w:r>
      <w:r w:rsidR="00097A7C" w:rsidRPr="0003657F">
        <w:rPr>
          <w:lang w:val="en-GB"/>
        </w:rPr>
        <w:t>mobilize</w:t>
      </w:r>
      <w:r w:rsidR="00CB0D76" w:rsidRPr="0003657F">
        <w:rPr>
          <w:lang w:val="en-GB"/>
        </w:rPr>
        <w:t xml:space="preserve"> </w:t>
      </w:r>
      <w:r w:rsidR="00953983" w:rsidRPr="0003657F">
        <w:rPr>
          <w:lang w:val="en-GB"/>
        </w:rPr>
        <w:t>non-core funding</w:t>
      </w:r>
      <w:r w:rsidR="00157CA8" w:rsidRPr="0003657F">
        <w:rPr>
          <w:lang w:val="en-GB"/>
        </w:rPr>
        <w:t>.</w:t>
      </w:r>
      <w:r w:rsidR="00953983" w:rsidRPr="0003657F">
        <w:rPr>
          <w:lang w:val="en-GB"/>
        </w:rPr>
        <w:t xml:space="preserve"> </w:t>
      </w:r>
      <w:r w:rsidR="00121612" w:rsidRPr="0003657F">
        <w:rPr>
          <w:lang w:val="en-GB"/>
        </w:rPr>
        <w:t>A speci</w:t>
      </w:r>
      <w:r w:rsidR="002F4DB4">
        <w:rPr>
          <w:lang w:val="en-GB"/>
        </w:rPr>
        <w:t>al</w:t>
      </w:r>
      <w:r w:rsidR="00121612" w:rsidRPr="0003657F">
        <w:rPr>
          <w:lang w:val="en-GB"/>
        </w:rPr>
        <w:t xml:space="preserve"> focus will be to support Mongolia in accessing global climate funding.</w:t>
      </w:r>
    </w:p>
    <w:p w14:paraId="3F921C8B" w14:textId="41FD5E85" w:rsidR="00D80072" w:rsidRPr="0003657F" w:rsidRDefault="00D80072"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In line with the Executive Board</w:t>
      </w:r>
      <w:r w:rsidR="002F4DB4">
        <w:rPr>
          <w:lang w:val="en-GB"/>
        </w:rPr>
        <w:t>-</w:t>
      </w:r>
      <w:r w:rsidRPr="0003657F">
        <w:rPr>
          <w:lang w:val="en-GB"/>
        </w:rPr>
        <w:t xml:space="preserve">approved </w:t>
      </w:r>
      <w:r w:rsidR="002F4DB4">
        <w:rPr>
          <w:lang w:val="en-GB"/>
        </w:rPr>
        <w:t>p</w:t>
      </w:r>
      <w:r w:rsidRPr="0003657F">
        <w:rPr>
          <w:lang w:val="en-GB"/>
        </w:rPr>
        <w:t xml:space="preserve">olicy on </w:t>
      </w:r>
      <w:r w:rsidR="002F4DB4">
        <w:rPr>
          <w:lang w:val="en-GB"/>
        </w:rPr>
        <w:t>c</w:t>
      </w:r>
      <w:r w:rsidRPr="0003657F">
        <w:rPr>
          <w:lang w:val="en-GB"/>
        </w:rPr>
        <w:t xml:space="preserve">ost </w:t>
      </w:r>
      <w:r w:rsidR="002F4DB4">
        <w:rPr>
          <w:lang w:val="en-GB"/>
        </w:rPr>
        <w:t>r</w:t>
      </w:r>
      <w:r w:rsidRPr="0003657F">
        <w:rPr>
          <w:lang w:val="en-GB"/>
        </w:rPr>
        <w:t>ecovery, organizational costs incurred in the implementation of a development programme that can be directly traced and attributed to a specific project will be included in the project budget and directly charged against it.</w:t>
      </w:r>
    </w:p>
    <w:p w14:paraId="635DCB0C" w14:textId="55D86D55" w:rsidR="00097A7C" w:rsidRPr="0003657F" w:rsidRDefault="00C261F7"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A </w:t>
      </w:r>
      <w:r w:rsidR="00097A7C" w:rsidRPr="0003657F">
        <w:rPr>
          <w:lang w:val="en-GB"/>
        </w:rPr>
        <w:t>major</w:t>
      </w:r>
      <w:r w:rsidR="006E6EF6" w:rsidRPr="0003657F">
        <w:rPr>
          <w:lang w:val="en-GB"/>
        </w:rPr>
        <w:t xml:space="preserve"> risk </w:t>
      </w:r>
      <w:r w:rsidR="002F4DB4">
        <w:rPr>
          <w:lang w:val="en-GB"/>
        </w:rPr>
        <w:t>in</w:t>
      </w:r>
      <w:r w:rsidR="006E6EF6" w:rsidRPr="0003657F">
        <w:rPr>
          <w:lang w:val="en-GB"/>
        </w:rPr>
        <w:t xml:space="preserve"> </w:t>
      </w:r>
      <w:r w:rsidR="002F4DB4">
        <w:rPr>
          <w:lang w:val="en-GB"/>
        </w:rPr>
        <w:t>country programme</w:t>
      </w:r>
      <w:r w:rsidR="002F4DB4" w:rsidRPr="0003657F">
        <w:rPr>
          <w:lang w:val="en-GB"/>
        </w:rPr>
        <w:t xml:space="preserve"> </w:t>
      </w:r>
      <w:r w:rsidR="00AC561D" w:rsidRPr="0003657F">
        <w:rPr>
          <w:lang w:val="en-GB"/>
        </w:rPr>
        <w:t>implementation</w:t>
      </w:r>
      <w:r w:rsidR="006E6EF6" w:rsidRPr="0003657F">
        <w:rPr>
          <w:lang w:val="en-GB"/>
        </w:rPr>
        <w:t xml:space="preserve"> </w:t>
      </w:r>
      <w:r w:rsidR="00097A7C" w:rsidRPr="0003657F">
        <w:rPr>
          <w:lang w:val="en-GB"/>
        </w:rPr>
        <w:t xml:space="preserve">is </w:t>
      </w:r>
      <w:r w:rsidR="005B5A0F" w:rsidRPr="0003657F">
        <w:rPr>
          <w:lang w:val="en-GB"/>
        </w:rPr>
        <w:t xml:space="preserve">a </w:t>
      </w:r>
      <w:r w:rsidR="00D67610" w:rsidRPr="0003657F">
        <w:rPr>
          <w:lang w:val="en-GB"/>
        </w:rPr>
        <w:t xml:space="preserve">further decline in traditional </w:t>
      </w:r>
      <w:r w:rsidR="002F4DB4">
        <w:rPr>
          <w:lang w:val="en-GB"/>
        </w:rPr>
        <w:t>official development assistance to</w:t>
      </w:r>
      <w:r w:rsidR="00D67610" w:rsidRPr="0003657F">
        <w:rPr>
          <w:lang w:val="en-GB"/>
        </w:rPr>
        <w:t xml:space="preserve"> Mongolia. The mitigation strategy </w:t>
      </w:r>
      <w:r w:rsidR="005715EA" w:rsidRPr="0003657F">
        <w:rPr>
          <w:lang w:val="en-GB"/>
        </w:rPr>
        <w:t>is</w:t>
      </w:r>
      <w:r w:rsidR="00AC561D" w:rsidRPr="0003657F">
        <w:rPr>
          <w:lang w:val="en-GB"/>
        </w:rPr>
        <w:t xml:space="preserve"> for </w:t>
      </w:r>
      <w:r w:rsidR="00097A7C" w:rsidRPr="0003657F">
        <w:rPr>
          <w:lang w:val="en-GB"/>
        </w:rPr>
        <w:t>UNDP to broaden its resource base</w:t>
      </w:r>
      <w:r w:rsidR="002F4DB4">
        <w:rPr>
          <w:lang w:val="en-GB"/>
        </w:rPr>
        <w:t>,</w:t>
      </w:r>
      <w:r w:rsidR="00AC561D" w:rsidRPr="0003657F">
        <w:rPr>
          <w:lang w:val="en-GB"/>
        </w:rPr>
        <w:t xml:space="preserve"> as outlined above</w:t>
      </w:r>
      <w:r w:rsidR="00097A7C" w:rsidRPr="0003657F">
        <w:rPr>
          <w:lang w:val="en-GB"/>
        </w:rPr>
        <w:t>. There are also political risks</w:t>
      </w:r>
      <w:r w:rsidR="002F4DB4">
        <w:rPr>
          <w:lang w:val="en-GB"/>
        </w:rPr>
        <w:t>,</w:t>
      </w:r>
      <w:r w:rsidR="00097A7C" w:rsidRPr="0003657F">
        <w:rPr>
          <w:lang w:val="en-GB"/>
        </w:rPr>
        <w:t xml:space="preserve"> as 2016 and 2017 are both election years and potential changes in priorities </w:t>
      </w:r>
      <w:r w:rsidRPr="0003657F">
        <w:rPr>
          <w:lang w:val="en-GB"/>
        </w:rPr>
        <w:t xml:space="preserve">would have to be taken into account. </w:t>
      </w:r>
    </w:p>
    <w:p w14:paraId="2043814C" w14:textId="16C910DE" w:rsidR="00AE2A8B" w:rsidRPr="0003657F" w:rsidRDefault="00097A7C"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will apply its </w:t>
      </w:r>
      <w:r w:rsidR="002F4DB4">
        <w:rPr>
          <w:lang w:val="en-GB"/>
        </w:rPr>
        <w:t>s</w:t>
      </w:r>
      <w:r w:rsidR="00AE2A8B" w:rsidRPr="0003657F">
        <w:rPr>
          <w:lang w:val="en-GB"/>
        </w:rPr>
        <w:t xml:space="preserve">ocial and </w:t>
      </w:r>
      <w:r w:rsidR="002F4DB4">
        <w:rPr>
          <w:lang w:val="en-GB"/>
        </w:rPr>
        <w:t>e</w:t>
      </w:r>
      <w:r w:rsidR="00AE2A8B" w:rsidRPr="0003657F">
        <w:rPr>
          <w:lang w:val="en-GB"/>
        </w:rPr>
        <w:t xml:space="preserve">nvironmental </w:t>
      </w:r>
      <w:r w:rsidR="002F4DB4">
        <w:rPr>
          <w:lang w:val="en-GB"/>
        </w:rPr>
        <w:t>s</w:t>
      </w:r>
      <w:r w:rsidR="00AE2A8B" w:rsidRPr="0003657F">
        <w:rPr>
          <w:lang w:val="en-GB"/>
        </w:rPr>
        <w:t xml:space="preserve">tandards </w:t>
      </w:r>
      <w:r w:rsidR="002F4DB4">
        <w:rPr>
          <w:lang w:val="en-GB"/>
        </w:rPr>
        <w:t>s</w:t>
      </w:r>
      <w:r w:rsidR="00AE2A8B" w:rsidRPr="0003657F">
        <w:rPr>
          <w:lang w:val="en-GB"/>
        </w:rPr>
        <w:t>creening</w:t>
      </w:r>
      <w:r w:rsidRPr="0003657F">
        <w:rPr>
          <w:lang w:val="en-GB"/>
        </w:rPr>
        <w:t xml:space="preserve"> approach to identify, minimize, monitor,</w:t>
      </w:r>
      <w:r w:rsidR="00AE2A8B" w:rsidRPr="0003657F">
        <w:rPr>
          <w:lang w:val="en-GB"/>
        </w:rPr>
        <w:t xml:space="preserve"> mitigate and manage adverse </w:t>
      </w:r>
      <w:r w:rsidR="00C43744">
        <w:rPr>
          <w:lang w:val="en-GB"/>
        </w:rPr>
        <w:t>effe</w:t>
      </w:r>
      <w:r w:rsidR="00C43744" w:rsidRPr="0003657F">
        <w:rPr>
          <w:lang w:val="en-GB"/>
        </w:rPr>
        <w:t>cts</w:t>
      </w:r>
      <w:r w:rsidR="00AE2A8B" w:rsidRPr="0003657F">
        <w:rPr>
          <w:lang w:val="en-GB"/>
        </w:rPr>
        <w:t>.</w:t>
      </w:r>
    </w:p>
    <w:p w14:paraId="58C416B3" w14:textId="77777777" w:rsidR="00097A7C" w:rsidRPr="0003657F" w:rsidRDefault="00097A7C" w:rsidP="00C25210">
      <w:pPr>
        <w:pStyle w:val="ListParagraph"/>
        <w:tabs>
          <w:tab w:val="left" w:pos="1620"/>
        </w:tabs>
        <w:spacing w:after="120"/>
        <w:ind w:left="1890" w:right="1267"/>
        <w:jc w:val="both"/>
        <w:rPr>
          <w:lang w:val="en-GB"/>
        </w:rPr>
      </w:pPr>
    </w:p>
    <w:p w14:paraId="75A7C5EA" w14:textId="3A98DD7B" w:rsidR="00701B6B" w:rsidRPr="0003657F" w:rsidRDefault="001B3F87" w:rsidP="002F4DB4">
      <w:pPr>
        <w:pStyle w:val="Heading1"/>
        <w:tabs>
          <w:tab w:val="left" w:pos="1260"/>
          <w:tab w:val="left" w:pos="1800"/>
        </w:tabs>
        <w:ind w:left="1267" w:right="1267" w:hanging="547"/>
        <w:jc w:val="both"/>
        <w:rPr>
          <w:rFonts w:ascii="Times New Roman" w:hAnsi="Times New Roman"/>
          <w:color w:val="000000"/>
          <w:szCs w:val="28"/>
          <w:lang w:val="en-GB"/>
        </w:rPr>
      </w:pPr>
      <w:r w:rsidRPr="0003657F">
        <w:rPr>
          <w:rFonts w:ascii="Times New Roman" w:hAnsi="Times New Roman"/>
          <w:color w:val="000000"/>
          <w:szCs w:val="28"/>
          <w:lang w:val="en-GB"/>
        </w:rPr>
        <w:lastRenderedPageBreak/>
        <w:t>IV</w:t>
      </w:r>
      <w:r w:rsidR="001D42D1" w:rsidRPr="0003657F">
        <w:rPr>
          <w:rFonts w:ascii="Times New Roman" w:hAnsi="Times New Roman"/>
          <w:color w:val="000000"/>
          <w:szCs w:val="28"/>
          <w:lang w:val="en-GB"/>
        </w:rPr>
        <w:t xml:space="preserve">. </w:t>
      </w:r>
      <w:r w:rsidR="002F4DB4" w:rsidRPr="0003657F">
        <w:rPr>
          <w:rFonts w:ascii="Times New Roman" w:hAnsi="Times New Roman"/>
          <w:color w:val="000000"/>
          <w:szCs w:val="28"/>
          <w:lang w:val="en-GB"/>
        </w:rPr>
        <w:tab/>
      </w:r>
      <w:r w:rsidR="001D42D1" w:rsidRPr="0003657F">
        <w:rPr>
          <w:rFonts w:ascii="Times New Roman" w:hAnsi="Times New Roman"/>
          <w:color w:val="000000"/>
          <w:szCs w:val="28"/>
          <w:lang w:val="en-GB"/>
        </w:rPr>
        <w:t xml:space="preserve">Monitoring and </w:t>
      </w:r>
      <w:r w:rsidR="00C43744" w:rsidRPr="0003657F">
        <w:rPr>
          <w:rFonts w:ascii="Times New Roman" w:hAnsi="Times New Roman"/>
          <w:color w:val="000000"/>
          <w:szCs w:val="28"/>
          <w:lang w:val="en-GB"/>
        </w:rPr>
        <w:t>e</w:t>
      </w:r>
      <w:r w:rsidRPr="0003657F">
        <w:rPr>
          <w:rFonts w:ascii="Times New Roman" w:hAnsi="Times New Roman"/>
          <w:color w:val="000000"/>
          <w:szCs w:val="28"/>
          <w:lang w:val="en-GB"/>
        </w:rPr>
        <w:t>valuation</w:t>
      </w:r>
    </w:p>
    <w:p w14:paraId="406089A2" w14:textId="77777777" w:rsidR="001D42D1" w:rsidRPr="008E3991" w:rsidRDefault="001D42D1" w:rsidP="00C25210">
      <w:pPr>
        <w:pStyle w:val="Heading1"/>
        <w:tabs>
          <w:tab w:val="left" w:pos="1620"/>
          <w:tab w:val="left" w:pos="1800"/>
        </w:tabs>
        <w:ind w:left="1267" w:right="1267"/>
        <w:jc w:val="both"/>
        <w:rPr>
          <w:rFonts w:ascii="Times New Roman" w:hAnsi="Times New Roman"/>
          <w:b w:val="0"/>
          <w:color w:val="000000"/>
          <w:sz w:val="20"/>
          <w:lang w:val="en-GB"/>
        </w:rPr>
      </w:pPr>
    </w:p>
    <w:p w14:paraId="528CEDC8" w14:textId="426DD6B6" w:rsidR="00712D21" w:rsidRPr="0003657F" w:rsidRDefault="00112DD5"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will promote results-based management principles to </w:t>
      </w:r>
      <w:r w:rsidR="00C43744">
        <w:rPr>
          <w:lang w:val="en-GB"/>
        </w:rPr>
        <w:t>maximiz</w:t>
      </w:r>
      <w:r w:rsidR="00C43744" w:rsidRPr="0003657F">
        <w:rPr>
          <w:lang w:val="en-GB"/>
        </w:rPr>
        <w:t xml:space="preserve">e </w:t>
      </w:r>
      <w:r w:rsidR="00D322A3" w:rsidRPr="0003657F">
        <w:rPr>
          <w:lang w:val="en-GB"/>
        </w:rPr>
        <w:t>impact</w:t>
      </w:r>
      <w:r w:rsidRPr="0003657F">
        <w:rPr>
          <w:lang w:val="en-GB"/>
        </w:rPr>
        <w:t xml:space="preserve">. </w:t>
      </w:r>
      <w:r w:rsidR="00712D21" w:rsidRPr="0003657F">
        <w:rPr>
          <w:lang w:val="en-GB"/>
        </w:rPr>
        <w:t>The programme will be monitored using measurable</w:t>
      </w:r>
      <w:r w:rsidR="00C43744">
        <w:rPr>
          <w:lang w:val="en-GB"/>
        </w:rPr>
        <w:t>,</w:t>
      </w:r>
      <w:r w:rsidR="00712D21" w:rsidRPr="0003657F">
        <w:rPr>
          <w:lang w:val="en-GB"/>
        </w:rPr>
        <w:t xml:space="preserve"> clearly defined results frameworks based on </w:t>
      </w:r>
      <w:r w:rsidR="00CB4FCF">
        <w:t xml:space="preserve">specific, </w:t>
      </w:r>
      <w:r w:rsidR="0026615D">
        <w:t>measurable, achievable</w:t>
      </w:r>
      <w:r w:rsidR="00CB4FCF">
        <w:t xml:space="preserve">, relevant and </w:t>
      </w:r>
      <w:r w:rsidR="0026615D">
        <w:t>time-bound</w:t>
      </w:r>
      <w:r w:rsidR="00712D21" w:rsidRPr="0003657F">
        <w:rPr>
          <w:lang w:val="en-GB"/>
        </w:rPr>
        <w:t xml:space="preserve"> indicators. </w:t>
      </w:r>
      <w:r w:rsidR="007C19F3" w:rsidRPr="0003657F">
        <w:rPr>
          <w:lang w:val="en-GB"/>
        </w:rPr>
        <w:t>When necessary, UNDP will commission targeted surveys. As a part of th</w:t>
      </w:r>
      <w:r w:rsidR="00CB4FCF">
        <w:rPr>
          <w:lang w:val="en-GB"/>
        </w:rPr>
        <w:t>at</w:t>
      </w:r>
      <w:r w:rsidR="007C19F3" w:rsidRPr="0003657F">
        <w:rPr>
          <w:lang w:val="en-GB"/>
        </w:rPr>
        <w:t xml:space="preserve"> effort, UNDP will support the National Statistics Office</w:t>
      </w:r>
      <w:r w:rsidR="0075123B" w:rsidRPr="0003657F">
        <w:rPr>
          <w:lang w:val="en-GB"/>
        </w:rPr>
        <w:t xml:space="preserve">, </w:t>
      </w:r>
      <w:r w:rsidR="00CB4FCF">
        <w:rPr>
          <w:lang w:val="en-GB"/>
        </w:rPr>
        <w:t xml:space="preserve">the </w:t>
      </w:r>
      <w:r w:rsidR="0075123B" w:rsidRPr="0003657F">
        <w:rPr>
          <w:lang w:val="en-GB"/>
        </w:rPr>
        <w:t>Ministry of Finance, U</w:t>
      </w:r>
      <w:r w:rsidR="00492348" w:rsidRPr="0003657F">
        <w:rPr>
          <w:lang w:val="en-GB"/>
        </w:rPr>
        <w:t>laanbaatar</w:t>
      </w:r>
      <w:r w:rsidR="0075123B" w:rsidRPr="0003657F">
        <w:rPr>
          <w:lang w:val="en-GB"/>
        </w:rPr>
        <w:t xml:space="preserve"> City</w:t>
      </w:r>
      <w:r w:rsidR="007C19F3" w:rsidRPr="0003657F">
        <w:rPr>
          <w:lang w:val="en-GB"/>
        </w:rPr>
        <w:t xml:space="preserve"> and other national partners in identifying statistical data gaps, strengthening </w:t>
      </w:r>
      <w:r w:rsidR="00CB4FCF">
        <w:rPr>
          <w:lang w:val="en-GB"/>
        </w:rPr>
        <w:t>monitoring and evaluation</w:t>
      </w:r>
      <w:r w:rsidR="007C19F3" w:rsidRPr="0003657F">
        <w:rPr>
          <w:lang w:val="en-GB"/>
        </w:rPr>
        <w:t xml:space="preserve"> systems, mainstreaming necessary actions</w:t>
      </w:r>
      <w:r w:rsidR="00CB4FCF">
        <w:rPr>
          <w:lang w:val="en-GB"/>
        </w:rPr>
        <w:t>,</w:t>
      </w:r>
      <w:r w:rsidR="007C19F3" w:rsidRPr="0003657F">
        <w:rPr>
          <w:lang w:val="en-GB"/>
        </w:rPr>
        <w:t xml:space="preserve"> and </w:t>
      </w:r>
      <w:r w:rsidR="00CB4FCF">
        <w:rPr>
          <w:lang w:val="en-GB"/>
        </w:rPr>
        <w:t xml:space="preserve">monitoring progress towards </w:t>
      </w:r>
      <w:r w:rsidR="003B299E" w:rsidRPr="0003657F">
        <w:rPr>
          <w:lang w:val="en-GB"/>
        </w:rPr>
        <w:t>sustainable development goals</w:t>
      </w:r>
      <w:r w:rsidR="000900E4" w:rsidRPr="0003657F">
        <w:rPr>
          <w:lang w:val="en-GB"/>
        </w:rPr>
        <w:t>.</w:t>
      </w:r>
      <w:r w:rsidR="00600391" w:rsidRPr="0003657F">
        <w:rPr>
          <w:lang w:val="en-GB"/>
        </w:rPr>
        <w:t xml:space="preserve"> </w:t>
      </w:r>
      <w:r w:rsidR="003122AB" w:rsidRPr="0003657F">
        <w:rPr>
          <w:lang w:val="en-GB"/>
        </w:rPr>
        <w:t xml:space="preserve">To improve targeting, identified gaps in sex- and other types of disaggregated data will be supported. </w:t>
      </w:r>
    </w:p>
    <w:p w14:paraId="038AFB02" w14:textId="58040161" w:rsidR="00D322A3" w:rsidRPr="0003657F" w:rsidRDefault="00712D21"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will aim for joint monitoring and assurance activities with </w:t>
      </w:r>
      <w:r w:rsidR="00CB4FCF">
        <w:rPr>
          <w:lang w:val="en-GB"/>
        </w:rPr>
        <w:t>United Nations partners</w:t>
      </w:r>
      <w:r w:rsidRPr="0003657F">
        <w:rPr>
          <w:lang w:val="en-GB"/>
        </w:rPr>
        <w:t xml:space="preserve"> and national institutions</w:t>
      </w:r>
      <w:r w:rsidR="00CB4FCF">
        <w:rPr>
          <w:lang w:val="en-GB"/>
        </w:rPr>
        <w:t>,</w:t>
      </w:r>
      <w:r w:rsidRPr="0003657F">
        <w:rPr>
          <w:lang w:val="en-GB"/>
        </w:rPr>
        <w:t xml:space="preserve"> using the </w:t>
      </w:r>
      <w:r w:rsidR="00CB4FCF" w:rsidRPr="006469BF">
        <w:rPr>
          <w:lang w:val="en-GB"/>
        </w:rPr>
        <w:t>harmonized approach to cash transfers</w:t>
      </w:r>
      <w:r w:rsidRPr="0003657F">
        <w:rPr>
          <w:lang w:val="en-GB"/>
        </w:rPr>
        <w:t xml:space="preserve"> approach. </w:t>
      </w:r>
    </w:p>
    <w:p w14:paraId="05CC3E0B" w14:textId="4D9A3B3F" w:rsidR="00D322A3" w:rsidRPr="0003657F" w:rsidRDefault="00C1700A"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A</w:t>
      </w:r>
      <w:r w:rsidR="00CB4FCF">
        <w:rPr>
          <w:lang w:val="en-GB"/>
        </w:rPr>
        <w:t>n</w:t>
      </w:r>
      <w:r w:rsidRPr="0003657F">
        <w:rPr>
          <w:lang w:val="en-GB"/>
        </w:rPr>
        <w:t xml:space="preserve"> o</w:t>
      </w:r>
      <w:r w:rsidR="00D322A3" w:rsidRPr="0003657F">
        <w:rPr>
          <w:lang w:val="en-GB"/>
        </w:rPr>
        <w:t>utcome</w:t>
      </w:r>
      <w:r w:rsidR="00CB4FCF">
        <w:rPr>
          <w:lang w:val="en-GB"/>
        </w:rPr>
        <w:t>-</w:t>
      </w:r>
      <w:r w:rsidRPr="0003657F">
        <w:rPr>
          <w:lang w:val="en-GB"/>
        </w:rPr>
        <w:t xml:space="preserve">level </w:t>
      </w:r>
      <w:r w:rsidR="00D322A3" w:rsidRPr="0003657F">
        <w:rPr>
          <w:lang w:val="en-GB"/>
        </w:rPr>
        <w:t>evaluation</w:t>
      </w:r>
      <w:r w:rsidRPr="0003657F">
        <w:rPr>
          <w:lang w:val="en-GB"/>
        </w:rPr>
        <w:t xml:space="preserve"> is</w:t>
      </w:r>
      <w:r w:rsidR="00D322A3" w:rsidRPr="0003657F">
        <w:rPr>
          <w:lang w:val="en-GB"/>
        </w:rPr>
        <w:t xml:space="preserve"> planned to </w:t>
      </w:r>
      <w:r w:rsidR="00AC561D" w:rsidRPr="0003657F">
        <w:rPr>
          <w:lang w:val="en-GB"/>
        </w:rPr>
        <w:t xml:space="preserve">reassess </w:t>
      </w:r>
      <w:r w:rsidR="00D322A3" w:rsidRPr="0003657F">
        <w:rPr>
          <w:lang w:val="en-GB"/>
        </w:rPr>
        <w:t>programme relevance, determine progress towards planned results</w:t>
      </w:r>
      <w:r w:rsidR="00CB4FCF">
        <w:rPr>
          <w:lang w:val="en-GB"/>
        </w:rPr>
        <w:t>,</w:t>
      </w:r>
      <w:r w:rsidR="00D322A3" w:rsidRPr="0003657F">
        <w:rPr>
          <w:lang w:val="en-GB"/>
        </w:rPr>
        <w:t xml:space="preserve"> and identify lessons learn</w:t>
      </w:r>
      <w:r w:rsidR="00CB4FCF">
        <w:rPr>
          <w:lang w:val="en-GB"/>
        </w:rPr>
        <w:t>ed</w:t>
      </w:r>
      <w:r w:rsidR="00D322A3" w:rsidRPr="0003657F">
        <w:rPr>
          <w:lang w:val="en-GB"/>
        </w:rPr>
        <w:t xml:space="preserve"> </w:t>
      </w:r>
      <w:r w:rsidR="00CB4FCF">
        <w:rPr>
          <w:lang w:val="en-GB"/>
        </w:rPr>
        <w:t>i</w:t>
      </w:r>
      <w:r w:rsidR="00D322A3" w:rsidRPr="0003657F">
        <w:rPr>
          <w:lang w:val="en-GB"/>
        </w:rPr>
        <w:t xml:space="preserve">n programme design and implementation. Project evaluations will be commissioned </w:t>
      </w:r>
      <w:r w:rsidR="00C43744">
        <w:rPr>
          <w:lang w:val="en-GB"/>
        </w:rPr>
        <w:t>as</w:t>
      </w:r>
      <w:r w:rsidR="00D322A3" w:rsidRPr="0003657F">
        <w:rPr>
          <w:lang w:val="en-GB"/>
        </w:rPr>
        <w:t xml:space="preserve"> require</w:t>
      </w:r>
      <w:r w:rsidR="00C43744">
        <w:rPr>
          <w:lang w:val="en-GB"/>
        </w:rPr>
        <w:t>d</w:t>
      </w:r>
      <w:r w:rsidR="00D322A3" w:rsidRPr="0003657F">
        <w:rPr>
          <w:lang w:val="en-GB"/>
        </w:rPr>
        <w:t xml:space="preserve">. </w:t>
      </w:r>
      <w:r w:rsidR="00C43744">
        <w:rPr>
          <w:lang w:val="en-GB"/>
        </w:rPr>
        <w:t>E</w:t>
      </w:r>
      <w:r w:rsidR="00D322A3" w:rsidRPr="0003657F">
        <w:rPr>
          <w:lang w:val="en-GB"/>
        </w:rPr>
        <w:t xml:space="preserve">valuation findings will contribute towards </w:t>
      </w:r>
      <w:r w:rsidR="00C43744">
        <w:rPr>
          <w:lang w:val="en-GB"/>
        </w:rPr>
        <w:t xml:space="preserve">the </w:t>
      </w:r>
      <w:r w:rsidR="00D322A3" w:rsidRPr="0003657F">
        <w:rPr>
          <w:lang w:val="en-GB"/>
        </w:rPr>
        <w:t xml:space="preserve">scaling-up of initiatives. </w:t>
      </w:r>
    </w:p>
    <w:p w14:paraId="0774D5F6" w14:textId="3055A8DD" w:rsidR="00E33076" w:rsidRPr="0003657F" w:rsidRDefault="00D322A3"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will strengthen its </w:t>
      </w:r>
      <w:r w:rsidR="00CB4FCF">
        <w:rPr>
          <w:lang w:val="en-GB"/>
        </w:rPr>
        <w:t>monitoring and evaluation</w:t>
      </w:r>
      <w:r w:rsidR="00CB4FCF" w:rsidRPr="006469BF">
        <w:rPr>
          <w:lang w:val="en-GB"/>
        </w:rPr>
        <w:t xml:space="preserve"> </w:t>
      </w:r>
      <w:r w:rsidRPr="0003657F">
        <w:rPr>
          <w:lang w:val="en-GB"/>
        </w:rPr>
        <w:t>systems in programme</w:t>
      </w:r>
      <w:r w:rsidR="00C43744">
        <w:rPr>
          <w:lang w:val="en-GB"/>
        </w:rPr>
        <w:t>s</w:t>
      </w:r>
      <w:r w:rsidRPr="0003657F">
        <w:rPr>
          <w:lang w:val="en-GB"/>
        </w:rPr>
        <w:t xml:space="preserve"> and projects</w:t>
      </w:r>
      <w:r w:rsidR="002015A0" w:rsidRPr="0003657F">
        <w:rPr>
          <w:vertAlign w:val="superscript"/>
          <w:lang w:val="en-GB"/>
        </w:rPr>
        <w:footnoteReference w:id="25"/>
      </w:r>
      <w:r w:rsidR="00CB4FCF">
        <w:rPr>
          <w:lang w:val="en-GB"/>
        </w:rPr>
        <w:t xml:space="preserve"> and </w:t>
      </w:r>
      <w:r w:rsidR="00D87893" w:rsidRPr="0003657F">
        <w:rPr>
          <w:lang w:val="en-GB"/>
        </w:rPr>
        <w:t xml:space="preserve">articulate </w:t>
      </w:r>
      <w:r w:rsidRPr="0003657F">
        <w:rPr>
          <w:lang w:val="en-GB"/>
        </w:rPr>
        <w:t>theor</w:t>
      </w:r>
      <w:r w:rsidR="00AC561D" w:rsidRPr="0003657F">
        <w:rPr>
          <w:lang w:val="en-GB"/>
        </w:rPr>
        <w:t>ies</w:t>
      </w:r>
      <w:r w:rsidRPr="0003657F">
        <w:rPr>
          <w:lang w:val="en-GB"/>
        </w:rPr>
        <w:t xml:space="preserve"> of change for each project</w:t>
      </w:r>
      <w:r w:rsidR="005C4E6C" w:rsidRPr="0003657F">
        <w:rPr>
          <w:lang w:val="en-GB"/>
        </w:rPr>
        <w:t>,</w:t>
      </w:r>
      <w:r w:rsidR="00D87893" w:rsidRPr="0003657F">
        <w:rPr>
          <w:lang w:val="en-GB"/>
        </w:rPr>
        <w:t xml:space="preserve"> with </w:t>
      </w:r>
      <w:r w:rsidRPr="0003657F">
        <w:rPr>
          <w:lang w:val="en-GB"/>
        </w:rPr>
        <w:t xml:space="preserve">causal linkages </w:t>
      </w:r>
      <w:r w:rsidR="00D87893" w:rsidRPr="0003657F">
        <w:rPr>
          <w:lang w:val="en-GB"/>
        </w:rPr>
        <w:t xml:space="preserve">to </w:t>
      </w:r>
      <w:r w:rsidRPr="0003657F">
        <w:rPr>
          <w:lang w:val="en-GB"/>
        </w:rPr>
        <w:t>outcome</w:t>
      </w:r>
      <w:r w:rsidR="00D87893" w:rsidRPr="0003657F">
        <w:rPr>
          <w:lang w:val="en-GB"/>
        </w:rPr>
        <w:t>s and</w:t>
      </w:r>
      <w:r w:rsidRPr="0003657F">
        <w:rPr>
          <w:lang w:val="en-GB"/>
        </w:rPr>
        <w:t xml:space="preserve"> emphasis on </w:t>
      </w:r>
      <w:r w:rsidR="00D87893" w:rsidRPr="0003657F">
        <w:rPr>
          <w:lang w:val="en-GB"/>
        </w:rPr>
        <w:t xml:space="preserve">the </w:t>
      </w:r>
      <w:r w:rsidRPr="0003657F">
        <w:rPr>
          <w:lang w:val="en-GB"/>
        </w:rPr>
        <w:t xml:space="preserve">sustainability of programme results. </w:t>
      </w:r>
      <w:r w:rsidR="00CB4FCF">
        <w:rPr>
          <w:lang w:val="en-GB"/>
        </w:rPr>
        <w:t xml:space="preserve">The </w:t>
      </w:r>
      <w:r w:rsidR="00E33076" w:rsidRPr="0003657F">
        <w:rPr>
          <w:lang w:val="en-GB"/>
        </w:rPr>
        <w:t xml:space="preserve">UNDP </w:t>
      </w:r>
      <w:r w:rsidR="00CB4FCF">
        <w:rPr>
          <w:lang w:val="en-GB"/>
        </w:rPr>
        <w:t>g</w:t>
      </w:r>
      <w:r w:rsidR="00E33076" w:rsidRPr="0003657F">
        <w:rPr>
          <w:lang w:val="en-GB"/>
        </w:rPr>
        <w:t xml:space="preserve">ender </w:t>
      </w:r>
      <w:r w:rsidR="00CB4FCF">
        <w:rPr>
          <w:lang w:val="en-GB"/>
        </w:rPr>
        <w:t>m</w:t>
      </w:r>
      <w:r w:rsidR="00E33076" w:rsidRPr="0003657F">
        <w:rPr>
          <w:lang w:val="en-GB"/>
        </w:rPr>
        <w:t>arker</w:t>
      </w:r>
      <w:r w:rsidR="00CB4FCF">
        <w:rPr>
          <w:lang w:val="en-GB"/>
        </w:rPr>
        <w:t>,</w:t>
      </w:r>
      <w:r w:rsidR="00E33076" w:rsidRPr="0003657F">
        <w:rPr>
          <w:lang w:val="en-GB"/>
        </w:rPr>
        <w:t xml:space="preserve"> used to monitor programme expenditures and improve planning and decision-making</w:t>
      </w:r>
      <w:r w:rsidR="00AC561D" w:rsidRPr="0003657F">
        <w:rPr>
          <w:lang w:val="en-GB"/>
        </w:rPr>
        <w:t xml:space="preserve"> to ensure gender equality</w:t>
      </w:r>
      <w:r w:rsidR="00CB4FCF">
        <w:rPr>
          <w:lang w:val="en-GB"/>
        </w:rPr>
        <w:t>,</w:t>
      </w:r>
      <w:r w:rsidR="00AC561D" w:rsidRPr="0003657F">
        <w:rPr>
          <w:lang w:val="en-GB"/>
        </w:rPr>
        <w:t xml:space="preserve"> is integrated into UNDP programmes</w:t>
      </w:r>
      <w:r w:rsidR="00E33076" w:rsidRPr="0003657F">
        <w:rPr>
          <w:lang w:val="en-GB"/>
        </w:rPr>
        <w:t>.</w:t>
      </w:r>
    </w:p>
    <w:p w14:paraId="2840E70E" w14:textId="61413F07" w:rsidR="00E33076" w:rsidRDefault="00E33076" w:rsidP="00C25210">
      <w:pPr>
        <w:pStyle w:val="ListParagraph"/>
        <w:numPr>
          <w:ilvl w:val="0"/>
          <w:numId w:val="35"/>
        </w:numPr>
        <w:tabs>
          <w:tab w:val="left" w:pos="1260"/>
          <w:tab w:val="left" w:pos="1620"/>
        </w:tabs>
        <w:spacing w:after="120"/>
        <w:ind w:left="1260" w:right="720" w:firstLine="0"/>
        <w:jc w:val="both"/>
        <w:rPr>
          <w:lang w:val="en-GB"/>
        </w:rPr>
      </w:pPr>
      <w:r w:rsidRPr="0003657F">
        <w:rPr>
          <w:lang w:val="en-GB"/>
        </w:rPr>
        <w:t xml:space="preserve">UNDP will </w:t>
      </w:r>
      <w:r w:rsidR="00CB4FCF">
        <w:rPr>
          <w:lang w:val="en-GB"/>
        </w:rPr>
        <w:t>intensify</w:t>
      </w:r>
      <w:r w:rsidRPr="0003657F">
        <w:rPr>
          <w:lang w:val="en-GB"/>
        </w:rPr>
        <w:t xml:space="preserve"> e</w:t>
      </w:r>
      <w:r w:rsidR="00F21AC8" w:rsidRPr="0003657F">
        <w:rPr>
          <w:lang w:val="en-GB"/>
        </w:rPr>
        <w:t>fforts to communicate</w:t>
      </w:r>
      <w:r w:rsidRPr="0003657F">
        <w:rPr>
          <w:lang w:val="en-GB"/>
        </w:rPr>
        <w:t xml:space="preserve"> stor</w:t>
      </w:r>
      <w:r w:rsidR="00F21AC8" w:rsidRPr="0003657F">
        <w:rPr>
          <w:lang w:val="en-GB"/>
        </w:rPr>
        <w:t>ies</w:t>
      </w:r>
      <w:r w:rsidRPr="0003657F">
        <w:rPr>
          <w:lang w:val="en-GB"/>
        </w:rPr>
        <w:t xml:space="preserve"> and real-life narratives</w:t>
      </w:r>
      <w:r w:rsidR="00CB4FCF">
        <w:rPr>
          <w:lang w:val="en-GB"/>
        </w:rPr>
        <w:t>,</w:t>
      </w:r>
      <w:r w:rsidRPr="0003657F">
        <w:rPr>
          <w:lang w:val="en-GB"/>
        </w:rPr>
        <w:t xml:space="preserve"> using innovative</w:t>
      </w:r>
      <w:r w:rsidR="00CB4FCF">
        <w:rPr>
          <w:lang w:val="en-GB"/>
        </w:rPr>
        <w:t>,</w:t>
      </w:r>
      <w:r w:rsidRPr="0003657F">
        <w:rPr>
          <w:lang w:val="en-GB"/>
        </w:rPr>
        <w:t xml:space="preserve"> user-friendly formats and social media tools to reach diverse audience</w:t>
      </w:r>
      <w:r w:rsidR="00CB4FCF">
        <w:rPr>
          <w:lang w:val="en-GB"/>
        </w:rPr>
        <w:t>s</w:t>
      </w:r>
      <w:r w:rsidRPr="0003657F">
        <w:rPr>
          <w:lang w:val="en-GB"/>
        </w:rPr>
        <w:t>.</w:t>
      </w:r>
    </w:p>
    <w:p w14:paraId="5CECCFC3" w14:textId="77777777" w:rsidR="00CB4FCF" w:rsidRPr="0003657F" w:rsidRDefault="00CB4FCF" w:rsidP="0003657F">
      <w:pPr>
        <w:pStyle w:val="ListParagraph"/>
        <w:tabs>
          <w:tab w:val="left" w:pos="1260"/>
          <w:tab w:val="left" w:pos="1620"/>
        </w:tabs>
        <w:spacing w:after="120"/>
        <w:ind w:left="1260" w:right="720"/>
        <w:jc w:val="both"/>
        <w:rPr>
          <w:lang w:val="en-GB"/>
        </w:rPr>
      </w:pPr>
    </w:p>
    <w:p w14:paraId="03EB5737" w14:textId="77777777" w:rsidR="006B6E78" w:rsidRPr="0003657F" w:rsidRDefault="006B6E78" w:rsidP="00492348">
      <w:pPr>
        <w:pStyle w:val="ListParagraph"/>
        <w:numPr>
          <w:ilvl w:val="0"/>
          <w:numId w:val="35"/>
        </w:numPr>
        <w:tabs>
          <w:tab w:val="left" w:pos="1260"/>
          <w:tab w:val="left" w:pos="1530"/>
        </w:tabs>
        <w:spacing w:after="120"/>
        <w:ind w:left="1260" w:right="720" w:firstLine="0"/>
        <w:jc w:val="both"/>
        <w:rPr>
          <w:lang w:val="en-GB"/>
        </w:rPr>
        <w:sectPr w:rsidR="006B6E78" w:rsidRPr="0003657F" w:rsidSect="00870FE7">
          <w:footerReference w:type="even" r:id="rId17"/>
          <w:footerReference w:type="default" r:id="rId18"/>
          <w:headerReference w:type="first" r:id="rId19"/>
          <w:footerReference w:type="first" r:id="rId20"/>
          <w:pgSz w:w="12240" w:h="15840"/>
          <w:pgMar w:top="1152" w:right="1440" w:bottom="1152" w:left="1440" w:header="720" w:footer="720" w:gutter="0"/>
          <w:cols w:space="720"/>
          <w:titlePg/>
          <w:docGrid w:linePitch="272"/>
        </w:sectPr>
      </w:pPr>
    </w:p>
    <w:p w14:paraId="767D979E" w14:textId="0EFAC456" w:rsidR="00211B36" w:rsidRPr="0003657F" w:rsidRDefault="00211B36" w:rsidP="00211B36">
      <w:pPr>
        <w:tabs>
          <w:tab w:val="left" w:pos="5610"/>
        </w:tabs>
        <w:spacing w:after="120"/>
        <w:contextualSpacing/>
        <w:rPr>
          <w:b/>
          <w:bCs/>
          <w:sz w:val="28"/>
          <w:szCs w:val="28"/>
          <w:lang w:val="en-GB"/>
        </w:rPr>
      </w:pPr>
      <w:r w:rsidRPr="0003657F">
        <w:rPr>
          <w:b/>
          <w:bCs/>
          <w:sz w:val="28"/>
          <w:szCs w:val="28"/>
          <w:lang w:val="en-GB"/>
        </w:rPr>
        <w:lastRenderedPageBreak/>
        <w:t xml:space="preserve">Annex. Results and resources framework for Mongolia </w:t>
      </w:r>
      <w:r w:rsidR="008E3991">
        <w:rPr>
          <w:b/>
          <w:bCs/>
          <w:sz w:val="28"/>
          <w:szCs w:val="28"/>
          <w:lang w:val="en-GB"/>
        </w:rPr>
        <w:t>(</w:t>
      </w:r>
      <w:r w:rsidRPr="0003657F">
        <w:rPr>
          <w:b/>
          <w:bCs/>
          <w:sz w:val="28"/>
          <w:szCs w:val="28"/>
          <w:lang w:val="en-GB"/>
        </w:rPr>
        <w:t>2017-2021</w:t>
      </w:r>
      <w:r w:rsidR="008E3991">
        <w:rPr>
          <w:b/>
          <w:bCs/>
          <w:sz w:val="28"/>
          <w:szCs w:val="28"/>
          <w:lang w:val="en-GB"/>
        </w:rPr>
        <w:t>)</w:t>
      </w:r>
    </w:p>
    <w:p w14:paraId="4B2E82E8" w14:textId="77777777" w:rsidR="00000175" w:rsidRPr="0003657F" w:rsidRDefault="00000175" w:rsidP="00211B36">
      <w:pPr>
        <w:tabs>
          <w:tab w:val="left" w:pos="5610"/>
        </w:tabs>
        <w:spacing w:after="120"/>
        <w:contextualSpacing/>
        <w:rPr>
          <w:b/>
          <w:bCs/>
          <w:sz w:val="16"/>
          <w:szCs w:val="16"/>
          <w:lang w:val="en-GB"/>
        </w:rPr>
      </w:pPr>
    </w:p>
    <w:tbl>
      <w:tblPr>
        <w:tblW w:w="48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9"/>
        <w:gridCol w:w="1890"/>
        <w:gridCol w:w="4681"/>
        <w:gridCol w:w="2071"/>
        <w:gridCol w:w="1532"/>
        <w:gridCol w:w="37"/>
      </w:tblGrid>
      <w:tr w:rsidR="00211B36" w:rsidRPr="0035173D" w14:paraId="6838EFF7" w14:textId="77777777" w:rsidTr="0003657F">
        <w:tc>
          <w:tcPr>
            <w:tcW w:w="5000" w:type="pct"/>
            <w:gridSpan w:val="6"/>
            <w:shd w:val="clear" w:color="auto" w:fill="auto"/>
            <w:tcMar>
              <w:top w:w="72" w:type="dxa"/>
              <w:left w:w="144" w:type="dxa"/>
              <w:bottom w:w="72" w:type="dxa"/>
              <w:right w:w="144" w:type="dxa"/>
            </w:tcMar>
          </w:tcPr>
          <w:p w14:paraId="5260D785" w14:textId="255F8CEF" w:rsidR="00F33255" w:rsidRPr="0003657F" w:rsidRDefault="00000175" w:rsidP="003924FD">
            <w:pPr>
              <w:rPr>
                <w:sz w:val="16"/>
                <w:szCs w:val="16"/>
                <w:lang w:val="en-GB"/>
              </w:rPr>
            </w:pPr>
            <w:r w:rsidRPr="0035173D">
              <w:rPr>
                <w:b/>
                <w:bCs/>
                <w:sz w:val="16"/>
                <w:szCs w:val="16"/>
                <w:lang w:val="en-GB"/>
              </w:rPr>
              <w:t>National priority or goal</w:t>
            </w:r>
            <w:r w:rsidR="00F33255" w:rsidRPr="0035173D">
              <w:rPr>
                <w:b/>
                <w:bCs/>
                <w:sz w:val="16"/>
                <w:szCs w:val="16"/>
                <w:lang w:val="en-GB"/>
              </w:rPr>
              <w:t xml:space="preserve">: </w:t>
            </w:r>
            <w:r w:rsidR="003924FD" w:rsidRPr="0035173D">
              <w:rPr>
                <w:bCs/>
                <w:iCs/>
                <w:sz w:val="16"/>
                <w:szCs w:val="16"/>
                <w:lang w:val="en-GB"/>
              </w:rPr>
              <w:t xml:space="preserve">Mongolia </w:t>
            </w:r>
            <w:r w:rsidR="00E04FBA" w:rsidRPr="0035173D">
              <w:rPr>
                <w:bCs/>
                <w:iCs/>
                <w:sz w:val="16"/>
                <w:szCs w:val="16"/>
                <w:lang w:val="en-GB"/>
              </w:rPr>
              <w:t xml:space="preserve">Sustainable </w:t>
            </w:r>
            <w:r w:rsidR="003924FD" w:rsidRPr="0035173D">
              <w:rPr>
                <w:bCs/>
                <w:iCs/>
                <w:sz w:val="16"/>
                <w:szCs w:val="16"/>
                <w:lang w:val="en-GB"/>
              </w:rPr>
              <w:t xml:space="preserve">Development Vision 2030, </w:t>
            </w:r>
            <w:r>
              <w:rPr>
                <w:bCs/>
                <w:iCs/>
                <w:sz w:val="16"/>
                <w:szCs w:val="16"/>
                <w:lang w:val="en-GB"/>
              </w:rPr>
              <w:t>g</w:t>
            </w:r>
            <w:r w:rsidR="003924FD" w:rsidRPr="0035173D">
              <w:rPr>
                <w:bCs/>
                <w:iCs/>
                <w:sz w:val="16"/>
                <w:szCs w:val="16"/>
                <w:lang w:val="en-GB"/>
              </w:rPr>
              <w:t>oal</w:t>
            </w:r>
            <w:r>
              <w:rPr>
                <w:bCs/>
                <w:iCs/>
                <w:sz w:val="16"/>
                <w:szCs w:val="16"/>
                <w:lang w:val="en-GB"/>
              </w:rPr>
              <w:t>s</w:t>
            </w:r>
            <w:r w:rsidR="003924FD" w:rsidRPr="0035173D">
              <w:rPr>
                <w:bCs/>
                <w:iCs/>
                <w:sz w:val="16"/>
                <w:szCs w:val="16"/>
                <w:lang w:val="en-GB"/>
              </w:rPr>
              <w:t xml:space="preserve"> 2.1, 2.2 and 2.3</w:t>
            </w:r>
            <w:r w:rsidR="00F33255" w:rsidRPr="0035173D">
              <w:rPr>
                <w:bCs/>
                <w:iCs/>
                <w:sz w:val="16"/>
                <w:szCs w:val="16"/>
                <w:lang w:val="en-GB"/>
              </w:rPr>
              <w:t xml:space="preserve"> </w:t>
            </w:r>
          </w:p>
        </w:tc>
      </w:tr>
      <w:tr w:rsidR="00211B36" w:rsidRPr="0035173D" w14:paraId="16142A96" w14:textId="77777777" w:rsidTr="0003657F">
        <w:tc>
          <w:tcPr>
            <w:tcW w:w="5000" w:type="pct"/>
            <w:gridSpan w:val="6"/>
            <w:shd w:val="clear" w:color="auto" w:fill="auto"/>
            <w:tcMar>
              <w:top w:w="72" w:type="dxa"/>
              <w:left w:w="144" w:type="dxa"/>
              <w:bottom w:w="72" w:type="dxa"/>
              <w:right w:w="144" w:type="dxa"/>
            </w:tcMar>
          </w:tcPr>
          <w:p w14:paraId="6B5AD116" w14:textId="105EA66F" w:rsidR="00F33255" w:rsidRPr="0003657F" w:rsidRDefault="0035173D" w:rsidP="00FD7976">
            <w:pPr>
              <w:rPr>
                <w:sz w:val="16"/>
                <w:szCs w:val="16"/>
                <w:lang w:val="en-GB"/>
              </w:rPr>
            </w:pPr>
            <w:r w:rsidRPr="0003657F">
              <w:rPr>
                <w:b/>
                <w:bCs/>
                <w:sz w:val="16"/>
                <w:szCs w:val="16"/>
                <w:lang w:val="en-GB"/>
              </w:rPr>
              <w:t>United Nations Development Assistance Framework</w:t>
            </w:r>
            <w:r>
              <w:rPr>
                <w:lang w:val="en-GB"/>
              </w:rPr>
              <w:t xml:space="preserve"> (</w:t>
            </w:r>
            <w:r w:rsidR="00F33255" w:rsidRPr="0035173D">
              <w:rPr>
                <w:b/>
                <w:bCs/>
                <w:sz w:val="16"/>
                <w:szCs w:val="16"/>
                <w:lang w:val="en-GB"/>
              </w:rPr>
              <w:t>UNDAF</w:t>
            </w:r>
            <w:r>
              <w:rPr>
                <w:b/>
                <w:bCs/>
                <w:sz w:val="16"/>
                <w:szCs w:val="16"/>
                <w:lang w:val="en-GB"/>
              </w:rPr>
              <w:t>)</w:t>
            </w:r>
            <w:r w:rsidR="00F33255" w:rsidRPr="0035173D">
              <w:rPr>
                <w:b/>
                <w:bCs/>
                <w:sz w:val="16"/>
                <w:szCs w:val="16"/>
                <w:lang w:val="en-GB"/>
              </w:rPr>
              <w:t xml:space="preserve"> </w:t>
            </w:r>
            <w:r w:rsidR="00000175" w:rsidRPr="0035173D">
              <w:rPr>
                <w:b/>
                <w:bCs/>
                <w:sz w:val="16"/>
                <w:szCs w:val="16"/>
                <w:lang w:val="en-GB"/>
              </w:rPr>
              <w:t xml:space="preserve">or equivalent outcome involving </w:t>
            </w:r>
            <w:r w:rsidR="00F33255" w:rsidRPr="0035173D">
              <w:rPr>
                <w:b/>
                <w:bCs/>
                <w:sz w:val="16"/>
                <w:szCs w:val="16"/>
                <w:lang w:val="en-GB"/>
              </w:rPr>
              <w:t xml:space="preserve">UNDP </w:t>
            </w:r>
            <w:r w:rsidR="00000175">
              <w:rPr>
                <w:b/>
                <w:bCs/>
                <w:sz w:val="16"/>
                <w:szCs w:val="16"/>
                <w:lang w:val="en-GB"/>
              </w:rPr>
              <w:t xml:space="preserve">No. </w:t>
            </w:r>
            <w:r w:rsidR="00F33255" w:rsidRPr="0035173D">
              <w:rPr>
                <w:b/>
                <w:bCs/>
                <w:sz w:val="16"/>
                <w:szCs w:val="16"/>
                <w:lang w:val="en-GB"/>
              </w:rPr>
              <w:t>1</w:t>
            </w:r>
            <w:r w:rsidR="00000175">
              <w:rPr>
                <w:b/>
                <w:bCs/>
                <w:sz w:val="16"/>
                <w:szCs w:val="16"/>
                <w:lang w:val="en-GB"/>
              </w:rPr>
              <w:t>.</w:t>
            </w:r>
            <w:r w:rsidR="00F33255" w:rsidRPr="0035173D">
              <w:rPr>
                <w:sz w:val="16"/>
                <w:szCs w:val="16"/>
                <w:lang w:val="en-GB"/>
              </w:rPr>
              <w:t xml:space="preserve"> </w:t>
            </w:r>
            <w:r w:rsidR="00F33255" w:rsidRPr="0035173D">
              <w:rPr>
                <w:iCs/>
                <w:sz w:val="16"/>
                <w:szCs w:val="16"/>
                <w:lang w:val="en-GB"/>
              </w:rPr>
              <w:t>By 2021, poor and vulnerable people are more resilient to shocks and benefit from inclusive growth and a healthy ecosystem</w:t>
            </w:r>
          </w:p>
        </w:tc>
      </w:tr>
      <w:tr w:rsidR="00211B36" w:rsidRPr="0035173D" w14:paraId="409AB674" w14:textId="77777777" w:rsidTr="0003657F">
        <w:tc>
          <w:tcPr>
            <w:tcW w:w="5000" w:type="pct"/>
            <w:gridSpan w:val="6"/>
            <w:shd w:val="clear" w:color="auto" w:fill="auto"/>
            <w:tcMar>
              <w:top w:w="72" w:type="dxa"/>
              <w:left w:w="144" w:type="dxa"/>
              <w:bottom w:w="72" w:type="dxa"/>
              <w:right w:w="144" w:type="dxa"/>
            </w:tcMar>
          </w:tcPr>
          <w:p w14:paraId="1EB27E0F" w14:textId="1A23B9AF" w:rsidR="000B4A71" w:rsidRPr="0035173D" w:rsidRDefault="00B9495A" w:rsidP="00440E2D">
            <w:pPr>
              <w:rPr>
                <w:iCs/>
                <w:sz w:val="16"/>
                <w:szCs w:val="16"/>
                <w:lang w:val="en-GB"/>
              </w:rPr>
            </w:pPr>
            <w:r w:rsidRPr="0035173D">
              <w:rPr>
                <w:b/>
                <w:bCs/>
                <w:sz w:val="16"/>
                <w:szCs w:val="16"/>
                <w:lang w:val="en-GB"/>
              </w:rPr>
              <w:t>Related strategic plan outcome</w:t>
            </w:r>
            <w:r w:rsidR="00F33255" w:rsidRPr="0035173D">
              <w:rPr>
                <w:b/>
                <w:bCs/>
                <w:sz w:val="16"/>
                <w:szCs w:val="16"/>
                <w:lang w:val="en-GB"/>
              </w:rPr>
              <w:t xml:space="preserve">: </w:t>
            </w:r>
            <w:r w:rsidR="000B4A71" w:rsidRPr="0035173D">
              <w:rPr>
                <w:iCs/>
                <w:sz w:val="16"/>
                <w:szCs w:val="16"/>
                <w:lang w:val="en-GB"/>
              </w:rPr>
              <w:t>Development debates and actions at all levels prioriti</w:t>
            </w:r>
            <w:r>
              <w:rPr>
                <w:iCs/>
                <w:sz w:val="16"/>
                <w:szCs w:val="16"/>
                <w:lang w:val="en-GB"/>
              </w:rPr>
              <w:t>z</w:t>
            </w:r>
            <w:r w:rsidR="000B4A71" w:rsidRPr="0035173D">
              <w:rPr>
                <w:iCs/>
                <w:sz w:val="16"/>
                <w:szCs w:val="16"/>
                <w:lang w:val="en-GB"/>
              </w:rPr>
              <w:t>e poverty, inequality and exclusion, consistent with our engagement principles</w:t>
            </w:r>
            <w:r w:rsidR="00440E2D" w:rsidRPr="0035173D">
              <w:rPr>
                <w:rStyle w:val="FootnoteReference"/>
                <w:iCs/>
                <w:sz w:val="16"/>
                <w:szCs w:val="16"/>
                <w:lang w:val="en-GB"/>
              </w:rPr>
              <w:footnoteReference w:id="26"/>
            </w:r>
            <w:r w:rsidR="00440E2D" w:rsidRPr="0035173D">
              <w:rPr>
                <w:iCs/>
                <w:sz w:val="16"/>
                <w:szCs w:val="16"/>
                <w:lang w:val="en-GB"/>
              </w:rPr>
              <w:t xml:space="preserve"> </w:t>
            </w:r>
          </w:p>
        </w:tc>
      </w:tr>
      <w:tr w:rsidR="00F33255" w:rsidRPr="0035173D" w14:paraId="74CC6A25" w14:textId="77777777" w:rsidTr="0003657F">
        <w:tc>
          <w:tcPr>
            <w:tcW w:w="1100" w:type="pct"/>
            <w:shd w:val="clear" w:color="auto" w:fill="auto"/>
            <w:tcMar>
              <w:top w:w="72" w:type="dxa"/>
              <w:left w:w="144" w:type="dxa"/>
              <w:bottom w:w="72" w:type="dxa"/>
              <w:right w:w="144" w:type="dxa"/>
            </w:tcMar>
            <w:vAlign w:val="center"/>
          </w:tcPr>
          <w:p w14:paraId="0A56520A" w14:textId="75EA2BCE" w:rsidR="00F33255" w:rsidRPr="0003657F" w:rsidRDefault="00F33255" w:rsidP="00B9495A">
            <w:pPr>
              <w:jc w:val="center"/>
              <w:rPr>
                <w:color w:val="000000"/>
                <w:sz w:val="16"/>
                <w:szCs w:val="16"/>
                <w:lang w:val="en-GB"/>
              </w:rPr>
            </w:pPr>
            <w:r w:rsidRPr="0035173D">
              <w:rPr>
                <w:b/>
                <w:bCs/>
                <w:color w:val="000000"/>
                <w:sz w:val="16"/>
                <w:szCs w:val="16"/>
                <w:lang w:val="en-GB"/>
              </w:rPr>
              <w:t xml:space="preserve">UNDAF </w:t>
            </w:r>
            <w:r w:rsidR="00B9495A" w:rsidRPr="0035173D">
              <w:rPr>
                <w:b/>
                <w:bCs/>
                <w:color w:val="000000"/>
                <w:sz w:val="16"/>
                <w:szCs w:val="16"/>
                <w:lang w:val="en-GB"/>
              </w:rPr>
              <w:t>outcome indicators, baselines, targets</w:t>
            </w:r>
          </w:p>
        </w:tc>
        <w:tc>
          <w:tcPr>
            <w:tcW w:w="722" w:type="pct"/>
            <w:shd w:val="clear" w:color="auto" w:fill="auto"/>
            <w:vAlign w:val="center"/>
          </w:tcPr>
          <w:p w14:paraId="2C961191" w14:textId="339F7679" w:rsidR="00F33255" w:rsidRPr="0003657F" w:rsidRDefault="00F33255" w:rsidP="00B9495A">
            <w:pPr>
              <w:jc w:val="center"/>
              <w:rPr>
                <w:b/>
                <w:color w:val="000000"/>
                <w:sz w:val="16"/>
                <w:szCs w:val="16"/>
                <w:lang w:val="en-GB"/>
              </w:rPr>
            </w:pPr>
            <w:r w:rsidRPr="0003657F">
              <w:rPr>
                <w:b/>
                <w:color w:val="000000"/>
                <w:sz w:val="16"/>
                <w:szCs w:val="16"/>
                <w:lang w:val="en-GB"/>
              </w:rPr>
              <w:t>D</w:t>
            </w:r>
            <w:r w:rsidR="00B9495A" w:rsidRPr="00B9495A">
              <w:rPr>
                <w:b/>
                <w:color w:val="000000"/>
                <w:sz w:val="16"/>
                <w:szCs w:val="16"/>
                <w:lang w:val="en-GB"/>
              </w:rPr>
              <w:t>ata source</w:t>
            </w:r>
            <w:r w:rsidR="00B9495A">
              <w:rPr>
                <w:b/>
                <w:color w:val="000000"/>
                <w:sz w:val="16"/>
                <w:szCs w:val="16"/>
                <w:lang w:val="en-GB"/>
              </w:rPr>
              <w:t>,</w:t>
            </w:r>
            <w:r w:rsidR="00B9495A" w:rsidRPr="00B9495A">
              <w:rPr>
                <w:b/>
                <w:color w:val="000000"/>
                <w:sz w:val="16"/>
                <w:szCs w:val="16"/>
                <w:lang w:val="en-GB"/>
              </w:rPr>
              <w:t xml:space="preserve"> frequency of data collection, and responsibilities</w:t>
            </w:r>
          </w:p>
        </w:tc>
        <w:tc>
          <w:tcPr>
            <w:tcW w:w="1788" w:type="pct"/>
            <w:shd w:val="clear" w:color="auto" w:fill="auto"/>
            <w:tcMar>
              <w:top w:w="72" w:type="dxa"/>
              <w:left w:w="144" w:type="dxa"/>
              <w:bottom w:w="72" w:type="dxa"/>
              <w:right w:w="144" w:type="dxa"/>
            </w:tcMar>
            <w:vAlign w:val="center"/>
          </w:tcPr>
          <w:p w14:paraId="142CA98A" w14:textId="77777777" w:rsidR="00F33255" w:rsidRPr="0003657F" w:rsidRDefault="00F33255" w:rsidP="00F87994">
            <w:pPr>
              <w:jc w:val="center"/>
              <w:rPr>
                <w:color w:val="000000"/>
                <w:sz w:val="16"/>
                <w:szCs w:val="16"/>
                <w:lang w:val="en-GB"/>
              </w:rPr>
            </w:pPr>
            <w:r w:rsidRPr="0035173D">
              <w:rPr>
                <w:b/>
                <w:bCs/>
                <w:color w:val="000000"/>
                <w:sz w:val="16"/>
                <w:szCs w:val="16"/>
                <w:lang w:val="en-GB"/>
              </w:rPr>
              <w:t>I</w:t>
            </w:r>
            <w:r w:rsidR="00B9495A" w:rsidRPr="0035173D">
              <w:rPr>
                <w:b/>
                <w:bCs/>
                <w:color w:val="000000"/>
                <w:sz w:val="16"/>
                <w:szCs w:val="16"/>
                <w:lang w:val="en-GB"/>
              </w:rPr>
              <w:t xml:space="preserve">ndicative country programme outputs </w:t>
            </w:r>
            <w:r w:rsidRPr="0035173D">
              <w:rPr>
                <w:b/>
                <w:bCs/>
                <w:color w:val="000000"/>
                <w:sz w:val="16"/>
                <w:szCs w:val="16"/>
                <w:lang w:val="en-GB"/>
              </w:rPr>
              <w:t>(including indicators, baselines</w:t>
            </w:r>
            <w:r w:rsidR="00B9495A">
              <w:rPr>
                <w:b/>
                <w:bCs/>
                <w:color w:val="000000"/>
                <w:sz w:val="16"/>
                <w:szCs w:val="16"/>
                <w:lang w:val="en-GB"/>
              </w:rPr>
              <w:t>,</w:t>
            </w:r>
            <w:r w:rsidRPr="0035173D">
              <w:rPr>
                <w:b/>
                <w:bCs/>
                <w:color w:val="000000"/>
                <w:sz w:val="16"/>
                <w:szCs w:val="16"/>
                <w:lang w:val="en-GB"/>
              </w:rPr>
              <w:t xml:space="preserve"> targets)</w:t>
            </w:r>
          </w:p>
        </w:tc>
        <w:tc>
          <w:tcPr>
            <w:tcW w:w="791" w:type="pct"/>
            <w:shd w:val="clear" w:color="auto" w:fill="auto"/>
            <w:vAlign w:val="center"/>
          </w:tcPr>
          <w:p w14:paraId="1070E003" w14:textId="0790C485" w:rsidR="00F33255" w:rsidRPr="0035173D" w:rsidRDefault="00B9495A" w:rsidP="00F87994">
            <w:pPr>
              <w:jc w:val="center"/>
              <w:rPr>
                <w:b/>
                <w:bCs/>
                <w:color w:val="000000"/>
                <w:sz w:val="16"/>
                <w:szCs w:val="16"/>
                <w:lang w:val="en-GB"/>
              </w:rPr>
            </w:pPr>
            <w:r w:rsidRPr="0035173D">
              <w:rPr>
                <w:b/>
                <w:bCs/>
                <w:color w:val="000000"/>
                <w:sz w:val="16"/>
                <w:szCs w:val="16"/>
                <w:lang w:val="en-GB"/>
              </w:rPr>
              <w:t>Major partners</w:t>
            </w:r>
            <w:r>
              <w:rPr>
                <w:b/>
                <w:bCs/>
                <w:color w:val="000000"/>
                <w:sz w:val="16"/>
                <w:szCs w:val="16"/>
                <w:lang w:val="en-GB"/>
              </w:rPr>
              <w:t xml:space="preserve">, </w:t>
            </w:r>
            <w:r w:rsidRPr="0035173D">
              <w:rPr>
                <w:b/>
                <w:bCs/>
                <w:color w:val="000000"/>
                <w:sz w:val="16"/>
                <w:szCs w:val="16"/>
                <w:lang w:val="en-GB"/>
              </w:rPr>
              <w:t>partnerships</w:t>
            </w:r>
            <w:r>
              <w:rPr>
                <w:b/>
                <w:bCs/>
                <w:color w:val="000000"/>
                <w:sz w:val="16"/>
                <w:szCs w:val="16"/>
                <w:lang w:val="en-GB"/>
              </w:rPr>
              <w:t>,</w:t>
            </w:r>
          </w:p>
          <w:p w14:paraId="554E9480" w14:textId="57CFDD82" w:rsidR="00F33255" w:rsidRPr="0035173D" w:rsidRDefault="00B9495A" w:rsidP="00F87994">
            <w:pPr>
              <w:jc w:val="center"/>
              <w:rPr>
                <w:b/>
                <w:bCs/>
                <w:color w:val="000000"/>
                <w:sz w:val="16"/>
                <w:szCs w:val="16"/>
                <w:lang w:val="en-GB"/>
              </w:rPr>
            </w:pPr>
            <w:r>
              <w:rPr>
                <w:b/>
                <w:bCs/>
                <w:color w:val="000000"/>
                <w:sz w:val="16"/>
                <w:szCs w:val="16"/>
                <w:lang w:val="en-GB"/>
              </w:rPr>
              <w:t>f</w:t>
            </w:r>
            <w:r w:rsidRPr="0035173D">
              <w:rPr>
                <w:b/>
                <w:bCs/>
                <w:color w:val="000000"/>
                <w:sz w:val="16"/>
                <w:szCs w:val="16"/>
                <w:lang w:val="en-GB"/>
              </w:rPr>
              <w:t>rameworks</w:t>
            </w:r>
          </w:p>
        </w:tc>
        <w:tc>
          <w:tcPr>
            <w:tcW w:w="599" w:type="pct"/>
            <w:gridSpan w:val="2"/>
            <w:shd w:val="clear" w:color="auto" w:fill="auto"/>
            <w:tcMar>
              <w:top w:w="15" w:type="dxa"/>
              <w:left w:w="108" w:type="dxa"/>
              <w:bottom w:w="0" w:type="dxa"/>
              <w:right w:w="108" w:type="dxa"/>
            </w:tcMar>
            <w:vAlign w:val="center"/>
          </w:tcPr>
          <w:p w14:paraId="42A3E24B" w14:textId="77777777" w:rsidR="00B9495A" w:rsidRDefault="00B9495A" w:rsidP="007A3204">
            <w:pPr>
              <w:jc w:val="center"/>
              <w:rPr>
                <w:b/>
                <w:bCs/>
                <w:color w:val="000000"/>
                <w:sz w:val="16"/>
                <w:szCs w:val="16"/>
                <w:lang w:val="en-GB"/>
              </w:rPr>
            </w:pPr>
            <w:r w:rsidRPr="0035173D">
              <w:rPr>
                <w:b/>
                <w:bCs/>
                <w:color w:val="000000"/>
                <w:sz w:val="16"/>
                <w:szCs w:val="16"/>
                <w:lang w:val="en-GB"/>
              </w:rPr>
              <w:t>Indicative resources by outcome</w:t>
            </w:r>
            <w:r>
              <w:rPr>
                <w:b/>
                <w:bCs/>
                <w:color w:val="000000"/>
                <w:sz w:val="16"/>
                <w:szCs w:val="16"/>
                <w:lang w:val="en-GB"/>
              </w:rPr>
              <w:t xml:space="preserve"> </w:t>
            </w:r>
          </w:p>
          <w:p w14:paraId="242D3163" w14:textId="5C71B119" w:rsidR="00F33255" w:rsidRPr="0035173D" w:rsidRDefault="007A3204" w:rsidP="007A3204">
            <w:pPr>
              <w:jc w:val="center"/>
              <w:rPr>
                <w:b/>
                <w:bCs/>
                <w:color w:val="000000"/>
                <w:sz w:val="16"/>
                <w:szCs w:val="16"/>
                <w:lang w:val="en-GB"/>
              </w:rPr>
            </w:pPr>
            <w:r w:rsidRPr="0035173D">
              <w:rPr>
                <w:b/>
                <w:bCs/>
                <w:color w:val="000000"/>
                <w:sz w:val="16"/>
                <w:szCs w:val="16"/>
                <w:lang w:val="en-GB"/>
              </w:rPr>
              <w:t>(</w:t>
            </w:r>
            <w:r w:rsidR="00B9495A">
              <w:rPr>
                <w:b/>
                <w:bCs/>
                <w:color w:val="000000"/>
                <w:sz w:val="16"/>
                <w:szCs w:val="16"/>
                <w:lang w:val="en-GB"/>
              </w:rPr>
              <w:t xml:space="preserve">in </w:t>
            </w:r>
            <w:r w:rsidR="00F33255" w:rsidRPr="0035173D">
              <w:rPr>
                <w:b/>
                <w:bCs/>
                <w:color w:val="000000"/>
                <w:sz w:val="16"/>
                <w:szCs w:val="16"/>
                <w:lang w:val="en-GB"/>
              </w:rPr>
              <w:t>$</w:t>
            </w:r>
            <w:r w:rsidR="00B9495A">
              <w:rPr>
                <w:b/>
                <w:bCs/>
                <w:color w:val="000000"/>
                <w:sz w:val="16"/>
                <w:szCs w:val="16"/>
                <w:lang w:val="en-GB"/>
              </w:rPr>
              <w:t xml:space="preserve"> thousands</w:t>
            </w:r>
            <w:r w:rsidR="00F33255" w:rsidRPr="0035173D">
              <w:rPr>
                <w:b/>
                <w:bCs/>
                <w:color w:val="000000"/>
                <w:sz w:val="16"/>
                <w:szCs w:val="16"/>
                <w:lang w:val="en-GB"/>
              </w:rPr>
              <w:t>)</w:t>
            </w:r>
          </w:p>
        </w:tc>
      </w:tr>
      <w:tr w:rsidR="0050316F" w:rsidRPr="0035173D" w14:paraId="63BBA1EA" w14:textId="77777777" w:rsidTr="0003657F">
        <w:tc>
          <w:tcPr>
            <w:tcW w:w="5000" w:type="pct"/>
            <w:gridSpan w:val="6"/>
            <w:tcMar>
              <w:top w:w="72" w:type="dxa"/>
              <w:left w:w="144" w:type="dxa"/>
              <w:bottom w:w="72" w:type="dxa"/>
              <w:right w:w="144" w:type="dxa"/>
            </w:tcMar>
          </w:tcPr>
          <w:p w14:paraId="6110FCB5" w14:textId="763EA9C2" w:rsidR="0050316F" w:rsidRPr="0003657F" w:rsidRDefault="00121612">
            <w:pPr>
              <w:rPr>
                <w:b/>
                <w:color w:val="000000"/>
                <w:sz w:val="16"/>
                <w:szCs w:val="16"/>
                <w:lang w:val="en-GB"/>
              </w:rPr>
            </w:pPr>
            <w:r w:rsidRPr="0035173D">
              <w:rPr>
                <w:b/>
                <w:bCs/>
                <w:color w:val="000000"/>
                <w:sz w:val="16"/>
                <w:szCs w:val="16"/>
                <w:lang w:val="en-GB"/>
              </w:rPr>
              <w:t xml:space="preserve">Mainstreaming the </w:t>
            </w:r>
            <w:r w:rsidR="00D77D63">
              <w:rPr>
                <w:b/>
                <w:bCs/>
                <w:color w:val="000000"/>
                <w:sz w:val="16"/>
                <w:szCs w:val="16"/>
                <w:lang w:val="en-GB"/>
              </w:rPr>
              <w:t>2030 a</w:t>
            </w:r>
            <w:r w:rsidR="003609AC" w:rsidRPr="0035173D">
              <w:rPr>
                <w:b/>
                <w:bCs/>
                <w:color w:val="000000"/>
                <w:sz w:val="16"/>
                <w:szCs w:val="16"/>
                <w:lang w:val="en-GB"/>
              </w:rPr>
              <w:t xml:space="preserve">genda </w:t>
            </w:r>
            <w:r w:rsidRPr="0035173D">
              <w:rPr>
                <w:b/>
                <w:bCs/>
                <w:color w:val="000000"/>
                <w:sz w:val="16"/>
                <w:szCs w:val="16"/>
                <w:lang w:val="en-GB"/>
              </w:rPr>
              <w:t>in Mongolia</w:t>
            </w:r>
          </w:p>
        </w:tc>
      </w:tr>
      <w:tr w:rsidR="006876E6" w:rsidRPr="0035173D" w14:paraId="3ED0F4A1" w14:textId="77777777" w:rsidTr="0003657F">
        <w:tc>
          <w:tcPr>
            <w:tcW w:w="1100" w:type="pct"/>
            <w:vMerge w:val="restart"/>
            <w:tcMar>
              <w:top w:w="72" w:type="dxa"/>
              <w:left w:w="144" w:type="dxa"/>
              <w:bottom w:w="72" w:type="dxa"/>
              <w:right w:w="144" w:type="dxa"/>
            </w:tcMar>
          </w:tcPr>
          <w:p w14:paraId="303F7902" w14:textId="77777777" w:rsidR="006876E6" w:rsidRPr="0035173D" w:rsidRDefault="006876E6" w:rsidP="0003657F">
            <w:pPr>
              <w:tabs>
                <w:tab w:val="left" w:pos="126"/>
              </w:tabs>
              <w:ind w:left="-54"/>
              <w:rPr>
                <w:b/>
                <w:bCs/>
                <w:color w:val="000000"/>
                <w:sz w:val="16"/>
                <w:szCs w:val="16"/>
                <w:lang w:val="en-GB"/>
              </w:rPr>
            </w:pPr>
            <w:r w:rsidRPr="0003657F">
              <w:rPr>
                <w:b/>
                <w:i/>
                <w:iCs/>
                <w:sz w:val="16"/>
                <w:szCs w:val="16"/>
                <w:lang w:val="en-GB"/>
              </w:rPr>
              <w:t>Indicator:</w:t>
            </w:r>
            <w:r w:rsidRPr="0035173D">
              <w:rPr>
                <w:iCs/>
                <w:sz w:val="16"/>
                <w:szCs w:val="16"/>
                <w:lang w:val="en-GB"/>
              </w:rPr>
              <w:t xml:space="preserve"> Proportion of people living below poverty line</w:t>
            </w:r>
            <w:r w:rsidR="000B4A71" w:rsidRPr="0035173D">
              <w:rPr>
                <w:rStyle w:val="FootnoteReference"/>
                <w:iCs/>
                <w:sz w:val="16"/>
                <w:szCs w:val="16"/>
                <w:lang w:val="en-GB"/>
              </w:rPr>
              <w:footnoteReference w:id="27"/>
            </w:r>
            <w:r w:rsidRPr="0035173D">
              <w:rPr>
                <w:iCs/>
                <w:sz w:val="16"/>
                <w:szCs w:val="16"/>
                <w:lang w:val="en-GB"/>
              </w:rPr>
              <w:t xml:space="preserve"> (</w:t>
            </w:r>
            <w:r w:rsidR="0092225E" w:rsidRPr="0035173D">
              <w:rPr>
                <w:iCs/>
                <w:sz w:val="16"/>
                <w:szCs w:val="16"/>
                <w:lang w:val="en-GB"/>
              </w:rPr>
              <w:t xml:space="preserve">by geographic area, age and working status) </w:t>
            </w:r>
          </w:p>
          <w:p w14:paraId="0E1203E4" w14:textId="45E4E174" w:rsidR="006876E6" w:rsidRPr="0035173D" w:rsidRDefault="006876E6" w:rsidP="0003657F">
            <w:pPr>
              <w:tabs>
                <w:tab w:val="left" w:pos="126"/>
              </w:tabs>
              <w:ind w:left="-54"/>
              <w:rPr>
                <w:iCs/>
                <w:color w:val="000000"/>
                <w:sz w:val="16"/>
                <w:szCs w:val="16"/>
                <w:lang w:val="en-GB"/>
              </w:rPr>
            </w:pPr>
            <w:r w:rsidRPr="0003657F">
              <w:rPr>
                <w:i/>
                <w:iCs/>
                <w:sz w:val="16"/>
                <w:szCs w:val="16"/>
                <w:lang w:val="en-GB"/>
              </w:rPr>
              <w:t>Baseline</w:t>
            </w:r>
            <w:r w:rsidR="00FC3B67" w:rsidRPr="0003657F">
              <w:rPr>
                <w:i/>
                <w:iCs/>
                <w:sz w:val="16"/>
                <w:szCs w:val="16"/>
                <w:lang w:val="en-GB"/>
              </w:rPr>
              <w:t xml:space="preserve"> </w:t>
            </w:r>
            <w:r w:rsidR="00FC3B67" w:rsidRPr="0035173D">
              <w:rPr>
                <w:iCs/>
                <w:sz w:val="16"/>
                <w:szCs w:val="16"/>
                <w:lang w:val="en-GB"/>
              </w:rPr>
              <w:t>(2015)</w:t>
            </w:r>
            <w:r w:rsidRPr="0035173D">
              <w:rPr>
                <w:iCs/>
                <w:sz w:val="16"/>
                <w:szCs w:val="16"/>
                <w:lang w:val="en-GB"/>
              </w:rPr>
              <w:t>:</w:t>
            </w:r>
            <w:r w:rsidRPr="0003657F">
              <w:rPr>
                <w:sz w:val="16"/>
                <w:szCs w:val="16"/>
                <w:lang w:val="en-GB"/>
              </w:rPr>
              <w:t xml:space="preserve"> </w:t>
            </w:r>
            <w:r w:rsidRPr="0035173D">
              <w:rPr>
                <w:iCs/>
                <w:sz w:val="16"/>
                <w:szCs w:val="16"/>
                <w:lang w:val="en-GB"/>
              </w:rPr>
              <w:t xml:space="preserve">21.6%; </w:t>
            </w:r>
            <w:r w:rsidR="00B9495A">
              <w:rPr>
                <w:iCs/>
                <w:sz w:val="16"/>
                <w:szCs w:val="16"/>
                <w:lang w:val="en-GB"/>
              </w:rPr>
              <w:t>u</w:t>
            </w:r>
            <w:r w:rsidRPr="0035173D">
              <w:rPr>
                <w:iCs/>
                <w:sz w:val="16"/>
                <w:szCs w:val="16"/>
                <w:lang w:val="en-GB"/>
              </w:rPr>
              <w:t xml:space="preserve">rban 18.8%; </w:t>
            </w:r>
            <w:r w:rsidR="00B9495A">
              <w:rPr>
                <w:iCs/>
                <w:sz w:val="16"/>
                <w:szCs w:val="16"/>
                <w:lang w:val="en-GB"/>
              </w:rPr>
              <w:t>r</w:t>
            </w:r>
            <w:r w:rsidRPr="0035173D">
              <w:rPr>
                <w:iCs/>
                <w:sz w:val="16"/>
                <w:szCs w:val="16"/>
                <w:lang w:val="en-GB"/>
              </w:rPr>
              <w:t>ural 26%</w:t>
            </w:r>
            <w:r w:rsidR="0092225E" w:rsidRPr="0035173D">
              <w:rPr>
                <w:iCs/>
                <w:sz w:val="16"/>
                <w:szCs w:val="16"/>
                <w:lang w:val="en-GB"/>
              </w:rPr>
              <w:t xml:space="preserve">; </w:t>
            </w:r>
            <w:r w:rsidR="00B9495A">
              <w:rPr>
                <w:iCs/>
                <w:sz w:val="16"/>
                <w:szCs w:val="16"/>
                <w:lang w:val="en-GB"/>
              </w:rPr>
              <w:t>c</w:t>
            </w:r>
            <w:r w:rsidR="0092225E" w:rsidRPr="0035173D">
              <w:rPr>
                <w:iCs/>
                <w:sz w:val="16"/>
                <w:szCs w:val="16"/>
                <w:lang w:val="en-GB"/>
              </w:rPr>
              <w:t xml:space="preserve">hildren 28.9% (2014); </w:t>
            </w:r>
            <w:r w:rsidR="00B9495A">
              <w:rPr>
                <w:iCs/>
                <w:sz w:val="16"/>
                <w:szCs w:val="16"/>
                <w:lang w:val="en-GB"/>
              </w:rPr>
              <w:t>w</w:t>
            </w:r>
            <w:r w:rsidRPr="0035173D">
              <w:rPr>
                <w:iCs/>
                <w:sz w:val="16"/>
                <w:szCs w:val="16"/>
                <w:lang w:val="en-GB"/>
              </w:rPr>
              <w:t>orking</w:t>
            </w:r>
            <w:r w:rsidR="00BE19E4" w:rsidRPr="0035173D">
              <w:rPr>
                <w:iCs/>
                <w:sz w:val="16"/>
                <w:szCs w:val="16"/>
                <w:lang w:val="en-GB"/>
              </w:rPr>
              <w:t xml:space="preserve"> poor</w:t>
            </w:r>
            <w:r w:rsidRPr="0035173D">
              <w:rPr>
                <w:iCs/>
                <w:sz w:val="16"/>
                <w:szCs w:val="16"/>
                <w:lang w:val="en-GB"/>
              </w:rPr>
              <w:t xml:space="preserve"> </w:t>
            </w:r>
            <w:r w:rsidR="00BE19E4" w:rsidRPr="0035173D">
              <w:rPr>
                <w:iCs/>
                <w:sz w:val="16"/>
                <w:szCs w:val="16"/>
                <w:lang w:val="en-GB"/>
              </w:rPr>
              <w:t>20.2</w:t>
            </w:r>
            <w:r w:rsidRPr="0035173D">
              <w:rPr>
                <w:iCs/>
                <w:sz w:val="16"/>
                <w:szCs w:val="16"/>
                <w:lang w:val="en-GB"/>
              </w:rPr>
              <w:t>% (2013)</w:t>
            </w:r>
          </w:p>
          <w:p w14:paraId="642C0436" w14:textId="77777777" w:rsidR="006876E6" w:rsidRPr="0035173D" w:rsidRDefault="006876E6" w:rsidP="0003657F">
            <w:pPr>
              <w:tabs>
                <w:tab w:val="left" w:pos="126"/>
              </w:tabs>
              <w:ind w:left="-54"/>
              <w:rPr>
                <w:iCs/>
                <w:sz w:val="16"/>
                <w:szCs w:val="16"/>
                <w:lang w:val="en-GB"/>
              </w:rPr>
            </w:pPr>
            <w:r w:rsidRPr="0003657F">
              <w:rPr>
                <w:bCs/>
                <w:i/>
                <w:color w:val="000000"/>
                <w:sz w:val="16"/>
                <w:szCs w:val="16"/>
                <w:lang w:val="en-GB"/>
              </w:rPr>
              <w:t>Target</w:t>
            </w:r>
            <w:r w:rsidR="008F0002" w:rsidRPr="0035173D">
              <w:rPr>
                <w:rStyle w:val="FootnoteReference"/>
                <w:bCs/>
                <w:color w:val="000000"/>
                <w:sz w:val="16"/>
                <w:szCs w:val="16"/>
                <w:lang w:val="en-GB"/>
              </w:rPr>
              <w:footnoteReference w:id="28"/>
            </w:r>
            <w:r w:rsidRPr="0035173D">
              <w:rPr>
                <w:bCs/>
                <w:color w:val="000000"/>
                <w:sz w:val="16"/>
                <w:szCs w:val="16"/>
                <w:lang w:val="en-GB"/>
              </w:rPr>
              <w:t>:</w:t>
            </w:r>
            <w:r w:rsidR="00492348" w:rsidRPr="0035173D">
              <w:rPr>
                <w:bCs/>
                <w:color w:val="000000"/>
                <w:sz w:val="16"/>
                <w:szCs w:val="16"/>
                <w:lang w:val="en-GB"/>
              </w:rPr>
              <w:t xml:space="preserve"> </w:t>
            </w:r>
            <w:r w:rsidR="00FB13F8" w:rsidRPr="0035173D">
              <w:rPr>
                <w:iCs/>
                <w:sz w:val="16"/>
                <w:szCs w:val="16"/>
                <w:lang w:val="en-GB"/>
              </w:rPr>
              <w:t>18.0%</w:t>
            </w:r>
          </w:p>
          <w:p w14:paraId="07AA8947" w14:textId="77777777" w:rsidR="006876E6" w:rsidRPr="0035173D" w:rsidRDefault="006876E6" w:rsidP="004F1780">
            <w:pPr>
              <w:tabs>
                <w:tab w:val="left" w:pos="126"/>
              </w:tabs>
              <w:ind w:left="-54"/>
              <w:rPr>
                <w:iCs/>
                <w:sz w:val="16"/>
                <w:szCs w:val="16"/>
                <w:lang w:val="en-GB"/>
              </w:rPr>
            </w:pPr>
          </w:p>
          <w:p w14:paraId="34610D5C" w14:textId="77777777" w:rsidR="007A3204" w:rsidRPr="0035173D" w:rsidRDefault="007A3204" w:rsidP="004F1780">
            <w:pPr>
              <w:tabs>
                <w:tab w:val="left" w:pos="126"/>
              </w:tabs>
              <w:ind w:left="-54"/>
              <w:rPr>
                <w:iCs/>
                <w:sz w:val="16"/>
                <w:szCs w:val="16"/>
                <w:lang w:val="en-GB"/>
              </w:rPr>
            </w:pPr>
          </w:p>
          <w:p w14:paraId="0A4A4E7A" w14:textId="77777777" w:rsidR="007A3204" w:rsidRPr="0035173D" w:rsidRDefault="007A3204" w:rsidP="004F1780">
            <w:pPr>
              <w:tabs>
                <w:tab w:val="left" w:pos="126"/>
              </w:tabs>
              <w:ind w:left="-54"/>
              <w:rPr>
                <w:iCs/>
                <w:sz w:val="16"/>
                <w:szCs w:val="16"/>
                <w:lang w:val="en-GB"/>
              </w:rPr>
            </w:pPr>
          </w:p>
          <w:p w14:paraId="5FB15FCE" w14:textId="77777777" w:rsidR="006876E6" w:rsidRPr="0035173D" w:rsidRDefault="006876E6" w:rsidP="0003657F">
            <w:pPr>
              <w:tabs>
                <w:tab w:val="left" w:pos="126"/>
              </w:tabs>
              <w:ind w:left="-54"/>
              <w:rPr>
                <w:b/>
                <w:bCs/>
                <w:color w:val="000000"/>
                <w:sz w:val="16"/>
                <w:szCs w:val="16"/>
                <w:lang w:val="en-GB"/>
              </w:rPr>
            </w:pPr>
            <w:r w:rsidRPr="0003657F">
              <w:rPr>
                <w:b/>
                <w:i/>
                <w:iCs/>
                <w:sz w:val="16"/>
                <w:szCs w:val="16"/>
                <w:lang w:val="en-GB"/>
              </w:rPr>
              <w:t>Indicator:</w:t>
            </w:r>
            <w:r w:rsidRPr="0035173D">
              <w:rPr>
                <w:iCs/>
                <w:sz w:val="16"/>
                <w:szCs w:val="16"/>
                <w:lang w:val="en-GB"/>
              </w:rPr>
              <w:t xml:space="preserve"> </w:t>
            </w:r>
            <w:r w:rsidR="0092225E" w:rsidRPr="0035173D">
              <w:rPr>
                <w:iCs/>
                <w:sz w:val="16"/>
                <w:szCs w:val="16"/>
                <w:lang w:val="en-GB"/>
              </w:rPr>
              <w:t>Une</w:t>
            </w:r>
            <w:r w:rsidRPr="0035173D">
              <w:rPr>
                <w:iCs/>
                <w:sz w:val="16"/>
                <w:szCs w:val="16"/>
                <w:lang w:val="en-GB"/>
              </w:rPr>
              <w:t>mployment rate</w:t>
            </w:r>
            <w:r w:rsidR="008F0002" w:rsidRPr="0035173D">
              <w:rPr>
                <w:iCs/>
                <w:sz w:val="16"/>
                <w:szCs w:val="16"/>
                <w:lang w:val="en-GB"/>
              </w:rPr>
              <w:t xml:space="preserve">, </w:t>
            </w:r>
            <w:r w:rsidR="0092225E" w:rsidRPr="0035173D">
              <w:rPr>
                <w:iCs/>
                <w:sz w:val="16"/>
                <w:szCs w:val="16"/>
                <w:lang w:val="en-GB"/>
              </w:rPr>
              <w:t>(</w:t>
            </w:r>
            <w:r w:rsidR="008F0002" w:rsidRPr="0035173D">
              <w:rPr>
                <w:iCs/>
                <w:sz w:val="16"/>
                <w:szCs w:val="16"/>
                <w:lang w:val="en-GB"/>
              </w:rPr>
              <w:t>by sex</w:t>
            </w:r>
            <w:r w:rsidR="0092225E" w:rsidRPr="0035173D">
              <w:rPr>
                <w:iCs/>
                <w:sz w:val="16"/>
                <w:szCs w:val="16"/>
                <w:lang w:val="en-GB"/>
              </w:rPr>
              <w:t>)</w:t>
            </w:r>
          </w:p>
          <w:p w14:paraId="32B55899" w14:textId="77777777" w:rsidR="006876E6" w:rsidRPr="0035173D" w:rsidRDefault="006876E6" w:rsidP="0003657F">
            <w:pPr>
              <w:tabs>
                <w:tab w:val="left" w:pos="126"/>
              </w:tabs>
              <w:ind w:left="-54"/>
              <w:rPr>
                <w:iCs/>
                <w:sz w:val="16"/>
                <w:szCs w:val="16"/>
                <w:lang w:val="en-GB"/>
              </w:rPr>
            </w:pPr>
            <w:r w:rsidRPr="0003657F">
              <w:rPr>
                <w:i/>
                <w:iCs/>
                <w:sz w:val="16"/>
                <w:szCs w:val="16"/>
                <w:lang w:val="en-GB"/>
              </w:rPr>
              <w:t>Baseline</w:t>
            </w:r>
            <w:r w:rsidR="00BE718B" w:rsidRPr="0035173D">
              <w:rPr>
                <w:iCs/>
                <w:sz w:val="16"/>
                <w:szCs w:val="16"/>
                <w:lang w:val="en-GB"/>
              </w:rPr>
              <w:t xml:space="preserve"> (2015)</w:t>
            </w:r>
            <w:r w:rsidRPr="0035173D">
              <w:rPr>
                <w:iCs/>
                <w:sz w:val="16"/>
                <w:szCs w:val="16"/>
                <w:lang w:val="en-GB"/>
              </w:rPr>
              <w:t>:</w:t>
            </w:r>
            <w:r w:rsidRPr="0003657F">
              <w:rPr>
                <w:sz w:val="16"/>
                <w:szCs w:val="16"/>
                <w:lang w:val="en-GB"/>
              </w:rPr>
              <w:t xml:space="preserve"> </w:t>
            </w:r>
            <w:r w:rsidRPr="0035173D">
              <w:rPr>
                <w:iCs/>
                <w:sz w:val="16"/>
                <w:szCs w:val="16"/>
                <w:lang w:val="en-GB"/>
              </w:rPr>
              <w:t xml:space="preserve">21.1%; </w:t>
            </w:r>
            <w:r w:rsidR="008F0002" w:rsidRPr="0035173D">
              <w:rPr>
                <w:iCs/>
                <w:sz w:val="16"/>
                <w:szCs w:val="16"/>
                <w:lang w:val="en-GB"/>
              </w:rPr>
              <w:t>(</w:t>
            </w:r>
            <w:r w:rsidRPr="0035173D">
              <w:rPr>
                <w:iCs/>
                <w:sz w:val="16"/>
                <w:szCs w:val="16"/>
                <w:lang w:val="en-GB"/>
              </w:rPr>
              <w:t>male 16%</w:t>
            </w:r>
            <w:r w:rsidR="008F0002" w:rsidRPr="0035173D">
              <w:rPr>
                <w:iCs/>
                <w:sz w:val="16"/>
                <w:szCs w:val="16"/>
                <w:lang w:val="en-GB"/>
              </w:rPr>
              <w:t>,</w:t>
            </w:r>
            <w:r w:rsidRPr="0035173D">
              <w:rPr>
                <w:iCs/>
                <w:sz w:val="16"/>
                <w:szCs w:val="16"/>
                <w:lang w:val="en-GB"/>
              </w:rPr>
              <w:t xml:space="preserve"> female 26%</w:t>
            </w:r>
            <w:r w:rsidR="008F0002" w:rsidRPr="0035173D">
              <w:rPr>
                <w:iCs/>
                <w:sz w:val="16"/>
                <w:szCs w:val="16"/>
                <w:lang w:val="en-GB"/>
              </w:rPr>
              <w:t>)</w:t>
            </w:r>
            <w:r w:rsidRPr="0035173D">
              <w:rPr>
                <w:iCs/>
                <w:sz w:val="16"/>
                <w:szCs w:val="16"/>
                <w:lang w:val="en-GB"/>
              </w:rPr>
              <w:t xml:space="preserve"> </w:t>
            </w:r>
          </w:p>
          <w:p w14:paraId="7214BB99" w14:textId="77777777" w:rsidR="00415646" w:rsidRPr="0035173D" w:rsidRDefault="006876E6" w:rsidP="0003657F">
            <w:pPr>
              <w:tabs>
                <w:tab w:val="left" w:pos="126"/>
              </w:tabs>
              <w:ind w:left="-54"/>
              <w:rPr>
                <w:iCs/>
                <w:sz w:val="16"/>
                <w:szCs w:val="16"/>
                <w:lang w:val="en-GB"/>
              </w:rPr>
            </w:pPr>
            <w:r w:rsidRPr="0003657F">
              <w:rPr>
                <w:bCs/>
                <w:i/>
                <w:color w:val="000000"/>
                <w:sz w:val="16"/>
                <w:szCs w:val="16"/>
                <w:lang w:val="en-GB"/>
              </w:rPr>
              <w:t>Target</w:t>
            </w:r>
            <w:r w:rsidR="0092225E" w:rsidRPr="0003657F">
              <w:rPr>
                <w:bCs/>
                <w:i/>
                <w:color w:val="000000"/>
                <w:sz w:val="16"/>
                <w:szCs w:val="16"/>
                <w:lang w:val="en-GB"/>
              </w:rPr>
              <w:t xml:space="preserve"> </w:t>
            </w:r>
            <w:r w:rsidR="0092225E" w:rsidRPr="0035173D">
              <w:rPr>
                <w:bCs/>
                <w:color w:val="000000"/>
                <w:sz w:val="16"/>
                <w:szCs w:val="16"/>
                <w:lang w:val="en-GB"/>
              </w:rPr>
              <w:t>(2020)</w:t>
            </w:r>
            <w:r w:rsidRPr="0035173D">
              <w:rPr>
                <w:bCs/>
                <w:color w:val="000000"/>
                <w:sz w:val="16"/>
                <w:szCs w:val="16"/>
                <w:lang w:val="en-GB"/>
              </w:rPr>
              <w:t>:</w:t>
            </w:r>
            <w:r w:rsidR="0092225E" w:rsidRPr="0035173D">
              <w:rPr>
                <w:iCs/>
                <w:sz w:val="16"/>
                <w:szCs w:val="16"/>
                <w:lang w:val="en-GB"/>
              </w:rPr>
              <w:t xml:space="preserve"> 6%</w:t>
            </w:r>
          </w:p>
        </w:tc>
        <w:tc>
          <w:tcPr>
            <w:tcW w:w="722" w:type="pct"/>
            <w:vMerge w:val="restart"/>
          </w:tcPr>
          <w:p w14:paraId="206DCA81" w14:textId="40AF96C0" w:rsidR="006876E6" w:rsidRPr="0035173D" w:rsidRDefault="006876E6" w:rsidP="00F805F7">
            <w:pPr>
              <w:rPr>
                <w:iCs/>
                <w:color w:val="000000"/>
                <w:sz w:val="16"/>
                <w:szCs w:val="16"/>
                <w:lang w:val="en-GB"/>
              </w:rPr>
            </w:pPr>
            <w:r w:rsidRPr="0003657F">
              <w:rPr>
                <w:i/>
                <w:iCs/>
                <w:sz w:val="16"/>
                <w:szCs w:val="16"/>
                <w:lang w:val="en-GB"/>
              </w:rPr>
              <w:t>Source:</w:t>
            </w:r>
            <w:r w:rsidRPr="0035173D">
              <w:rPr>
                <w:iCs/>
                <w:sz w:val="16"/>
                <w:szCs w:val="16"/>
                <w:lang w:val="en-GB"/>
              </w:rPr>
              <w:t xml:space="preserve"> </w:t>
            </w:r>
            <w:r w:rsidRPr="0035173D">
              <w:rPr>
                <w:iCs/>
                <w:color w:val="000000"/>
                <w:sz w:val="16"/>
                <w:szCs w:val="16"/>
                <w:lang w:val="en-GB"/>
              </w:rPr>
              <w:t>Socio</w:t>
            </w:r>
            <w:r w:rsidR="00B9495A">
              <w:rPr>
                <w:iCs/>
                <w:color w:val="000000"/>
                <w:sz w:val="16"/>
                <w:szCs w:val="16"/>
                <w:lang w:val="en-GB"/>
              </w:rPr>
              <w:t>e</w:t>
            </w:r>
            <w:r w:rsidRPr="0035173D">
              <w:rPr>
                <w:iCs/>
                <w:color w:val="000000"/>
                <w:sz w:val="16"/>
                <w:szCs w:val="16"/>
                <w:lang w:val="en-GB"/>
              </w:rPr>
              <w:t xml:space="preserve">conomic </w:t>
            </w:r>
            <w:r w:rsidR="00B9495A">
              <w:rPr>
                <w:iCs/>
                <w:color w:val="000000"/>
                <w:sz w:val="16"/>
                <w:szCs w:val="16"/>
                <w:lang w:val="en-GB"/>
              </w:rPr>
              <w:t>s</w:t>
            </w:r>
            <w:r w:rsidRPr="0035173D">
              <w:rPr>
                <w:iCs/>
                <w:color w:val="000000"/>
                <w:sz w:val="16"/>
                <w:szCs w:val="16"/>
                <w:lang w:val="en-GB"/>
              </w:rPr>
              <w:t xml:space="preserve">urvey, </w:t>
            </w:r>
            <w:r w:rsidR="00FC3B67" w:rsidRPr="0035173D">
              <w:rPr>
                <w:iCs/>
                <w:color w:val="000000"/>
                <w:sz w:val="16"/>
                <w:szCs w:val="16"/>
                <w:lang w:val="en-GB"/>
              </w:rPr>
              <w:t>2015</w:t>
            </w:r>
          </w:p>
          <w:p w14:paraId="2EFE7C53" w14:textId="7B156B6E" w:rsidR="006876E6" w:rsidRPr="0035173D" w:rsidRDefault="006876E6" w:rsidP="00F805F7">
            <w:pPr>
              <w:rPr>
                <w:iCs/>
                <w:sz w:val="16"/>
                <w:szCs w:val="16"/>
                <w:lang w:val="en-GB"/>
              </w:rPr>
            </w:pPr>
            <w:r w:rsidRPr="0003657F">
              <w:rPr>
                <w:i/>
                <w:iCs/>
                <w:sz w:val="16"/>
                <w:szCs w:val="16"/>
                <w:lang w:val="en-GB"/>
              </w:rPr>
              <w:t>Frequency:</w:t>
            </w:r>
            <w:r w:rsidRPr="0035173D">
              <w:rPr>
                <w:iCs/>
                <w:sz w:val="16"/>
                <w:szCs w:val="16"/>
                <w:lang w:val="en-GB"/>
              </w:rPr>
              <w:t xml:space="preserve"> </w:t>
            </w:r>
            <w:r w:rsidR="00BF57FD">
              <w:rPr>
                <w:iCs/>
                <w:sz w:val="16"/>
                <w:szCs w:val="16"/>
                <w:lang w:val="en-GB"/>
              </w:rPr>
              <w:t>b</w:t>
            </w:r>
            <w:r w:rsidR="00361F9B" w:rsidRPr="0035173D">
              <w:rPr>
                <w:iCs/>
                <w:sz w:val="16"/>
                <w:szCs w:val="16"/>
                <w:lang w:val="en-GB"/>
              </w:rPr>
              <w:t>ia</w:t>
            </w:r>
            <w:r w:rsidR="00BE718B" w:rsidRPr="0035173D">
              <w:rPr>
                <w:iCs/>
                <w:sz w:val="16"/>
                <w:szCs w:val="16"/>
                <w:lang w:val="en-GB"/>
              </w:rPr>
              <w:t>nnual</w:t>
            </w:r>
          </w:p>
          <w:p w14:paraId="73F43E3C" w14:textId="77777777" w:rsidR="006876E6" w:rsidRPr="0035173D" w:rsidRDefault="006876E6" w:rsidP="00F805F7">
            <w:pPr>
              <w:rPr>
                <w:iCs/>
                <w:sz w:val="16"/>
                <w:szCs w:val="16"/>
                <w:lang w:val="en-GB"/>
              </w:rPr>
            </w:pPr>
            <w:r w:rsidRPr="0003657F">
              <w:rPr>
                <w:i/>
                <w:iCs/>
                <w:sz w:val="16"/>
                <w:szCs w:val="16"/>
                <w:lang w:val="en-GB"/>
              </w:rPr>
              <w:t>Responsibilities:</w:t>
            </w:r>
            <w:r w:rsidRPr="0035173D">
              <w:rPr>
                <w:iCs/>
                <w:sz w:val="16"/>
                <w:szCs w:val="16"/>
                <w:lang w:val="en-GB"/>
              </w:rPr>
              <w:t xml:space="preserve"> </w:t>
            </w:r>
            <w:r w:rsidR="00B9495A">
              <w:rPr>
                <w:iCs/>
                <w:sz w:val="16"/>
                <w:szCs w:val="16"/>
                <w:lang w:val="en-GB"/>
              </w:rPr>
              <w:t>National Statistical Office (</w:t>
            </w:r>
            <w:r w:rsidR="00BE718B" w:rsidRPr="0035173D">
              <w:rPr>
                <w:iCs/>
                <w:sz w:val="16"/>
                <w:szCs w:val="16"/>
                <w:lang w:val="en-GB"/>
              </w:rPr>
              <w:t>NSO</w:t>
            </w:r>
            <w:r w:rsidR="00B9495A">
              <w:rPr>
                <w:iCs/>
                <w:sz w:val="16"/>
                <w:szCs w:val="16"/>
                <w:lang w:val="en-GB"/>
              </w:rPr>
              <w:t>)</w:t>
            </w:r>
          </w:p>
          <w:p w14:paraId="7C048BF0" w14:textId="77777777" w:rsidR="006876E6" w:rsidRPr="0035173D" w:rsidRDefault="006876E6" w:rsidP="00F805F7">
            <w:pPr>
              <w:rPr>
                <w:iCs/>
                <w:color w:val="000000"/>
                <w:sz w:val="16"/>
                <w:szCs w:val="16"/>
                <w:lang w:val="en-GB"/>
              </w:rPr>
            </w:pPr>
          </w:p>
          <w:p w14:paraId="5579780A" w14:textId="77777777" w:rsidR="006876E6" w:rsidRPr="0035173D" w:rsidRDefault="006876E6" w:rsidP="00F805F7">
            <w:pPr>
              <w:rPr>
                <w:iCs/>
                <w:color w:val="000000"/>
                <w:sz w:val="16"/>
                <w:szCs w:val="16"/>
                <w:lang w:val="en-GB"/>
              </w:rPr>
            </w:pPr>
          </w:p>
          <w:p w14:paraId="2FFEE93B" w14:textId="77777777" w:rsidR="006876E6" w:rsidRPr="0035173D" w:rsidRDefault="006876E6" w:rsidP="00F805F7">
            <w:pPr>
              <w:rPr>
                <w:iCs/>
                <w:color w:val="000000"/>
                <w:sz w:val="16"/>
                <w:szCs w:val="16"/>
                <w:lang w:val="en-GB"/>
              </w:rPr>
            </w:pPr>
          </w:p>
          <w:p w14:paraId="61464EDA" w14:textId="77777777" w:rsidR="006876E6" w:rsidRPr="0035173D" w:rsidRDefault="006876E6" w:rsidP="00F805F7">
            <w:pPr>
              <w:rPr>
                <w:iCs/>
                <w:color w:val="000000"/>
                <w:sz w:val="16"/>
                <w:szCs w:val="16"/>
                <w:lang w:val="en-GB"/>
              </w:rPr>
            </w:pPr>
          </w:p>
          <w:p w14:paraId="614BF9E7" w14:textId="77777777" w:rsidR="006876E6" w:rsidRPr="0035173D" w:rsidRDefault="006876E6" w:rsidP="00F805F7">
            <w:pPr>
              <w:rPr>
                <w:iCs/>
                <w:color w:val="000000"/>
                <w:sz w:val="16"/>
                <w:szCs w:val="16"/>
                <w:lang w:val="en-GB"/>
              </w:rPr>
            </w:pPr>
          </w:p>
          <w:p w14:paraId="3ABF04A9" w14:textId="77777777" w:rsidR="006876E6" w:rsidRPr="0035173D" w:rsidRDefault="006876E6" w:rsidP="00F805F7">
            <w:pPr>
              <w:rPr>
                <w:iCs/>
                <w:color w:val="000000"/>
                <w:sz w:val="16"/>
                <w:szCs w:val="16"/>
                <w:lang w:val="en-GB"/>
              </w:rPr>
            </w:pPr>
          </w:p>
          <w:p w14:paraId="4D2296E5" w14:textId="77777777" w:rsidR="006876E6" w:rsidRPr="0035173D" w:rsidRDefault="006876E6" w:rsidP="00F805F7">
            <w:pPr>
              <w:rPr>
                <w:iCs/>
                <w:color w:val="000000"/>
                <w:sz w:val="16"/>
                <w:szCs w:val="16"/>
                <w:lang w:val="en-GB"/>
              </w:rPr>
            </w:pPr>
          </w:p>
          <w:p w14:paraId="43039E51" w14:textId="77777777" w:rsidR="006876E6" w:rsidRPr="0035173D" w:rsidRDefault="006876E6" w:rsidP="00F805F7">
            <w:pPr>
              <w:rPr>
                <w:iCs/>
                <w:color w:val="000000"/>
                <w:sz w:val="16"/>
                <w:szCs w:val="16"/>
                <w:lang w:val="en-GB"/>
              </w:rPr>
            </w:pPr>
            <w:r w:rsidRPr="0003657F">
              <w:rPr>
                <w:i/>
                <w:iCs/>
                <w:sz w:val="16"/>
                <w:szCs w:val="16"/>
                <w:lang w:val="en-GB"/>
              </w:rPr>
              <w:t>Source:</w:t>
            </w:r>
            <w:r w:rsidRPr="0035173D">
              <w:rPr>
                <w:iCs/>
                <w:sz w:val="16"/>
                <w:szCs w:val="16"/>
                <w:lang w:val="en-GB"/>
              </w:rPr>
              <w:t xml:space="preserve"> </w:t>
            </w:r>
            <w:r w:rsidRPr="0035173D">
              <w:rPr>
                <w:iCs/>
                <w:color w:val="000000"/>
                <w:sz w:val="16"/>
                <w:szCs w:val="16"/>
                <w:lang w:val="en-GB"/>
              </w:rPr>
              <w:t>Labour Force Survey</w:t>
            </w:r>
            <w:r w:rsidR="0092225E" w:rsidRPr="0035173D">
              <w:rPr>
                <w:iCs/>
                <w:color w:val="000000"/>
                <w:sz w:val="16"/>
                <w:szCs w:val="16"/>
                <w:lang w:val="en-GB"/>
              </w:rPr>
              <w:t>, 2015</w:t>
            </w:r>
          </w:p>
          <w:p w14:paraId="7CDD5C11" w14:textId="0C597D69" w:rsidR="006876E6" w:rsidRPr="0035173D" w:rsidRDefault="006876E6" w:rsidP="00F805F7">
            <w:pPr>
              <w:rPr>
                <w:iCs/>
                <w:sz w:val="16"/>
                <w:szCs w:val="16"/>
                <w:lang w:val="en-GB"/>
              </w:rPr>
            </w:pPr>
            <w:r w:rsidRPr="0003657F">
              <w:rPr>
                <w:i/>
                <w:iCs/>
                <w:sz w:val="16"/>
                <w:szCs w:val="16"/>
                <w:lang w:val="en-GB"/>
              </w:rPr>
              <w:t>Frequency:</w:t>
            </w:r>
            <w:r w:rsidRPr="0035173D">
              <w:rPr>
                <w:iCs/>
                <w:sz w:val="16"/>
                <w:szCs w:val="16"/>
                <w:lang w:val="en-GB"/>
              </w:rPr>
              <w:t xml:space="preserve"> </w:t>
            </w:r>
            <w:r w:rsidR="003F08EC">
              <w:rPr>
                <w:iCs/>
                <w:sz w:val="16"/>
                <w:szCs w:val="16"/>
                <w:lang w:val="en-GB"/>
              </w:rPr>
              <w:t>a</w:t>
            </w:r>
            <w:r w:rsidR="00350B0A" w:rsidRPr="0035173D">
              <w:rPr>
                <w:iCs/>
                <w:sz w:val="16"/>
                <w:szCs w:val="16"/>
                <w:lang w:val="en-GB"/>
              </w:rPr>
              <w:t>nnual</w:t>
            </w:r>
          </w:p>
          <w:p w14:paraId="532205CA" w14:textId="77777777" w:rsidR="006876E6" w:rsidRPr="0035173D" w:rsidRDefault="006876E6" w:rsidP="00F805F7">
            <w:pPr>
              <w:rPr>
                <w:iCs/>
                <w:sz w:val="16"/>
                <w:szCs w:val="16"/>
                <w:lang w:val="en-GB"/>
              </w:rPr>
            </w:pPr>
            <w:r w:rsidRPr="0003657F">
              <w:rPr>
                <w:i/>
                <w:iCs/>
                <w:sz w:val="16"/>
                <w:szCs w:val="16"/>
                <w:lang w:val="en-GB"/>
              </w:rPr>
              <w:t>Responsibilities:</w:t>
            </w:r>
            <w:r w:rsidRPr="0035173D">
              <w:rPr>
                <w:iCs/>
                <w:sz w:val="16"/>
                <w:szCs w:val="16"/>
                <w:lang w:val="en-GB"/>
              </w:rPr>
              <w:t xml:space="preserve"> </w:t>
            </w:r>
            <w:r w:rsidR="00BF4156" w:rsidRPr="0035173D">
              <w:rPr>
                <w:iCs/>
                <w:sz w:val="16"/>
                <w:szCs w:val="16"/>
                <w:lang w:val="en-GB"/>
              </w:rPr>
              <w:t>NSO</w:t>
            </w:r>
          </w:p>
          <w:p w14:paraId="5B44FBE9" w14:textId="77777777" w:rsidR="006876E6" w:rsidRPr="0035173D" w:rsidRDefault="006876E6" w:rsidP="00F805F7">
            <w:pPr>
              <w:rPr>
                <w:iCs/>
                <w:color w:val="000000"/>
                <w:sz w:val="16"/>
                <w:szCs w:val="16"/>
                <w:lang w:val="en-GB"/>
              </w:rPr>
            </w:pPr>
          </w:p>
        </w:tc>
        <w:tc>
          <w:tcPr>
            <w:tcW w:w="1788" w:type="pct"/>
            <w:vMerge w:val="restart"/>
            <w:tcMar>
              <w:top w:w="72" w:type="dxa"/>
              <w:left w:w="144" w:type="dxa"/>
              <w:bottom w:w="72" w:type="dxa"/>
              <w:right w:w="144" w:type="dxa"/>
            </w:tcMar>
          </w:tcPr>
          <w:p w14:paraId="0080F835" w14:textId="602CCBF5" w:rsidR="00BE718B" w:rsidRPr="0003657F" w:rsidRDefault="00F84902" w:rsidP="0003657F">
            <w:pPr>
              <w:tabs>
                <w:tab w:val="left" w:pos="335"/>
              </w:tabs>
              <w:rPr>
                <w:iCs/>
                <w:color w:val="000000"/>
                <w:sz w:val="16"/>
                <w:szCs w:val="16"/>
                <w:lang w:val="en-GB"/>
              </w:rPr>
            </w:pPr>
            <w:r w:rsidRPr="0003657F">
              <w:rPr>
                <w:b/>
                <w:i/>
                <w:iCs/>
                <w:color w:val="000000"/>
                <w:sz w:val="16"/>
                <w:szCs w:val="16"/>
                <w:lang w:val="en-GB"/>
              </w:rPr>
              <w:t>Output 1.1.</w:t>
            </w:r>
            <w:r>
              <w:rPr>
                <w:iCs/>
                <w:color w:val="000000"/>
                <w:sz w:val="16"/>
                <w:szCs w:val="16"/>
                <w:lang w:val="en-GB"/>
              </w:rPr>
              <w:t xml:space="preserve"> </w:t>
            </w:r>
            <w:r w:rsidR="00BE718B" w:rsidRPr="0003657F">
              <w:rPr>
                <w:iCs/>
                <w:color w:val="000000"/>
                <w:sz w:val="16"/>
                <w:szCs w:val="16"/>
                <w:lang w:val="en-GB"/>
              </w:rPr>
              <w:t>National and subnational</w:t>
            </w:r>
            <w:r w:rsidR="00F41E0E" w:rsidRPr="0003657F">
              <w:rPr>
                <w:iCs/>
                <w:color w:val="000000"/>
                <w:sz w:val="16"/>
                <w:szCs w:val="16"/>
                <w:lang w:val="en-GB"/>
              </w:rPr>
              <w:t xml:space="preserve"> medium</w:t>
            </w:r>
            <w:r w:rsidR="00BE718B" w:rsidRPr="0003657F">
              <w:rPr>
                <w:iCs/>
                <w:color w:val="000000"/>
                <w:sz w:val="16"/>
                <w:szCs w:val="16"/>
                <w:lang w:val="en-GB"/>
              </w:rPr>
              <w:t>-term plans and budgets</w:t>
            </w:r>
            <w:r w:rsidR="00F41E0E" w:rsidRPr="0003657F">
              <w:rPr>
                <w:iCs/>
                <w:color w:val="000000"/>
                <w:sz w:val="16"/>
                <w:szCs w:val="16"/>
                <w:lang w:val="en-GB"/>
              </w:rPr>
              <w:t>, as well as sector plans,</w:t>
            </w:r>
            <w:r w:rsidR="00BE718B" w:rsidRPr="0003657F">
              <w:rPr>
                <w:iCs/>
                <w:color w:val="000000"/>
                <w:sz w:val="16"/>
                <w:szCs w:val="16"/>
                <w:lang w:val="en-GB"/>
              </w:rPr>
              <w:t xml:space="preserve"> prioritize achievement of </w:t>
            </w:r>
            <w:r w:rsidR="0035173D" w:rsidRPr="0003657F">
              <w:rPr>
                <w:iCs/>
                <w:color w:val="000000"/>
                <w:sz w:val="16"/>
                <w:szCs w:val="16"/>
                <w:lang w:val="en-GB"/>
              </w:rPr>
              <w:t>sustainable development goals (</w:t>
            </w:r>
            <w:r w:rsidR="00BE718B" w:rsidRPr="0003657F">
              <w:rPr>
                <w:iCs/>
                <w:color w:val="000000"/>
                <w:sz w:val="16"/>
                <w:szCs w:val="16"/>
                <w:lang w:val="en-GB"/>
              </w:rPr>
              <w:t>SDGs</w:t>
            </w:r>
            <w:r w:rsidR="0035173D" w:rsidRPr="0003657F">
              <w:rPr>
                <w:iCs/>
                <w:color w:val="000000"/>
                <w:sz w:val="16"/>
                <w:szCs w:val="16"/>
                <w:lang w:val="en-GB"/>
              </w:rPr>
              <w:t>)</w:t>
            </w:r>
            <w:r w:rsidR="00BE718B" w:rsidRPr="0003657F">
              <w:rPr>
                <w:iCs/>
                <w:color w:val="000000"/>
                <w:sz w:val="16"/>
                <w:szCs w:val="16"/>
                <w:lang w:val="en-GB"/>
              </w:rPr>
              <w:t xml:space="preserve"> and sustainable development, with corresponding monitoring processes </w:t>
            </w:r>
            <w:r w:rsidR="00F41E0E" w:rsidRPr="0003657F">
              <w:rPr>
                <w:iCs/>
                <w:color w:val="000000"/>
                <w:sz w:val="16"/>
                <w:szCs w:val="16"/>
                <w:lang w:val="en-GB"/>
              </w:rPr>
              <w:t xml:space="preserve">with reliable data </w:t>
            </w:r>
            <w:r w:rsidR="00BE718B" w:rsidRPr="0003657F">
              <w:rPr>
                <w:iCs/>
                <w:color w:val="000000"/>
                <w:sz w:val="16"/>
                <w:szCs w:val="16"/>
                <w:lang w:val="en-GB"/>
              </w:rPr>
              <w:t xml:space="preserve">in place </w:t>
            </w:r>
          </w:p>
          <w:p w14:paraId="6EBEC592" w14:textId="77777777" w:rsidR="008F0002" w:rsidRPr="0035173D" w:rsidRDefault="008F0002" w:rsidP="0003657F">
            <w:pPr>
              <w:tabs>
                <w:tab w:val="left" w:pos="335"/>
              </w:tabs>
              <w:ind w:left="13" w:hanging="13"/>
              <w:rPr>
                <w:iCs/>
                <w:color w:val="000000"/>
                <w:sz w:val="16"/>
                <w:szCs w:val="16"/>
                <w:lang w:val="en-GB"/>
              </w:rPr>
            </w:pPr>
          </w:p>
          <w:p w14:paraId="27AE5459" w14:textId="1B4AF426" w:rsidR="00E55F1C" w:rsidRDefault="00BE718B" w:rsidP="0003657F">
            <w:pPr>
              <w:tabs>
                <w:tab w:val="left" w:pos="335"/>
              </w:tabs>
              <w:ind w:left="13" w:hanging="13"/>
              <w:rPr>
                <w:iCs/>
                <w:color w:val="000000"/>
                <w:sz w:val="16"/>
                <w:szCs w:val="16"/>
                <w:lang w:val="en-GB"/>
              </w:rPr>
            </w:pPr>
            <w:r w:rsidRPr="0003657F">
              <w:rPr>
                <w:i/>
                <w:iCs/>
                <w:color w:val="000000"/>
                <w:sz w:val="16"/>
                <w:szCs w:val="16"/>
                <w:lang w:val="en-GB"/>
              </w:rPr>
              <w:t>Indicator</w:t>
            </w:r>
            <w:r w:rsidR="00415646" w:rsidRPr="0003657F">
              <w:rPr>
                <w:i/>
                <w:iCs/>
                <w:color w:val="000000"/>
                <w:sz w:val="16"/>
                <w:szCs w:val="16"/>
                <w:lang w:val="en-GB"/>
              </w:rPr>
              <w:t xml:space="preserve"> 1.1.1.</w:t>
            </w:r>
            <w:r w:rsidRPr="0035173D">
              <w:rPr>
                <w:iCs/>
                <w:color w:val="000000"/>
                <w:sz w:val="16"/>
                <w:szCs w:val="16"/>
                <w:lang w:val="en-GB"/>
              </w:rPr>
              <w:t xml:space="preserve"> </w:t>
            </w:r>
            <w:r w:rsidR="00A44E60" w:rsidRPr="0035173D">
              <w:rPr>
                <w:iCs/>
                <w:color w:val="000000"/>
                <w:sz w:val="16"/>
                <w:szCs w:val="16"/>
                <w:lang w:val="en-GB"/>
              </w:rPr>
              <w:t>Extent to which new national, subnational and sectoral plans prioriti</w:t>
            </w:r>
            <w:r w:rsidR="006247F0">
              <w:rPr>
                <w:iCs/>
                <w:color w:val="000000"/>
                <w:sz w:val="16"/>
                <w:szCs w:val="16"/>
                <w:lang w:val="en-GB"/>
              </w:rPr>
              <w:t>z</w:t>
            </w:r>
            <w:r w:rsidR="00A44E60" w:rsidRPr="0035173D">
              <w:rPr>
                <w:iCs/>
                <w:color w:val="000000"/>
                <w:sz w:val="16"/>
                <w:szCs w:val="16"/>
                <w:lang w:val="en-GB"/>
              </w:rPr>
              <w:t>e SDG-related interventions in budget allocation</w:t>
            </w:r>
            <w:r w:rsidR="006247F0">
              <w:rPr>
                <w:iCs/>
                <w:color w:val="000000"/>
                <w:sz w:val="16"/>
                <w:szCs w:val="16"/>
                <w:lang w:val="en-GB"/>
              </w:rPr>
              <w:t>s</w:t>
            </w:r>
            <w:r w:rsidR="00A44E60" w:rsidRPr="0035173D">
              <w:rPr>
                <w:iCs/>
                <w:color w:val="000000"/>
                <w:sz w:val="16"/>
                <w:szCs w:val="16"/>
                <w:lang w:val="en-GB"/>
              </w:rPr>
              <w:t xml:space="preserve"> </w:t>
            </w:r>
          </w:p>
          <w:p w14:paraId="5C61A743" w14:textId="4D9DDB72" w:rsidR="00BE718B" w:rsidRPr="0035173D" w:rsidRDefault="00BE718B" w:rsidP="0003657F">
            <w:pPr>
              <w:tabs>
                <w:tab w:val="left" w:pos="335"/>
              </w:tabs>
              <w:ind w:left="13" w:hanging="13"/>
              <w:rPr>
                <w:iCs/>
                <w:color w:val="000000"/>
                <w:sz w:val="16"/>
                <w:szCs w:val="16"/>
                <w:lang w:val="en-GB"/>
              </w:rPr>
            </w:pPr>
            <w:r w:rsidRPr="0035173D">
              <w:rPr>
                <w:iCs/>
                <w:color w:val="000000"/>
                <w:sz w:val="16"/>
                <w:szCs w:val="16"/>
                <w:lang w:val="en-GB"/>
              </w:rPr>
              <w:t>Baseline</w:t>
            </w:r>
            <w:r w:rsidR="009D77EF" w:rsidRPr="0035173D">
              <w:rPr>
                <w:iCs/>
                <w:color w:val="000000"/>
                <w:sz w:val="16"/>
                <w:szCs w:val="16"/>
                <w:lang w:val="en-GB"/>
              </w:rPr>
              <w:t xml:space="preserve"> </w:t>
            </w:r>
            <w:r w:rsidRPr="0035173D">
              <w:rPr>
                <w:iCs/>
                <w:color w:val="000000"/>
                <w:sz w:val="16"/>
                <w:szCs w:val="16"/>
                <w:lang w:val="en-GB"/>
              </w:rPr>
              <w:t>(2016): 1</w:t>
            </w:r>
            <w:r w:rsidR="0092225E" w:rsidRPr="0035173D">
              <w:rPr>
                <w:iCs/>
                <w:color w:val="000000"/>
                <w:sz w:val="16"/>
                <w:szCs w:val="16"/>
                <w:lang w:val="en-GB"/>
              </w:rPr>
              <w:t xml:space="preserve"> </w:t>
            </w:r>
            <w:r w:rsidR="00A44E60" w:rsidRPr="0035173D">
              <w:rPr>
                <w:iCs/>
                <w:color w:val="000000"/>
                <w:sz w:val="16"/>
                <w:szCs w:val="16"/>
                <w:lang w:val="en-GB"/>
              </w:rPr>
              <w:t>(partially)</w:t>
            </w:r>
            <w:r w:rsidR="00E55F1C">
              <w:rPr>
                <w:iCs/>
                <w:color w:val="000000"/>
                <w:sz w:val="16"/>
                <w:szCs w:val="16"/>
                <w:lang w:val="en-GB"/>
              </w:rPr>
              <w:t xml:space="preserve">; </w:t>
            </w:r>
            <w:r w:rsidR="003F08EC">
              <w:rPr>
                <w:iCs/>
                <w:color w:val="000000"/>
                <w:sz w:val="16"/>
                <w:szCs w:val="16"/>
                <w:lang w:val="en-GB"/>
              </w:rPr>
              <w:t>t</w:t>
            </w:r>
            <w:r w:rsidRPr="0035173D">
              <w:rPr>
                <w:iCs/>
                <w:color w:val="000000"/>
                <w:sz w:val="16"/>
                <w:szCs w:val="16"/>
                <w:lang w:val="en-GB"/>
              </w:rPr>
              <w:t>arget</w:t>
            </w:r>
            <w:r w:rsidR="00A44E60" w:rsidRPr="0035173D">
              <w:rPr>
                <w:iCs/>
                <w:color w:val="000000"/>
                <w:sz w:val="16"/>
                <w:szCs w:val="16"/>
                <w:lang w:val="en-GB"/>
              </w:rPr>
              <w:t xml:space="preserve"> (2021)</w:t>
            </w:r>
            <w:r w:rsidRPr="0035173D">
              <w:rPr>
                <w:iCs/>
                <w:color w:val="000000"/>
                <w:sz w:val="16"/>
                <w:szCs w:val="16"/>
                <w:lang w:val="en-GB"/>
              </w:rPr>
              <w:t xml:space="preserve">: </w:t>
            </w:r>
            <w:r w:rsidR="00982A91" w:rsidRPr="0035173D">
              <w:rPr>
                <w:iCs/>
                <w:color w:val="000000"/>
                <w:sz w:val="16"/>
                <w:szCs w:val="16"/>
                <w:lang w:val="en-GB"/>
              </w:rPr>
              <w:t>2</w:t>
            </w:r>
            <w:r w:rsidR="0092225E" w:rsidRPr="0035173D">
              <w:rPr>
                <w:iCs/>
                <w:color w:val="000000"/>
                <w:sz w:val="16"/>
                <w:szCs w:val="16"/>
                <w:lang w:val="en-GB"/>
              </w:rPr>
              <w:t xml:space="preserve"> </w:t>
            </w:r>
            <w:r w:rsidR="00A44E60" w:rsidRPr="0035173D">
              <w:rPr>
                <w:iCs/>
                <w:color w:val="000000"/>
                <w:sz w:val="16"/>
                <w:szCs w:val="16"/>
                <w:lang w:val="en-GB"/>
              </w:rPr>
              <w:t>(largely)</w:t>
            </w:r>
          </w:p>
          <w:p w14:paraId="295A9912" w14:textId="45A065D7" w:rsidR="00BE718B" w:rsidRPr="0035173D" w:rsidRDefault="00BE718B" w:rsidP="0003657F">
            <w:pPr>
              <w:tabs>
                <w:tab w:val="left" w:pos="335"/>
              </w:tabs>
              <w:ind w:left="13" w:hanging="13"/>
              <w:rPr>
                <w:iCs/>
                <w:color w:val="000000"/>
                <w:sz w:val="16"/>
                <w:szCs w:val="16"/>
                <w:lang w:val="en-GB"/>
              </w:rPr>
            </w:pPr>
            <w:r w:rsidRPr="0035173D">
              <w:rPr>
                <w:iCs/>
                <w:color w:val="000000"/>
                <w:sz w:val="16"/>
                <w:szCs w:val="16"/>
                <w:lang w:val="en-GB"/>
              </w:rPr>
              <w:t xml:space="preserve">Data source: </w:t>
            </w:r>
            <w:r w:rsidR="003F08EC">
              <w:rPr>
                <w:iCs/>
                <w:color w:val="000000"/>
                <w:sz w:val="16"/>
                <w:szCs w:val="16"/>
                <w:lang w:val="en-GB"/>
              </w:rPr>
              <w:t>i</w:t>
            </w:r>
            <w:r w:rsidR="00982A91" w:rsidRPr="0035173D">
              <w:rPr>
                <w:iCs/>
                <w:color w:val="000000"/>
                <w:sz w:val="16"/>
                <w:szCs w:val="16"/>
                <w:lang w:val="en-GB"/>
              </w:rPr>
              <w:t>ndependent national expert review</w:t>
            </w:r>
            <w:r w:rsidR="00A44E60" w:rsidRPr="0035173D">
              <w:rPr>
                <w:iCs/>
                <w:color w:val="000000"/>
                <w:sz w:val="16"/>
                <w:szCs w:val="16"/>
                <w:lang w:val="en-GB"/>
              </w:rPr>
              <w:t xml:space="preserve"> report</w:t>
            </w:r>
          </w:p>
          <w:p w14:paraId="13AF1851" w14:textId="356FB8E8" w:rsidR="00BE718B" w:rsidRPr="0035173D" w:rsidRDefault="00BE718B" w:rsidP="0003657F">
            <w:pPr>
              <w:tabs>
                <w:tab w:val="left" w:pos="335"/>
              </w:tabs>
              <w:ind w:left="13" w:hanging="13"/>
              <w:rPr>
                <w:iCs/>
                <w:color w:val="000000"/>
                <w:sz w:val="16"/>
                <w:szCs w:val="16"/>
                <w:lang w:val="en-GB"/>
              </w:rPr>
            </w:pPr>
            <w:r w:rsidRPr="0035173D">
              <w:rPr>
                <w:iCs/>
                <w:color w:val="000000"/>
                <w:sz w:val="16"/>
                <w:szCs w:val="16"/>
                <w:lang w:val="en-GB"/>
              </w:rPr>
              <w:t xml:space="preserve">Frequency: </w:t>
            </w:r>
            <w:r w:rsidR="003F08EC">
              <w:rPr>
                <w:iCs/>
                <w:color w:val="000000"/>
                <w:sz w:val="16"/>
                <w:szCs w:val="16"/>
                <w:lang w:val="en-GB"/>
              </w:rPr>
              <w:t>e</w:t>
            </w:r>
            <w:r w:rsidR="00FA7F44" w:rsidRPr="0035173D">
              <w:rPr>
                <w:iCs/>
                <w:color w:val="000000"/>
                <w:sz w:val="16"/>
                <w:szCs w:val="16"/>
                <w:lang w:val="en-GB"/>
              </w:rPr>
              <w:t>very 4 years</w:t>
            </w:r>
          </w:p>
          <w:p w14:paraId="3F44878F" w14:textId="77777777" w:rsidR="00442D4C" w:rsidRPr="0035173D" w:rsidRDefault="00442D4C" w:rsidP="0003657F">
            <w:pPr>
              <w:tabs>
                <w:tab w:val="left" w:pos="335"/>
              </w:tabs>
              <w:ind w:left="13" w:hanging="13"/>
              <w:rPr>
                <w:iCs/>
                <w:color w:val="000000"/>
                <w:sz w:val="16"/>
                <w:szCs w:val="16"/>
                <w:lang w:val="en-GB"/>
              </w:rPr>
            </w:pPr>
          </w:p>
          <w:p w14:paraId="43115244" w14:textId="4133D988" w:rsidR="00BE718B" w:rsidRPr="0035173D" w:rsidRDefault="00F84902" w:rsidP="0003657F">
            <w:pPr>
              <w:pStyle w:val="ListParagraph"/>
              <w:tabs>
                <w:tab w:val="left" w:pos="335"/>
              </w:tabs>
              <w:ind w:left="13"/>
              <w:rPr>
                <w:iCs/>
                <w:color w:val="000000"/>
                <w:sz w:val="16"/>
                <w:szCs w:val="16"/>
                <w:lang w:val="en-GB"/>
              </w:rPr>
            </w:pPr>
            <w:r w:rsidRPr="0003657F">
              <w:rPr>
                <w:b/>
                <w:i/>
                <w:iCs/>
                <w:color w:val="000000"/>
                <w:sz w:val="16"/>
                <w:szCs w:val="16"/>
                <w:lang w:val="en-GB"/>
              </w:rPr>
              <w:t>Output 1.2.</w:t>
            </w:r>
            <w:r>
              <w:rPr>
                <w:iCs/>
                <w:color w:val="000000"/>
                <w:sz w:val="16"/>
                <w:szCs w:val="16"/>
                <w:lang w:val="en-GB"/>
              </w:rPr>
              <w:t xml:space="preserve"> </w:t>
            </w:r>
            <w:r w:rsidR="006247F0" w:rsidRPr="0035173D">
              <w:rPr>
                <w:iCs/>
                <w:color w:val="000000"/>
                <w:sz w:val="16"/>
                <w:szCs w:val="16"/>
                <w:lang w:val="en-GB"/>
              </w:rPr>
              <w:t xml:space="preserve">International Think Tank </w:t>
            </w:r>
            <w:r w:rsidR="006247F0">
              <w:rPr>
                <w:iCs/>
                <w:color w:val="000000"/>
                <w:sz w:val="16"/>
                <w:szCs w:val="16"/>
                <w:lang w:val="en-GB"/>
              </w:rPr>
              <w:t xml:space="preserve">(ITT) for </w:t>
            </w:r>
            <w:r w:rsidR="00656D5C" w:rsidRPr="0003657F">
              <w:rPr>
                <w:iCs/>
                <w:color w:val="000000"/>
                <w:sz w:val="16"/>
                <w:szCs w:val="16"/>
                <w:lang w:val="en-GB"/>
              </w:rPr>
              <w:t>Landlocked Developing Countries (</w:t>
            </w:r>
            <w:r w:rsidR="00BE718B" w:rsidRPr="0035173D">
              <w:rPr>
                <w:iCs/>
                <w:color w:val="000000"/>
                <w:sz w:val="16"/>
                <w:szCs w:val="16"/>
                <w:lang w:val="en-GB"/>
              </w:rPr>
              <w:t>LLDC</w:t>
            </w:r>
            <w:r w:rsidR="006247F0">
              <w:rPr>
                <w:iCs/>
                <w:color w:val="000000"/>
                <w:sz w:val="16"/>
                <w:szCs w:val="16"/>
                <w:lang w:val="en-GB"/>
              </w:rPr>
              <w:t>s</w:t>
            </w:r>
            <w:r w:rsidR="00656D5C">
              <w:rPr>
                <w:iCs/>
                <w:color w:val="000000"/>
                <w:sz w:val="16"/>
                <w:szCs w:val="16"/>
                <w:lang w:val="en-GB"/>
              </w:rPr>
              <w:t xml:space="preserve">) </w:t>
            </w:r>
            <w:r w:rsidR="00BE718B" w:rsidRPr="0035173D">
              <w:rPr>
                <w:iCs/>
                <w:color w:val="000000"/>
                <w:sz w:val="16"/>
                <w:szCs w:val="16"/>
                <w:lang w:val="en-GB"/>
              </w:rPr>
              <w:t xml:space="preserve">capacity strengthened </w:t>
            </w:r>
            <w:r w:rsidR="00A44E60" w:rsidRPr="0035173D">
              <w:rPr>
                <w:iCs/>
                <w:color w:val="000000"/>
                <w:sz w:val="16"/>
                <w:szCs w:val="16"/>
                <w:lang w:val="en-GB"/>
              </w:rPr>
              <w:t xml:space="preserve">to deliver </w:t>
            </w:r>
            <w:r w:rsidR="00BE718B" w:rsidRPr="0035173D">
              <w:rPr>
                <w:iCs/>
                <w:color w:val="000000"/>
                <w:sz w:val="16"/>
                <w:szCs w:val="16"/>
                <w:lang w:val="en-GB"/>
              </w:rPr>
              <w:t>relevant policy advice to LLDCs</w:t>
            </w:r>
            <w:r w:rsidR="00A44E60" w:rsidRPr="0035173D">
              <w:rPr>
                <w:iCs/>
                <w:color w:val="000000"/>
                <w:sz w:val="16"/>
                <w:szCs w:val="16"/>
                <w:lang w:val="en-GB"/>
              </w:rPr>
              <w:t>,</w:t>
            </w:r>
            <w:r w:rsidR="00480486" w:rsidRPr="0035173D">
              <w:rPr>
                <w:iCs/>
                <w:color w:val="000000"/>
                <w:sz w:val="16"/>
                <w:szCs w:val="16"/>
                <w:lang w:val="en-GB"/>
              </w:rPr>
              <w:t xml:space="preserve"> including on the 2030 Agenda</w:t>
            </w:r>
          </w:p>
          <w:p w14:paraId="0A8DC1F7" w14:textId="77777777" w:rsidR="00DC68C3" w:rsidRPr="0035173D" w:rsidRDefault="00DC68C3" w:rsidP="0003657F">
            <w:pPr>
              <w:pStyle w:val="ListParagraph"/>
              <w:tabs>
                <w:tab w:val="left" w:pos="335"/>
              </w:tabs>
              <w:ind w:left="13" w:hanging="13"/>
              <w:rPr>
                <w:iCs/>
                <w:color w:val="000000"/>
                <w:sz w:val="16"/>
                <w:szCs w:val="16"/>
                <w:lang w:val="en-GB"/>
              </w:rPr>
            </w:pPr>
          </w:p>
          <w:p w14:paraId="7B56CA3D" w14:textId="471118D3" w:rsidR="00BE718B" w:rsidRPr="0035173D" w:rsidRDefault="00BE718B" w:rsidP="0003657F">
            <w:pPr>
              <w:pStyle w:val="ListParagraph"/>
              <w:tabs>
                <w:tab w:val="left" w:pos="335"/>
              </w:tabs>
              <w:ind w:left="13" w:hanging="13"/>
              <w:rPr>
                <w:iCs/>
                <w:color w:val="000000"/>
                <w:sz w:val="16"/>
                <w:szCs w:val="16"/>
                <w:lang w:val="en-GB"/>
              </w:rPr>
            </w:pPr>
            <w:r w:rsidRPr="0003657F">
              <w:rPr>
                <w:i/>
                <w:iCs/>
                <w:color w:val="000000"/>
                <w:sz w:val="16"/>
                <w:szCs w:val="16"/>
                <w:lang w:val="en-GB"/>
              </w:rPr>
              <w:t>Indicator</w:t>
            </w:r>
            <w:r w:rsidR="00415646" w:rsidRPr="0003657F">
              <w:rPr>
                <w:i/>
                <w:iCs/>
                <w:color w:val="000000"/>
                <w:sz w:val="16"/>
                <w:szCs w:val="16"/>
                <w:lang w:val="en-GB"/>
              </w:rPr>
              <w:t xml:space="preserve"> 1.2.1</w:t>
            </w:r>
            <w:r w:rsidR="00415646" w:rsidRPr="0035173D">
              <w:rPr>
                <w:iCs/>
                <w:color w:val="000000"/>
                <w:sz w:val="16"/>
                <w:szCs w:val="16"/>
                <w:lang w:val="en-GB"/>
              </w:rPr>
              <w:t>.</w:t>
            </w:r>
            <w:r w:rsidRPr="0035173D">
              <w:rPr>
                <w:iCs/>
                <w:color w:val="000000"/>
                <w:sz w:val="16"/>
                <w:szCs w:val="16"/>
                <w:lang w:val="en-GB"/>
              </w:rPr>
              <w:t xml:space="preserve"> Extent to which other LLDCs acknowledge the capacity of the ITT. </w:t>
            </w:r>
          </w:p>
          <w:p w14:paraId="59A2481A" w14:textId="6501FD0D" w:rsidR="00BE718B" w:rsidRPr="0035173D" w:rsidRDefault="00BE718B" w:rsidP="0003657F">
            <w:pPr>
              <w:pStyle w:val="ListParagraph"/>
              <w:tabs>
                <w:tab w:val="left" w:pos="335"/>
              </w:tabs>
              <w:ind w:left="13" w:hanging="13"/>
              <w:rPr>
                <w:iCs/>
                <w:color w:val="000000"/>
                <w:sz w:val="16"/>
                <w:szCs w:val="16"/>
                <w:lang w:val="en-GB"/>
              </w:rPr>
            </w:pPr>
            <w:r w:rsidRPr="0035173D">
              <w:rPr>
                <w:iCs/>
                <w:color w:val="000000"/>
                <w:sz w:val="16"/>
                <w:szCs w:val="16"/>
                <w:lang w:val="en-GB"/>
              </w:rPr>
              <w:t>Baseline</w:t>
            </w:r>
            <w:r w:rsidR="001F6D0C" w:rsidRPr="0035173D">
              <w:rPr>
                <w:iCs/>
                <w:color w:val="000000"/>
                <w:sz w:val="16"/>
                <w:szCs w:val="16"/>
                <w:lang w:val="en-GB"/>
              </w:rPr>
              <w:t xml:space="preserve"> (2016)</w:t>
            </w:r>
            <w:r w:rsidRPr="0035173D">
              <w:rPr>
                <w:iCs/>
                <w:color w:val="000000"/>
                <w:sz w:val="16"/>
                <w:szCs w:val="16"/>
                <w:lang w:val="en-GB"/>
              </w:rPr>
              <w:t>:</w:t>
            </w:r>
            <w:r w:rsidRPr="0003657F">
              <w:rPr>
                <w:sz w:val="16"/>
                <w:szCs w:val="16"/>
                <w:lang w:val="en-GB"/>
              </w:rPr>
              <w:t xml:space="preserve"> </w:t>
            </w:r>
            <w:r w:rsidRPr="0035173D">
              <w:rPr>
                <w:iCs/>
                <w:color w:val="000000"/>
                <w:sz w:val="16"/>
                <w:szCs w:val="16"/>
                <w:lang w:val="en-GB"/>
              </w:rPr>
              <w:t>1</w:t>
            </w:r>
            <w:r w:rsidR="00415646" w:rsidRPr="0035173D">
              <w:rPr>
                <w:iCs/>
                <w:color w:val="000000"/>
                <w:sz w:val="16"/>
                <w:szCs w:val="16"/>
                <w:lang w:val="en-GB"/>
              </w:rPr>
              <w:t xml:space="preserve"> </w:t>
            </w:r>
            <w:r w:rsidR="008F0002" w:rsidRPr="0035173D">
              <w:rPr>
                <w:iCs/>
                <w:color w:val="000000"/>
                <w:sz w:val="16"/>
                <w:szCs w:val="16"/>
                <w:lang w:val="en-GB"/>
              </w:rPr>
              <w:t>(partially)</w:t>
            </w:r>
            <w:r w:rsidR="00E55F1C">
              <w:rPr>
                <w:iCs/>
                <w:color w:val="000000"/>
                <w:sz w:val="16"/>
                <w:szCs w:val="16"/>
                <w:lang w:val="en-GB"/>
              </w:rPr>
              <w:t xml:space="preserve">; </w:t>
            </w:r>
            <w:r w:rsidR="003F08EC">
              <w:rPr>
                <w:iCs/>
                <w:color w:val="000000"/>
                <w:sz w:val="16"/>
                <w:szCs w:val="16"/>
                <w:lang w:val="en-GB"/>
              </w:rPr>
              <w:t>t</w:t>
            </w:r>
            <w:r w:rsidRPr="0035173D">
              <w:rPr>
                <w:iCs/>
                <w:color w:val="000000"/>
                <w:sz w:val="16"/>
                <w:szCs w:val="16"/>
                <w:lang w:val="en-GB"/>
              </w:rPr>
              <w:t>arget</w:t>
            </w:r>
            <w:r w:rsidR="008F0002" w:rsidRPr="0035173D">
              <w:rPr>
                <w:iCs/>
                <w:color w:val="000000"/>
                <w:sz w:val="16"/>
                <w:szCs w:val="16"/>
                <w:lang w:val="en-GB"/>
              </w:rPr>
              <w:t xml:space="preserve"> (2021)</w:t>
            </w:r>
            <w:r w:rsidRPr="0035173D">
              <w:rPr>
                <w:iCs/>
                <w:color w:val="000000"/>
                <w:sz w:val="16"/>
                <w:szCs w:val="16"/>
                <w:lang w:val="en-GB"/>
              </w:rPr>
              <w:t>: 3</w:t>
            </w:r>
            <w:r w:rsidR="008F0002" w:rsidRPr="0035173D">
              <w:rPr>
                <w:iCs/>
                <w:color w:val="000000"/>
                <w:sz w:val="16"/>
                <w:szCs w:val="16"/>
                <w:lang w:val="en-GB"/>
              </w:rPr>
              <w:t xml:space="preserve"> (fully)</w:t>
            </w:r>
          </w:p>
          <w:p w14:paraId="41B4FD8A" w14:textId="1855BF74" w:rsidR="006876E6" w:rsidRPr="0035173D" w:rsidRDefault="00BE718B" w:rsidP="0003657F">
            <w:pPr>
              <w:pStyle w:val="ListParagraph"/>
              <w:tabs>
                <w:tab w:val="left" w:pos="335"/>
              </w:tabs>
              <w:ind w:left="13" w:hanging="13"/>
              <w:rPr>
                <w:b/>
                <w:bCs/>
                <w:color w:val="000000"/>
                <w:sz w:val="16"/>
                <w:szCs w:val="16"/>
                <w:lang w:val="en-GB"/>
              </w:rPr>
            </w:pPr>
            <w:r w:rsidRPr="0035173D">
              <w:rPr>
                <w:iCs/>
                <w:color w:val="000000"/>
                <w:sz w:val="16"/>
                <w:szCs w:val="16"/>
                <w:lang w:val="en-GB"/>
              </w:rPr>
              <w:t xml:space="preserve">Data source: </w:t>
            </w:r>
            <w:r w:rsidR="003F08EC">
              <w:rPr>
                <w:iCs/>
                <w:color w:val="000000"/>
                <w:sz w:val="16"/>
                <w:szCs w:val="16"/>
                <w:lang w:val="en-GB"/>
              </w:rPr>
              <w:t>s</w:t>
            </w:r>
            <w:r w:rsidR="007851C6" w:rsidRPr="0035173D">
              <w:rPr>
                <w:iCs/>
                <w:color w:val="000000"/>
                <w:sz w:val="16"/>
                <w:szCs w:val="16"/>
                <w:lang w:val="en-GB"/>
              </w:rPr>
              <w:t>urvey among LLDCs receiving support</w:t>
            </w:r>
          </w:p>
          <w:p w14:paraId="576F66C8" w14:textId="5AEA0481" w:rsidR="00BE718B" w:rsidRPr="0035173D" w:rsidRDefault="00BE718B" w:rsidP="0003657F">
            <w:pPr>
              <w:pStyle w:val="ListParagraph"/>
              <w:tabs>
                <w:tab w:val="left" w:pos="335"/>
              </w:tabs>
              <w:ind w:left="13" w:hanging="13"/>
              <w:rPr>
                <w:b/>
                <w:bCs/>
                <w:color w:val="000000"/>
                <w:sz w:val="16"/>
                <w:szCs w:val="16"/>
                <w:lang w:val="en-GB"/>
              </w:rPr>
            </w:pPr>
            <w:r w:rsidRPr="0035173D">
              <w:rPr>
                <w:iCs/>
                <w:color w:val="000000"/>
                <w:sz w:val="16"/>
                <w:szCs w:val="16"/>
                <w:lang w:val="en-GB"/>
              </w:rPr>
              <w:t xml:space="preserve">Frequency: </w:t>
            </w:r>
            <w:r w:rsidR="003F08EC">
              <w:rPr>
                <w:iCs/>
                <w:color w:val="000000"/>
                <w:sz w:val="16"/>
                <w:szCs w:val="16"/>
                <w:lang w:val="en-GB"/>
              </w:rPr>
              <w:t>a</w:t>
            </w:r>
            <w:r w:rsidRPr="0035173D">
              <w:rPr>
                <w:iCs/>
                <w:color w:val="000000"/>
                <w:sz w:val="16"/>
                <w:szCs w:val="16"/>
                <w:lang w:val="en-GB"/>
              </w:rPr>
              <w:t>nnual</w:t>
            </w:r>
          </w:p>
          <w:p w14:paraId="67C6E3B7" w14:textId="77777777" w:rsidR="00415646" w:rsidRPr="0035173D" w:rsidRDefault="00415646" w:rsidP="0003657F">
            <w:pPr>
              <w:pStyle w:val="ListParagraph"/>
              <w:tabs>
                <w:tab w:val="left" w:pos="335"/>
              </w:tabs>
              <w:ind w:left="13" w:hanging="13"/>
              <w:rPr>
                <w:b/>
                <w:bCs/>
                <w:color w:val="000000"/>
                <w:sz w:val="16"/>
                <w:szCs w:val="16"/>
                <w:lang w:val="en-GB"/>
              </w:rPr>
            </w:pPr>
          </w:p>
          <w:p w14:paraId="541AD43F" w14:textId="5F4985F7" w:rsidR="00415646" w:rsidRPr="0035173D" w:rsidRDefault="00415646" w:rsidP="0003657F">
            <w:pPr>
              <w:pStyle w:val="ListParagraph"/>
              <w:tabs>
                <w:tab w:val="left" w:pos="335"/>
              </w:tabs>
              <w:ind w:left="13" w:hanging="13"/>
              <w:rPr>
                <w:b/>
                <w:bCs/>
                <w:color w:val="000000"/>
                <w:sz w:val="16"/>
                <w:szCs w:val="16"/>
                <w:lang w:val="en-GB"/>
              </w:rPr>
            </w:pPr>
            <w:r w:rsidRPr="0003657F">
              <w:rPr>
                <w:i/>
                <w:iCs/>
                <w:color w:val="000000"/>
                <w:sz w:val="16"/>
                <w:szCs w:val="16"/>
                <w:lang w:val="en-GB"/>
              </w:rPr>
              <w:t>Indicator 1.2.2.</w:t>
            </w:r>
            <w:r w:rsidRPr="0035173D">
              <w:rPr>
                <w:iCs/>
                <w:color w:val="000000"/>
                <w:sz w:val="16"/>
                <w:szCs w:val="16"/>
                <w:lang w:val="en-GB"/>
              </w:rPr>
              <w:t xml:space="preserve"> Number of South-South and </w:t>
            </w:r>
            <w:r w:rsidR="00F84902">
              <w:rPr>
                <w:iCs/>
                <w:color w:val="000000"/>
                <w:sz w:val="16"/>
                <w:szCs w:val="16"/>
                <w:lang w:val="en-GB"/>
              </w:rPr>
              <w:t>t</w:t>
            </w:r>
            <w:r w:rsidRPr="0035173D">
              <w:rPr>
                <w:iCs/>
                <w:color w:val="000000"/>
                <w:sz w:val="16"/>
                <w:szCs w:val="16"/>
                <w:lang w:val="en-GB"/>
              </w:rPr>
              <w:t>riangular cooperation partnerships that deliver measurable and sustainable development benefits for participants</w:t>
            </w:r>
          </w:p>
          <w:p w14:paraId="46F14ECD" w14:textId="3A39D7B2" w:rsidR="00350B0A" w:rsidRPr="0035173D" w:rsidRDefault="00415646" w:rsidP="0003657F">
            <w:pPr>
              <w:pStyle w:val="ListParagraph"/>
              <w:tabs>
                <w:tab w:val="left" w:pos="335"/>
              </w:tabs>
              <w:ind w:left="13" w:hanging="13"/>
              <w:rPr>
                <w:b/>
                <w:bCs/>
                <w:color w:val="000000"/>
                <w:sz w:val="16"/>
                <w:szCs w:val="16"/>
                <w:lang w:val="en-GB"/>
              </w:rPr>
            </w:pPr>
            <w:r w:rsidRPr="0035173D">
              <w:rPr>
                <w:iCs/>
                <w:color w:val="000000"/>
                <w:sz w:val="16"/>
                <w:szCs w:val="16"/>
                <w:lang w:val="en-GB"/>
              </w:rPr>
              <w:t>Baseline (2016): 0</w:t>
            </w:r>
            <w:r w:rsidR="00E55F1C">
              <w:rPr>
                <w:iCs/>
                <w:color w:val="000000"/>
                <w:sz w:val="16"/>
                <w:szCs w:val="16"/>
                <w:lang w:val="en-GB"/>
              </w:rPr>
              <w:t>; t</w:t>
            </w:r>
            <w:r w:rsidRPr="0035173D">
              <w:rPr>
                <w:iCs/>
                <w:color w:val="000000"/>
                <w:sz w:val="16"/>
                <w:szCs w:val="16"/>
                <w:lang w:val="en-GB"/>
              </w:rPr>
              <w:t>arget: 4</w:t>
            </w:r>
            <w:r w:rsidR="00BF4156" w:rsidRPr="0035173D">
              <w:rPr>
                <w:iCs/>
                <w:color w:val="000000"/>
                <w:sz w:val="16"/>
                <w:szCs w:val="16"/>
                <w:lang w:val="en-GB"/>
              </w:rPr>
              <w:t xml:space="preserve"> </w:t>
            </w:r>
          </w:p>
          <w:p w14:paraId="7BD64B8D" w14:textId="2C19F14D" w:rsidR="00415646" w:rsidRPr="0035173D" w:rsidRDefault="00415646" w:rsidP="0003657F">
            <w:pPr>
              <w:pStyle w:val="ListParagraph"/>
              <w:tabs>
                <w:tab w:val="left" w:pos="335"/>
              </w:tabs>
              <w:ind w:left="13" w:hanging="13"/>
              <w:rPr>
                <w:b/>
                <w:bCs/>
                <w:color w:val="000000"/>
                <w:sz w:val="16"/>
                <w:szCs w:val="16"/>
                <w:lang w:val="en-GB"/>
              </w:rPr>
            </w:pPr>
            <w:r w:rsidRPr="0035173D">
              <w:rPr>
                <w:iCs/>
                <w:color w:val="000000"/>
                <w:sz w:val="16"/>
                <w:szCs w:val="16"/>
                <w:lang w:val="en-GB"/>
              </w:rPr>
              <w:t xml:space="preserve">Data source: LLDC ITT </w:t>
            </w:r>
            <w:r w:rsidR="00F84902">
              <w:rPr>
                <w:iCs/>
                <w:color w:val="000000"/>
                <w:sz w:val="16"/>
                <w:szCs w:val="16"/>
                <w:lang w:val="en-GB"/>
              </w:rPr>
              <w:t>a</w:t>
            </w:r>
            <w:r w:rsidRPr="0035173D">
              <w:rPr>
                <w:iCs/>
                <w:color w:val="000000"/>
                <w:sz w:val="16"/>
                <w:szCs w:val="16"/>
                <w:lang w:val="en-GB"/>
              </w:rPr>
              <w:t xml:space="preserve">nnual </w:t>
            </w:r>
            <w:r w:rsidR="00F84902">
              <w:rPr>
                <w:iCs/>
                <w:color w:val="000000"/>
                <w:sz w:val="16"/>
                <w:szCs w:val="16"/>
                <w:lang w:val="en-GB"/>
              </w:rPr>
              <w:t>r</w:t>
            </w:r>
            <w:r w:rsidRPr="0035173D">
              <w:rPr>
                <w:iCs/>
                <w:color w:val="000000"/>
                <w:sz w:val="16"/>
                <w:szCs w:val="16"/>
                <w:lang w:val="en-GB"/>
              </w:rPr>
              <w:t>eport</w:t>
            </w:r>
          </w:p>
          <w:p w14:paraId="671D6B4A" w14:textId="271C57B6" w:rsidR="00415646" w:rsidRPr="0035173D" w:rsidRDefault="00415646" w:rsidP="0003657F">
            <w:pPr>
              <w:pStyle w:val="ListParagraph"/>
              <w:tabs>
                <w:tab w:val="left" w:pos="335"/>
              </w:tabs>
              <w:ind w:left="13" w:hanging="13"/>
              <w:rPr>
                <w:b/>
                <w:bCs/>
                <w:color w:val="000000"/>
                <w:sz w:val="16"/>
                <w:szCs w:val="16"/>
                <w:lang w:val="en-GB"/>
              </w:rPr>
            </w:pPr>
            <w:r w:rsidRPr="0035173D">
              <w:rPr>
                <w:iCs/>
                <w:color w:val="000000"/>
                <w:sz w:val="16"/>
                <w:szCs w:val="16"/>
                <w:lang w:val="en-GB"/>
              </w:rPr>
              <w:t xml:space="preserve">Frequency: </w:t>
            </w:r>
            <w:r w:rsidR="003F08EC">
              <w:rPr>
                <w:iCs/>
                <w:color w:val="000000"/>
                <w:sz w:val="16"/>
                <w:szCs w:val="16"/>
                <w:lang w:val="en-GB"/>
              </w:rPr>
              <w:t>a</w:t>
            </w:r>
            <w:r w:rsidRPr="0035173D">
              <w:rPr>
                <w:iCs/>
                <w:color w:val="000000"/>
                <w:sz w:val="16"/>
                <w:szCs w:val="16"/>
                <w:lang w:val="en-GB"/>
              </w:rPr>
              <w:t>nnual</w:t>
            </w:r>
          </w:p>
        </w:tc>
        <w:tc>
          <w:tcPr>
            <w:tcW w:w="791" w:type="pct"/>
            <w:vMerge w:val="restart"/>
          </w:tcPr>
          <w:p w14:paraId="6EA9D484" w14:textId="77777777" w:rsidR="006247F0" w:rsidRDefault="006876E6" w:rsidP="00F805F7">
            <w:pPr>
              <w:rPr>
                <w:iCs/>
                <w:color w:val="000000"/>
                <w:sz w:val="16"/>
                <w:szCs w:val="16"/>
                <w:lang w:val="en-GB"/>
              </w:rPr>
            </w:pPr>
            <w:r w:rsidRPr="0035173D">
              <w:rPr>
                <w:iCs/>
                <w:color w:val="000000"/>
                <w:sz w:val="16"/>
                <w:szCs w:val="16"/>
                <w:lang w:val="en-GB"/>
              </w:rPr>
              <w:t xml:space="preserve">Government: Parliament, </w:t>
            </w:r>
            <w:r w:rsidR="006C36EB" w:rsidRPr="0003657F">
              <w:rPr>
                <w:iCs/>
                <w:color w:val="000000"/>
                <w:sz w:val="16"/>
                <w:szCs w:val="16"/>
                <w:lang w:val="en-GB"/>
              </w:rPr>
              <w:t>Ministry of Environment, Green Development and Tourism</w:t>
            </w:r>
            <w:r w:rsidR="006C36EB" w:rsidRPr="0035173D">
              <w:rPr>
                <w:iCs/>
                <w:color w:val="000000"/>
                <w:sz w:val="16"/>
                <w:szCs w:val="16"/>
                <w:lang w:val="en-GB"/>
              </w:rPr>
              <w:t xml:space="preserve"> (</w:t>
            </w:r>
            <w:r w:rsidRPr="0035173D">
              <w:rPr>
                <w:iCs/>
                <w:color w:val="000000"/>
                <w:sz w:val="16"/>
                <w:szCs w:val="16"/>
                <w:lang w:val="en-GB"/>
              </w:rPr>
              <w:t>MEGDT</w:t>
            </w:r>
            <w:r w:rsidR="006C36EB" w:rsidRPr="0035173D">
              <w:rPr>
                <w:iCs/>
                <w:color w:val="000000"/>
                <w:sz w:val="16"/>
                <w:szCs w:val="16"/>
                <w:lang w:val="en-GB"/>
              </w:rPr>
              <w:t>)</w:t>
            </w:r>
            <w:r w:rsidRPr="0035173D">
              <w:rPr>
                <w:iCs/>
                <w:color w:val="000000"/>
                <w:sz w:val="16"/>
                <w:szCs w:val="16"/>
                <w:lang w:val="en-GB"/>
              </w:rPr>
              <w:t>,</w:t>
            </w:r>
          </w:p>
          <w:p w14:paraId="044AB59B" w14:textId="7613EF1B" w:rsidR="006247F0" w:rsidRDefault="006247F0" w:rsidP="00F805F7">
            <w:pPr>
              <w:rPr>
                <w:iCs/>
                <w:color w:val="000000"/>
                <w:sz w:val="16"/>
                <w:szCs w:val="16"/>
                <w:lang w:val="en-GB"/>
              </w:rPr>
            </w:pPr>
            <w:r>
              <w:rPr>
                <w:iCs/>
                <w:color w:val="000000"/>
                <w:sz w:val="16"/>
                <w:szCs w:val="16"/>
                <w:lang w:val="en-GB"/>
              </w:rPr>
              <w:t xml:space="preserve">Ministry of Agriculture </w:t>
            </w:r>
          </w:p>
          <w:p w14:paraId="4125B348" w14:textId="75C8DD82" w:rsidR="006247F0" w:rsidRDefault="006247F0" w:rsidP="00F805F7">
            <w:pPr>
              <w:rPr>
                <w:iCs/>
                <w:color w:val="000000"/>
                <w:sz w:val="16"/>
                <w:szCs w:val="16"/>
                <w:lang w:val="en-GB"/>
              </w:rPr>
            </w:pPr>
            <w:r>
              <w:rPr>
                <w:iCs/>
                <w:color w:val="000000"/>
                <w:sz w:val="16"/>
                <w:szCs w:val="16"/>
                <w:lang w:val="en-GB"/>
              </w:rPr>
              <w:t>Ulaanbaatar</w:t>
            </w:r>
            <w:r w:rsidR="006876E6" w:rsidRPr="0035173D">
              <w:rPr>
                <w:iCs/>
                <w:color w:val="000000"/>
                <w:sz w:val="16"/>
                <w:szCs w:val="16"/>
                <w:lang w:val="en-GB"/>
              </w:rPr>
              <w:t xml:space="preserve"> City</w:t>
            </w:r>
          </w:p>
          <w:p w14:paraId="5E5B9EEE" w14:textId="311FF45E" w:rsidR="006247F0" w:rsidRDefault="006876E6" w:rsidP="00F805F7">
            <w:pPr>
              <w:rPr>
                <w:iCs/>
                <w:color w:val="000000"/>
                <w:sz w:val="16"/>
                <w:szCs w:val="16"/>
                <w:lang w:val="en-GB"/>
              </w:rPr>
            </w:pPr>
            <w:r w:rsidRPr="0035173D">
              <w:rPr>
                <w:iCs/>
                <w:color w:val="000000"/>
                <w:sz w:val="16"/>
                <w:szCs w:val="16"/>
                <w:lang w:val="en-GB"/>
              </w:rPr>
              <w:t>M</w:t>
            </w:r>
            <w:r w:rsidR="006247F0">
              <w:rPr>
                <w:iCs/>
                <w:color w:val="000000"/>
                <w:sz w:val="16"/>
                <w:szCs w:val="16"/>
                <w:lang w:val="en-GB"/>
              </w:rPr>
              <w:t>inistry of Finance</w:t>
            </w:r>
          </w:p>
          <w:p w14:paraId="7BECFF20" w14:textId="77777777" w:rsidR="006247F0" w:rsidRDefault="006876E6" w:rsidP="00F805F7">
            <w:pPr>
              <w:rPr>
                <w:iCs/>
                <w:color w:val="000000"/>
                <w:sz w:val="16"/>
                <w:szCs w:val="16"/>
                <w:lang w:val="en-GB"/>
              </w:rPr>
            </w:pPr>
            <w:r w:rsidRPr="0035173D">
              <w:rPr>
                <w:iCs/>
                <w:color w:val="000000"/>
                <w:sz w:val="16"/>
                <w:szCs w:val="16"/>
                <w:lang w:val="en-GB"/>
              </w:rPr>
              <w:t>NSO</w:t>
            </w:r>
          </w:p>
          <w:p w14:paraId="4E0479B1" w14:textId="25184BF8" w:rsidR="00373F89" w:rsidRDefault="006876E6" w:rsidP="00F805F7">
            <w:pPr>
              <w:rPr>
                <w:iCs/>
                <w:color w:val="000000"/>
                <w:sz w:val="16"/>
                <w:szCs w:val="16"/>
                <w:lang w:val="en-GB"/>
              </w:rPr>
            </w:pPr>
            <w:r w:rsidRPr="0035173D">
              <w:rPr>
                <w:iCs/>
                <w:color w:val="000000"/>
                <w:sz w:val="16"/>
                <w:szCs w:val="16"/>
                <w:lang w:val="en-GB"/>
              </w:rPr>
              <w:t>M</w:t>
            </w:r>
            <w:r w:rsidR="00373F89">
              <w:rPr>
                <w:iCs/>
                <w:color w:val="000000"/>
                <w:sz w:val="16"/>
                <w:szCs w:val="16"/>
                <w:lang w:val="en-GB"/>
              </w:rPr>
              <w:t>inistry of Labour (M</w:t>
            </w:r>
            <w:r w:rsidRPr="0035173D">
              <w:rPr>
                <w:iCs/>
                <w:color w:val="000000"/>
                <w:sz w:val="16"/>
                <w:szCs w:val="16"/>
                <w:lang w:val="en-GB"/>
              </w:rPr>
              <w:t>OL</w:t>
            </w:r>
            <w:r w:rsidR="00373F89">
              <w:rPr>
                <w:iCs/>
                <w:color w:val="000000"/>
                <w:sz w:val="16"/>
                <w:szCs w:val="16"/>
                <w:lang w:val="en-GB"/>
              </w:rPr>
              <w:t>)</w:t>
            </w:r>
            <w:r w:rsidRPr="0035173D">
              <w:rPr>
                <w:iCs/>
                <w:color w:val="000000"/>
                <w:sz w:val="16"/>
                <w:szCs w:val="16"/>
                <w:lang w:val="en-GB"/>
              </w:rPr>
              <w:t xml:space="preserve"> </w:t>
            </w:r>
            <w:r w:rsidR="00373F89" w:rsidRPr="0003657F">
              <w:rPr>
                <w:iCs/>
                <w:color w:val="000000"/>
                <w:sz w:val="16"/>
                <w:szCs w:val="16"/>
                <w:lang w:val="en-GB"/>
              </w:rPr>
              <w:t>Ministry of Population Development and Social Protection</w:t>
            </w:r>
            <w:r w:rsidR="00373F89">
              <w:rPr>
                <w:rFonts w:ascii="Arial" w:hAnsi="Arial" w:cs="Arial"/>
                <w:color w:val="545454"/>
                <w:shd w:val="clear" w:color="auto" w:fill="FFFFFF"/>
              </w:rPr>
              <w:t xml:space="preserve"> (</w:t>
            </w:r>
            <w:r w:rsidRPr="0035173D">
              <w:rPr>
                <w:iCs/>
                <w:color w:val="000000"/>
                <w:sz w:val="16"/>
                <w:szCs w:val="16"/>
                <w:lang w:val="en-GB"/>
              </w:rPr>
              <w:t>MPDSP</w:t>
            </w:r>
            <w:r w:rsidR="00373F89">
              <w:rPr>
                <w:iCs/>
                <w:color w:val="000000"/>
                <w:sz w:val="16"/>
                <w:szCs w:val="16"/>
                <w:lang w:val="en-GB"/>
              </w:rPr>
              <w:t>)</w:t>
            </w:r>
          </w:p>
          <w:p w14:paraId="1CBD59F0" w14:textId="699686A7" w:rsidR="00373F89" w:rsidRDefault="00373F89" w:rsidP="00F805F7">
            <w:pPr>
              <w:rPr>
                <w:iCs/>
                <w:color w:val="000000"/>
                <w:sz w:val="16"/>
                <w:szCs w:val="16"/>
                <w:lang w:val="en-GB"/>
              </w:rPr>
            </w:pPr>
            <w:r>
              <w:rPr>
                <w:iCs/>
                <w:color w:val="000000"/>
                <w:sz w:val="16"/>
                <w:szCs w:val="16"/>
                <w:lang w:val="en-GB"/>
              </w:rPr>
              <w:t>Ministry of Foreign Affairs (</w:t>
            </w:r>
            <w:r w:rsidR="006876E6" w:rsidRPr="0035173D">
              <w:rPr>
                <w:iCs/>
                <w:color w:val="000000"/>
                <w:sz w:val="16"/>
                <w:szCs w:val="16"/>
                <w:lang w:val="en-GB"/>
              </w:rPr>
              <w:t>MOFA</w:t>
            </w:r>
            <w:r>
              <w:rPr>
                <w:iCs/>
                <w:color w:val="000000"/>
                <w:sz w:val="16"/>
                <w:szCs w:val="16"/>
                <w:lang w:val="en-GB"/>
              </w:rPr>
              <w:t>)</w:t>
            </w:r>
          </w:p>
          <w:p w14:paraId="27300F7A" w14:textId="77777777" w:rsidR="006876E6" w:rsidRPr="0035173D" w:rsidRDefault="006876E6" w:rsidP="00F805F7">
            <w:pPr>
              <w:rPr>
                <w:iCs/>
                <w:color w:val="000000"/>
                <w:sz w:val="16"/>
                <w:szCs w:val="16"/>
                <w:lang w:val="en-GB"/>
              </w:rPr>
            </w:pPr>
            <w:r w:rsidRPr="0035173D">
              <w:rPr>
                <w:iCs/>
                <w:color w:val="000000"/>
                <w:sz w:val="16"/>
                <w:szCs w:val="16"/>
                <w:lang w:val="en-GB"/>
              </w:rPr>
              <w:t>Local government</w:t>
            </w:r>
          </w:p>
          <w:p w14:paraId="79CE7324" w14:textId="4EB8B52B" w:rsidR="00067D80" w:rsidRPr="0035173D" w:rsidRDefault="00067D80" w:rsidP="00067D80">
            <w:pPr>
              <w:rPr>
                <w:iCs/>
                <w:color w:val="000000"/>
                <w:sz w:val="16"/>
                <w:szCs w:val="16"/>
                <w:lang w:val="en-GB"/>
              </w:rPr>
            </w:pPr>
            <w:r w:rsidRPr="0035173D">
              <w:rPr>
                <w:iCs/>
                <w:color w:val="000000"/>
                <w:sz w:val="16"/>
                <w:szCs w:val="16"/>
                <w:lang w:val="en-GB"/>
              </w:rPr>
              <w:t>U</w:t>
            </w:r>
            <w:r w:rsidR="00373F89">
              <w:rPr>
                <w:iCs/>
                <w:color w:val="000000"/>
                <w:sz w:val="16"/>
                <w:szCs w:val="16"/>
                <w:lang w:val="en-GB"/>
              </w:rPr>
              <w:t>nited Nations organizations</w:t>
            </w:r>
          </w:p>
          <w:p w14:paraId="00241249" w14:textId="77777777" w:rsidR="006876E6" w:rsidRPr="0035173D" w:rsidRDefault="006876E6" w:rsidP="00F805F7">
            <w:pPr>
              <w:rPr>
                <w:iCs/>
                <w:color w:val="000000"/>
                <w:sz w:val="16"/>
                <w:szCs w:val="16"/>
                <w:lang w:val="en-GB"/>
              </w:rPr>
            </w:pPr>
            <w:r w:rsidRPr="0035173D">
              <w:rPr>
                <w:iCs/>
                <w:color w:val="000000"/>
                <w:sz w:val="16"/>
                <w:szCs w:val="16"/>
                <w:lang w:val="en-GB"/>
              </w:rPr>
              <w:t>Civil society</w:t>
            </w:r>
          </w:p>
          <w:p w14:paraId="02DE24B5" w14:textId="77777777" w:rsidR="006876E6" w:rsidRPr="0035173D" w:rsidRDefault="006876E6" w:rsidP="00F805F7">
            <w:pPr>
              <w:rPr>
                <w:iCs/>
                <w:color w:val="000000"/>
                <w:sz w:val="16"/>
                <w:szCs w:val="16"/>
                <w:lang w:val="en-GB"/>
              </w:rPr>
            </w:pPr>
            <w:r w:rsidRPr="0035173D">
              <w:rPr>
                <w:iCs/>
                <w:color w:val="000000"/>
                <w:sz w:val="16"/>
                <w:szCs w:val="16"/>
                <w:lang w:val="en-GB"/>
              </w:rPr>
              <w:t>Private sector</w:t>
            </w:r>
          </w:p>
          <w:p w14:paraId="1F32F159" w14:textId="77777777" w:rsidR="006876E6" w:rsidRPr="0035173D" w:rsidRDefault="006876E6">
            <w:pPr>
              <w:rPr>
                <w:iCs/>
                <w:color w:val="000000"/>
                <w:sz w:val="16"/>
                <w:szCs w:val="16"/>
                <w:lang w:val="en-GB"/>
              </w:rPr>
            </w:pPr>
            <w:r w:rsidRPr="0035173D">
              <w:rPr>
                <w:iCs/>
                <w:color w:val="000000"/>
                <w:sz w:val="16"/>
                <w:szCs w:val="16"/>
                <w:lang w:val="en-GB"/>
              </w:rPr>
              <w:t>Development partners</w:t>
            </w:r>
          </w:p>
        </w:tc>
        <w:tc>
          <w:tcPr>
            <w:tcW w:w="599" w:type="pct"/>
            <w:gridSpan w:val="2"/>
            <w:tcMar>
              <w:top w:w="15" w:type="dxa"/>
              <w:left w:w="108" w:type="dxa"/>
              <w:bottom w:w="0" w:type="dxa"/>
              <w:right w:w="108" w:type="dxa"/>
            </w:tcMar>
          </w:tcPr>
          <w:p w14:paraId="0061B106" w14:textId="1F0B202B" w:rsidR="006876E6" w:rsidRPr="0003657F" w:rsidRDefault="006876E6" w:rsidP="00F805F7">
            <w:pPr>
              <w:rPr>
                <w:b/>
                <w:color w:val="000000"/>
                <w:sz w:val="16"/>
                <w:szCs w:val="16"/>
                <w:lang w:val="en-GB"/>
              </w:rPr>
            </w:pPr>
            <w:r w:rsidRPr="0003657F">
              <w:rPr>
                <w:b/>
                <w:color w:val="000000"/>
                <w:sz w:val="16"/>
                <w:szCs w:val="16"/>
                <w:lang w:val="en-GB"/>
              </w:rPr>
              <w:t>Regular 1,400</w:t>
            </w:r>
          </w:p>
        </w:tc>
      </w:tr>
      <w:tr w:rsidR="006876E6" w:rsidRPr="0035173D" w14:paraId="622576D2" w14:textId="77777777" w:rsidTr="0003657F">
        <w:tc>
          <w:tcPr>
            <w:tcW w:w="1100" w:type="pct"/>
            <w:vMerge/>
            <w:tcMar>
              <w:top w:w="72" w:type="dxa"/>
              <w:left w:w="144" w:type="dxa"/>
              <w:bottom w:w="72" w:type="dxa"/>
              <w:right w:w="144" w:type="dxa"/>
            </w:tcMar>
          </w:tcPr>
          <w:p w14:paraId="7145A495" w14:textId="77777777" w:rsidR="006876E6" w:rsidRPr="0035173D" w:rsidRDefault="006876E6" w:rsidP="00F805F7">
            <w:pPr>
              <w:rPr>
                <w:iCs/>
                <w:color w:val="000000"/>
                <w:sz w:val="16"/>
                <w:szCs w:val="16"/>
                <w:lang w:val="en-GB"/>
              </w:rPr>
            </w:pPr>
          </w:p>
        </w:tc>
        <w:tc>
          <w:tcPr>
            <w:tcW w:w="722" w:type="pct"/>
            <w:vMerge/>
          </w:tcPr>
          <w:p w14:paraId="17C7E1BE" w14:textId="77777777" w:rsidR="006876E6" w:rsidRPr="0035173D" w:rsidRDefault="006876E6" w:rsidP="00F805F7">
            <w:pPr>
              <w:rPr>
                <w:iCs/>
                <w:color w:val="000000"/>
                <w:sz w:val="16"/>
                <w:szCs w:val="16"/>
                <w:lang w:val="en-GB"/>
              </w:rPr>
            </w:pPr>
          </w:p>
        </w:tc>
        <w:tc>
          <w:tcPr>
            <w:tcW w:w="1788" w:type="pct"/>
            <w:vMerge/>
            <w:tcMar>
              <w:top w:w="72" w:type="dxa"/>
              <w:left w:w="144" w:type="dxa"/>
              <w:bottom w:w="72" w:type="dxa"/>
              <w:right w:w="144" w:type="dxa"/>
            </w:tcMar>
          </w:tcPr>
          <w:p w14:paraId="6A2BE201" w14:textId="77777777" w:rsidR="006876E6" w:rsidRPr="0035173D" w:rsidRDefault="006876E6" w:rsidP="00F805F7">
            <w:pPr>
              <w:rPr>
                <w:iCs/>
                <w:color w:val="000000"/>
                <w:sz w:val="16"/>
                <w:szCs w:val="16"/>
                <w:lang w:val="en-GB"/>
              </w:rPr>
            </w:pPr>
          </w:p>
        </w:tc>
        <w:tc>
          <w:tcPr>
            <w:tcW w:w="791" w:type="pct"/>
            <w:vMerge/>
          </w:tcPr>
          <w:p w14:paraId="308A321B" w14:textId="77777777" w:rsidR="006876E6" w:rsidRPr="0035173D" w:rsidRDefault="006876E6" w:rsidP="00F805F7">
            <w:pPr>
              <w:rPr>
                <w:iCs/>
                <w:color w:val="000000"/>
                <w:sz w:val="16"/>
                <w:szCs w:val="16"/>
                <w:lang w:val="en-GB"/>
              </w:rPr>
            </w:pPr>
          </w:p>
        </w:tc>
        <w:tc>
          <w:tcPr>
            <w:tcW w:w="599" w:type="pct"/>
            <w:gridSpan w:val="2"/>
            <w:tcMar>
              <w:top w:w="15" w:type="dxa"/>
              <w:left w:w="108" w:type="dxa"/>
              <w:bottom w:w="0" w:type="dxa"/>
              <w:right w:w="108" w:type="dxa"/>
            </w:tcMar>
          </w:tcPr>
          <w:p w14:paraId="40B1054F" w14:textId="08DDDA88" w:rsidR="006876E6" w:rsidRPr="0003657F" w:rsidRDefault="006876E6" w:rsidP="00F805F7">
            <w:pPr>
              <w:rPr>
                <w:b/>
                <w:color w:val="000000"/>
                <w:sz w:val="16"/>
                <w:szCs w:val="16"/>
                <w:lang w:val="en-GB"/>
              </w:rPr>
            </w:pPr>
            <w:r w:rsidRPr="0003657F">
              <w:rPr>
                <w:b/>
                <w:color w:val="000000"/>
                <w:sz w:val="16"/>
                <w:szCs w:val="16"/>
                <w:lang w:val="en-GB"/>
              </w:rPr>
              <w:t>Other</w:t>
            </w:r>
            <w:r w:rsidR="00150416" w:rsidRPr="0003657F">
              <w:rPr>
                <w:b/>
                <w:color w:val="000000"/>
                <w:sz w:val="16"/>
                <w:szCs w:val="16"/>
                <w:lang w:val="en-GB"/>
              </w:rPr>
              <w:t xml:space="preserve"> 5,000</w:t>
            </w:r>
          </w:p>
        </w:tc>
      </w:tr>
      <w:tr w:rsidR="00613856" w:rsidRPr="0035173D" w14:paraId="548AFDDC" w14:textId="77777777" w:rsidTr="0003657F">
        <w:tc>
          <w:tcPr>
            <w:tcW w:w="5000" w:type="pct"/>
            <w:gridSpan w:val="6"/>
            <w:tcMar>
              <w:top w:w="72" w:type="dxa"/>
              <w:left w:w="144" w:type="dxa"/>
              <w:bottom w:w="72" w:type="dxa"/>
              <w:right w:w="144" w:type="dxa"/>
            </w:tcMar>
          </w:tcPr>
          <w:p w14:paraId="524C4F4C" w14:textId="77777777" w:rsidR="00613856" w:rsidRPr="0003657F" w:rsidRDefault="000B25A9" w:rsidP="00112DD5">
            <w:pPr>
              <w:rPr>
                <w:b/>
                <w:color w:val="000000"/>
                <w:sz w:val="16"/>
                <w:szCs w:val="16"/>
                <w:lang w:val="en-GB"/>
              </w:rPr>
            </w:pPr>
            <w:r w:rsidRPr="0003657F">
              <w:rPr>
                <w:b/>
                <w:sz w:val="16"/>
                <w:szCs w:val="16"/>
                <w:lang w:val="en-GB"/>
              </w:rPr>
              <w:lastRenderedPageBreak/>
              <w:t>E</w:t>
            </w:r>
            <w:r w:rsidR="00613856" w:rsidRPr="0003657F">
              <w:rPr>
                <w:b/>
                <w:sz w:val="16"/>
                <w:szCs w:val="16"/>
                <w:lang w:val="en-GB"/>
              </w:rPr>
              <w:t>cosystem services to support livelihoods of vulnerable groups</w:t>
            </w:r>
          </w:p>
        </w:tc>
      </w:tr>
      <w:tr w:rsidR="00D173D0" w:rsidRPr="0035173D" w14:paraId="06A576E1" w14:textId="77777777" w:rsidTr="0003657F">
        <w:tc>
          <w:tcPr>
            <w:tcW w:w="1100" w:type="pct"/>
            <w:vMerge w:val="restart"/>
            <w:tcMar>
              <w:top w:w="72" w:type="dxa"/>
              <w:left w:w="144" w:type="dxa"/>
              <w:bottom w:w="72" w:type="dxa"/>
              <w:right w:w="144" w:type="dxa"/>
            </w:tcMar>
          </w:tcPr>
          <w:p w14:paraId="7339C64C" w14:textId="43C90F3C" w:rsidR="00FF561E" w:rsidRPr="0003657F" w:rsidRDefault="00FF561E" w:rsidP="0003657F">
            <w:pPr>
              <w:rPr>
                <w:b/>
                <w:bCs/>
                <w:color w:val="000000"/>
                <w:sz w:val="16"/>
                <w:szCs w:val="16"/>
                <w:lang w:val="en-GB"/>
              </w:rPr>
            </w:pPr>
            <w:r w:rsidRPr="0003657F">
              <w:rPr>
                <w:b/>
                <w:i/>
                <w:iCs/>
                <w:sz w:val="16"/>
                <w:szCs w:val="16"/>
                <w:lang w:val="en-GB"/>
              </w:rPr>
              <w:t>Indicator:</w:t>
            </w:r>
            <w:r w:rsidRPr="0003657F">
              <w:rPr>
                <w:b/>
                <w:iCs/>
                <w:sz w:val="16"/>
                <w:szCs w:val="16"/>
                <w:lang w:val="en-GB"/>
              </w:rPr>
              <w:t xml:space="preserve"> </w:t>
            </w:r>
            <w:r w:rsidRPr="0003657F">
              <w:rPr>
                <w:iCs/>
                <w:sz w:val="16"/>
                <w:szCs w:val="16"/>
                <w:lang w:val="en-GB"/>
              </w:rPr>
              <w:t>S</w:t>
            </w:r>
            <w:r w:rsidR="00425611" w:rsidRPr="0003657F">
              <w:rPr>
                <w:iCs/>
                <w:sz w:val="16"/>
                <w:szCs w:val="16"/>
                <w:lang w:val="en-GB"/>
              </w:rPr>
              <w:t>pecial</w:t>
            </w:r>
            <w:r w:rsidR="000814B8" w:rsidRPr="0003657F">
              <w:rPr>
                <w:iCs/>
                <w:sz w:val="16"/>
                <w:szCs w:val="16"/>
                <w:lang w:val="en-GB"/>
              </w:rPr>
              <w:t>ly</w:t>
            </w:r>
            <w:r w:rsidR="00425611" w:rsidRPr="0003657F">
              <w:rPr>
                <w:iCs/>
                <w:sz w:val="16"/>
                <w:szCs w:val="16"/>
                <w:lang w:val="en-GB"/>
              </w:rPr>
              <w:t xml:space="preserve"> </w:t>
            </w:r>
            <w:r w:rsidR="00F84902" w:rsidRPr="0003657F">
              <w:rPr>
                <w:iCs/>
                <w:sz w:val="16"/>
                <w:szCs w:val="16"/>
                <w:lang w:val="en-GB"/>
              </w:rPr>
              <w:t>p</w:t>
            </w:r>
            <w:r w:rsidR="00425611" w:rsidRPr="0003657F">
              <w:rPr>
                <w:iCs/>
                <w:sz w:val="16"/>
                <w:szCs w:val="16"/>
                <w:lang w:val="en-GB"/>
              </w:rPr>
              <w:t xml:space="preserve">rotected </w:t>
            </w:r>
            <w:r w:rsidR="00F84902" w:rsidRPr="0003657F">
              <w:rPr>
                <w:iCs/>
                <w:sz w:val="16"/>
                <w:szCs w:val="16"/>
                <w:lang w:val="en-GB"/>
              </w:rPr>
              <w:t>a</w:t>
            </w:r>
            <w:r w:rsidR="00425611" w:rsidRPr="0003657F">
              <w:rPr>
                <w:iCs/>
                <w:sz w:val="16"/>
                <w:szCs w:val="16"/>
                <w:lang w:val="en-GB"/>
              </w:rPr>
              <w:t>rea as proportion of</w:t>
            </w:r>
            <w:r w:rsidRPr="0003657F">
              <w:rPr>
                <w:iCs/>
                <w:sz w:val="16"/>
                <w:szCs w:val="16"/>
                <w:lang w:val="en-GB"/>
              </w:rPr>
              <w:t xml:space="preserve"> total area</w:t>
            </w:r>
            <w:r w:rsidR="00425611" w:rsidRPr="0003657F">
              <w:rPr>
                <w:iCs/>
                <w:sz w:val="16"/>
                <w:szCs w:val="16"/>
                <w:lang w:val="en-GB"/>
              </w:rPr>
              <w:t xml:space="preserve"> (%)</w:t>
            </w:r>
          </w:p>
          <w:p w14:paraId="0A794899" w14:textId="77777777" w:rsidR="00FF561E" w:rsidRPr="0003657F" w:rsidRDefault="00FF561E" w:rsidP="0003657F">
            <w:pPr>
              <w:rPr>
                <w:bCs/>
                <w:color w:val="000000"/>
                <w:sz w:val="16"/>
                <w:szCs w:val="16"/>
                <w:lang w:val="en-GB"/>
              </w:rPr>
            </w:pPr>
            <w:r w:rsidRPr="0003657F">
              <w:rPr>
                <w:bCs/>
                <w:i/>
                <w:color w:val="000000"/>
                <w:sz w:val="16"/>
                <w:szCs w:val="16"/>
                <w:lang w:val="en-GB"/>
              </w:rPr>
              <w:t>Baseline:</w:t>
            </w:r>
            <w:r w:rsidR="00425611" w:rsidRPr="0003657F">
              <w:rPr>
                <w:bCs/>
                <w:color w:val="000000"/>
                <w:sz w:val="16"/>
                <w:szCs w:val="16"/>
                <w:lang w:val="en-GB"/>
              </w:rPr>
              <w:t xml:space="preserve"> 17.4 %</w:t>
            </w:r>
          </w:p>
          <w:p w14:paraId="69E2DA24" w14:textId="77777777" w:rsidR="00FF561E" w:rsidRPr="0003657F" w:rsidRDefault="00FF561E" w:rsidP="0003657F">
            <w:pPr>
              <w:rPr>
                <w:b/>
                <w:bCs/>
                <w:color w:val="000000"/>
                <w:sz w:val="16"/>
                <w:szCs w:val="16"/>
                <w:lang w:val="en-GB"/>
              </w:rPr>
            </w:pPr>
            <w:r w:rsidRPr="0003657F">
              <w:rPr>
                <w:bCs/>
                <w:i/>
                <w:color w:val="000000"/>
                <w:sz w:val="16"/>
                <w:szCs w:val="16"/>
                <w:lang w:val="en-GB"/>
              </w:rPr>
              <w:t>Target:</w:t>
            </w:r>
            <w:r w:rsidR="00425611" w:rsidRPr="0003657F">
              <w:rPr>
                <w:bCs/>
                <w:color w:val="000000"/>
                <w:sz w:val="16"/>
                <w:szCs w:val="16"/>
                <w:lang w:val="en-GB"/>
              </w:rPr>
              <w:t xml:space="preserve"> 18%</w:t>
            </w:r>
          </w:p>
        </w:tc>
        <w:tc>
          <w:tcPr>
            <w:tcW w:w="722" w:type="pct"/>
            <w:vMerge w:val="restart"/>
            <w:shd w:val="clear" w:color="auto" w:fill="auto"/>
          </w:tcPr>
          <w:p w14:paraId="3ED778A3" w14:textId="77777777" w:rsidR="00D173D0" w:rsidRPr="0035173D" w:rsidRDefault="00D173D0" w:rsidP="00D173D0">
            <w:pPr>
              <w:rPr>
                <w:iCs/>
                <w:sz w:val="16"/>
                <w:szCs w:val="16"/>
                <w:lang w:val="en-GB"/>
              </w:rPr>
            </w:pPr>
            <w:r w:rsidRPr="0003657F">
              <w:rPr>
                <w:i/>
                <w:iCs/>
                <w:sz w:val="16"/>
                <w:szCs w:val="16"/>
                <w:lang w:val="en-GB"/>
              </w:rPr>
              <w:t>Source:</w:t>
            </w:r>
            <w:r w:rsidRPr="0035173D">
              <w:rPr>
                <w:iCs/>
                <w:sz w:val="16"/>
                <w:szCs w:val="16"/>
                <w:lang w:val="en-GB"/>
              </w:rPr>
              <w:t xml:space="preserve"> State of the Environment Report by the Government  </w:t>
            </w:r>
          </w:p>
          <w:p w14:paraId="6B3BCBB8" w14:textId="135A3715" w:rsidR="00D173D0" w:rsidRPr="0035173D" w:rsidRDefault="00D173D0" w:rsidP="00D173D0">
            <w:pPr>
              <w:rPr>
                <w:iCs/>
                <w:sz w:val="16"/>
                <w:szCs w:val="16"/>
                <w:lang w:val="en-GB"/>
              </w:rPr>
            </w:pPr>
            <w:r w:rsidRPr="0003657F">
              <w:rPr>
                <w:i/>
                <w:iCs/>
                <w:sz w:val="16"/>
                <w:szCs w:val="16"/>
                <w:lang w:val="en-GB"/>
              </w:rPr>
              <w:t>Frequency:</w:t>
            </w:r>
            <w:r w:rsidRPr="0035173D">
              <w:rPr>
                <w:iCs/>
                <w:sz w:val="16"/>
                <w:szCs w:val="16"/>
                <w:lang w:val="en-GB"/>
              </w:rPr>
              <w:t xml:space="preserve"> </w:t>
            </w:r>
            <w:r w:rsidR="003F08EC">
              <w:rPr>
                <w:iCs/>
                <w:sz w:val="16"/>
                <w:szCs w:val="16"/>
                <w:lang w:val="en-GB"/>
              </w:rPr>
              <w:t>b</w:t>
            </w:r>
            <w:r w:rsidRPr="0035173D">
              <w:rPr>
                <w:iCs/>
                <w:sz w:val="16"/>
                <w:szCs w:val="16"/>
                <w:lang w:val="en-GB"/>
              </w:rPr>
              <w:t>iannual</w:t>
            </w:r>
          </w:p>
          <w:p w14:paraId="70034F1F" w14:textId="77777777" w:rsidR="00D173D0" w:rsidRPr="0035173D" w:rsidRDefault="00D173D0" w:rsidP="00D173D0">
            <w:pPr>
              <w:rPr>
                <w:iCs/>
                <w:sz w:val="16"/>
                <w:szCs w:val="16"/>
                <w:lang w:val="en-GB"/>
              </w:rPr>
            </w:pPr>
            <w:r w:rsidRPr="0003657F">
              <w:rPr>
                <w:i/>
                <w:iCs/>
                <w:sz w:val="16"/>
                <w:szCs w:val="16"/>
                <w:lang w:val="en-GB"/>
              </w:rPr>
              <w:t>Responsibilities:</w:t>
            </w:r>
            <w:r w:rsidRPr="0035173D">
              <w:rPr>
                <w:iCs/>
                <w:sz w:val="16"/>
                <w:szCs w:val="16"/>
                <w:lang w:val="en-GB"/>
              </w:rPr>
              <w:t xml:space="preserve"> </w:t>
            </w:r>
            <w:r w:rsidR="00BD308F" w:rsidRPr="0035173D">
              <w:rPr>
                <w:iCs/>
                <w:sz w:val="16"/>
                <w:szCs w:val="16"/>
                <w:lang w:val="en-GB"/>
              </w:rPr>
              <w:t>MEGDT</w:t>
            </w:r>
          </w:p>
          <w:p w14:paraId="49FF4D13" w14:textId="77777777" w:rsidR="00D173D0" w:rsidRPr="0035173D" w:rsidRDefault="00D173D0" w:rsidP="00D173D0">
            <w:pPr>
              <w:rPr>
                <w:iCs/>
                <w:sz w:val="16"/>
                <w:szCs w:val="16"/>
                <w:lang w:val="en-GB"/>
              </w:rPr>
            </w:pPr>
          </w:p>
          <w:p w14:paraId="623CB2A2" w14:textId="77777777" w:rsidR="00D173D0" w:rsidRPr="0035173D" w:rsidRDefault="00D173D0" w:rsidP="00D173D0">
            <w:pPr>
              <w:rPr>
                <w:iCs/>
                <w:sz w:val="16"/>
                <w:szCs w:val="16"/>
                <w:lang w:val="en-GB"/>
              </w:rPr>
            </w:pPr>
          </w:p>
          <w:p w14:paraId="4D9DDDCC" w14:textId="77777777" w:rsidR="00D173D0" w:rsidRPr="0035173D" w:rsidRDefault="00D173D0" w:rsidP="00D173D0">
            <w:pPr>
              <w:rPr>
                <w:b/>
                <w:bCs/>
                <w:color w:val="000000"/>
                <w:sz w:val="16"/>
                <w:szCs w:val="16"/>
                <w:lang w:val="en-GB"/>
              </w:rPr>
            </w:pPr>
          </w:p>
          <w:p w14:paraId="3C52B8FF" w14:textId="77777777" w:rsidR="00D173D0" w:rsidRPr="0035173D" w:rsidRDefault="00D173D0" w:rsidP="00D173D0">
            <w:pPr>
              <w:rPr>
                <w:b/>
                <w:bCs/>
                <w:color w:val="000000"/>
                <w:sz w:val="16"/>
                <w:szCs w:val="16"/>
                <w:lang w:val="en-GB"/>
              </w:rPr>
            </w:pPr>
          </w:p>
          <w:p w14:paraId="4C8FD8F7" w14:textId="77777777" w:rsidR="00D173D0" w:rsidRPr="0035173D" w:rsidRDefault="00D173D0" w:rsidP="00D173D0">
            <w:pPr>
              <w:rPr>
                <w:iCs/>
                <w:sz w:val="16"/>
                <w:szCs w:val="16"/>
                <w:lang w:val="en-GB"/>
              </w:rPr>
            </w:pPr>
          </w:p>
        </w:tc>
        <w:tc>
          <w:tcPr>
            <w:tcW w:w="1788" w:type="pct"/>
            <w:vMerge w:val="restart"/>
            <w:shd w:val="clear" w:color="auto" w:fill="auto"/>
            <w:tcMar>
              <w:top w:w="72" w:type="dxa"/>
              <w:left w:w="144" w:type="dxa"/>
              <w:bottom w:w="72" w:type="dxa"/>
              <w:right w:w="144" w:type="dxa"/>
            </w:tcMar>
          </w:tcPr>
          <w:p w14:paraId="45835CC3" w14:textId="77777777" w:rsidR="00BD308F" w:rsidRPr="0035173D" w:rsidRDefault="00F84902" w:rsidP="0003657F">
            <w:pPr>
              <w:pStyle w:val="ListParagraph"/>
              <w:ind w:left="0"/>
              <w:rPr>
                <w:bCs/>
                <w:color w:val="000000"/>
                <w:sz w:val="16"/>
                <w:szCs w:val="16"/>
                <w:lang w:val="en-GB"/>
              </w:rPr>
            </w:pPr>
            <w:r w:rsidRPr="0003657F">
              <w:rPr>
                <w:b/>
                <w:bCs/>
                <w:i/>
                <w:color w:val="000000"/>
                <w:sz w:val="16"/>
                <w:szCs w:val="16"/>
                <w:lang w:val="en-GB"/>
              </w:rPr>
              <w:t>Output 1.3.</w:t>
            </w:r>
            <w:r>
              <w:rPr>
                <w:bCs/>
                <w:color w:val="000000"/>
                <w:sz w:val="16"/>
                <w:szCs w:val="16"/>
                <w:lang w:val="en-GB"/>
              </w:rPr>
              <w:t xml:space="preserve"> </w:t>
            </w:r>
            <w:r w:rsidR="00BD308F" w:rsidRPr="0035173D">
              <w:rPr>
                <w:bCs/>
                <w:color w:val="000000"/>
                <w:sz w:val="16"/>
                <w:szCs w:val="16"/>
                <w:lang w:val="en-GB"/>
              </w:rPr>
              <w:t xml:space="preserve">Enhanced capacity </w:t>
            </w:r>
            <w:r w:rsidR="00F03C0F" w:rsidRPr="0035173D">
              <w:rPr>
                <w:bCs/>
                <w:color w:val="000000"/>
                <w:sz w:val="16"/>
                <w:szCs w:val="16"/>
                <w:lang w:val="en-GB"/>
              </w:rPr>
              <w:t xml:space="preserve">and financing </w:t>
            </w:r>
            <w:r w:rsidR="00BD308F" w:rsidRPr="0035173D">
              <w:rPr>
                <w:bCs/>
                <w:color w:val="000000"/>
                <w:sz w:val="16"/>
                <w:szCs w:val="16"/>
                <w:lang w:val="en-GB"/>
              </w:rPr>
              <w:t>of stakeholders for sustainable natural resource management</w:t>
            </w:r>
          </w:p>
          <w:p w14:paraId="5B8A874B" w14:textId="77777777" w:rsidR="00DC68C3" w:rsidRPr="0035173D" w:rsidRDefault="00DC68C3" w:rsidP="000F7E44">
            <w:pPr>
              <w:pStyle w:val="ListParagraph"/>
              <w:ind w:left="0"/>
              <w:rPr>
                <w:bCs/>
                <w:color w:val="000000"/>
                <w:sz w:val="16"/>
                <w:szCs w:val="16"/>
                <w:lang w:val="en-GB"/>
              </w:rPr>
            </w:pPr>
          </w:p>
          <w:p w14:paraId="6C753C02" w14:textId="06FFE2A5" w:rsidR="00BD308F" w:rsidRPr="0035173D" w:rsidRDefault="00BD308F" w:rsidP="000F7E44">
            <w:pPr>
              <w:rPr>
                <w:bCs/>
                <w:color w:val="000000"/>
                <w:sz w:val="16"/>
                <w:szCs w:val="16"/>
                <w:lang w:val="en-GB"/>
              </w:rPr>
            </w:pPr>
            <w:r w:rsidRPr="0003657F">
              <w:rPr>
                <w:i/>
                <w:iCs/>
                <w:sz w:val="16"/>
                <w:szCs w:val="16"/>
                <w:lang w:val="en-GB"/>
              </w:rPr>
              <w:t>Indicator</w:t>
            </w:r>
            <w:r w:rsidR="00DC68C3" w:rsidRPr="0003657F">
              <w:rPr>
                <w:i/>
                <w:iCs/>
                <w:sz w:val="16"/>
                <w:szCs w:val="16"/>
                <w:lang w:val="en-GB"/>
              </w:rPr>
              <w:t xml:space="preserve"> 1.3.1.</w:t>
            </w:r>
            <w:r w:rsidRPr="0035173D">
              <w:rPr>
                <w:iCs/>
                <w:sz w:val="16"/>
                <w:szCs w:val="16"/>
                <w:lang w:val="en-GB"/>
              </w:rPr>
              <w:t xml:space="preserve"> Level of institutional capacity to implement mitigation and offsetting framework</w:t>
            </w:r>
            <w:r w:rsidR="00BB1CF8" w:rsidRPr="0035173D">
              <w:rPr>
                <w:iCs/>
                <w:sz w:val="16"/>
                <w:szCs w:val="16"/>
                <w:lang w:val="en-GB"/>
              </w:rPr>
              <w:t xml:space="preserve"> </w:t>
            </w:r>
          </w:p>
          <w:p w14:paraId="688C0AEA" w14:textId="77777777" w:rsidR="00BD308F" w:rsidRPr="0035173D" w:rsidRDefault="00BD308F" w:rsidP="000F7E44">
            <w:pPr>
              <w:rPr>
                <w:bCs/>
                <w:color w:val="000000"/>
                <w:sz w:val="16"/>
                <w:szCs w:val="16"/>
                <w:lang w:val="en-GB"/>
              </w:rPr>
            </w:pPr>
            <w:r w:rsidRPr="0035173D">
              <w:rPr>
                <w:iCs/>
                <w:sz w:val="16"/>
                <w:szCs w:val="16"/>
                <w:lang w:val="en-GB"/>
              </w:rPr>
              <w:t>Baseline</w:t>
            </w:r>
            <w:r w:rsidR="00BB1CF8" w:rsidRPr="0035173D">
              <w:rPr>
                <w:iCs/>
                <w:sz w:val="16"/>
                <w:szCs w:val="16"/>
                <w:lang w:val="en-GB"/>
              </w:rPr>
              <w:t xml:space="preserve"> (2014</w:t>
            </w:r>
            <w:r w:rsidR="001F6D0C" w:rsidRPr="0035173D">
              <w:rPr>
                <w:iCs/>
                <w:sz w:val="16"/>
                <w:szCs w:val="16"/>
                <w:lang w:val="en-GB"/>
              </w:rPr>
              <w:t>)</w:t>
            </w:r>
            <w:r w:rsidRPr="0035173D">
              <w:rPr>
                <w:iCs/>
                <w:sz w:val="16"/>
                <w:szCs w:val="16"/>
                <w:lang w:val="en-GB"/>
              </w:rPr>
              <w:t xml:space="preserve">: 41 </w:t>
            </w:r>
          </w:p>
          <w:p w14:paraId="5F8BAC51" w14:textId="77777777" w:rsidR="00BD308F" w:rsidRPr="0035173D" w:rsidRDefault="00BD308F" w:rsidP="000F7E44">
            <w:pPr>
              <w:rPr>
                <w:bCs/>
                <w:color w:val="000000"/>
                <w:sz w:val="16"/>
                <w:szCs w:val="16"/>
                <w:lang w:val="en-GB"/>
              </w:rPr>
            </w:pPr>
            <w:r w:rsidRPr="0035173D">
              <w:rPr>
                <w:bCs/>
                <w:color w:val="000000"/>
                <w:sz w:val="16"/>
                <w:szCs w:val="16"/>
                <w:lang w:val="en-GB"/>
              </w:rPr>
              <w:t xml:space="preserve">Target: 52 </w:t>
            </w:r>
          </w:p>
          <w:p w14:paraId="0C5E7C31" w14:textId="6CF73F76" w:rsidR="00BD308F" w:rsidRPr="0035173D" w:rsidRDefault="00BD308F" w:rsidP="000F7E44">
            <w:pPr>
              <w:rPr>
                <w:iCs/>
                <w:color w:val="000000"/>
                <w:sz w:val="16"/>
                <w:szCs w:val="16"/>
                <w:lang w:val="en-GB"/>
              </w:rPr>
            </w:pPr>
            <w:r w:rsidRPr="0035173D">
              <w:rPr>
                <w:iCs/>
                <w:color w:val="000000"/>
                <w:sz w:val="16"/>
                <w:szCs w:val="16"/>
                <w:lang w:val="en-GB"/>
              </w:rPr>
              <w:t>Data source: UNDP/</w:t>
            </w:r>
            <w:r w:rsidR="00E55F1C">
              <w:rPr>
                <w:iCs/>
                <w:color w:val="000000"/>
                <w:sz w:val="16"/>
                <w:szCs w:val="16"/>
                <w:lang w:val="en-GB"/>
              </w:rPr>
              <w:t>Global Environment Facility</w:t>
            </w:r>
            <w:r w:rsidRPr="0035173D">
              <w:rPr>
                <w:iCs/>
                <w:color w:val="000000"/>
                <w:sz w:val="16"/>
                <w:szCs w:val="16"/>
                <w:lang w:val="en-GB"/>
              </w:rPr>
              <w:t xml:space="preserve"> </w:t>
            </w:r>
            <w:r w:rsidR="00F84902">
              <w:rPr>
                <w:iCs/>
                <w:color w:val="000000"/>
                <w:sz w:val="16"/>
                <w:szCs w:val="16"/>
                <w:lang w:val="en-GB"/>
              </w:rPr>
              <w:t>c</w:t>
            </w:r>
            <w:r w:rsidRPr="0035173D">
              <w:rPr>
                <w:iCs/>
                <w:color w:val="000000"/>
                <w:sz w:val="16"/>
                <w:szCs w:val="16"/>
                <w:lang w:val="en-GB"/>
              </w:rPr>
              <w:t xml:space="preserve">apacity </w:t>
            </w:r>
            <w:r w:rsidR="00F84902">
              <w:rPr>
                <w:iCs/>
                <w:color w:val="000000"/>
                <w:sz w:val="16"/>
                <w:szCs w:val="16"/>
                <w:lang w:val="en-GB"/>
              </w:rPr>
              <w:t>s</w:t>
            </w:r>
            <w:r w:rsidRPr="0035173D">
              <w:rPr>
                <w:iCs/>
                <w:color w:val="000000"/>
                <w:sz w:val="16"/>
                <w:szCs w:val="16"/>
                <w:lang w:val="en-GB"/>
              </w:rPr>
              <w:t>corecard</w:t>
            </w:r>
          </w:p>
          <w:p w14:paraId="1FCF1255" w14:textId="1ACFD9EE" w:rsidR="00BD308F" w:rsidRPr="0035173D" w:rsidRDefault="00BD308F" w:rsidP="000F7E44">
            <w:pPr>
              <w:rPr>
                <w:iCs/>
                <w:color w:val="000000"/>
                <w:sz w:val="16"/>
                <w:szCs w:val="16"/>
                <w:lang w:val="en-GB"/>
              </w:rPr>
            </w:pPr>
            <w:r w:rsidRPr="0035173D">
              <w:rPr>
                <w:iCs/>
                <w:color w:val="000000"/>
                <w:sz w:val="16"/>
                <w:szCs w:val="16"/>
                <w:lang w:val="en-GB"/>
              </w:rPr>
              <w:t xml:space="preserve">Frequency: </w:t>
            </w:r>
            <w:r w:rsidR="0026561F">
              <w:rPr>
                <w:iCs/>
                <w:color w:val="000000"/>
                <w:sz w:val="16"/>
                <w:szCs w:val="16"/>
                <w:lang w:val="en-GB"/>
              </w:rPr>
              <w:t>a</w:t>
            </w:r>
            <w:r w:rsidRPr="0035173D">
              <w:rPr>
                <w:iCs/>
                <w:color w:val="000000"/>
                <w:sz w:val="16"/>
                <w:szCs w:val="16"/>
                <w:lang w:val="en-GB"/>
              </w:rPr>
              <w:t>nnual</w:t>
            </w:r>
          </w:p>
          <w:p w14:paraId="65FF1900" w14:textId="77777777" w:rsidR="00BD308F" w:rsidRPr="0035173D" w:rsidRDefault="00BD308F" w:rsidP="000F7E44">
            <w:pPr>
              <w:rPr>
                <w:bCs/>
                <w:color w:val="000000"/>
                <w:sz w:val="16"/>
                <w:szCs w:val="16"/>
                <w:lang w:val="en-GB"/>
              </w:rPr>
            </w:pPr>
          </w:p>
          <w:p w14:paraId="066EF1D7" w14:textId="77777777" w:rsidR="00BD308F" w:rsidRPr="0003657F" w:rsidRDefault="00F84902" w:rsidP="0003657F">
            <w:pPr>
              <w:rPr>
                <w:bCs/>
                <w:color w:val="000000"/>
                <w:sz w:val="16"/>
                <w:szCs w:val="16"/>
                <w:lang w:val="en-GB"/>
              </w:rPr>
            </w:pPr>
            <w:r w:rsidRPr="0003657F">
              <w:rPr>
                <w:b/>
                <w:bCs/>
                <w:i/>
                <w:color w:val="000000"/>
                <w:sz w:val="16"/>
                <w:szCs w:val="16"/>
                <w:lang w:val="en-GB"/>
              </w:rPr>
              <w:t>Output 1.4.</w:t>
            </w:r>
            <w:r>
              <w:rPr>
                <w:bCs/>
                <w:color w:val="000000"/>
                <w:sz w:val="16"/>
                <w:szCs w:val="16"/>
                <w:lang w:val="en-GB"/>
              </w:rPr>
              <w:t xml:space="preserve"> </w:t>
            </w:r>
            <w:r w:rsidR="00BD308F" w:rsidRPr="0003657F">
              <w:rPr>
                <w:bCs/>
                <w:color w:val="000000"/>
                <w:sz w:val="16"/>
                <w:szCs w:val="16"/>
                <w:lang w:val="en-GB"/>
              </w:rPr>
              <w:t>Increased community participation in managing natural resources for enhanced resilience of ecosystem and livelihoods</w:t>
            </w:r>
          </w:p>
          <w:p w14:paraId="69407A9A" w14:textId="77777777" w:rsidR="00DC68C3" w:rsidRPr="0035173D" w:rsidRDefault="00DC68C3" w:rsidP="000F7E44">
            <w:pPr>
              <w:pStyle w:val="ListParagraph"/>
              <w:ind w:left="0"/>
              <w:rPr>
                <w:bCs/>
                <w:color w:val="000000"/>
                <w:sz w:val="16"/>
                <w:szCs w:val="16"/>
                <w:lang w:val="en-GB"/>
              </w:rPr>
            </w:pPr>
          </w:p>
          <w:p w14:paraId="69AC5A4F" w14:textId="32E82CB8" w:rsidR="00BD308F" w:rsidRPr="0035173D" w:rsidRDefault="00BD308F" w:rsidP="000F7E44">
            <w:pPr>
              <w:rPr>
                <w:bCs/>
                <w:color w:val="000000"/>
                <w:sz w:val="16"/>
                <w:szCs w:val="16"/>
                <w:lang w:val="en-GB"/>
              </w:rPr>
            </w:pPr>
            <w:r w:rsidRPr="0003657F">
              <w:rPr>
                <w:i/>
                <w:iCs/>
                <w:sz w:val="16"/>
                <w:szCs w:val="16"/>
                <w:lang w:val="en-GB"/>
              </w:rPr>
              <w:t>Indicator</w:t>
            </w:r>
            <w:r w:rsidR="00DC68C3" w:rsidRPr="0003657F">
              <w:rPr>
                <w:i/>
                <w:iCs/>
                <w:sz w:val="16"/>
                <w:szCs w:val="16"/>
                <w:lang w:val="en-GB"/>
              </w:rPr>
              <w:t xml:space="preserve"> 1.4.1.</w:t>
            </w:r>
            <w:r w:rsidRPr="0035173D">
              <w:rPr>
                <w:iCs/>
                <w:sz w:val="16"/>
                <w:szCs w:val="16"/>
                <w:lang w:val="en-GB"/>
              </w:rPr>
              <w:t xml:space="preserve"> Number of community managed </w:t>
            </w:r>
            <w:r w:rsidR="00852111" w:rsidRPr="0035173D">
              <w:rPr>
                <w:iCs/>
                <w:sz w:val="16"/>
                <w:szCs w:val="16"/>
                <w:lang w:val="en-GB"/>
              </w:rPr>
              <w:t>l</w:t>
            </w:r>
            <w:r w:rsidRPr="0035173D">
              <w:rPr>
                <w:iCs/>
                <w:sz w:val="16"/>
                <w:szCs w:val="16"/>
                <w:lang w:val="en-GB"/>
              </w:rPr>
              <w:t>ocal protected areas through formal agreements</w:t>
            </w:r>
          </w:p>
          <w:p w14:paraId="141165EA" w14:textId="77777777" w:rsidR="00BD308F" w:rsidRPr="0035173D" w:rsidRDefault="00BD308F" w:rsidP="000F7E44">
            <w:pPr>
              <w:rPr>
                <w:bCs/>
                <w:color w:val="000000"/>
                <w:sz w:val="16"/>
                <w:szCs w:val="16"/>
                <w:lang w:val="en-GB"/>
              </w:rPr>
            </w:pPr>
            <w:r w:rsidRPr="0035173D">
              <w:rPr>
                <w:iCs/>
                <w:sz w:val="16"/>
                <w:szCs w:val="16"/>
                <w:lang w:val="en-GB"/>
              </w:rPr>
              <w:t>Baseline</w:t>
            </w:r>
            <w:r w:rsidR="001F6D0C" w:rsidRPr="0035173D">
              <w:rPr>
                <w:iCs/>
                <w:sz w:val="16"/>
                <w:szCs w:val="16"/>
                <w:lang w:val="en-GB"/>
              </w:rPr>
              <w:t xml:space="preserve"> (2016)</w:t>
            </w:r>
            <w:r w:rsidRPr="0035173D">
              <w:rPr>
                <w:iCs/>
                <w:sz w:val="16"/>
                <w:szCs w:val="16"/>
                <w:lang w:val="en-GB"/>
              </w:rPr>
              <w:t xml:space="preserve">: 0 </w:t>
            </w:r>
          </w:p>
          <w:p w14:paraId="7A7F73FB" w14:textId="77777777" w:rsidR="00BD308F" w:rsidRPr="0035173D" w:rsidRDefault="00BD308F" w:rsidP="000F7E44">
            <w:pPr>
              <w:rPr>
                <w:bCs/>
                <w:color w:val="000000"/>
                <w:sz w:val="16"/>
                <w:szCs w:val="16"/>
                <w:lang w:val="en-GB"/>
              </w:rPr>
            </w:pPr>
            <w:r w:rsidRPr="0035173D">
              <w:rPr>
                <w:bCs/>
                <w:color w:val="000000"/>
                <w:sz w:val="16"/>
                <w:szCs w:val="16"/>
                <w:lang w:val="en-GB"/>
              </w:rPr>
              <w:t xml:space="preserve">Target: 50 </w:t>
            </w:r>
          </w:p>
          <w:p w14:paraId="06916A4F" w14:textId="1CD8B4DE" w:rsidR="00BD308F" w:rsidRPr="0035173D" w:rsidRDefault="00BD308F" w:rsidP="000F7E44">
            <w:pPr>
              <w:rPr>
                <w:iCs/>
                <w:color w:val="000000"/>
                <w:sz w:val="16"/>
                <w:szCs w:val="16"/>
                <w:lang w:val="en-GB"/>
              </w:rPr>
            </w:pPr>
            <w:r w:rsidRPr="0035173D">
              <w:rPr>
                <w:iCs/>
                <w:color w:val="000000"/>
                <w:sz w:val="16"/>
                <w:szCs w:val="16"/>
                <w:lang w:val="en-GB"/>
              </w:rPr>
              <w:t xml:space="preserve">Data source: </w:t>
            </w:r>
            <w:r w:rsidR="003066D5" w:rsidRPr="0035173D">
              <w:rPr>
                <w:iCs/>
                <w:color w:val="000000"/>
                <w:sz w:val="16"/>
                <w:szCs w:val="16"/>
                <w:lang w:val="en-GB"/>
              </w:rPr>
              <w:t xml:space="preserve"> Local </w:t>
            </w:r>
            <w:r w:rsidR="00E55F1C">
              <w:rPr>
                <w:iCs/>
                <w:color w:val="000000"/>
                <w:sz w:val="16"/>
                <w:szCs w:val="16"/>
                <w:lang w:val="en-GB"/>
              </w:rPr>
              <w:t>p</w:t>
            </w:r>
            <w:r w:rsidR="003066D5" w:rsidRPr="0035173D">
              <w:rPr>
                <w:iCs/>
                <w:color w:val="000000"/>
                <w:sz w:val="16"/>
                <w:szCs w:val="16"/>
                <w:lang w:val="en-GB"/>
              </w:rPr>
              <w:t xml:space="preserve">rotected </w:t>
            </w:r>
            <w:r w:rsidR="00E55F1C">
              <w:rPr>
                <w:iCs/>
                <w:color w:val="000000"/>
                <w:sz w:val="16"/>
                <w:szCs w:val="16"/>
                <w:lang w:val="en-GB"/>
              </w:rPr>
              <w:t>a</w:t>
            </w:r>
            <w:r w:rsidR="003066D5" w:rsidRPr="0035173D">
              <w:rPr>
                <w:iCs/>
                <w:color w:val="000000"/>
                <w:sz w:val="16"/>
                <w:szCs w:val="16"/>
                <w:lang w:val="en-GB"/>
              </w:rPr>
              <w:t xml:space="preserve">reas and MEGDT Specially Protected </w:t>
            </w:r>
            <w:r w:rsidR="00AB3222">
              <w:rPr>
                <w:iCs/>
                <w:color w:val="000000"/>
                <w:sz w:val="16"/>
                <w:szCs w:val="16"/>
                <w:lang w:val="en-GB"/>
              </w:rPr>
              <w:t>a</w:t>
            </w:r>
            <w:r w:rsidR="003066D5" w:rsidRPr="0035173D">
              <w:rPr>
                <w:iCs/>
                <w:color w:val="000000"/>
                <w:sz w:val="16"/>
                <w:szCs w:val="16"/>
                <w:lang w:val="en-GB"/>
              </w:rPr>
              <w:t xml:space="preserve">rea </w:t>
            </w:r>
            <w:r w:rsidR="00AB3222">
              <w:rPr>
                <w:iCs/>
                <w:color w:val="000000"/>
                <w:sz w:val="16"/>
                <w:szCs w:val="16"/>
                <w:lang w:val="en-GB"/>
              </w:rPr>
              <w:t>a</w:t>
            </w:r>
            <w:r w:rsidR="003066D5" w:rsidRPr="0035173D">
              <w:rPr>
                <w:iCs/>
                <w:color w:val="000000"/>
                <w:sz w:val="16"/>
                <w:szCs w:val="16"/>
                <w:lang w:val="en-GB"/>
              </w:rPr>
              <w:t xml:space="preserve">dministration </w:t>
            </w:r>
            <w:r w:rsidR="00E55F1C">
              <w:rPr>
                <w:iCs/>
                <w:color w:val="000000"/>
                <w:sz w:val="16"/>
                <w:szCs w:val="16"/>
                <w:lang w:val="en-GB"/>
              </w:rPr>
              <w:t>d</w:t>
            </w:r>
            <w:r w:rsidR="003066D5" w:rsidRPr="0035173D">
              <w:rPr>
                <w:iCs/>
                <w:color w:val="000000"/>
                <w:sz w:val="16"/>
                <w:szCs w:val="16"/>
                <w:lang w:val="en-GB"/>
              </w:rPr>
              <w:t>epartment</w:t>
            </w:r>
            <w:r w:rsidR="000814B8" w:rsidRPr="0035173D">
              <w:rPr>
                <w:iCs/>
                <w:color w:val="000000"/>
                <w:sz w:val="16"/>
                <w:szCs w:val="16"/>
                <w:lang w:val="en-GB"/>
              </w:rPr>
              <w:t xml:space="preserve"> </w:t>
            </w:r>
            <w:r w:rsidR="00E55F1C">
              <w:rPr>
                <w:iCs/>
                <w:color w:val="000000"/>
                <w:sz w:val="16"/>
                <w:szCs w:val="16"/>
                <w:lang w:val="en-GB"/>
              </w:rPr>
              <w:t>r</w:t>
            </w:r>
            <w:r w:rsidR="000814B8" w:rsidRPr="0035173D">
              <w:rPr>
                <w:iCs/>
                <w:color w:val="000000"/>
                <w:sz w:val="16"/>
                <w:szCs w:val="16"/>
                <w:lang w:val="en-GB"/>
              </w:rPr>
              <w:t>eports</w:t>
            </w:r>
            <w:r w:rsidR="003066D5" w:rsidRPr="0035173D">
              <w:rPr>
                <w:iCs/>
                <w:color w:val="000000"/>
                <w:sz w:val="16"/>
                <w:szCs w:val="16"/>
                <w:lang w:val="en-GB"/>
              </w:rPr>
              <w:t xml:space="preserve"> </w:t>
            </w:r>
          </w:p>
          <w:p w14:paraId="13A81193" w14:textId="409F5A7A" w:rsidR="00BD308F" w:rsidRPr="0035173D" w:rsidRDefault="00BD308F" w:rsidP="000F7E44">
            <w:pPr>
              <w:rPr>
                <w:iCs/>
                <w:color w:val="000000"/>
                <w:sz w:val="16"/>
                <w:szCs w:val="16"/>
                <w:lang w:val="en-GB"/>
              </w:rPr>
            </w:pPr>
            <w:r w:rsidRPr="0035173D">
              <w:rPr>
                <w:iCs/>
                <w:color w:val="000000"/>
                <w:sz w:val="16"/>
                <w:szCs w:val="16"/>
                <w:lang w:val="en-GB"/>
              </w:rPr>
              <w:t xml:space="preserve">Frequency: </w:t>
            </w:r>
            <w:r w:rsidR="00AB3222">
              <w:rPr>
                <w:iCs/>
                <w:color w:val="000000"/>
                <w:sz w:val="16"/>
                <w:szCs w:val="16"/>
                <w:lang w:val="en-GB"/>
              </w:rPr>
              <w:t>a</w:t>
            </w:r>
            <w:r w:rsidR="00BB1CF8" w:rsidRPr="0035173D">
              <w:rPr>
                <w:iCs/>
                <w:color w:val="000000"/>
                <w:sz w:val="16"/>
                <w:szCs w:val="16"/>
                <w:lang w:val="en-GB"/>
              </w:rPr>
              <w:t>nnual</w:t>
            </w:r>
          </w:p>
          <w:p w14:paraId="31B6E2B6" w14:textId="77777777" w:rsidR="00BD308F" w:rsidRPr="0035173D" w:rsidRDefault="00BD308F" w:rsidP="000F7E44">
            <w:pPr>
              <w:rPr>
                <w:bCs/>
                <w:color w:val="000000"/>
                <w:sz w:val="16"/>
                <w:szCs w:val="16"/>
                <w:lang w:val="en-GB"/>
              </w:rPr>
            </w:pPr>
          </w:p>
          <w:p w14:paraId="50241D55" w14:textId="3F1423C4" w:rsidR="00BD308F" w:rsidRPr="0035173D" w:rsidRDefault="00F84902" w:rsidP="0003657F">
            <w:pPr>
              <w:pStyle w:val="ListParagraph"/>
              <w:ind w:left="0"/>
              <w:rPr>
                <w:bCs/>
                <w:color w:val="000000"/>
                <w:sz w:val="16"/>
                <w:szCs w:val="16"/>
                <w:lang w:val="en-GB"/>
              </w:rPr>
            </w:pPr>
            <w:r w:rsidRPr="0003657F">
              <w:rPr>
                <w:b/>
                <w:bCs/>
                <w:i/>
                <w:color w:val="000000"/>
                <w:sz w:val="16"/>
                <w:szCs w:val="16"/>
                <w:lang w:val="en-GB"/>
              </w:rPr>
              <w:t>Output 1.5.</w:t>
            </w:r>
            <w:r>
              <w:rPr>
                <w:bCs/>
                <w:color w:val="000000"/>
                <w:sz w:val="16"/>
                <w:szCs w:val="16"/>
                <w:lang w:val="en-GB"/>
              </w:rPr>
              <w:t xml:space="preserve"> </w:t>
            </w:r>
            <w:r w:rsidR="00BD308F" w:rsidRPr="0035173D">
              <w:rPr>
                <w:bCs/>
                <w:color w:val="000000"/>
                <w:sz w:val="16"/>
                <w:szCs w:val="16"/>
                <w:lang w:val="en-GB"/>
              </w:rPr>
              <w:t xml:space="preserve">Sustainable </w:t>
            </w:r>
            <w:r>
              <w:rPr>
                <w:bCs/>
                <w:color w:val="000000"/>
                <w:sz w:val="16"/>
                <w:szCs w:val="16"/>
                <w:lang w:val="en-GB"/>
              </w:rPr>
              <w:t>l</w:t>
            </w:r>
            <w:r w:rsidR="00BD308F" w:rsidRPr="0035173D">
              <w:rPr>
                <w:bCs/>
                <w:color w:val="000000"/>
                <w:sz w:val="16"/>
                <w:szCs w:val="16"/>
                <w:lang w:val="en-GB"/>
              </w:rPr>
              <w:t xml:space="preserve">and </w:t>
            </w:r>
            <w:r>
              <w:rPr>
                <w:bCs/>
                <w:color w:val="000000"/>
                <w:sz w:val="16"/>
                <w:szCs w:val="16"/>
                <w:lang w:val="en-GB"/>
              </w:rPr>
              <w:t>m</w:t>
            </w:r>
            <w:r w:rsidR="00BD308F" w:rsidRPr="0035173D">
              <w:rPr>
                <w:bCs/>
                <w:color w:val="000000"/>
                <w:sz w:val="16"/>
                <w:szCs w:val="16"/>
                <w:lang w:val="en-GB"/>
              </w:rPr>
              <w:t>anagement models tested and scaled</w:t>
            </w:r>
            <w:r>
              <w:rPr>
                <w:bCs/>
                <w:color w:val="000000"/>
                <w:sz w:val="16"/>
                <w:szCs w:val="16"/>
                <w:lang w:val="en-GB"/>
              </w:rPr>
              <w:t xml:space="preserve"> </w:t>
            </w:r>
            <w:r w:rsidR="00BD308F" w:rsidRPr="0035173D">
              <w:rPr>
                <w:bCs/>
                <w:color w:val="000000"/>
                <w:sz w:val="16"/>
                <w:szCs w:val="16"/>
                <w:lang w:val="en-GB"/>
              </w:rPr>
              <w:t xml:space="preserve">up </w:t>
            </w:r>
            <w:r w:rsidR="00FB093E" w:rsidRPr="0035173D">
              <w:rPr>
                <w:bCs/>
                <w:color w:val="000000"/>
                <w:sz w:val="16"/>
                <w:szCs w:val="16"/>
                <w:lang w:val="en-GB"/>
              </w:rPr>
              <w:t xml:space="preserve">in partnership with public </w:t>
            </w:r>
            <w:r w:rsidR="00BC083F" w:rsidRPr="0035173D">
              <w:rPr>
                <w:bCs/>
                <w:color w:val="000000"/>
                <w:sz w:val="16"/>
                <w:szCs w:val="16"/>
                <w:lang w:val="en-GB"/>
              </w:rPr>
              <w:t>and private sector</w:t>
            </w:r>
            <w:r w:rsidR="00FB093E" w:rsidRPr="0035173D">
              <w:rPr>
                <w:bCs/>
                <w:color w:val="000000"/>
                <w:sz w:val="16"/>
                <w:szCs w:val="16"/>
                <w:lang w:val="en-GB"/>
              </w:rPr>
              <w:t xml:space="preserve"> </w:t>
            </w:r>
            <w:r w:rsidR="00BD308F" w:rsidRPr="0035173D">
              <w:rPr>
                <w:bCs/>
                <w:color w:val="000000"/>
                <w:sz w:val="16"/>
                <w:szCs w:val="16"/>
                <w:lang w:val="en-GB"/>
              </w:rPr>
              <w:t>for increased coverage</w:t>
            </w:r>
          </w:p>
          <w:p w14:paraId="14862F15" w14:textId="77777777" w:rsidR="00BC083F" w:rsidRPr="0035173D" w:rsidRDefault="00BC083F" w:rsidP="000F7E44">
            <w:pPr>
              <w:pStyle w:val="ListParagraph"/>
              <w:ind w:left="0"/>
              <w:rPr>
                <w:bCs/>
                <w:color w:val="000000"/>
                <w:sz w:val="16"/>
                <w:szCs w:val="16"/>
                <w:lang w:val="en-GB"/>
              </w:rPr>
            </w:pPr>
          </w:p>
          <w:p w14:paraId="7AC8ED00" w14:textId="3F1483FA" w:rsidR="00BD308F" w:rsidRPr="0035173D" w:rsidRDefault="00BD308F" w:rsidP="000F7E44">
            <w:pPr>
              <w:rPr>
                <w:bCs/>
                <w:color w:val="000000"/>
                <w:sz w:val="16"/>
                <w:szCs w:val="16"/>
                <w:lang w:val="en-GB"/>
              </w:rPr>
            </w:pPr>
            <w:r w:rsidRPr="0003657F">
              <w:rPr>
                <w:i/>
                <w:iCs/>
                <w:sz w:val="16"/>
                <w:szCs w:val="16"/>
                <w:lang w:val="en-GB"/>
              </w:rPr>
              <w:t>Indicator</w:t>
            </w:r>
            <w:r w:rsidR="00DC68C3" w:rsidRPr="0003657F">
              <w:rPr>
                <w:i/>
                <w:iCs/>
                <w:sz w:val="16"/>
                <w:szCs w:val="16"/>
                <w:lang w:val="en-GB"/>
              </w:rPr>
              <w:t xml:space="preserve"> 1.5.1</w:t>
            </w:r>
            <w:r w:rsidR="00DC68C3" w:rsidRPr="0035173D">
              <w:rPr>
                <w:iCs/>
                <w:sz w:val="16"/>
                <w:szCs w:val="16"/>
                <w:lang w:val="en-GB"/>
              </w:rPr>
              <w:t>.</w:t>
            </w:r>
            <w:r w:rsidRPr="0035173D">
              <w:rPr>
                <w:iCs/>
                <w:sz w:val="16"/>
                <w:szCs w:val="16"/>
                <w:lang w:val="en-GB"/>
              </w:rPr>
              <w:t xml:space="preserve"> Pastureland area sustainably managed and rehabilitated </w:t>
            </w:r>
            <w:r w:rsidR="008F0002" w:rsidRPr="0035173D">
              <w:rPr>
                <w:iCs/>
                <w:sz w:val="16"/>
                <w:szCs w:val="16"/>
                <w:lang w:val="en-GB"/>
              </w:rPr>
              <w:t>(h</w:t>
            </w:r>
            <w:r w:rsidR="00F84902">
              <w:rPr>
                <w:iCs/>
                <w:sz w:val="16"/>
                <w:szCs w:val="16"/>
                <w:lang w:val="en-GB"/>
              </w:rPr>
              <w:t>ectares)</w:t>
            </w:r>
            <w:r w:rsidR="008F0002" w:rsidRPr="0035173D">
              <w:rPr>
                <w:iCs/>
                <w:sz w:val="16"/>
                <w:szCs w:val="16"/>
                <w:lang w:val="en-GB"/>
              </w:rPr>
              <w:t>)</w:t>
            </w:r>
          </w:p>
          <w:p w14:paraId="093917EF" w14:textId="77777777" w:rsidR="00BD308F" w:rsidRPr="0035173D" w:rsidRDefault="00BD308F" w:rsidP="000F7E44">
            <w:pPr>
              <w:rPr>
                <w:bCs/>
                <w:color w:val="000000"/>
                <w:sz w:val="16"/>
                <w:szCs w:val="16"/>
                <w:lang w:val="en-GB"/>
              </w:rPr>
            </w:pPr>
            <w:r w:rsidRPr="0035173D">
              <w:rPr>
                <w:iCs/>
                <w:sz w:val="16"/>
                <w:szCs w:val="16"/>
                <w:lang w:val="en-GB"/>
              </w:rPr>
              <w:t>Baseline</w:t>
            </w:r>
            <w:r w:rsidR="00F41445" w:rsidRPr="0035173D">
              <w:rPr>
                <w:iCs/>
                <w:sz w:val="16"/>
                <w:szCs w:val="16"/>
                <w:lang w:val="en-GB"/>
              </w:rPr>
              <w:t xml:space="preserve"> (2015</w:t>
            </w:r>
            <w:r w:rsidR="001F6D0C" w:rsidRPr="0035173D">
              <w:rPr>
                <w:iCs/>
                <w:sz w:val="16"/>
                <w:szCs w:val="16"/>
                <w:lang w:val="en-GB"/>
              </w:rPr>
              <w:t>)</w:t>
            </w:r>
            <w:r w:rsidRPr="0035173D">
              <w:rPr>
                <w:iCs/>
                <w:sz w:val="16"/>
                <w:szCs w:val="16"/>
                <w:lang w:val="en-GB"/>
              </w:rPr>
              <w:t xml:space="preserve">: 960,000 </w:t>
            </w:r>
          </w:p>
          <w:p w14:paraId="6E57D3E9" w14:textId="77777777" w:rsidR="00BD308F" w:rsidRPr="0035173D" w:rsidRDefault="00BD308F" w:rsidP="000F7E44">
            <w:pPr>
              <w:rPr>
                <w:bCs/>
                <w:color w:val="000000"/>
                <w:sz w:val="16"/>
                <w:szCs w:val="16"/>
                <w:lang w:val="en-GB"/>
              </w:rPr>
            </w:pPr>
            <w:r w:rsidRPr="0035173D">
              <w:rPr>
                <w:bCs/>
                <w:color w:val="000000"/>
                <w:sz w:val="16"/>
                <w:szCs w:val="16"/>
                <w:lang w:val="en-GB"/>
              </w:rPr>
              <w:t xml:space="preserve">Target: </w:t>
            </w:r>
            <w:r w:rsidR="008F0002" w:rsidRPr="0035173D">
              <w:rPr>
                <w:bCs/>
                <w:color w:val="000000"/>
                <w:sz w:val="16"/>
                <w:szCs w:val="16"/>
                <w:lang w:val="en-GB"/>
              </w:rPr>
              <w:t>1,460,000</w:t>
            </w:r>
            <w:r w:rsidRPr="0035173D">
              <w:rPr>
                <w:bCs/>
                <w:color w:val="000000"/>
                <w:sz w:val="16"/>
                <w:szCs w:val="16"/>
                <w:lang w:val="en-GB"/>
              </w:rPr>
              <w:t xml:space="preserve"> </w:t>
            </w:r>
          </w:p>
          <w:p w14:paraId="3A69724D" w14:textId="77777777" w:rsidR="00BD308F" w:rsidRPr="0035173D" w:rsidRDefault="00BD308F" w:rsidP="000F7E44">
            <w:pPr>
              <w:rPr>
                <w:iCs/>
                <w:color w:val="000000"/>
                <w:sz w:val="16"/>
                <w:szCs w:val="16"/>
                <w:lang w:val="en-GB"/>
              </w:rPr>
            </w:pPr>
            <w:r w:rsidRPr="0035173D">
              <w:rPr>
                <w:iCs/>
                <w:color w:val="000000"/>
                <w:sz w:val="16"/>
                <w:szCs w:val="16"/>
                <w:lang w:val="en-GB"/>
              </w:rPr>
              <w:t xml:space="preserve">Data source: </w:t>
            </w:r>
            <w:r w:rsidR="00F41445" w:rsidRPr="0035173D">
              <w:rPr>
                <w:iCs/>
                <w:color w:val="000000"/>
                <w:sz w:val="16"/>
                <w:szCs w:val="16"/>
                <w:lang w:val="en-GB"/>
              </w:rPr>
              <w:t>UNDP</w:t>
            </w:r>
          </w:p>
          <w:p w14:paraId="7A52DA19" w14:textId="1117D6BB" w:rsidR="00BD308F" w:rsidRPr="0035173D" w:rsidRDefault="00BD308F" w:rsidP="000F7E44">
            <w:pPr>
              <w:rPr>
                <w:iCs/>
                <w:color w:val="000000"/>
                <w:sz w:val="16"/>
                <w:szCs w:val="16"/>
                <w:lang w:val="en-GB"/>
              </w:rPr>
            </w:pPr>
            <w:r w:rsidRPr="0035173D">
              <w:rPr>
                <w:iCs/>
                <w:color w:val="000000"/>
                <w:sz w:val="16"/>
                <w:szCs w:val="16"/>
                <w:lang w:val="en-GB"/>
              </w:rPr>
              <w:t xml:space="preserve">Frequency: </w:t>
            </w:r>
            <w:r w:rsidR="00AB3222">
              <w:rPr>
                <w:iCs/>
                <w:color w:val="000000"/>
                <w:sz w:val="16"/>
                <w:szCs w:val="16"/>
                <w:lang w:val="en-GB"/>
              </w:rPr>
              <w:t>a</w:t>
            </w:r>
            <w:r w:rsidR="00F41445" w:rsidRPr="0035173D">
              <w:rPr>
                <w:iCs/>
                <w:color w:val="000000"/>
                <w:sz w:val="16"/>
                <w:szCs w:val="16"/>
                <w:lang w:val="en-GB"/>
              </w:rPr>
              <w:t>nnual</w:t>
            </w:r>
          </w:p>
          <w:p w14:paraId="5785E106" w14:textId="77777777" w:rsidR="00BD308F" w:rsidRPr="0035173D" w:rsidRDefault="00BD308F" w:rsidP="000F7E44">
            <w:pPr>
              <w:rPr>
                <w:bCs/>
                <w:color w:val="000000"/>
                <w:sz w:val="16"/>
                <w:szCs w:val="16"/>
                <w:lang w:val="en-GB"/>
              </w:rPr>
            </w:pPr>
          </w:p>
          <w:p w14:paraId="46168B68" w14:textId="4B8CFC13" w:rsidR="00BD308F" w:rsidRPr="0003657F" w:rsidRDefault="00BD308F" w:rsidP="000F7E44">
            <w:pPr>
              <w:rPr>
                <w:iCs/>
                <w:sz w:val="16"/>
                <w:szCs w:val="16"/>
                <w:lang w:val="en-GB"/>
              </w:rPr>
            </w:pPr>
            <w:r w:rsidRPr="0003657F">
              <w:rPr>
                <w:i/>
                <w:iCs/>
                <w:sz w:val="16"/>
                <w:szCs w:val="16"/>
                <w:lang w:val="en-GB"/>
              </w:rPr>
              <w:t>Indicator</w:t>
            </w:r>
            <w:r w:rsidR="00DC68C3" w:rsidRPr="0003657F">
              <w:rPr>
                <w:i/>
                <w:iCs/>
                <w:sz w:val="16"/>
                <w:szCs w:val="16"/>
                <w:lang w:val="en-GB"/>
              </w:rPr>
              <w:t>1.5.2.</w:t>
            </w:r>
            <w:r w:rsidRPr="0035173D">
              <w:rPr>
                <w:iCs/>
                <w:sz w:val="16"/>
                <w:szCs w:val="16"/>
                <w:lang w:val="en-GB"/>
              </w:rPr>
              <w:t xml:space="preserve"> Existence of strategy </w:t>
            </w:r>
            <w:r w:rsidR="00E55F1C">
              <w:rPr>
                <w:iCs/>
                <w:sz w:val="16"/>
                <w:szCs w:val="16"/>
                <w:lang w:val="en-GB"/>
              </w:rPr>
              <w:t xml:space="preserve">for </w:t>
            </w:r>
            <w:r w:rsidR="00E55F1C" w:rsidRPr="0003657F">
              <w:rPr>
                <w:iCs/>
                <w:sz w:val="16"/>
                <w:szCs w:val="16"/>
                <w:lang w:val="en-GB"/>
              </w:rPr>
              <w:t>Reducing Emissions from Deforestation and Forest Degradation</w:t>
            </w:r>
            <w:r w:rsidR="00E55F1C">
              <w:rPr>
                <w:iCs/>
                <w:sz w:val="16"/>
                <w:szCs w:val="16"/>
                <w:lang w:val="en-GB"/>
              </w:rPr>
              <w:t xml:space="preserve"> (REDD)</w:t>
            </w:r>
          </w:p>
          <w:p w14:paraId="69EEE1A8" w14:textId="77777777" w:rsidR="00BD308F" w:rsidRPr="0035173D" w:rsidRDefault="00BD308F" w:rsidP="000F7E44">
            <w:pPr>
              <w:rPr>
                <w:iCs/>
                <w:sz w:val="16"/>
                <w:szCs w:val="16"/>
                <w:lang w:val="en-GB"/>
              </w:rPr>
            </w:pPr>
            <w:r w:rsidRPr="0035173D">
              <w:rPr>
                <w:iCs/>
                <w:sz w:val="16"/>
                <w:szCs w:val="16"/>
                <w:lang w:val="en-GB"/>
              </w:rPr>
              <w:t>Baseline</w:t>
            </w:r>
            <w:r w:rsidR="001F6D0C" w:rsidRPr="0035173D">
              <w:rPr>
                <w:iCs/>
                <w:sz w:val="16"/>
                <w:szCs w:val="16"/>
                <w:lang w:val="en-GB"/>
              </w:rPr>
              <w:t xml:space="preserve"> (2016)</w:t>
            </w:r>
            <w:r w:rsidRPr="0035173D">
              <w:rPr>
                <w:iCs/>
                <w:sz w:val="16"/>
                <w:szCs w:val="16"/>
                <w:lang w:val="en-GB"/>
              </w:rPr>
              <w:t>: National</w:t>
            </w:r>
            <w:r w:rsidR="001802BE" w:rsidRPr="0035173D">
              <w:rPr>
                <w:iCs/>
                <w:sz w:val="16"/>
                <w:szCs w:val="16"/>
                <w:lang w:val="en-GB"/>
              </w:rPr>
              <w:t xml:space="preserve"> REDD</w:t>
            </w:r>
            <w:r w:rsidRPr="0035173D">
              <w:rPr>
                <w:iCs/>
                <w:sz w:val="16"/>
                <w:szCs w:val="16"/>
                <w:lang w:val="en-GB"/>
              </w:rPr>
              <w:t xml:space="preserve"> </w:t>
            </w:r>
            <w:r w:rsidR="00FB093E" w:rsidRPr="0035173D">
              <w:rPr>
                <w:iCs/>
                <w:sz w:val="16"/>
                <w:szCs w:val="16"/>
                <w:lang w:val="en-GB"/>
              </w:rPr>
              <w:t>strategy drafting</w:t>
            </w:r>
            <w:r w:rsidRPr="0035173D">
              <w:rPr>
                <w:iCs/>
                <w:sz w:val="16"/>
                <w:szCs w:val="16"/>
                <w:lang w:val="en-GB"/>
              </w:rPr>
              <w:t xml:space="preserve"> initiated </w:t>
            </w:r>
          </w:p>
          <w:p w14:paraId="0C53D1CF" w14:textId="7AAF4D46" w:rsidR="00D173D0" w:rsidRPr="0035173D" w:rsidRDefault="00BD308F" w:rsidP="000F7E44">
            <w:pPr>
              <w:rPr>
                <w:iCs/>
                <w:sz w:val="16"/>
                <w:szCs w:val="16"/>
                <w:lang w:val="en-GB"/>
              </w:rPr>
            </w:pPr>
            <w:r w:rsidRPr="0035173D">
              <w:rPr>
                <w:bCs/>
                <w:color w:val="000000"/>
                <w:sz w:val="16"/>
                <w:szCs w:val="16"/>
                <w:lang w:val="en-GB"/>
              </w:rPr>
              <w:t>Target</w:t>
            </w:r>
            <w:r w:rsidR="00FB093E" w:rsidRPr="0035173D">
              <w:rPr>
                <w:bCs/>
                <w:color w:val="000000"/>
                <w:sz w:val="16"/>
                <w:szCs w:val="16"/>
                <w:lang w:val="en-GB"/>
              </w:rPr>
              <w:t xml:space="preserve"> (2018)</w:t>
            </w:r>
            <w:r w:rsidRPr="0035173D">
              <w:rPr>
                <w:bCs/>
                <w:color w:val="000000"/>
                <w:sz w:val="16"/>
                <w:szCs w:val="16"/>
                <w:lang w:val="en-GB"/>
              </w:rPr>
              <w:t xml:space="preserve">: </w:t>
            </w:r>
            <w:r w:rsidR="00AB3222">
              <w:rPr>
                <w:bCs/>
                <w:color w:val="000000"/>
                <w:sz w:val="16"/>
                <w:szCs w:val="16"/>
                <w:lang w:val="en-GB"/>
              </w:rPr>
              <w:t>d</w:t>
            </w:r>
            <w:r w:rsidR="008F0002" w:rsidRPr="0035173D">
              <w:rPr>
                <w:bCs/>
                <w:color w:val="000000"/>
                <w:sz w:val="16"/>
                <w:szCs w:val="16"/>
                <w:lang w:val="en-GB"/>
              </w:rPr>
              <w:t xml:space="preserve">raft </w:t>
            </w:r>
            <w:r w:rsidR="001802BE" w:rsidRPr="0035173D">
              <w:rPr>
                <w:bCs/>
                <w:color w:val="000000"/>
                <w:sz w:val="16"/>
                <w:szCs w:val="16"/>
                <w:lang w:val="en-GB"/>
              </w:rPr>
              <w:t xml:space="preserve">REDD </w:t>
            </w:r>
            <w:r w:rsidRPr="0035173D">
              <w:rPr>
                <w:bCs/>
                <w:color w:val="000000"/>
                <w:sz w:val="16"/>
                <w:szCs w:val="16"/>
                <w:lang w:val="en-GB"/>
              </w:rPr>
              <w:t>strategy</w:t>
            </w:r>
            <w:r w:rsidR="00F41445" w:rsidRPr="0035173D">
              <w:rPr>
                <w:bCs/>
                <w:color w:val="000000"/>
                <w:sz w:val="16"/>
                <w:szCs w:val="16"/>
                <w:lang w:val="en-GB"/>
              </w:rPr>
              <w:t xml:space="preserve"> </w:t>
            </w:r>
            <w:r w:rsidR="008F0002" w:rsidRPr="0035173D">
              <w:rPr>
                <w:bCs/>
                <w:color w:val="000000"/>
                <w:sz w:val="16"/>
                <w:szCs w:val="16"/>
                <w:lang w:val="en-GB"/>
              </w:rPr>
              <w:t xml:space="preserve">considered for approval </w:t>
            </w:r>
            <w:r w:rsidR="00F41445" w:rsidRPr="0035173D">
              <w:rPr>
                <w:bCs/>
                <w:color w:val="000000"/>
                <w:sz w:val="16"/>
                <w:szCs w:val="16"/>
                <w:lang w:val="en-GB"/>
              </w:rPr>
              <w:t>by MEGDT</w:t>
            </w:r>
          </w:p>
          <w:p w14:paraId="06A4BBA2" w14:textId="77777777" w:rsidR="00FD7990" w:rsidRPr="0035173D" w:rsidRDefault="00FD7990" w:rsidP="000F7E44">
            <w:pPr>
              <w:rPr>
                <w:iCs/>
                <w:sz w:val="16"/>
                <w:szCs w:val="16"/>
                <w:lang w:val="en-GB"/>
              </w:rPr>
            </w:pPr>
            <w:r w:rsidRPr="0035173D">
              <w:rPr>
                <w:bCs/>
                <w:color w:val="000000"/>
                <w:sz w:val="16"/>
                <w:szCs w:val="16"/>
                <w:lang w:val="en-GB"/>
              </w:rPr>
              <w:t xml:space="preserve">Data source: Government </w:t>
            </w:r>
          </w:p>
          <w:p w14:paraId="78BEE9A0" w14:textId="21DD54D8" w:rsidR="00E55F1C" w:rsidRPr="0035173D" w:rsidRDefault="00FD7990" w:rsidP="00E55F1C">
            <w:pPr>
              <w:rPr>
                <w:iCs/>
                <w:sz w:val="16"/>
                <w:szCs w:val="16"/>
                <w:lang w:val="en-GB"/>
              </w:rPr>
            </w:pPr>
            <w:r w:rsidRPr="0035173D">
              <w:rPr>
                <w:bCs/>
                <w:color w:val="000000"/>
                <w:sz w:val="16"/>
                <w:szCs w:val="16"/>
                <w:lang w:val="en-GB"/>
              </w:rPr>
              <w:t xml:space="preserve">Frequency: </w:t>
            </w:r>
            <w:r w:rsidR="00AB3222">
              <w:rPr>
                <w:bCs/>
                <w:color w:val="000000"/>
                <w:sz w:val="16"/>
                <w:szCs w:val="16"/>
                <w:lang w:val="en-GB"/>
              </w:rPr>
              <w:t>a</w:t>
            </w:r>
            <w:r w:rsidR="008F0002" w:rsidRPr="0035173D">
              <w:rPr>
                <w:bCs/>
                <w:color w:val="000000"/>
                <w:sz w:val="16"/>
                <w:szCs w:val="16"/>
                <w:lang w:val="en-GB"/>
              </w:rPr>
              <w:t>nnual</w:t>
            </w:r>
          </w:p>
        </w:tc>
        <w:tc>
          <w:tcPr>
            <w:tcW w:w="791" w:type="pct"/>
            <w:vMerge w:val="restart"/>
            <w:shd w:val="clear" w:color="auto" w:fill="auto"/>
          </w:tcPr>
          <w:p w14:paraId="4F158CAB" w14:textId="77777777" w:rsidR="00D173D0" w:rsidRPr="0035173D" w:rsidRDefault="00D173D0" w:rsidP="00D173D0">
            <w:pPr>
              <w:rPr>
                <w:iCs/>
                <w:color w:val="000000"/>
                <w:sz w:val="16"/>
                <w:szCs w:val="16"/>
                <w:lang w:val="en-GB"/>
              </w:rPr>
            </w:pPr>
            <w:r w:rsidRPr="0035173D">
              <w:rPr>
                <w:iCs/>
                <w:color w:val="000000"/>
                <w:sz w:val="16"/>
                <w:szCs w:val="16"/>
                <w:lang w:val="en-GB"/>
              </w:rPr>
              <w:t>Government: MEGDT, MOFA, Local government</w:t>
            </w:r>
          </w:p>
          <w:p w14:paraId="08C26B8B" w14:textId="430CACA6" w:rsidR="00067D80" w:rsidRPr="0035173D" w:rsidRDefault="00067D80" w:rsidP="00067D80">
            <w:pPr>
              <w:rPr>
                <w:iCs/>
                <w:color w:val="000000"/>
                <w:sz w:val="16"/>
                <w:szCs w:val="16"/>
                <w:lang w:val="en-GB"/>
              </w:rPr>
            </w:pPr>
            <w:r w:rsidRPr="0035173D">
              <w:rPr>
                <w:iCs/>
                <w:color w:val="000000"/>
                <w:sz w:val="16"/>
                <w:szCs w:val="16"/>
                <w:lang w:val="en-GB"/>
              </w:rPr>
              <w:t>U</w:t>
            </w:r>
            <w:r w:rsidR="00E55F1C">
              <w:rPr>
                <w:iCs/>
                <w:color w:val="000000"/>
                <w:sz w:val="16"/>
                <w:szCs w:val="16"/>
                <w:lang w:val="en-GB"/>
              </w:rPr>
              <w:t>nited Nations organizations</w:t>
            </w:r>
          </w:p>
          <w:p w14:paraId="25A46ACC" w14:textId="77777777" w:rsidR="00D173D0" w:rsidRPr="0035173D" w:rsidRDefault="00D173D0" w:rsidP="00D173D0">
            <w:pPr>
              <w:rPr>
                <w:iCs/>
                <w:color w:val="000000"/>
                <w:sz w:val="16"/>
                <w:szCs w:val="16"/>
                <w:lang w:val="en-GB"/>
              </w:rPr>
            </w:pPr>
            <w:r w:rsidRPr="0035173D">
              <w:rPr>
                <w:iCs/>
                <w:color w:val="000000"/>
                <w:sz w:val="16"/>
                <w:szCs w:val="16"/>
                <w:lang w:val="en-GB"/>
              </w:rPr>
              <w:t>Civil society</w:t>
            </w:r>
          </w:p>
          <w:p w14:paraId="2FA1C989" w14:textId="77777777" w:rsidR="00D173D0" w:rsidRPr="0035173D" w:rsidRDefault="00D173D0" w:rsidP="00D173D0">
            <w:pPr>
              <w:rPr>
                <w:iCs/>
                <w:color w:val="000000"/>
                <w:sz w:val="16"/>
                <w:szCs w:val="16"/>
                <w:lang w:val="en-GB"/>
              </w:rPr>
            </w:pPr>
            <w:r w:rsidRPr="0035173D">
              <w:rPr>
                <w:iCs/>
                <w:color w:val="000000"/>
                <w:sz w:val="16"/>
                <w:szCs w:val="16"/>
                <w:lang w:val="en-GB"/>
              </w:rPr>
              <w:t>Private sector</w:t>
            </w:r>
          </w:p>
          <w:p w14:paraId="6CBD53CD" w14:textId="77777777" w:rsidR="00D173D0" w:rsidRPr="0035173D" w:rsidRDefault="00D173D0">
            <w:pPr>
              <w:rPr>
                <w:iCs/>
                <w:color w:val="000000"/>
                <w:sz w:val="16"/>
                <w:szCs w:val="16"/>
                <w:lang w:val="en-GB"/>
              </w:rPr>
            </w:pPr>
            <w:r w:rsidRPr="0035173D">
              <w:rPr>
                <w:iCs/>
                <w:color w:val="000000"/>
                <w:sz w:val="16"/>
                <w:szCs w:val="16"/>
                <w:lang w:val="en-GB"/>
              </w:rPr>
              <w:t>Development partners</w:t>
            </w:r>
          </w:p>
        </w:tc>
        <w:tc>
          <w:tcPr>
            <w:tcW w:w="599" w:type="pct"/>
            <w:gridSpan w:val="2"/>
            <w:shd w:val="clear" w:color="auto" w:fill="auto"/>
            <w:tcMar>
              <w:top w:w="15" w:type="dxa"/>
              <w:left w:w="108" w:type="dxa"/>
              <w:bottom w:w="0" w:type="dxa"/>
              <w:right w:w="108" w:type="dxa"/>
            </w:tcMar>
          </w:tcPr>
          <w:p w14:paraId="3644C0CE" w14:textId="58482F66" w:rsidR="00D173D0" w:rsidRPr="0003657F" w:rsidRDefault="00D173D0" w:rsidP="00D173D0">
            <w:pPr>
              <w:rPr>
                <w:b/>
                <w:color w:val="000000"/>
                <w:sz w:val="16"/>
                <w:szCs w:val="16"/>
                <w:lang w:val="en-GB"/>
              </w:rPr>
            </w:pPr>
            <w:r w:rsidRPr="0003657F">
              <w:rPr>
                <w:b/>
                <w:color w:val="000000"/>
                <w:sz w:val="16"/>
                <w:szCs w:val="16"/>
                <w:lang w:val="en-GB"/>
              </w:rPr>
              <w:t>Regular 200</w:t>
            </w:r>
          </w:p>
        </w:tc>
      </w:tr>
      <w:tr w:rsidR="00D173D0" w:rsidRPr="0035173D" w14:paraId="47F768EF" w14:textId="77777777" w:rsidTr="0003657F">
        <w:tc>
          <w:tcPr>
            <w:tcW w:w="1100" w:type="pct"/>
            <w:vMerge/>
            <w:tcMar>
              <w:top w:w="72" w:type="dxa"/>
              <w:left w:w="144" w:type="dxa"/>
              <w:bottom w:w="72" w:type="dxa"/>
              <w:right w:w="144" w:type="dxa"/>
            </w:tcMar>
          </w:tcPr>
          <w:p w14:paraId="14CE59A0" w14:textId="77777777" w:rsidR="00D173D0" w:rsidRPr="0035173D" w:rsidRDefault="00D173D0" w:rsidP="00D173D0">
            <w:pPr>
              <w:rPr>
                <w:b/>
                <w:bCs/>
                <w:color w:val="000000"/>
                <w:sz w:val="16"/>
                <w:szCs w:val="16"/>
                <w:lang w:val="en-GB"/>
              </w:rPr>
            </w:pPr>
          </w:p>
        </w:tc>
        <w:tc>
          <w:tcPr>
            <w:tcW w:w="722" w:type="pct"/>
            <w:vMerge/>
            <w:shd w:val="clear" w:color="auto" w:fill="auto"/>
          </w:tcPr>
          <w:p w14:paraId="4B511854" w14:textId="77777777" w:rsidR="00D173D0" w:rsidRPr="0035173D" w:rsidRDefault="00D173D0" w:rsidP="00D173D0">
            <w:pPr>
              <w:rPr>
                <w:iCs/>
                <w:sz w:val="16"/>
                <w:szCs w:val="16"/>
                <w:lang w:val="en-GB"/>
              </w:rPr>
            </w:pPr>
          </w:p>
        </w:tc>
        <w:tc>
          <w:tcPr>
            <w:tcW w:w="1788" w:type="pct"/>
            <w:vMerge/>
            <w:shd w:val="clear" w:color="auto" w:fill="auto"/>
            <w:tcMar>
              <w:top w:w="72" w:type="dxa"/>
              <w:left w:w="144" w:type="dxa"/>
              <w:bottom w:w="72" w:type="dxa"/>
              <w:right w:w="144" w:type="dxa"/>
            </w:tcMar>
          </w:tcPr>
          <w:p w14:paraId="011F3A1E" w14:textId="77777777" w:rsidR="00D173D0" w:rsidRPr="0035173D" w:rsidRDefault="00D173D0" w:rsidP="00D173D0">
            <w:pPr>
              <w:rPr>
                <w:iCs/>
                <w:color w:val="000000"/>
                <w:sz w:val="16"/>
                <w:szCs w:val="16"/>
                <w:lang w:val="en-GB"/>
              </w:rPr>
            </w:pPr>
          </w:p>
        </w:tc>
        <w:tc>
          <w:tcPr>
            <w:tcW w:w="791" w:type="pct"/>
            <w:vMerge/>
            <w:shd w:val="clear" w:color="auto" w:fill="auto"/>
          </w:tcPr>
          <w:p w14:paraId="26053E15" w14:textId="77777777" w:rsidR="00D173D0" w:rsidRPr="0035173D" w:rsidRDefault="00D173D0" w:rsidP="00D173D0">
            <w:pPr>
              <w:rPr>
                <w:iCs/>
                <w:color w:val="000000"/>
                <w:sz w:val="16"/>
                <w:szCs w:val="16"/>
                <w:lang w:val="en-GB"/>
              </w:rPr>
            </w:pPr>
          </w:p>
        </w:tc>
        <w:tc>
          <w:tcPr>
            <w:tcW w:w="599" w:type="pct"/>
            <w:gridSpan w:val="2"/>
            <w:shd w:val="clear" w:color="auto" w:fill="auto"/>
            <w:tcMar>
              <w:top w:w="15" w:type="dxa"/>
              <w:left w:w="108" w:type="dxa"/>
              <w:bottom w:w="0" w:type="dxa"/>
              <w:right w:w="108" w:type="dxa"/>
            </w:tcMar>
          </w:tcPr>
          <w:p w14:paraId="322B736A" w14:textId="644F46C0" w:rsidR="00D173D0" w:rsidRPr="0003657F" w:rsidRDefault="00160348" w:rsidP="00D173D0">
            <w:pPr>
              <w:rPr>
                <w:b/>
                <w:color w:val="000000"/>
                <w:sz w:val="16"/>
                <w:szCs w:val="16"/>
                <w:lang w:val="en-GB"/>
              </w:rPr>
            </w:pPr>
            <w:r w:rsidRPr="0003657F">
              <w:rPr>
                <w:b/>
                <w:color w:val="000000"/>
                <w:sz w:val="16"/>
                <w:szCs w:val="16"/>
                <w:lang w:val="en-GB"/>
              </w:rPr>
              <w:t>Other 13</w:t>
            </w:r>
            <w:r w:rsidR="00D173D0" w:rsidRPr="0003657F">
              <w:rPr>
                <w:b/>
                <w:color w:val="000000"/>
                <w:sz w:val="16"/>
                <w:szCs w:val="16"/>
                <w:lang w:val="en-GB"/>
              </w:rPr>
              <w:t>,000</w:t>
            </w:r>
          </w:p>
        </w:tc>
      </w:tr>
      <w:tr w:rsidR="005F5472" w:rsidRPr="0035173D" w14:paraId="77959441" w14:textId="77777777" w:rsidTr="0003657F">
        <w:tc>
          <w:tcPr>
            <w:tcW w:w="5000" w:type="pct"/>
            <w:gridSpan w:val="6"/>
            <w:tcMar>
              <w:top w:w="72" w:type="dxa"/>
              <w:left w:w="144" w:type="dxa"/>
              <w:bottom w:w="72" w:type="dxa"/>
              <w:right w:w="144" w:type="dxa"/>
            </w:tcMar>
          </w:tcPr>
          <w:p w14:paraId="79817C97" w14:textId="77777777" w:rsidR="005F5472" w:rsidRPr="0003657F" w:rsidRDefault="000B25A9" w:rsidP="00651955">
            <w:pPr>
              <w:rPr>
                <w:b/>
                <w:color w:val="000000"/>
                <w:sz w:val="16"/>
                <w:szCs w:val="16"/>
                <w:lang w:val="en-GB"/>
              </w:rPr>
            </w:pPr>
            <w:r w:rsidRPr="0035173D">
              <w:rPr>
                <w:b/>
                <w:bCs/>
                <w:color w:val="000000"/>
                <w:sz w:val="16"/>
                <w:szCs w:val="16"/>
                <w:lang w:val="en-GB"/>
              </w:rPr>
              <w:t>Resilience of rural and urban poor to shocks</w:t>
            </w:r>
          </w:p>
        </w:tc>
      </w:tr>
      <w:tr w:rsidR="005F5472" w:rsidRPr="0035173D" w14:paraId="5D047BE1" w14:textId="77777777" w:rsidTr="0003657F">
        <w:tc>
          <w:tcPr>
            <w:tcW w:w="1100" w:type="pct"/>
            <w:vMerge w:val="restart"/>
            <w:tcMar>
              <w:top w:w="72" w:type="dxa"/>
              <w:left w:w="144" w:type="dxa"/>
              <w:bottom w:w="72" w:type="dxa"/>
              <w:right w:w="144" w:type="dxa"/>
            </w:tcMar>
          </w:tcPr>
          <w:p w14:paraId="406574EE" w14:textId="3BA5AEB2" w:rsidR="005F5472" w:rsidRPr="0035173D" w:rsidRDefault="005F5472" w:rsidP="0003657F">
            <w:pPr>
              <w:rPr>
                <w:bCs/>
                <w:color w:val="000000"/>
                <w:sz w:val="16"/>
                <w:szCs w:val="16"/>
                <w:lang w:val="en-GB"/>
              </w:rPr>
            </w:pPr>
            <w:r w:rsidRPr="0003657F">
              <w:rPr>
                <w:b/>
                <w:bCs/>
                <w:i/>
                <w:color w:val="000000"/>
                <w:sz w:val="16"/>
                <w:szCs w:val="16"/>
                <w:lang w:val="en-GB"/>
              </w:rPr>
              <w:t>Indicator:</w:t>
            </w:r>
            <w:r w:rsidRPr="0035173D">
              <w:rPr>
                <w:bCs/>
                <w:color w:val="000000"/>
                <w:sz w:val="16"/>
                <w:szCs w:val="16"/>
                <w:lang w:val="en-GB"/>
              </w:rPr>
              <w:t xml:space="preserve"> </w:t>
            </w:r>
            <w:r w:rsidR="007851C6" w:rsidRPr="0035173D">
              <w:rPr>
                <w:bCs/>
                <w:color w:val="000000"/>
                <w:sz w:val="16"/>
                <w:szCs w:val="16"/>
                <w:lang w:val="en-GB"/>
              </w:rPr>
              <w:t>E</w:t>
            </w:r>
            <w:r w:rsidRPr="0035173D">
              <w:rPr>
                <w:bCs/>
                <w:color w:val="000000"/>
                <w:sz w:val="16"/>
                <w:szCs w:val="16"/>
                <w:lang w:val="en-GB"/>
              </w:rPr>
              <w:t>conomic loss</w:t>
            </w:r>
            <w:r w:rsidR="007851C6" w:rsidRPr="0035173D">
              <w:rPr>
                <w:bCs/>
                <w:color w:val="000000"/>
                <w:sz w:val="16"/>
                <w:szCs w:val="16"/>
                <w:lang w:val="en-GB"/>
              </w:rPr>
              <w:t xml:space="preserve"> from natural hazards</w:t>
            </w:r>
            <w:r w:rsidRPr="0035173D">
              <w:rPr>
                <w:bCs/>
                <w:color w:val="000000"/>
                <w:sz w:val="16"/>
                <w:szCs w:val="16"/>
                <w:lang w:val="en-GB"/>
              </w:rPr>
              <w:t xml:space="preserve"> </w:t>
            </w:r>
            <w:r w:rsidR="007851C6" w:rsidRPr="0035173D">
              <w:rPr>
                <w:bCs/>
                <w:color w:val="000000"/>
                <w:sz w:val="16"/>
                <w:szCs w:val="16"/>
                <w:lang w:val="en-GB"/>
              </w:rPr>
              <w:t xml:space="preserve">(in </w:t>
            </w:r>
            <w:r w:rsidR="007D078E">
              <w:rPr>
                <w:bCs/>
                <w:color w:val="000000"/>
                <w:sz w:val="16"/>
                <w:szCs w:val="16"/>
                <w:lang w:val="en-GB"/>
              </w:rPr>
              <w:t xml:space="preserve">Tog </w:t>
            </w:r>
            <w:r w:rsidR="007D078E" w:rsidRPr="0035173D">
              <w:rPr>
                <w:bCs/>
                <w:color w:val="000000"/>
                <w:sz w:val="16"/>
                <w:szCs w:val="16"/>
                <w:lang w:val="en-GB"/>
              </w:rPr>
              <w:t>million</w:t>
            </w:r>
            <w:r w:rsidR="007D078E">
              <w:rPr>
                <w:bCs/>
                <w:color w:val="000000"/>
                <w:sz w:val="16"/>
                <w:szCs w:val="16"/>
                <w:lang w:val="en-GB"/>
              </w:rPr>
              <w:t>s</w:t>
            </w:r>
            <w:r w:rsidR="007851C6" w:rsidRPr="0035173D">
              <w:rPr>
                <w:bCs/>
                <w:color w:val="000000"/>
                <w:sz w:val="16"/>
                <w:szCs w:val="16"/>
                <w:lang w:val="en-GB"/>
              </w:rPr>
              <w:t>)</w:t>
            </w:r>
          </w:p>
          <w:p w14:paraId="0F4396EB" w14:textId="77777777" w:rsidR="00FF561E" w:rsidRPr="0035173D" w:rsidRDefault="005F5472" w:rsidP="0003657F">
            <w:pPr>
              <w:rPr>
                <w:iCs/>
                <w:color w:val="000000"/>
                <w:sz w:val="16"/>
                <w:szCs w:val="16"/>
                <w:lang w:val="en-GB"/>
              </w:rPr>
            </w:pPr>
            <w:r w:rsidRPr="0003657F">
              <w:rPr>
                <w:i/>
                <w:iCs/>
                <w:sz w:val="16"/>
                <w:szCs w:val="16"/>
                <w:lang w:val="en-GB"/>
              </w:rPr>
              <w:t>Baseline</w:t>
            </w:r>
            <w:r w:rsidR="007851C6" w:rsidRPr="0003657F">
              <w:rPr>
                <w:i/>
                <w:iCs/>
                <w:sz w:val="16"/>
                <w:szCs w:val="16"/>
                <w:lang w:val="en-GB"/>
              </w:rPr>
              <w:t xml:space="preserve"> </w:t>
            </w:r>
            <w:r w:rsidR="007851C6" w:rsidRPr="0035173D">
              <w:rPr>
                <w:iCs/>
                <w:sz w:val="16"/>
                <w:szCs w:val="16"/>
                <w:lang w:val="en-GB"/>
              </w:rPr>
              <w:t>(2013)</w:t>
            </w:r>
            <w:r w:rsidRPr="0035173D">
              <w:rPr>
                <w:iCs/>
                <w:sz w:val="16"/>
                <w:szCs w:val="16"/>
                <w:lang w:val="en-GB"/>
              </w:rPr>
              <w:t>:</w:t>
            </w:r>
            <w:r w:rsidRPr="0003657F">
              <w:rPr>
                <w:sz w:val="16"/>
                <w:szCs w:val="16"/>
                <w:lang w:val="en-GB"/>
              </w:rPr>
              <w:t xml:space="preserve"> </w:t>
            </w:r>
            <w:r w:rsidRPr="0035173D">
              <w:rPr>
                <w:iCs/>
                <w:sz w:val="16"/>
                <w:szCs w:val="16"/>
                <w:lang w:val="en-GB"/>
              </w:rPr>
              <w:t>21</w:t>
            </w:r>
            <w:r w:rsidR="00662EEC" w:rsidRPr="0035173D">
              <w:rPr>
                <w:iCs/>
                <w:sz w:val="16"/>
                <w:szCs w:val="16"/>
                <w:lang w:val="en-GB"/>
              </w:rPr>
              <w:t>,</w:t>
            </w:r>
            <w:r w:rsidRPr="0035173D">
              <w:rPr>
                <w:iCs/>
                <w:sz w:val="16"/>
                <w:szCs w:val="16"/>
                <w:lang w:val="en-GB"/>
              </w:rPr>
              <w:t xml:space="preserve">961.5 </w:t>
            </w:r>
          </w:p>
          <w:p w14:paraId="2F0181A6" w14:textId="77777777" w:rsidR="005F5472" w:rsidRPr="0035173D" w:rsidRDefault="005F5472" w:rsidP="0003657F">
            <w:pPr>
              <w:rPr>
                <w:iCs/>
                <w:color w:val="000000"/>
                <w:sz w:val="16"/>
                <w:szCs w:val="16"/>
                <w:lang w:val="en-GB"/>
              </w:rPr>
            </w:pPr>
            <w:r w:rsidRPr="0003657F">
              <w:rPr>
                <w:bCs/>
                <w:i/>
                <w:color w:val="000000"/>
                <w:sz w:val="16"/>
                <w:szCs w:val="16"/>
                <w:lang w:val="en-GB"/>
              </w:rPr>
              <w:t>Target:</w:t>
            </w:r>
            <w:r w:rsidR="007851C6" w:rsidRPr="0035173D">
              <w:rPr>
                <w:iCs/>
                <w:sz w:val="16"/>
                <w:szCs w:val="16"/>
                <w:lang w:val="en-GB"/>
              </w:rPr>
              <w:t>19</w:t>
            </w:r>
            <w:r w:rsidR="00662EEC" w:rsidRPr="0035173D">
              <w:rPr>
                <w:iCs/>
                <w:sz w:val="16"/>
                <w:szCs w:val="16"/>
                <w:lang w:val="en-GB"/>
              </w:rPr>
              <w:t>,</w:t>
            </w:r>
            <w:r w:rsidR="007851C6" w:rsidRPr="0035173D">
              <w:rPr>
                <w:iCs/>
                <w:sz w:val="16"/>
                <w:szCs w:val="16"/>
                <w:lang w:val="en-GB"/>
              </w:rPr>
              <w:t>7</w:t>
            </w:r>
            <w:r w:rsidR="00662EEC" w:rsidRPr="0035173D">
              <w:rPr>
                <w:iCs/>
                <w:sz w:val="16"/>
                <w:szCs w:val="16"/>
                <w:lang w:val="en-GB"/>
              </w:rPr>
              <w:t>6</w:t>
            </w:r>
            <w:r w:rsidR="00F21A16" w:rsidRPr="0035173D">
              <w:rPr>
                <w:iCs/>
                <w:sz w:val="16"/>
                <w:szCs w:val="16"/>
                <w:lang w:val="en-GB"/>
              </w:rPr>
              <w:t>5</w:t>
            </w:r>
            <w:r w:rsidR="007851C6" w:rsidRPr="0035173D">
              <w:rPr>
                <w:iCs/>
                <w:sz w:val="16"/>
                <w:szCs w:val="16"/>
                <w:lang w:val="en-GB"/>
              </w:rPr>
              <w:t>.35</w:t>
            </w:r>
          </w:p>
          <w:p w14:paraId="67D793B2" w14:textId="77777777" w:rsidR="007851C6" w:rsidRPr="0035173D" w:rsidRDefault="007851C6" w:rsidP="00FC3B67">
            <w:pPr>
              <w:rPr>
                <w:iCs/>
                <w:color w:val="000000"/>
                <w:sz w:val="16"/>
                <w:szCs w:val="16"/>
                <w:lang w:val="en-GB"/>
              </w:rPr>
            </w:pPr>
          </w:p>
        </w:tc>
        <w:tc>
          <w:tcPr>
            <w:tcW w:w="722" w:type="pct"/>
            <w:vMerge w:val="restart"/>
          </w:tcPr>
          <w:p w14:paraId="5449FE10" w14:textId="77777777" w:rsidR="005F5472" w:rsidRPr="0035173D" w:rsidRDefault="005F5472" w:rsidP="00651955">
            <w:pPr>
              <w:rPr>
                <w:iCs/>
                <w:sz w:val="16"/>
                <w:szCs w:val="16"/>
                <w:lang w:val="en-GB"/>
              </w:rPr>
            </w:pPr>
            <w:r w:rsidRPr="0003657F">
              <w:rPr>
                <w:i/>
                <w:iCs/>
                <w:sz w:val="16"/>
                <w:szCs w:val="16"/>
                <w:lang w:val="en-GB"/>
              </w:rPr>
              <w:lastRenderedPageBreak/>
              <w:t>Source:</w:t>
            </w:r>
            <w:r w:rsidRPr="0035173D">
              <w:rPr>
                <w:iCs/>
                <w:sz w:val="16"/>
                <w:szCs w:val="16"/>
                <w:lang w:val="en-GB"/>
              </w:rPr>
              <w:t xml:space="preserve"> NSO report </w:t>
            </w:r>
          </w:p>
          <w:p w14:paraId="35A482F4" w14:textId="5E2BBBAD" w:rsidR="005F5472" w:rsidRPr="0035173D" w:rsidRDefault="005F5472" w:rsidP="00651955">
            <w:pPr>
              <w:rPr>
                <w:iCs/>
                <w:sz w:val="16"/>
                <w:szCs w:val="16"/>
                <w:lang w:val="en-GB"/>
              </w:rPr>
            </w:pPr>
            <w:r w:rsidRPr="0003657F">
              <w:rPr>
                <w:i/>
                <w:iCs/>
                <w:sz w:val="16"/>
                <w:szCs w:val="16"/>
                <w:lang w:val="en-GB"/>
              </w:rPr>
              <w:t>Frequency:</w:t>
            </w:r>
            <w:r w:rsidRPr="0035173D">
              <w:rPr>
                <w:iCs/>
                <w:sz w:val="16"/>
                <w:szCs w:val="16"/>
                <w:lang w:val="en-GB"/>
              </w:rPr>
              <w:t xml:space="preserve"> </w:t>
            </w:r>
            <w:r w:rsidR="0026561F">
              <w:rPr>
                <w:iCs/>
                <w:sz w:val="16"/>
                <w:szCs w:val="16"/>
                <w:lang w:val="en-GB"/>
              </w:rPr>
              <w:t>a</w:t>
            </w:r>
            <w:r w:rsidR="00260AB4" w:rsidRPr="0035173D">
              <w:rPr>
                <w:iCs/>
                <w:sz w:val="16"/>
                <w:szCs w:val="16"/>
                <w:lang w:val="en-GB"/>
              </w:rPr>
              <w:t>nnual</w:t>
            </w:r>
          </w:p>
          <w:p w14:paraId="0340AE00" w14:textId="77777777" w:rsidR="005F5472" w:rsidRPr="0035173D" w:rsidRDefault="005F5472" w:rsidP="00651955">
            <w:pPr>
              <w:rPr>
                <w:iCs/>
                <w:sz w:val="16"/>
                <w:szCs w:val="16"/>
                <w:lang w:val="en-GB"/>
              </w:rPr>
            </w:pPr>
            <w:r w:rsidRPr="0003657F">
              <w:rPr>
                <w:i/>
                <w:iCs/>
                <w:sz w:val="16"/>
                <w:szCs w:val="16"/>
                <w:lang w:val="en-GB"/>
              </w:rPr>
              <w:t>Responsibilities:</w:t>
            </w:r>
            <w:r w:rsidR="00260AB4" w:rsidRPr="0035173D">
              <w:rPr>
                <w:iCs/>
                <w:sz w:val="16"/>
                <w:szCs w:val="16"/>
                <w:lang w:val="en-GB"/>
              </w:rPr>
              <w:t xml:space="preserve"> NSO</w:t>
            </w:r>
          </w:p>
        </w:tc>
        <w:tc>
          <w:tcPr>
            <w:tcW w:w="1788" w:type="pct"/>
            <w:vMerge w:val="restart"/>
            <w:tcMar>
              <w:top w:w="72" w:type="dxa"/>
              <w:left w:w="144" w:type="dxa"/>
              <w:bottom w:w="72" w:type="dxa"/>
              <w:right w:w="144" w:type="dxa"/>
            </w:tcMar>
          </w:tcPr>
          <w:p w14:paraId="635FE3EE" w14:textId="77777777" w:rsidR="00BD308F" w:rsidRPr="0035173D" w:rsidRDefault="00D83295" w:rsidP="0003657F">
            <w:pPr>
              <w:pStyle w:val="ListParagraph"/>
              <w:ind w:left="0"/>
              <w:rPr>
                <w:bCs/>
                <w:color w:val="000000"/>
                <w:sz w:val="16"/>
                <w:szCs w:val="16"/>
                <w:lang w:val="en-GB"/>
              </w:rPr>
            </w:pPr>
            <w:r w:rsidRPr="0003657F">
              <w:rPr>
                <w:b/>
                <w:i/>
                <w:color w:val="000000"/>
                <w:sz w:val="16"/>
                <w:szCs w:val="16"/>
                <w:lang w:val="en-GB" w:eastAsia="en-GB"/>
              </w:rPr>
              <w:t>Output 1.6.</w:t>
            </w:r>
            <w:r>
              <w:rPr>
                <w:color w:val="000000"/>
                <w:sz w:val="16"/>
                <w:szCs w:val="16"/>
                <w:lang w:val="en-GB" w:eastAsia="en-GB"/>
              </w:rPr>
              <w:t xml:space="preserve"> </w:t>
            </w:r>
            <w:r w:rsidR="006E7801" w:rsidRPr="0003657F">
              <w:rPr>
                <w:color w:val="000000"/>
                <w:sz w:val="16"/>
                <w:szCs w:val="16"/>
                <w:lang w:val="en-GB" w:eastAsia="en-GB"/>
              </w:rPr>
              <w:t xml:space="preserve">Effective institutional, legislative and policy frameworks in place to enhance the implementation of </w:t>
            </w:r>
            <w:r w:rsidR="00431EA4" w:rsidRPr="0003657F">
              <w:rPr>
                <w:color w:val="000000"/>
                <w:sz w:val="16"/>
                <w:szCs w:val="16"/>
                <w:lang w:val="en-GB" w:eastAsia="en-GB"/>
              </w:rPr>
              <w:t xml:space="preserve">targeted </w:t>
            </w:r>
            <w:r w:rsidR="006E7801" w:rsidRPr="0003657F">
              <w:rPr>
                <w:color w:val="000000"/>
                <w:sz w:val="16"/>
                <w:szCs w:val="16"/>
                <w:lang w:val="en-GB" w:eastAsia="en-GB"/>
              </w:rPr>
              <w:t>mitigation and disaster and climate risk management measures.</w:t>
            </w:r>
            <w:r w:rsidR="006E7801" w:rsidRPr="0035173D" w:rsidDel="006E7801">
              <w:rPr>
                <w:bCs/>
                <w:color w:val="000000"/>
                <w:sz w:val="16"/>
                <w:szCs w:val="16"/>
                <w:lang w:val="en-GB"/>
              </w:rPr>
              <w:t xml:space="preserve"> </w:t>
            </w:r>
          </w:p>
          <w:p w14:paraId="70B80890" w14:textId="77777777" w:rsidR="00DC68C3" w:rsidRPr="0035173D" w:rsidRDefault="00DC68C3" w:rsidP="00C9722D">
            <w:pPr>
              <w:pStyle w:val="ListParagraph"/>
              <w:ind w:left="0"/>
              <w:rPr>
                <w:bCs/>
                <w:color w:val="000000"/>
                <w:sz w:val="16"/>
                <w:szCs w:val="16"/>
                <w:lang w:val="en-GB"/>
              </w:rPr>
            </w:pPr>
          </w:p>
          <w:p w14:paraId="5F2D6AC1" w14:textId="7C8F3E5C" w:rsidR="00BD308F" w:rsidRPr="0035173D" w:rsidRDefault="00BD308F" w:rsidP="00C9722D">
            <w:pPr>
              <w:pStyle w:val="ListParagraph"/>
              <w:ind w:left="0"/>
              <w:rPr>
                <w:bCs/>
                <w:color w:val="000000"/>
                <w:sz w:val="16"/>
                <w:szCs w:val="16"/>
                <w:lang w:val="en-GB"/>
              </w:rPr>
            </w:pPr>
            <w:r w:rsidRPr="0003657F">
              <w:rPr>
                <w:i/>
                <w:iCs/>
                <w:sz w:val="16"/>
                <w:szCs w:val="16"/>
                <w:lang w:val="en-GB"/>
              </w:rPr>
              <w:lastRenderedPageBreak/>
              <w:t>Indicator</w:t>
            </w:r>
            <w:r w:rsidR="00DC68C3" w:rsidRPr="0003657F">
              <w:rPr>
                <w:i/>
                <w:iCs/>
                <w:sz w:val="16"/>
                <w:szCs w:val="16"/>
                <w:lang w:val="en-GB"/>
              </w:rPr>
              <w:t xml:space="preserve"> 1.6.1.</w:t>
            </w:r>
            <w:r w:rsidRPr="0035173D">
              <w:rPr>
                <w:iCs/>
                <w:sz w:val="16"/>
                <w:szCs w:val="16"/>
                <w:lang w:val="en-GB"/>
              </w:rPr>
              <w:t xml:space="preserve"> Leveraged volume of investment to climate change adaptation and mitigation measures </w:t>
            </w:r>
            <w:r w:rsidR="00425611" w:rsidRPr="0035173D">
              <w:rPr>
                <w:iCs/>
                <w:sz w:val="16"/>
                <w:szCs w:val="16"/>
                <w:lang w:val="en-GB"/>
              </w:rPr>
              <w:t xml:space="preserve">(in </w:t>
            </w:r>
            <w:r w:rsidR="00D83295">
              <w:rPr>
                <w:iCs/>
                <w:sz w:val="16"/>
                <w:szCs w:val="16"/>
                <w:lang w:val="en-GB"/>
              </w:rPr>
              <w:t xml:space="preserve">$ </w:t>
            </w:r>
            <w:r w:rsidR="00425611" w:rsidRPr="0035173D">
              <w:rPr>
                <w:iCs/>
                <w:sz w:val="16"/>
                <w:szCs w:val="16"/>
                <w:lang w:val="en-GB"/>
              </w:rPr>
              <w:t>million</w:t>
            </w:r>
            <w:r w:rsidR="00D83295">
              <w:rPr>
                <w:iCs/>
                <w:sz w:val="16"/>
                <w:szCs w:val="16"/>
                <w:lang w:val="en-GB"/>
              </w:rPr>
              <w:t>s</w:t>
            </w:r>
            <w:r w:rsidR="00425611" w:rsidRPr="0035173D">
              <w:rPr>
                <w:iCs/>
                <w:sz w:val="16"/>
                <w:szCs w:val="16"/>
                <w:lang w:val="en-GB"/>
              </w:rPr>
              <w:t>)</w:t>
            </w:r>
          </w:p>
          <w:p w14:paraId="6C65646C" w14:textId="77777777" w:rsidR="00BD308F" w:rsidRPr="0035173D" w:rsidRDefault="00BD308F" w:rsidP="00C9722D">
            <w:pPr>
              <w:rPr>
                <w:iCs/>
                <w:color w:val="000000"/>
                <w:sz w:val="16"/>
                <w:szCs w:val="16"/>
                <w:lang w:val="en-GB"/>
              </w:rPr>
            </w:pPr>
            <w:r w:rsidRPr="0035173D">
              <w:rPr>
                <w:iCs/>
                <w:sz w:val="16"/>
                <w:szCs w:val="16"/>
                <w:lang w:val="en-GB"/>
              </w:rPr>
              <w:t>Baseline</w:t>
            </w:r>
            <w:r w:rsidR="001F6D0C" w:rsidRPr="0035173D">
              <w:rPr>
                <w:iCs/>
                <w:sz w:val="16"/>
                <w:szCs w:val="16"/>
                <w:lang w:val="en-GB"/>
              </w:rPr>
              <w:t xml:space="preserve"> (2016)</w:t>
            </w:r>
            <w:r w:rsidRPr="0035173D">
              <w:rPr>
                <w:iCs/>
                <w:sz w:val="16"/>
                <w:szCs w:val="16"/>
                <w:lang w:val="en-GB"/>
              </w:rPr>
              <w:t xml:space="preserve">: </w:t>
            </w:r>
            <w:r w:rsidR="00425611" w:rsidRPr="0035173D">
              <w:rPr>
                <w:iCs/>
                <w:sz w:val="16"/>
                <w:szCs w:val="16"/>
                <w:lang w:val="en-GB"/>
              </w:rPr>
              <w:t xml:space="preserve">9 </w:t>
            </w:r>
          </w:p>
          <w:p w14:paraId="08CA7C2C" w14:textId="77777777" w:rsidR="00BD308F" w:rsidRPr="0035173D" w:rsidRDefault="00BD308F" w:rsidP="00C9722D">
            <w:pPr>
              <w:rPr>
                <w:iCs/>
                <w:color w:val="000000"/>
                <w:sz w:val="16"/>
                <w:szCs w:val="16"/>
                <w:lang w:val="en-GB"/>
              </w:rPr>
            </w:pPr>
            <w:r w:rsidRPr="0035173D">
              <w:rPr>
                <w:bCs/>
                <w:color w:val="000000"/>
                <w:sz w:val="16"/>
                <w:szCs w:val="16"/>
                <w:lang w:val="en-GB"/>
              </w:rPr>
              <w:t xml:space="preserve">Target: </w:t>
            </w:r>
            <w:r w:rsidR="00425611" w:rsidRPr="0035173D">
              <w:rPr>
                <w:bCs/>
                <w:color w:val="000000"/>
                <w:sz w:val="16"/>
                <w:szCs w:val="16"/>
                <w:lang w:val="en-GB"/>
              </w:rPr>
              <w:t>20</w:t>
            </w:r>
            <w:r w:rsidR="001802BE" w:rsidRPr="0035173D">
              <w:rPr>
                <w:bCs/>
                <w:color w:val="000000"/>
                <w:sz w:val="16"/>
                <w:szCs w:val="16"/>
                <w:lang w:val="en-GB"/>
              </w:rPr>
              <w:t xml:space="preserve"> </w:t>
            </w:r>
          </w:p>
          <w:p w14:paraId="5B0A5E0D" w14:textId="45D2551D" w:rsidR="00BD308F" w:rsidRPr="0035173D" w:rsidRDefault="00BD308F" w:rsidP="00C9722D">
            <w:pPr>
              <w:rPr>
                <w:iCs/>
                <w:color w:val="000000"/>
                <w:sz w:val="16"/>
                <w:szCs w:val="16"/>
                <w:lang w:val="en-GB"/>
              </w:rPr>
            </w:pPr>
            <w:r w:rsidRPr="0035173D">
              <w:rPr>
                <w:iCs/>
                <w:color w:val="000000"/>
                <w:sz w:val="16"/>
                <w:szCs w:val="16"/>
                <w:lang w:val="en-GB"/>
              </w:rPr>
              <w:t xml:space="preserve">Data source: </w:t>
            </w:r>
            <w:r w:rsidR="007D078E">
              <w:rPr>
                <w:iCs/>
                <w:color w:val="000000"/>
                <w:sz w:val="16"/>
                <w:szCs w:val="16"/>
                <w:lang w:val="en-GB"/>
              </w:rPr>
              <w:t>Green Climate Fund</w:t>
            </w:r>
            <w:r w:rsidR="007D078E" w:rsidRPr="0035173D">
              <w:rPr>
                <w:iCs/>
                <w:color w:val="000000"/>
                <w:sz w:val="16"/>
                <w:szCs w:val="16"/>
                <w:lang w:val="en-GB"/>
              </w:rPr>
              <w:t xml:space="preserve"> </w:t>
            </w:r>
            <w:r w:rsidR="007D078E">
              <w:rPr>
                <w:iCs/>
                <w:color w:val="000000"/>
                <w:sz w:val="16"/>
                <w:szCs w:val="16"/>
                <w:lang w:val="en-GB"/>
              </w:rPr>
              <w:t>n</w:t>
            </w:r>
            <w:r w:rsidR="003066D5" w:rsidRPr="0035173D">
              <w:rPr>
                <w:iCs/>
                <w:color w:val="000000"/>
                <w:sz w:val="16"/>
                <w:szCs w:val="16"/>
                <w:lang w:val="en-GB"/>
              </w:rPr>
              <w:t xml:space="preserve">ational </w:t>
            </w:r>
            <w:r w:rsidR="007D078E">
              <w:rPr>
                <w:iCs/>
                <w:color w:val="000000"/>
                <w:sz w:val="16"/>
                <w:szCs w:val="16"/>
                <w:lang w:val="en-GB"/>
              </w:rPr>
              <w:t>d</w:t>
            </w:r>
            <w:r w:rsidR="003066D5" w:rsidRPr="0035173D">
              <w:rPr>
                <w:iCs/>
                <w:color w:val="000000"/>
                <w:sz w:val="16"/>
                <w:szCs w:val="16"/>
                <w:lang w:val="en-GB"/>
              </w:rPr>
              <w:t xml:space="preserve">esignated </w:t>
            </w:r>
            <w:r w:rsidR="007D078E">
              <w:rPr>
                <w:iCs/>
                <w:color w:val="000000"/>
                <w:sz w:val="16"/>
                <w:szCs w:val="16"/>
                <w:lang w:val="en-GB"/>
              </w:rPr>
              <w:t>a</w:t>
            </w:r>
            <w:r w:rsidR="003066D5" w:rsidRPr="0035173D">
              <w:rPr>
                <w:iCs/>
                <w:color w:val="000000"/>
                <w:sz w:val="16"/>
                <w:szCs w:val="16"/>
                <w:lang w:val="en-GB"/>
              </w:rPr>
              <w:t>uthority</w:t>
            </w:r>
            <w:r w:rsidR="006E7801" w:rsidRPr="0035173D">
              <w:rPr>
                <w:iCs/>
                <w:color w:val="000000"/>
                <w:sz w:val="16"/>
                <w:szCs w:val="16"/>
                <w:lang w:val="en-GB"/>
              </w:rPr>
              <w:t xml:space="preserve"> </w:t>
            </w:r>
            <w:r w:rsidR="007D078E">
              <w:rPr>
                <w:iCs/>
                <w:color w:val="000000"/>
                <w:sz w:val="16"/>
                <w:szCs w:val="16"/>
                <w:lang w:val="en-GB"/>
              </w:rPr>
              <w:t>r</w:t>
            </w:r>
            <w:r w:rsidR="006E7801" w:rsidRPr="0035173D">
              <w:rPr>
                <w:iCs/>
                <w:color w:val="000000"/>
                <w:sz w:val="16"/>
                <w:szCs w:val="16"/>
                <w:lang w:val="en-GB"/>
              </w:rPr>
              <w:t>eport</w:t>
            </w:r>
          </w:p>
          <w:p w14:paraId="37C71029" w14:textId="31180105" w:rsidR="00BD308F" w:rsidRPr="0035173D" w:rsidRDefault="00BD308F" w:rsidP="00C9722D">
            <w:pPr>
              <w:rPr>
                <w:iCs/>
                <w:color w:val="000000"/>
                <w:sz w:val="16"/>
                <w:szCs w:val="16"/>
                <w:lang w:val="en-GB"/>
              </w:rPr>
            </w:pPr>
            <w:r w:rsidRPr="0035173D">
              <w:rPr>
                <w:iCs/>
                <w:color w:val="000000"/>
                <w:sz w:val="16"/>
                <w:szCs w:val="16"/>
                <w:lang w:val="en-GB"/>
              </w:rPr>
              <w:t xml:space="preserve">Frequency: </w:t>
            </w:r>
            <w:r w:rsidR="00AB3222">
              <w:rPr>
                <w:iCs/>
                <w:color w:val="000000"/>
                <w:sz w:val="16"/>
                <w:szCs w:val="16"/>
                <w:lang w:val="en-GB"/>
              </w:rPr>
              <w:t>a</w:t>
            </w:r>
            <w:r w:rsidRPr="0035173D">
              <w:rPr>
                <w:iCs/>
                <w:color w:val="000000"/>
                <w:sz w:val="16"/>
                <w:szCs w:val="16"/>
                <w:lang w:val="en-GB"/>
              </w:rPr>
              <w:t>nnual</w:t>
            </w:r>
          </w:p>
          <w:p w14:paraId="6AC3BCE6" w14:textId="77777777" w:rsidR="00EA2EC6" w:rsidRPr="0035173D" w:rsidRDefault="00EA2EC6" w:rsidP="00C9722D">
            <w:pPr>
              <w:rPr>
                <w:iCs/>
                <w:color w:val="000000"/>
                <w:sz w:val="16"/>
                <w:szCs w:val="16"/>
                <w:lang w:val="en-GB"/>
              </w:rPr>
            </w:pPr>
          </w:p>
          <w:p w14:paraId="7232B2BF" w14:textId="28D9AE49" w:rsidR="006E7801" w:rsidRPr="0035173D" w:rsidRDefault="00DC68C3" w:rsidP="00C9722D">
            <w:pPr>
              <w:rPr>
                <w:iCs/>
                <w:sz w:val="16"/>
                <w:szCs w:val="16"/>
                <w:lang w:val="en-GB"/>
              </w:rPr>
            </w:pPr>
            <w:r w:rsidRPr="0003657F">
              <w:rPr>
                <w:i/>
                <w:iCs/>
                <w:sz w:val="16"/>
                <w:szCs w:val="16"/>
                <w:lang w:val="en-GB"/>
              </w:rPr>
              <w:t>Indicator 1.6.2.</w:t>
            </w:r>
            <w:r w:rsidRPr="0035173D">
              <w:rPr>
                <w:iCs/>
                <w:sz w:val="16"/>
                <w:szCs w:val="16"/>
                <w:lang w:val="en-GB"/>
              </w:rPr>
              <w:t xml:space="preserve"> </w:t>
            </w:r>
            <w:r w:rsidR="007D078E">
              <w:rPr>
                <w:iCs/>
                <w:sz w:val="16"/>
                <w:szCs w:val="16"/>
                <w:lang w:val="en-GB"/>
              </w:rPr>
              <w:t>I</w:t>
            </w:r>
            <w:r w:rsidR="006E7801" w:rsidRPr="0035173D">
              <w:rPr>
                <w:iCs/>
                <w:sz w:val="16"/>
                <w:szCs w:val="16"/>
                <w:lang w:val="en-GB"/>
              </w:rPr>
              <w:t xml:space="preserve">mplementation of comprehensive measures </w:t>
            </w:r>
            <w:r w:rsidR="007D078E">
              <w:rPr>
                <w:iCs/>
                <w:sz w:val="16"/>
                <w:szCs w:val="16"/>
                <w:lang w:val="en-GB"/>
              </w:rPr>
              <w:t>–</w:t>
            </w:r>
            <w:r w:rsidR="006E7801" w:rsidRPr="0035173D">
              <w:rPr>
                <w:iCs/>
                <w:sz w:val="16"/>
                <w:szCs w:val="16"/>
                <w:lang w:val="en-GB"/>
              </w:rPr>
              <w:t xml:space="preserve"> plans, strategies, policies, programmes and budgets – to achieve low-emission and climate-resilient development objectives has improved.</w:t>
            </w:r>
          </w:p>
          <w:p w14:paraId="1E003882" w14:textId="77777777" w:rsidR="006E7801" w:rsidRPr="0035173D" w:rsidRDefault="006E7801" w:rsidP="00C9722D">
            <w:pPr>
              <w:rPr>
                <w:iCs/>
                <w:sz w:val="16"/>
                <w:szCs w:val="16"/>
                <w:lang w:val="en-GB"/>
              </w:rPr>
            </w:pPr>
            <w:r w:rsidRPr="0035173D">
              <w:rPr>
                <w:iCs/>
                <w:sz w:val="16"/>
                <w:szCs w:val="16"/>
                <w:lang w:val="en-GB"/>
              </w:rPr>
              <w:t>Baseline</w:t>
            </w:r>
            <w:r w:rsidR="00425611" w:rsidRPr="0035173D">
              <w:rPr>
                <w:iCs/>
                <w:sz w:val="16"/>
                <w:szCs w:val="16"/>
                <w:lang w:val="en-GB"/>
              </w:rPr>
              <w:t xml:space="preserve"> (2016)</w:t>
            </w:r>
            <w:r w:rsidR="00E95AE8" w:rsidRPr="0035173D">
              <w:rPr>
                <w:iCs/>
                <w:sz w:val="16"/>
                <w:szCs w:val="16"/>
                <w:lang w:val="en-GB"/>
              </w:rPr>
              <w:t>:</w:t>
            </w:r>
            <w:r w:rsidRPr="0035173D">
              <w:rPr>
                <w:iCs/>
                <w:sz w:val="16"/>
                <w:szCs w:val="16"/>
                <w:lang w:val="en-GB"/>
              </w:rPr>
              <w:t xml:space="preserve"> </w:t>
            </w:r>
            <w:r w:rsidR="00425611" w:rsidRPr="0035173D">
              <w:rPr>
                <w:iCs/>
                <w:sz w:val="16"/>
                <w:szCs w:val="16"/>
                <w:lang w:val="en-GB"/>
              </w:rPr>
              <w:t>2</w:t>
            </w:r>
          </w:p>
          <w:p w14:paraId="09849518" w14:textId="77777777" w:rsidR="006E7801" w:rsidRPr="0035173D" w:rsidRDefault="006E7801" w:rsidP="00C9722D">
            <w:pPr>
              <w:rPr>
                <w:iCs/>
                <w:sz w:val="16"/>
                <w:szCs w:val="16"/>
                <w:lang w:val="en-GB"/>
              </w:rPr>
            </w:pPr>
            <w:r w:rsidRPr="0035173D">
              <w:rPr>
                <w:iCs/>
                <w:sz w:val="16"/>
                <w:szCs w:val="16"/>
                <w:lang w:val="en-GB"/>
              </w:rPr>
              <w:t>Target:</w:t>
            </w:r>
            <w:r w:rsidR="00350B0A" w:rsidRPr="0035173D">
              <w:rPr>
                <w:iCs/>
                <w:sz w:val="16"/>
                <w:szCs w:val="16"/>
                <w:lang w:val="en-GB"/>
              </w:rPr>
              <w:t xml:space="preserve"> </w:t>
            </w:r>
            <w:r w:rsidR="00425611" w:rsidRPr="0035173D">
              <w:rPr>
                <w:iCs/>
                <w:sz w:val="16"/>
                <w:szCs w:val="16"/>
                <w:lang w:val="en-GB"/>
              </w:rPr>
              <w:t>5</w:t>
            </w:r>
          </w:p>
          <w:p w14:paraId="3E58603B" w14:textId="119403B5" w:rsidR="006E7801" w:rsidRPr="0035173D" w:rsidRDefault="006E7801" w:rsidP="00C9722D">
            <w:pPr>
              <w:rPr>
                <w:iCs/>
                <w:sz w:val="16"/>
                <w:szCs w:val="16"/>
                <w:lang w:val="en-GB"/>
              </w:rPr>
            </w:pPr>
            <w:r w:rsidRPr="0035173D">
              <w:rPr>
                <w:iCs/>
                <w:sz w:val="16"/>
                <w:szCs w:val="16"/>
                <w:lang w:val="en-GB"/>
              </w:rPr>
              <w:t xml:space="preserve">Data </w:t>
            </w:r>
            <w:r w:rsidR="00D83295">
              <w:rPr>
                <w:iCs/>
                <w:sz w:val="16"/>
                <w:szCs w:val="16"/>
                <w:lang w:val="en-GB"/>
              </w:rPr>
              <w:t>s</w:t>
            </w:r>
            <w:r w:rsidRPr="0035173D">
              <w:rPr>
                <w:iCs/>
                <w:sz w:val="16"/>
                <w:szCs w:val="16"/>
                <w:lang w:val="en-GB"/>
              </w:rPr>
              <w:t>ource:</w:t>
            </w:r>
            <w:r w:rsidR="00A1628D" w:rsidRPr="0035173D">
              <w:rPr>
                <w:iCs/>
                <w:sz w:val="16"/>
                <w:szCs w:val="16"/>
                <w:lang w:val="en-GB"/>
              </w:rPr>
              <w:t xml:space="preserve"> </w:t>
            </w:r>
            <w:r w:rsidR="00425611" w:rsidRPr="0035173D">
              <w:rPr>
                <w:iCs/>
                <w:sz w:val="16"/>
                <w:szCs w:val="16"/>
                <w:lang w:val="en-GB"/>
              </w:rPr>
              <w:t xml:space="preserve"> </w:t>
            </w:r>
            <w:r w:rsidR="00AB3222">
              <w:rPr>
                <w:iCs/>
                <w:sz w:val="16"/>
                <w:szCs w:val="16"/>
                <w:lang w:val="en-GB"/>
              </w:rPr>
              <w:t>e</w:t>
            </w:r>
            <w:r w:rsidR="00425611" w:rsidRPr="0035173D">
              <w:rPr>
                <w:iCs/>
                <w:sz w:val="16"/>
                <w:szCs w:val="16"/>
                <w:lang w:val="en-GB"/>
              </w:rPr>
              <w:t>xpert opinion survey</w:t>
            </w:r>
          </w:p>
          <w:p w14:paraId="5F709F35" w14:textId="3AB17418" w:rsidR="006E7801" w:rsidRPr="0035173D" w:rsidRDefault="006E7801" w:rsidP="00C9722D">
            <w:pPr>
              <w:rPr>
                <w:iCs/>
                <w:sz w:val="16"/>
                <w:szCs w:val="16"/>
                <w:lang w:val="en-GB"/>
              </w:rPr>
            </w:pPr>
            <w:r w:rsidRPr="0035173D">
              <w:rPr>
                <w:iCs/>
                <w:sz w:val="16"/>
                <w:szCs w:val="16"/>
                <w:lang w:val="en-GB"/>
              </w:rPr>
              <w:t>Frequency:</w:t>
            </w:r>
            <w:r w:rsidR="00844BFA" w:rsidRPr="0035173D">
              <w:rPr>
                <w:iCs/>
                <w:sz w:val="16"/>
                <w:szCs w:val="16"/>
                <w:lang w:val="en-GB"/>
              </w:rPr>
              <w:t xml:space="preserve"> </w:t>
            </w:r>
            <w:r w:rsidR="00AB3222">
              <w:rPr>
                <w:iCs/>
                <w:sz w:val="16"/>
                <w:szCs w:val="16"/>
                <w:lang w:val="en-GB"/>
              </w:rPr>
              <w:t>b</w:t>
            </w:r>
            <w:r w:rsidR="00D87893" w:rsidRPr="0035173D">
              <w:rPr>
                <w:iCs/>
                <w:sz w:val="16"/>
                <w:szCs w:val="16"/>
                <w:lang w:val="en-GB"/>
              </w:rPr>
              <w:t>iennial</w:t>
            </w:r>
          </w:p>
          <w:p w14:paraId="7E98A40B" w14:textId="77777777" w:rsidR="00FD7990" w:rsidRPr="0035173D" w:rsidRDefault="00FD7990" w:rsidP="00C9722D">
            <w:pPr>
              <w:rPr>
                <w:iCs/>
                <w:color w:val="000000"/>
                <w:sz w:val="16"/>
                <w:szCs w:val="16"/>
                <w:lang w:val="en-GB"/>
              </w:rPr>
            </w:pPr>
          </w:p>
          <w:p w14:paraId="40DA3A80" w14:textId="44BF894C" w:rsidR="00BD308F" w:rsidRDefault="00D83295" w:rsidP="0003657F">
            <w:pPr>
              <w:pStyle w:val="ListParagraph"/>
              <w:ind w:left="0"/>
              <w:rPr>
                <w:iCs/>
                <w:color w:val="000000"/>
                <w:sz w:val="16"/>
                <w:szCs w:val="16"/>
                <w:lang w:val="en-GB"/>
              </w:rPr>
            </w:pPr>
            <w:r w:rsidRPr="0003657F">
              <w:rPr>
                <w:b/>
                <w:i/>
                <w:iCs/>
                <w:color w:val="000000"/>
                <w:sz w:val="16"/>
                <w:szCs w:val="16"/>
                <w:lang w:val="en-GB"/>
              </w:rPr>
              <w:t>Output 1.7.</w:t>
            </w:r>
            <w:r>
              <w:rPr>
                <w:iCs/>
                <w:color w:val="000000"/>
                <w:sz w:val="16"/>
                <w:szCs w:val="16"/>
                <w:lang w:val="en-GB"/>
              </w:rPr>
              <w:t xml:space="preserve"> </w:t>
            </w:r>
            <w:r w:rsidR="00BD308F" w:rsidRPr="0035173D">
              <w:rPr>
                <w:iCs/>
                <w:color w:val="000000"/>
                <w:sz w:val="16"/>
                <w:szCs w:val="16"/>
                <w:lang w:val="en-GB"/>
              </w:rPr>
              <w:t>Livelihood quality and sustainability of resource</w:t>
            </w:r>
            <w:r w:rsidR="007D078E">
              <w:rPr>
                <w:iCs/>
                <w:color w:val="000000"/>
                <w:sz w:val="16"/>
                <w:szCs w:val="16"/>
                <w:lang w:val="en-GB"/>
              </w:rPr>
              <w:t>-</w:t>
            </w:r>
            <w:r w:rsidR="00BD308F" w:rsidRPr="0035173D">
              <w:rPr>
                <w:iCs/>
                <w:color w:val="000000"/>
                <w:sz w:val="16"/>
                <w:szCs w:val="16"/>
                <w:lang w:val="en-GB"/>
              </w:rPr>
              <w:t>depende</w:t>
            </w:r>
            <w:r w:rsidR="00FD7990" w:rsidRPr="0035173D">
              <w:rPr>
                <w:iCs/>
                <w:color w:val="000000"/>
                <w:sz w:val="16"/>
                <w:szCs w:val="16"/>
                <w:lang w:val="en-GB"/>
              </w:rPr>
              <w:t>nt rural communities increased</w:t>
            </w:r>
          </w:p>
          <w:p w14:paraId="0F0307C3" w14:textId="77777777" w:rsidR="00D83295" w:rsidRPr="0035173D" w:rsidRDefault="00D83295" w:rsidP="0003657F">
            <w:pPr>
              <w:pStyle w:val="ListParagraph"/>
              <w:ind w:left="0"/>
              <w:rPr>
                <w:iCs/>
                <w:color w:val="000000"/>
                <w:sz w:val="16"/>
                <w:szCs w:val="16"/>
                <w:lang w:val="en-GB"/>
              </w:rPr>
            </w:pPr>
          </w:p>
          <w:p w14:paraId="024D6D5B" w14:textId="5FA47081" w:rsidR="00BD308F" w:rsidRPr="0035173D" w:rsidRDefault="00BD308F" w:rsidP="00C9722D">
            <w:pPr>
              <w:rPr>
                <w:iCs/>
                <w:color w:val="000000"/>
                <w:sz w:val="16"/>
                <w:szCs w:val="16"/>
                <w:lang w:val="en-GB"/>
              </w:rPr>
            </w:pPr>
            <w:r w:rsidRPr="0003657F">
              <w:rPr>
                <w:i/>
                <w:iCs/>
                <w:color w:val="000000"/>
                <w:sz w:val="16"/>
                <w:szCs w:val="16"/>
                <w:lang w:val="en-GB"/>
              </w:rPr>
              <w:t>Indicator</w:t>
            </w:r>
            <w:r w:rsidR="00DC68C3" w:rsidRPr="0003657F">
              <w:rPr>
                <w:i/>
                <w:iCs/>
                <w:color w:val="000000"/>
                <w:sz w:val="16"/>
                <w:szCs w:val="16"/>
                <w:lang w:val="en-GB"/>
              </w:rPr>
              <w:t xml:space="preserve"> 1.7.1.</w:t>
            </w:r>
            <w:r w:rsidRPr="0035173D">
              <w:rPr>
                <w:iCs/>
                <w:color w:val="000000"/>
                <w:sz w:val="16"/>
                <w:szCs w:val="16"/>
                <w:lang w:val="en-GB"/>
              </w:rPr>
              <w:t xml:space="preserve"> </w:t>
            </w:r>
            <w:r w:rsidR="00FB093E" w:rsidRPr="0035173D">
              <w:rPr>
                <w:iCs/>
                <w:color w:val="000000"/>
                <w:sz w:val="16"/>
                <w:szCs w:val="16"/>
                <w:lang w:val="en-GB"/>
              </w:rPr>
              <w:t>I</w:t>
            </w:r>
            <w:r w:rsidRPr="0035173D">
              <w:rPr>
                <w:iCs/>
                <w:color w:val="000000"/>
                <w:sz w:val="16"/>
                <w:szCs w:val="16"/>
                <w:lang w:val="en-GB"/>
              </w:rPr>
              <w:t xml:space="preserve">ncome </w:t>
            </w:r>
            <w:r w:rsidR="00FB093E" w:rsidRPr="0035173D">
              <w:rPr>
                <w:iCs/>
                <w:color w:val="000000"/>
                <w:sz w:val="16"/>
                <w:szCs w:val="16"/>
                <w:lang w:val="en-GB"/>
              </w:rPr>
              <w:t xml:space="preserve">level </w:t>
            </w:r>
            <w:r w:rsidRPr="0035173D">
              <w:rPr>
                <w:iCs/>
                <w:color w:val="000000"/>
                <w:sz w:val="16"/>
                <w:szCs w:val="16"/>
                <w:lang w:val="en-GB"/>
              </w:rPr>
              <w:t>of target</w:t>
            </w:r>
            <w:r w:rsidR="00FD7990" w:rsidRPr="0035173D">
              <w:rPr>
                <w:iCs/>
                <w:color w:val="000000"/>
                <w:sz w:val="16"/>
                <w:szCs w:val="16"/>
                <w:lang w:val="en-GB"/>
              </w:rPr>
              <w:t>ed</w:t>
            </w:r>
            <w:r w:rsidRPr="0035173D">
              <w:rPr>
                <w:iCs/>
                <w:color w:val="000000"/>
                <w:sz w:val="16"/>
                <w:szCs w:val="16"/>
                <w:lang w:val="en-GB"/>
              </w:rPr>
              <w:t xml:space="preserve"> </w:t>
            </w:r>
            <w:r w:rsidR="00FD7990" w:rsidRPr="0035173D">
              <w:rPr>
                <w:bCs/>
                <w:color w:val="000000"/>
                <w:sz w:val="16"/>
                <w:szCs w:val="16"/>
                <w:lang w:val="en-GB"/>
              </w:rPr>
              <w:t>200 f</w:t>
            </w:r>
            <w:r w:rsidR="002C6B21" w:rsidRPr="0035173D">
              <w:rPr>
                <w:bCs/>
                <w:color w:val="000000"/>
                <w:sz w:val="16"/>
                <w:szCs w:val="16"/>
                <w:lang w:val="en-GB"/>
              </w:rPr>
              <w:t xml:space="preserve">orest, </w:t>
            </w:r>
            <w:r w:rsidR="00FD7990" w:rsidRPr="0035173D">
              <w:rPr>
                <w:bCs/>
                <w:color w:val="000000"/>
                <w:sz w:val="16"/>
                <w:szCs w:val="16"/>
                <w:lang w:val="en-GB"/>
              </w:rPr>
              <w:t>pasture</w:t>
            </w:r>
            <w:r w:rsidR="002C6B21" w:rsidRPr="0035173D">
              <w:rPr>
                <w:bCs/>
                <w:color w:val="000000"/>
                <w:sz w:val="16"/>
                <w:szCs w:val="16"/>
                <w:lang w:val="en-GB"/>
              </w:rPr>
              <w:t xml:space="preserve"> and water</w:t>
            </w:r>
            <w:r w:rsidR="007D078E">
              <w:rPr>
                <w:bCs/>
                <w:color w:val="000000"/>
                <w:sz w:val="16"/>
                <w:szCs w:val="16"/>
                <w:lang w:val="en-GB"/>
              </w:rPr>
              <w:t>-</w:t>
            </w:r>
            <w:r w:rsidR="00FD7990" w:rsidRPr="0035173D">
              <w:rPr>
                <w:bCs/>
                <w:color w:val="000000"/>
                <w:sz w:val="16"/>
                <w:szCs w:val="16"/>
                <w:lang w:val="en-GB"/>
              </w:rPr>
              <w:t>user groups</w:t>
            </w:r>
            <w:r w:rsidR="007D078E">
              <w:rPr>
                <w:iCs/>
                <w:color w:val="000000"/>
                <w:sz w:val="16"/>
                <w:szCs w:val="16"/>
                <w:lang w:val="en-GB"/>
              </w:rPr>
              <w:t>/</w:t>
            </w:r>
            <w:r w:rsidRPr="0035173D">
              <w:rPr>
                <w:iCs/>
                <w:color w:val="000000"/>
                <w:sz w:val="16"/>
                <w:szCs w:val="16"/>
                <w:lang w:val="en-GB"/>
              </w:rPr>
              <w:t>communities</w:t>
            </w:r>
            <w:r w:rsidR="00431EA4" w:rsidRPr="0035173D">
              <w:rPr>
                <w:iCs/>
                <w:color w:val="000000"/>
                <w:sz w:val="16"/>
                <w:szCs w:val="16"/>
                <w:lang w:val="en-GB"/>
              </w:rPr>
              <w:t>,</w:t>
            </w:r>
            <w:r w:rsidR="00DB3205" w:rsidRPr="0035173D" w:rsidDel="00DB3205">
              <w:rPr>
                <w:iCs/>
                <w:color w:val="000000"/>
                <w:sz w:val="16"/>
                <w:szCs w:val="16"/>
                <w:lang w:val="en-GB"/>
              </w:rPr>
              <w:t xml:space="preserve"> </w:t>
            </w:r>
            <w:r w:rsidR="00A1628D" w:rsidRPr="0035173D">
              <w:rPr>
                <w:iCs/>
                <w:color w:val="000000"/>
                <w:sz w:val="16"/>
                <w:szCs w:val="16"/>
                <w:lang w:val="en-GB"/>
              </w:rPr>
              <w:t>disaggregated by sex</w:t>
            </w:r>
            <w:r w:rsidRPr="0035173D">
              <w:rPr>
                <w:iCs/>
                <w:color w:val="000000"/>
                <w:sz w:val="16"/>
                <w:szCs w:val="16"/>
                <w:lang w:val="en-GB"/>
              </w:rPr>
              <w:t xml:space="preserve"> </w:t>
            </w:r>
            <w:r w:rsidR="0027364A" w:rsidRPr="0035173D">
              <w:rPr>
                <w:iCs/>
                <w:color w:val="000000"/>
                <w:sz w:val="16"/>
                <w:szCs w:val="16"/>
                <w:lang w:val="en-GB"/>
              </w:rPr>
              <w:t xml:space="preserve">of </w:t>
            </w:r>
            <w:r w:rsidR="00350B0A" w:rsidRPr="0035173D">
              <w:rPr>
                <w:iCs/>
                <w:color w:val="000000"/>
                <w:sz w:val="16"/>
                <w:szCs w:val="16"/>
                <w:lang w:val="en-GB"/>
              </w:rPr>
              <w:t>household head</w:t>
            </w:r>
          </w:p>
          <w:p w14:paraId="6F68E14C" w14:textId="427CF123" w:rsidR="00BD308F" w:rsidRPr="0035173D" w:rsidRDefault="00BD308F" w:rsidP="00C9722D">
            <w:pPr>
              <w:rPr>
                <w:iCs/>
                <w:color w:val="000000"/>
                <w:sz w:val="16"/>
                <w:szCs w:val="16"/>
                <w:lang w:val="en-GB"/>
              </w:rPr>
            </w:pPr>
            <w:r w:rsidRPr="0035173D">
              <w:rPr>
                <w:iCs/>
                <w:sz w:val="16"/>
                <w:szCs w:val="16"/>
                <w:lang w:val="en-GB"/>
              </w:rPr>
              <w:t>Baseline</w:t>
            </w:r>
            <w:r w:rsidR="001F6D0C" w:rsidRPr="0035173D">
              <w:rPr>
                <w:iCs/>
                <w:sz w:val="16"/>
                <w:szCs w:val="16"/>
                <w:lang w:val="en-GB"/>
              </w:rPr>
              <w:t xml:space="preserve"> (2016)</w:t>
            </w:r>
            <w:r w:rsidRPr="0035173D">
              <w:rPr>
                <w:iCs/>
                <w:sz w:val="16"/>
                <w:szCs w:val="16"/>
                <w:lang w:val="en-GB"/>
              </w:rPr>
              <w:t xml:space="preserve">: </w:t>
            </w:r>
            <w:r w:rsidR="007D078E">
              <w:rPr>
                <w:iCs/>
                <w:sz w:val="16"/>
                <w:szCs w:val="16"/>
                <w:lang w:val="en-GB"/>
              </w:rPr>
              <w:t>B</w:t>
            </w:r>
            <w:r w:rsidR="00F41445" w:rsidRPr="0035173D">
              <w:rPr>
                <w:iCs/>
                <w:sz w:val="16"/>
                <w:szCs w:val="16"/>
                <w:lang w:val="en-GB"/>
              </w:rPr>
              <w:t xml:space="preserve">aseline </w:t>
            </w:r>
            <w:r w:rsidR="00FB093E" w:rsidRPr="0035173D">
              <w:rPr>
                <w:iCs/>
                <w:sz w:val="16"/>
                <w:szCs w:val="16"/>
                <w:lang w:val="en-GB"/>
              </w:rPr>
              <w:t xml:space="preserve">survey </w:t>
            </w:r>
            <w:r w:rsidR="00F41445" w:rsidRPr="0035173D">
              <w:rPr>
                <w:iCs/>
                <w:sz w:val="16"/>
                <w:szCs w:val="16"/>
                <w:lang w:val="en-GB"/>
              </w:rPr>
              <w:t>to be conducted by UNDP</w:t>
            </w:r>
          </w:p>
          <w:p w14:paraId="25980504" w14:textId="77777777" w:rsidR="00BD308F" w:rsidRPr="0035173D" w:rsidRDefault="00BD308F" w:rsidP="00C9722D">
            <w:pPr>
              <w:rPr>
                <w:iCs/>
                <w:color w:val="000000"/>
                <w:sz w:val="16"/>
                <w:szCs w:val="16"/>
                <w:lang w:val="en-GB"/>
              </w:rPr>
            </w:pPr>
            <w:r w:rsidRPr="0035173D">
              <w:rPr>
                <w:bCs/>
                <w:color w:val="000000"/>
                <w:sz w:val="16"/>
                <w:szCs w:val="16"/>
                <w:lang w:val="en-GB"/>
              </w:rPr>
              <w:t xml:space="preserve">Target: 20% increase </w:t>
            </w:r>
          </w:p>
          <w:p w14:paraId="5405444B" w14:textId="77777777" w:rsidR="00BD308F" w:rsidRPr="0035173D" w:rsidRDefault="00BD308F" w:rsidP="00C9722D">
            <w:pPr>
              <w:rPr>
                <w:iCs/>
                <w:color w:val="000000"/>
                <w:sz w:val="16"/>
                <w:szCs w:val="16"/>
                <w:lang w:val="en-GB"/>
              </w:rPr>
            </w:pPr>
            <w:r w:rsidRPr="0035173D">
              <w:rPr>
                <w:iCs/>
                <w:color w:val="000000"/>
                <w:sz w:val="16"/>
                <w:szCs w:val="16"/>
                <w:lang w:val="en-GB"/>
              </w:rPr>
              <w:t xml:space="preserve">Data source: </w:t>
            </w:r>
            <w:r w:rsidR="00FB093E" w:rsidRPr="0035173D">
              <w:rPr>
                <w:iCs/>
                <w:color w:val="000000"/>
                <w:sz w:val="16"/>
                <w:szCs w:val="16"/>
                <w:lang w:val="en-GB"/>
              </w:rPr>
              <w:t>UNDP survey</w:t>
            </w:r>
          </w:p>
          <w:p w14:paraId="6919C2EA" w14:textId="4E3B913F" w:rsidR="006E7801" w:rsidRPr="0035173D" w:rsidRDefault="00BD308F" w:rsidP="00C9722D">
            <w:pPr>
              <w:rPr>
                <w:iCs/>
                <w:color w:val="000000"/>
                <w:sz w:val="16"/>
                <w:szCs w:val="16"/>
                <w:lang w:val="en-GB"/>
              </w:rPr>
            </w:pPr>
            <w:r w:rsidRPr="0035173D">
              <w:rPr>
                <w:iCs/>
                <w:color w:val="000000"/>
                <w:sz w:val="16"/>
                <w:szCs w:val="16"/>
                <w:lang w:val="en-GB"/>
              </w:rPr>
              <w:t xml:space="preserve">Frequency: </w:t>
            </w:r>
            <w:r w:rsidR="00AB3222">
              <w:rPr>
                <w:iCs/>
                <w:color w:val="000000"/>
                <w:sz w:val="16"/>
                <w:szCs w:val="16"/>
                <w:lang w:val="en-GB"/>
              </w:rPr>
              <w:t>a</w:t>
            </w:r>
            <w:r w:rsidRPr="0035173D">
              <w:rPr>
                <w:iCs/>
                <w:color w:val="000000"/>
                <w:sz w:val="16"/>
                <w:szCs w:val="16"/>
                <w:lang w:val="en-GB"/>
              </w:rPr>
              <w:t>nnual</w:t>
            </w:r>
          </w:p>
          <w:p w14:paraId="1C578AC3" w14:textId="77777777" w:rsidR="00BD308F" w:rsidRPr="0035173D" w:rsidRDefault="00BD308F" w:rsidP="00C9722D">
            <w:pPr>
              <w:rPr>
                <w:iCs/>
                <w:color w:val="000000"/>
                <w:sz w:val="16"/>
                <w:szCs w:val="16"/>
                <w:lang w:val="en-GB"/>
              </w:rPr>
            </w:pPr>
          </w:p>
          <w:p w14:paraId="65732910" w14:textId="5A4B46FF" w:rsidR="006E7801" w:rsidRPr="0035173D" w:rsidRDefault="006E7801" w:rsidP="00C9722D">
            <w:pPr>
              <w:pStyle w:val="ListParagraph"/>
              <w:ind w:left="0"/>
              <w:rPr>
                <w:bCs/>
                <w:color w:val="000000"/>
                <w:sz w:val="16"/>
                <w:szCs w:val="16"/>
                <w:lang w:val="en-GB"/>
              </w:rPr>
            </w:pPr>
            <w:r w:rsidRPr="0003657F">
              <w:rPr>
                <w:i/>
                <w:iCs/>
                <w:sz w:val="16"/>
                <w:szCs w:val="16"/>
                <w:lang w:val="en-GB"/>
              </w:rPr>
              <w:t>Indicator</w:t>
            </w:r>
            <w:r w:rsidR="00DC68C3" w:rsidRPr="0003657F">
              <w:rPr>
                <w:i/>
                <w:iCs/>
                <w:sz w:val="16"/>
                <w:szCs w:val="16"/>
                <w:lang w:val="en-GB"/>
              </w:rPr>
              <w:t xml:space="preserve"> 1.7.2</w:t>
            </w:r>
            <w:r w:rsidR="00E95AE8" w:rsidRPr="0003657F">
              <w:rPr>
                <w:i/>
                <w:iCs/>
                <w:sz w:val="16"/>
                <w:szCs w:val="16"/>
                <w:lang w:val="en-GB"/>
              </w:rPr>
              <w:t>.</w:t>
            </w:r>
            <w:r w:rsidR="00D83295">
              <w:rPr>
                <w:iCs/>
                <w:sz w:val="16"/>
                <w:szCs w:val="16"/>
                <w:lang w:val="en-GB"/>
              </w:rPr>
              <w:t xml:space="preserve"> </w:t>
            </w:r>
            <w:r w:rsidRPr="0035173D">
              <w:rPr>
                <w:iCs/>
                <w:sz w:val="16"/>
                <w:szCs w:val="16"/>
                <w:lang w:val="en-GB"/>
              </w:rPr>
              <w:t>Number of provinces adopting green development programme that incorporates cross-cutting issues</w:t>
            </w:r>
          </w:p>
          <w:p w14:paraId="0DFB3CEF" w14:textId="77777777" w:rsidR="006E7801" w:rsidRPr="0035173D" w:rsidRDefault="006E7801" w:rsidP="00C9722D">
            <w:pPr>
              <w:rPr>
                <w:iCs/>
                <w:color w:val="000000"/>
                <w:sz w:val="16"/>
                <w:szCs w:val="16"/>
                <w:lang w:val="en-GB"/>
              </w:rPr>
            </w:pPr>
            <w:r w:rsidRPr="0035173D">
              <w:rPr>
                <w:iCs/>
                <w:sz w:val="16"/>
                <w:szCs w:val="16"/>
                <w:lang w:val="en-GB"/>
              </w:rPr>
              <w:t>Baseline (2016): 0</w:t>
            </w:r>
            <w:r w:rsidRPr="0003657F">
              <w:rPr>
                <w:lang w:val="en-GB"/>
              </w:rPr>
              <w:t xml:space="preserve"> </w:t>
            </w:r>
          </w:p>
          <w:p w14:paraId="7A5D426F" w14:textId="77777777" w:rsidR="006E7801" w:rsidRPr="0035173D" w:rsidRDefault="006E7801" w:rsidP="00C9722D">
            <w:pPr>
              <w:rPr>
                <w:iCs/>
                <w:color w:val="000000"/>
                <w:sz w:val="16"/>
                <w:szCs w:val="16"/>
                <w:lang w:val="en-GB"/>
              </w:rPr>
            </w:pPr>
            <w:r w:rsidRPr="0035173D">
              <w:rPr>
                <w:bCs/>
                <w:color w:val="000000"/>
                <w:sz w:val="16"/>
                <w:szCs w:val="16"/>
                <w:lang w:val="en-GB"/>
              </w:rPr>
              <w:t xml:space="preserve">Target:5 </w:t>
            </w:r>
          </w:p>
          <w:p w14:paraId="66CAA391" w14:textId="77777777" w:rsidR="006E7801" w:rsidRPr="0035173D" w:rsidRDefault="006E7801" w:rsidP="00C9722D">
            <w:pPr>
              <w:rPr>
                <w:iCs/>
                <w:color w:val="000000"/>
                <w:sz w:val="16"/>
                <w:szCs w:val="16"/>
                <w:lang w:val="en-GB"/>
              </w:rPr>
            </w:pPr>
            <w:r w:rsidRPr="0035173D">
              <w:rPr>
                <w:iCs/>
                <w:color w:val="000000"/>
                <w:sz w:val="16"/>
                <w:szCs w:val="16"/>
                <w:lang w:val="en-GB"/>
              </w:rPr>
              <w:t>Data source: UNDP, Government</w:t>
            </w:r>
          </w:p>
          <w:p w14:paraId="06F1ECA3" w14:textId="431E9CA1" w:rsidR="006E7801" w:rsidRPr="0035173D" w:rsidRDefault="006E7801" w:rsidP="00C9722D">
            <w:pPr>
              <w:rPr>
                <w:iCs/>
                <w:color w:val="000000"/>
                <w:sz w:val="16"/>
                <w:szCs w:val="16"/>
                <w:lang w:val="en-GB"/>
              </w:rPr>
            </w:pPr>
            <w:r w:rsidRPr="0035173D">
              <w:rPr>
                <w:iCs/>
                <w:color w:val="000000"/>
                <w:sz w:val="16"/>
                <w:szCs w:val="16"/>
                <w:lang w:val="en-GB"/>
              </w:rPr>
              <w:t xml:space="preserve">Frequency: </w:t>
            </w:r>
            <w:r w:rsidR="00AB3222">
              <w:rPr>
                <w:iCs/>
                <w:color w:val="000000"/>
                <w:sz w:val="16"/>
                <w:szCs w:val="16"/>
                <w:lang w:val="en-GB"/>
              </w:rPr>
              <w:t>a</w:t>
            </w:r>
            <w:r w:rsidRPr="0035173D">
              <w:rPr>
                <w:iCs/>
                <w:color w:val="000000"/>
                <w:sz w:val="16"/>
                <w:szCs w:val="16"/>
                <w:lang w:val="en-GB"/>
              </w:rPr>
              <w:t>nnual</w:t>
            </w:r>
          </w:p>
          <w:p w14:paraId="0A0FDF77" w14:textId="77777777" w:rsidR="00BD308F" w:rsidRPr="0035173D" w:rsidRDefault="00BD308F" w:rsidP="00C9722D">
            <w:pPr>
              <w:rPr>
                <w:iCs/>
                <w:color w:val="000000"/>
                <w:sz w:val="16"/>
                <w:szCs w:val="16"/>
                <w:lang w:val="en-GB"/>
              </w:rPr>
            </w:pPr>
          </w:p>
          <w:p w14:paraId="1DFC9F31" w14:textId="25F82942" w:rsidR="00A1628D" w:rsidRPr="0035173D" w:rsidRDefault="00D83295" w:rsidP="0003657F">
            <w:pPr>
              <w:pStyle w:val="ListParagraph"/>
              <w:ind w:left="0"/>
              <w:rPr>
                <w:iCs/>
                <w:color w:val="000000"/>
                <w:sz w:val="16"/>
                <w:szCs w:val="16"/>
                <w:lang w:val="en-GB"/>
              </w:rPr>
            </w:pPr>
            <w:r w:rsidRPr="0003657F">
              <w:rPr>
                <w:b/>
                <w:i/>
                <w:iCs/>
                <w:color w:val="000000"/>
                <w:sz w:val="16"/>
                <w:szCs w:val="16"/>
                <w:lang w:val="en-GB"/>
              </w:rPr>
              <w:t>Output 1.8.</w:t>
            </w:r>
            <w:r>
              <w:rPr>
                <w:iCs/>
                <w:color w:val="000000"/>
                <w:sz w:val="16"/>
                <w:szCs w:val="16"/>
                <w:lang w:val="en-GB"/>
              </w:rPr>
              <w:t xml:space="preserve"> </w:t>
            </w:r>
            <w:r w:rsidR="006E7801" w:rsidRPr="0035173D">
              <w:rPr>
                <w:iCs/>
                <w:color w:val="000000"/>
                <w:sz w:val="16"/>
                <w:szCs w:val="16"/>
                <w:lang w:val="en-GB"/>
              </w:rPr>
              <w:t>Mechanisms in place to assess natural</w:t>
            </w:r>
            <w:r w:rsidR="006E7801" w:rsidRPr="0003657F">
              <w:rPr>
                <w:lang w:val="en-GB"/>
              </w:rPr>
              <w:t xml:space="preserve"> </w:t>
            </w:r>
            <w:r w:rsidR="006E7801" w:rsidRPr="0035173D">
              <w:rPr>
                <w:iCs/>
                <w:color w:val="000000"/>
                <w:sz w:val="16"/>
                <w:szCs w:val="16"/>
                <w:lang w:val="en-GB"/>
              </w:rPr>
              <w:t xml:space="preserve">and man-made risks at </w:t>
            </w:r>
            <w:r w:rsidR="00105D60" w:rsidRPr="0035173D">
              <w:rPr>
                <w:iCs/>
                <w:color w:val="000000"/>
                <w:sz w:val="16"/>
                <w:szCs w:val="16"/>
                <w:lang w:val="en-GB"/>
              </w:rPr>
              <w:t>subnational level</w:t>
            </w:r>
            <w:r w:rsidR="006E7801" w:rsidRPr="0035173D">
              <w:rPr>
                <w:iCs/>
                <w:color w:val="000000"/>
                <w:sz w:val="16"/>
                <w:szCs w:val="16"/>
                <w:lang w:val="en-GB"/>
              </w:rPr>
              <w:t xml:space="preserve"> </w:t>
            </w:r>
            <w:r w:rsidR="00105D60" w:rsidRPr="0035173D">
              <w:rPr>
                <w:iCs/>
                <w:color w:val="000000"/>
                <w:sz w:val="16"/>
                <w:szCs w:val="16"/>
                <w:lang w:val="en-GB"/>
              </w:rPr>
              <w:t>that are</w:t>
            </w:r>
            <w:r w:rsidR="006E7801" w:rsidRPr="0035173D">
              <w:rPr>
                <w:iCs/>
                <w:color w:val="000000"/>
                <w:sz w:val="16"/>
                <w:szCs w:val="16"/>
                <w:lang w:val="en-GB"/>
              </w:rPr>
              <w:t xml:space="preserve"> incorporate</w:t>
            </w:r>
            <w:r w:rsidR="00105D60" w:rsidRPr="0035173D">
              <w:rPr>
                <w:iCs/>
                <w:color w:val="000000"/>
                <w:sz w:val="16"/>
                <w:szCs w:val="16"/>
                <w:lang w:val="en-GB"/>
              </w:rPr>
              <w:t>d</w:t>
            </w:r>
            <w:r w:rsidR="006E7801" w:rsidRPr="0035173D">
              <w:rPr>
                <w:iCs/>
                <w:color w:val="000000"/>
                <w:sz w:val="16"/>
                <w:szCs w:val="16"/>
                <w:lang w:val="en-GB"/>
              </w:rPr>
              <w:t xml:space="preserve"> </w:t>
            </w:r>
            <w:r w:rsidR="00105D60" w:rsidRPr="0035173D">
              <w:rPr>
                <w:iCs/>
                <w:color w:val="000000"/>
                <w:sz w:val="16"/>
                <w:szCs w:val="16"/>
                <w:lang w:val="en-GB"/>
              </w:rPr>
              <w:t>into</w:t>
            </w:r>
            <w:r w:rsidR="006E7801" w:rsidRPr="0035173D">
              <w:rPr>
                <w:iCs/>
                <w:color w:val="000000"/>
                <w:sz w:val="16"/>
                <w:szCs w:val="16"/>
                <w:lang w:val="en-GB"/>
              </w:rPr>
              <w:t xml:space="preserve"> s</w:t>
            </w:r>
            <w:r w:rsidR="00FD7990" w:rsidRPr="0035173D">
              <w:rPr>
                <w:iCs/>
                <w:color w:val="000000"/>
                <w:sz w:val="16"/>
                <w:szCs w:val="16"/>
                <w:lang w:val="en-GB"/>
              </w:rPr>
              <w:t>ubnational d</w:t>
            </w:r>
            <w:r w:rsidR="00BD308F" w:rsidRPr="0035173D">
              <w:rPr>
                <w:iCs/>
                <w:color w:val="000000"/>
                <w:sz w:val="16"/>
                <w:szCs w:val="16"/>
                <w:lang w:val="en-GB"/>
              </w:rPr>
              <w:t>isaster management plans</w:t>
            </w:r>
          </w:p>
          <w:p w14:paraId="7F73CECC" w14:textId="77777777" w:rsidR="00BD308F" w:rsidRPr="0035173D" w:rsidRDefault="00BD308F" w:rsidP="00C9722D">
            <w:pPr>
              <w:pStyle w:val="ListParagraph"/>
              <w:ind w:left="0"/>
              <w:rPr>
                <w:iCs/>
                <w:color w:val="000000"/>
                <w:sz w:val="16"/>
                <w:szCs w:val="16"/>
                <w:lang w:val="en-GB"/>
              </w:rPr>
            </w:pPr>
            <w:r w:rsidRPr="0035173D">
              <w:rPr>
                <w:iCs/>
                <w:color w:val="000000"/>
                <w:sz w:val="16"/>
                <w:szCs w:val="16"/>
                <w:lang w:val="en-GB"/>
              </w:rPr>
              <w:t xml:space="preserve"> </w:t>
            </w:r>
          </w:p>
          <w:p w14:paraId="18D16A90" w14:textId="6B446F84" w:rsidR="00E95AE8" w:rsidRPr="0035173D" w:rsidRDefault="00BD308F" w:rsidP="00C9722D">
            <w:pPr>
              <w:rPr>
                <w:iCs/>
                <w:color w:val="000000"/>
                <w:sz w:val="16"/>
                <w:szCs w:val="16"/>
                <w:lang w:val="en-GB"/>
              </w:rPr>
            </w:pPr>
            <w:r w:rsidRPr="0003657F">
              <w:rPr>
                <w:i/>
                <w:iCs/>
                <w:color w:val="000000"/>
                <w:sz w:val="16"/>
                <w:szCs w:val="16"/>
                <w:lang w:val="en-GB"/>
              </w:rPr>
              <w:t>Indicator</w:t>
            </w:r>
            <w:r w:rsidR="00DC68C3" w:rsidRPr="0003657F">
              <w:rPr>
                <w:i/>
                <w:iCs/>
                <w:color w:val="000000"/>
                <w:sz w:val="16"/>
                <w:szCs w:val="16"/>
                <w:lang w:val="en-GB"/>
              </w:rPr>
              <w:t>1.8.1.</w:t>
            </w:r>
            <w:r w:rsidRPr="0003657F">
              <w:rPr>
                <w:i/>
                <w:iCs/>
                <w:color w:val="000000"/>
                <w:sz w:val="16"/>
                <w:szCs w:val="16"/>
                <w:lang w:val="en-GB"/>
              </w:rPr>
              <w:t xml:space="preserve"> </w:t>
            </w:r>
            <w:r w:rsidRPr="0035173D">
              <w:rPr>
                <w:iCs/>
                <w:color w:val="000000"/>
                <w:sz w:val="16"/>
                <w:szCs w:val="16"/>
                <w:lang w:val="en-GB"/>
              </w:rPr>
              <w:t xml:space="preserve">Number of newly developed </w:t>
            </w:r>
            <w:r w:rsidR="00105D60" w:rsidRPr="0035173D">
              <w:rPr>
                <w:iCs/>
                <w:color w:val="000000"/>
                <w:sz w:val="16"/>
                <w:szCs w:val="16"/>
                <w:lang w:val="en-GB"/>
              </w:rPr>
              <w:t xml:space="preserve">subnational </w:t>
            </w:r>
            <w:r w:rsidRPr="0035173D">
              <w:rPr>
                <w:iCs/>
                <w:color w:val="000000"/>
                <w:sz w:val="16"/>
                <w:szCs w:val="16"/>
                <w:lang w:val="en-GB"/>
              </w:rPr>
              <w:t xml:space="preserve">disaster management plans </w:t>
            </w:r>
            <w:r w:rsidR="00852111" w:rsidRPr="0035173D">
              <w:rPr>
                <w:iCs/>
                <w:color w:val="000000"/>
                <w:sz w:val="16"/>
                <w:szCs w:val="16"/>
                <w:lang w:val="en-GB"/>
              </w:rPr>
              <w:t xml:space="preserve">that </w:t>
            </w:r>
            <w:r w:rsidR="006E7801" w:rsidRPr="0035173D">
              <w:rPr>
                <w:iCs/>
                <w:color w:val="000000"/>
                <w:sz w:val="16"/>
                <w:szCs w:val="16"/>
                <w:lang w:val="en-GB"/>
              </w:rPr>
              <w:t>reflect locally specific risks and vulnerabilities</w:t>
            </w:r>
            <w:r w:rsidR="006E7801" w:rsidRPr="0035173D" w:rsidDel="006E7801">
              <w:rPr>
                <w:iCs/>
                <w:color w:val="000000"/>
                <w:sz w:val="16"/>
                <w:szCs w:val="16"/>
                <w:lang w:val="en-GB"/>
              </w:rPr>
              <w:t xml:space="preserve"> </w:t>
            </w:r>
          </w:p>
          <w:p w14:paraId="34F1D2EE" w14:textId="77777777" w:rsidR="00BD308F" w:rsidRPr="0035173D" w:rsidRDefault="00BD308F" w:rsidP="00C9722D">
            <w:pPr>
              <w:rPr>
                <w:iCs/>
                <w:sz w:val="16"/>
                <w:szCs w:val="16"/>
                <w:lang w:val="en-GB"/>
              </w:rPr>
            </w:pPr>
            <w:r w:rsidRPr="0035173D">
              <w:rPr>
                <w:iCs/>
                <w:sz w:val="16"/>
                <w:szCs w:val="16"/>
                <w:lang w:val="en-GB"/>
              </w:rPr>
              <w:t>Baseline</w:t>
            </w:r>
            <w:r w:rsidR="001F6D0C" w:rsidRPr="0035173D">
              <w:rPr>
                <w:iCs/>
                <w:sz w:val="16"/>
                <w:szCs w:val="16"/>
                <w:lang w:val="en-GB"/>
              </w:rPr>
              <w:t xml:space="preserve"> (2016): 0 </w:t>
            </w:r>
          </w:p>
          <w:p w14:paraId="3C35CC47" w14:textId="77777777" w:rsidR="00BD308F" w:rsidRPr="0035173D" w:rsidRDefault="00BD308F" w:rsidP="00C9722D">
            <w:pPr>
              <w:rPr>
                <w:iCs/>
                <w:sz w:val="16"/>
                <w:szCs w:val="16"/>
                <w:lang w:val="en-GB"/>
              </w:rPr>
            </w:pPr>
            <w:r w:rsidRPr="0035173D">
              <w:rPr>
                <w:bCs/>
                <w:color w:val="000000"/>
                <w:sz w:val="16"/>
                <w:szCs w:val="16"/>
                <w:lang w:val="en-GB"/>
              </w:rPr>
              <w:t>Target:</w:t>
            </w:r>
            <w:r w:rsidRPr="0035173D">
              <w:rPr>
                <w:iCs/>
                <w:sz w:val="16"/>
                <w:szCs w:val="16"/>
                <w:lang w:val="en-GB"/>
              </w:rPr>
              <w:t xml:space="preserve"> 21 </w:t>
            </w:r>
          </w:p>
          <w:p w14:paraId="76EA9522" w14:textId="3B77062D" w:rsidR="00BD308F" w:rsidRPr="0035173D" w:rsidRDefault="00BD308F" w:rsidP="00C9722D">
            <w:pPr>
              <w:rPr>
                <w:iCs/>
                <w:color w:val="000000"/>
                <w:sz w:val="16"/>
                <w:szCs w:val="16"/>
                <w:lang w:val="en-GB"/>
              </w:rPr>
            </w:pPr>
            <w:r w:rsidRPr="0035173D">
              <w:rPr>
                <w:iCs/>
                <w:color w:val="000000"/>
                <w:sz w:val="16"/>
                <w:szCs w:val="16"/>
                <w:lang w:val="en-GB"/>
              </w:rPr>
              <w:t xml:space="preserve">Data source: </w:t>
            </w:r>
            <w:r w:rsidR="000D6A76">
              <w:rPr>
                <w:iCs/>
                <w:color w:val="000000"/>
                <w:sz w:val="16"/>
                <w:szCs w:val="16"/>
                <w:lang w:val="en-GB"/>
              </w:rPr>
              <w:t>National Emergency Management Agency (N</w:t>
            </w:r>
            <w:r w:rsidRPr="0035173D">
              <w:rPr>
                <w:iCs/>
                <w:color w:val="000000"/>
                <w:sz w:val="16"/>
                <w:szCs w:val="16"/>
                <w:lang w:val="en-GB"/>
              </w:rPr>
              <w:t>EMA</w:t>
            </w:r>
            <w:r w:rsidR="000D6A76">
              <w:rPr>
                <w:iCs/>
                <w:color w:val="000000"/>
                <w:sz w:val="16"/>
                <w:szCs w:val="16"/>
                <w:lang w:val="en-GB"/>
              </w:rPr>
              <w:t>)</w:t>
            </w:r>
          </w:p>
          <w:p w14:paraId="20683549" w14:textId="6034C37D" w:rsidR="007D078E" w:rsidRDefault="00BD308F" w:rsidP="00C9722D">
            <w:pPr>
              <w:rPr>
                <w:iCs/>
                <w:color w:val="000000"/>
                <w:sz w:val="16"/>
                <w:szCs w:val="16"/>
                <w:lang w:val="en-GB"/>
              </w:rPr>
            </w:pPr>
            <w:r w:rsidRPr="0035173D">
              <w:rPr>
                <w:iCs/>
                <w:color w:val="000000"/>
                <w:sz w:val="16"/>
                <w:szCs w:val="16"/>
                <w:lang w:val="en-GB"/>
              </w:rPr>
              <w:t xml:space="preserve">Frequency: </w:t>
            </w:r>
            <w:r w:rsidR="00AB3222">
              <w:rPr>
                <w:iCs/>
                <w:color w:val="000000"/>
                <w:sz w:val="16"/>
                <w:szCs w:val="16"/>
                <w:lang w:val="en-GB"/>
              </w:rPr>
              <w:t>a</w:t>
            </w:r>
            <w:r w:rsidRPr="0035173D">
              <w:rPr>
                <w:iCs/>
                <w:color w:val="000000"/>
                <w:sz w:val="16"/>
                <w:szCs w:val="16"/>
                <w:lang w:val="en-GB"/>
              </w:rPr>
              <w:t>nnual</w:t>
            </w:r>
          </w:p>
          <w:p w14:paraId="58D0F5C7" w14:textId="77777777" w:rsidR="007D078E" w:rsidRDefault="007D078E" w:rsidP="00C9722D">
            <w:pPr>
              <w:rPr>
                <w:iCs/>
                <w:color w:val="000000"/>
                <w:sz w:val="16"/>
                <w:szCs w:val="16"/>
                <w:lang w:val="en-GB"/>
              </w:rPr>
            </w:pPr>
          </w:p>
          <w:p w14:paraId="6371BF56" w14:textId="77777777" w:rsidR="007D078E" w:rsidRDefault="007D078E" w:rsidP="00C9722D">
            <w:pPr>
              <w:rPr>
                <w:iCs/>
                <w:color w:val="000000"/>
                <w:sz w:val="16"/>
                <w:szCs w:val="16"/>
                <w:lang w:val="en-GB"/>
              </w:rPr>
            </w:pPr>
          </w:p>
          <w:p w14:paraId="1DC6439A" w14:textId="633C75C3" w:rsidR="001F6D0C" w:rsidRPr="0035173D" w:rsidRDefault="001F6D0C" w:rsidP="00C9722D">
            <w:pPr>
              <w:rPr>
                <w:iCs/>
                <w:color w:val="000000"/>
                <w:sz w:val="16"/>
                <w:szCs w:val="16"/>
                <w:lang w:val="en-GB"/>
              </w:rPr>
            </w:pPr>
          </w:p>
        </w:tc>
        <w:tc>
          <w:tcPr>
            <w:tcW w:w="791" w:type="pct"/>
            <w:vMerge w:val="restart"/>
          </w:tcPr>
          <w:p w14:paraId="5A1C1A00" w14:textId="5689229A" w:rsidR="005F5472" w:rsidRPr="0035173D" w:rsidRDefault="005F5472" w:rsidP="00651955">
            <w:pPr>
              <w:rPr>
                <w:iCs/>
                <w:color w:val="000000"/>
                <w:sz w:val="16"/>
                <w:szCs w:val="16"/>
                <w:lang w:val="en-GB"/>
              </w:rPr>
            </w:pPr>
            <w:r w:rsidRPr="0035173D">
              <w:rPr>
                <w:iCs/>
                <w:color w:val="000000"/>
                <w:sz w:val="16"/>
                <w:szCs w:val="16"/>
                <w:lang w:val="en-GB"/>
              </w:rPr>
              <w:lastRenderedPageBreak/>
              <w:t xml:space="preserve">Government: MEGDT, MOFA, </w:t>
            </w:r>
            <w:r w:rsidR="007D078E">
              <w:rPr>
                <w:iCs/>
                <w:color w:val="000000"/>
                <w:sz w:val="16"/>
                <w:szCs w:val="16"/>
                <w:lang w:val="en-GB"/>
              </w:rPr>
              <w:t>MOL</w:t>
            </w:r>
            <w:r w:rsidRPr="0035173D">
              <w:rPr>
                <w:iCs/>
                <w:color w:val="000000"/>
                <w:sz w:val="16"/>
                <w:szCs w:val="16"/>
                <w:lang w:val="en-GB"/>
              </w:rPr>
              <w:t xml:space="preserve">, MPDSP, NEMA, </w:t>
            </w:r>
            <w:r w:rsidR="007D078E">
              <w:rPr>
                <w:iCs/>
                <w:color w:val="000000"/>
                <w:sz w:val="16"/>
                <w:szCs w:val="16"/>
                <w:lang w:val="en-GB"/>
              </w:rPr>
              <w:t>Ulaanbaatar</w:t>
            </w:r>
            <w:r w:rsidR="007D078E" w:rsidRPr="0035173D">
              <w:rPr>
                <w:iCs/>
                <w:color w:val="000000"/>
                <w:sz w:val="16"/>
                <w:szCs w:val="16"/>
                <w:lang w:val="en-GB"/>
              </w:rPr>
              <w:t xml:space="preserve"> </w:t>
            </w:r>
            <w:r w:rsidRPr="0035173D">
              <w:rPr>
                <w:iCs/>
                <w:color w:val="000000"/>
                <w:sz w:val="16"/>
                <w:szCs w:val="16"/>
                <w:lang w:val="en-GB"/>
              </w:rPr>
              <w:t xml:space="preserve">City, </w:t>
            </w:r>
            <w:r w:rsidR="007D078E">
              <w:rPr>
                <w:iCs/>
                <w:color w:val="000000"/>
                <w:sz w:val="16"/>
                <w:szCs w:val="16"/>
                <w:lang w:val="en-GB"/>
              </w:rPr>
              <w:t>l</w:t>
            </w:r>
            <w:r w:rsidRPr="0035173D">
              <w:rPr>
                <w:iCs/>
                <w:color w:val="000000"/>
                <w:sz w:val="16"/>
                <w:szCs w:val="16"/>
                <w:lang w:val="en-GB"/>
              </w:rPr>
              <w:t>ocal government</w:t>
            </w:r>
          </w:p>
          <w:p w14:paraId="031E4E8A" w14:textId="660146CF" w:rsidR="00067D80" w:rsidRPr="0035173D" w:rsidRDefault="007D078E" w:rsidP="00067D80">
            <w:pPr>
              <w:rPr>
                <w:iCs/>
                <w:color w:val="000000"/>
                <w:sz w:val="16"/>
                <w:szCs w:val="16"/>
                <w:lang w:val="en-GB"/>
              </w:rPr>
            </w:pPr>
            <w:r>
              <w:rPr>
                <w:iCs/>
                <w:color w:val="000000"/>
                <w:sz w:val="16"/>
                <w:szCs w:val="16"/>
                <w:lang w:val="en-GB"/>
              </w:rPr>
              <w:lastRenderedPageBreak/>
              <w:t>United Nations organizations</w:t>
            </w:r>
          </w:p>
          <w:p w14:paraId="3CB7C41F" w14:textId="77777777" w:rsidR="005F5472" w:rsidRPr="0035173D" w:rsidRDefault="005F5472" w:rsidP="00651955">
            <w:pPr>
              <w:rPr>
                <w:iCs/>
                <w:color w:val="000000"/>
                <w:sz w:val="16"/>
                <w:szCs w:val="16"/>
                <w:lang w:val="en-GB"/>
              </w:rPr>
            </w:pPr>
            <w:r w:rsidRPr="0035173D">
              <w:rPr>
                <w:iCs/>
                <w:color w:val="000000"/>
                <w:sz w:val="16"/>
                <w:szCs w:val="16"/>
                <w:lang w:val="en-GB"/>
              </w:rPr>
              <w:t xml:space="preserve">Civil society </w:t>
            </w:r>
          </w:p>
          <w:p w14:paraId="70EBB7BF" w14:textId="77777777" w:rsidR="005F5472" w:rsidRPr="0035173D" w:rsidRDefault="005F5472">
            <w:pPr>
              <w:rPr>
                <w:iCs/>
                <w:color w:val="000000"/>
                <w:sz w:val="16"/>
                <w:szCs w:val="16"/>
                <w:lang w:val="en-GB"/>
              </w:rPr>
            </w:pPr>
            <w:r w:rsidRPr="0035173D">
              <w:rPr>
                <w:iCs/>
                <w:color w:val="000000"/>
                <w:sz w:val="16"/>
                <w:szCs w:val="16"/>
                <w:lang w:val="en-GB"/>
              </w:rPr>
              <w:t>Development partners</w:t>
            </w:r>
          </w:p>
        </w:tc>
        <w:tc>
          <w:tcPr>
            <w:tcW w:w="599" w:type="pct"/>
            <w:gridSpan w:val="2"/>
            <w:tcMar>
              <w:top w:w="15" w:type="dxa"/>
              <w:left w:w="108" w:type="dxa"/>
              <w:bottom w:w="0" w:type="dxa"/>
              <w:right w:w="108" w:type="dxa"/>
            </w:tcMar>
          </w:tcPr>
          <w:p w14:paraId="1DF50D1B" w14:textId="4138EE1D" w:rsidR="005F5472" w:rsidRPr="0003657F" w:rsidRDefault="005F5472" w:rsidP="00D87CDA">
            <w:pPr>
              <w:rPr>
                <w:b/>
                <w:color w:val="000000"/>
                <w:sz w:val="16"/>
                <w:szCs w:val="16"/>
                <w:lang w:val="en-GB"/>
              </w:rPr>
            </w:pPr>
            <w:r w:rsidRPr="0003657F">
              <w:rPr>
                <w:b/>
                <w:color w:val="000000"/>
                <w:sz w:val="16"/>
                <w:szCs w:val="16"/>
                <w:lang w:val="en-GB"/>
              </w:rPr>
              <w:lastRenderedPageBreak/>
              <w:t xml:space="preserve">Regular </w:t>
            </w:r>
            <w:r w:rsidR="00D87CDA">
              <w:rPr>
                <w:b/>
                <w:color w:val="000000"/>
                <w:sz w:val="16"/>
                <w:szCs w:val="16"/>
                <w:lang w:val="en-GB"/>
              </w:rPr>
              <w:t>500</w:t>
            </w:r>
          </w:p>
        </w:tc>
      </w:tr>
      <w:tr w:rsidR="005F5472" w:rsidRPr="0035173D" w14:paraId="20CF1ECA" w14:textId="77777777" w:rsidTr="0003657F">
        <w:tc>
          <w:tcPr>
            <w:tcW w:w="1100" w:type="pct"/>
            <w:vMerge/>
            <w:tcMar>
              <w:top w:w="72" w:type="dxa"/>
              <w:left w:w="144" w:type="dxa"/>
              <w:bottom w:w="72" w:type="dxa"/>
              <w:right w:w="144" w:type="dxa"/>
            </w:tcMar>
          </w:tcPr>
          <w:p w14:paraId="101153FD" w14:textId="77777777" w:rsidR="005F5472" w:rsidRPr="0035173D" w:rsidRDefault="005F5472" w:rsidP="00651955">
            <w:pPr>
              <w:rPr>
                <w:iCs/>
                <w:color w:val="000000"/>
                <w:sz w:val="16"/>
                <w:szCs w:val="16"/>
                <w:lang w:val="en-GB"/>
              </w:rPr>
            </w:pPr>
          </w:p>
        </w:tc>
        <w:tc>
          <w:tcPr>
            <w:tcW w:w="722" w:type="pct"/>
            <w:vMerge/>
          </w:tcPr>
          <w:p w14:paraId="03CFBDF2" w14:textId="77777777" w:rsidR="005F5472" w:rsidRPr="0035173D" w:rsidRDefault="005F5472" w:rsidP="00651955">
            <w:pPr>
              <w:rPr>
                <w:iCs/>
                <w:color w:val="000000"/>
                <w:sz w:val="16"/>
                <w:szCs w:val="16"/>
                <w:lang w:val="en-GB"/>
              </w:rPr>
            </w:pPr>
          </w:p>
        </w:tc>
        <w:tc>
          <w:tcPr>
            <w:tcW w:w="1788" w:type="pct"/>
            <w:vMerge/>
            <w:tcMar>
              <w:top w:w="72" w:type="dxa"/>
              <w:left w:w="144" w:type="dxa"/>
              <w:bottom w:w="72" w:type="dxa"/>
              <w:right w:w="144" w:type="dxa"/>
            </w:tcMar>
          </w:tcPr>
          <w:p w14:paraId="53B6A6C2" w14:textId="77777777" w:rsidR="005F5472" w:rsidRPr="0035173D" w:rsidRDefault="005F5472" w:rsidP="00651955">
            <w:pPr>
              <w:rPr>
                <w:iCs/>
                <w:color w:val="000000"/>
                <w:sz w:val="16"/>
                <w:szCs w:val="16"/>
                <w:lang w:val="en-GB"/>
              </w:rPr>
            </w:pPr>
          </w:p>
        </w:tc>
        <w:tc>
          <w:tcPr>
            <w:tcW w:w="791" w:type="pct"/>
            <w:vMerge/>
          </w:tcPr>
          <w:p w14:paraId="21284302" w14:textId="77777777" w:rsidR="005F5472" w:rsidRPr="0035173D" w:rsidRDefault="005F5472" w:rsidP="00651955">
            <w:pPr>
              <w:rPr>
                <w:iCs/>
                <w:color w:val="000000"/>
                <w:sz w:val="16"/>
                <w:szCs w:val="16"/>
                <w:lang w:val="en-GB"/>
              </w:rPr>
            </w:pPr>
          </w:p>
        </w:tc>
        <w:tc>
          <w:tcPr>
            <w:tcW w:w="599" w:type="pct"/>
            <w:gridSpan w:val="2"/>
            <w:tcMar>
              <w:top w:w="15" w:type="dxa"/>
              <w:left w:w="108" w:type="dxa"/>
              <w:bottom w:w="0" w:type="dxa"/>
              <w:right w:w="108" w:type="dxa"/>
            </w:tcMar>
          </w:tcPr>
          <w:p w14:paraId="209F7819" w14:textId="401397E4" w:rsidR="005F5472" w:rsidRPr="0003657F" w:rsidRDefault="005F5472" w:rsidP="00651955">
            <w:pPr>
              <w:rPr>
                <w:b/>
                <w:color w:val="000000"/>
                <w:sz w:val="16"/>
                <w:szCs w:val="16"/>
                <w:lang w:val="en-GB"/>
              </w:rPr>
            </w:pPr>
            <w:r w:rsidRPr="0003657F">
              <w:rPr>
                <w:b/>
                <w:color w:val="000000"/>
                <w:sz w:val="16"/>
                <w:szCs w:val="16"/>
                <w:lang w:val="en-GB"/>
              </w:rPr>
              <w:t xml:space="preserve">Other </w:t>
            </w:r>
            <w:r w:rsidR="00150416" w:rsidRPr="0003657F">
              <w:rPr>
                <w:b/>
                <w:color w:val="000000"/>
                <w:sz w:val="16"/>
                <w:szCs w:val="16"/>
                <w:lang w:val="en-GB"/>
              </w:rPr>
              <w:t>13</w:t>
            </w:r>
            <w:r w:rsidRPr="0003657F">
              <w:rPr>
                <w:b/>
                <w:color w:val="000000"/>
                <w:sz w:val="16"/>
                <w:szCs w:val="16"/>
                <w:lang w:val="en-GB"/>
              </w:rPr>
              <w:t>,500</w:t>
            </w:r>
          </w:p>
        </w:tc>
      </w:tr>
      <w:tr w:rsidR="005F5472" w:rsidRPr="0035173D" w14:paraId="6D2418A1" w14:textId="77777777" w:rsidTr="0003657F">
        <w:tc>
          <w:tcPr>
            <w:tcW w:w="5000" w:type="pct"/>
            <w:gridSpan w:val="6"/>
            <w:tcMar>
              <w:top w:w="72" w:type="dxa"/>
              <w:left w:w="144" w:type="dxa"/>
              <w:bottom w:w="72" w:type="dxa"/>
              <w:right w:w="144" w:type="dxa"/>
            </w:tcMar>
          </w:tcPr>
          <w:p w14:paraId="44DCFEB4" w14:textId="77777777" w:rsidR="005F5472" w:rsidRPr="0003657F" w:rsidRDefault="000B25A9" w:rsidP="00613856">
            <w:pPr>
              <w:rPr>
                <w:b/>
                <w:color w:val="000000"/>
                <w:sz w:val="16"/>
                <w:szCs w:val="16"/>
                <w:lang w:val="en-GB"/>
              </w:rPr>
            </w:pPr>
            <w:r w:rsidRPr="0035173D">
              <w:rPr>
                <w:b/>
                <w:iCs/>
                <w:color w:val="000000"/>
                <w:sz w:val="16"/>
                <w:szCs w:val="16"/>
                <w:lang w:val="en-GB"/>
              </w:rPr>
              <w:lastRenderedPageBreak/>
              <w:t>E</w:t>
            </w:r>
            <w:r w:rsidR="003B0112" w:rsidRPr="0035173D">
              <w:rPr>
                <w:b/>
                <w:iCs/>
                <w:color w:val="000000"/>
                <w:sz w:val="16"/>
                <w:szCs w:val="16"/>
                <w:lang w:val="en-GB"/>
              </w:rPr>
              <w:t>quitable, sustainable and low carbon urban development</w:t>
            </w:r>
          </w:p>
        </w:tc>
      </w:tr>
      <w:tr w:rsidR="005F5472" w:rsidRPr="0035173D" w14:paraId="26E4E40C" w14:textId="77777777" w:rsidTr="0003657F">
        <w:tc>
          <w:tcPr>
            <w:tcW w:w="1100" w:type="pct"/>
            <w:vMerge w:val="restart"/>
            <w:tcMar>
              <w:top w:w="72" w:type="dxa"/>
              <w:left w:w="144" w:type="dxa"/>
              <w:bottom w:w="72" w:type="dxa"/>
              <w:right w:w="144" w:type="dxa"/>
            </w:tcMar>
          </w:tcPr>
          <w:p w14:paraId="1CD1BF24" w14:textId="63A598DD" w:rsidR="005F5472" w:rsidRPr="0035173D" w:rsidRDefault="005F5472" w:rsidP="0003657F">
            <w:pPr>
              <w:spacing w:before="240"/>
              <w:rPr>
                <w:b/>
                <w:bCs/>
                <w:color w:val="000000"/>
                <w:sz w:val="16"/>
                <w:szCs w:val="16"/>
                <w:lang w:val="en-GB"/>
              </w:rPr>
            </w:pPr>
            <w:r w:rsidRPr="0003657F">
              <w:rPr>
                <w:b/>
                <w:i/>
                <w:iCs/>
                <w:sz w:val="16"/>
                <w:szCs w:val="16"/>
                <w:lang w:val="en-GB"/>
              </w:rPr>
              <w:t>Indicator:</w:t>
            </w:r>
            <w:r w:rsidRPr="0035173D">
              <w:rPr>
                <w:iCs/>
                <w:sz w:val="16"/>
                <w:szCs w:val="16"/>
                <w:lang w:val="en-GB"/>
              </w:rPr>
              <w:t xml:space="preserve"> </w:t>
            </w:r>
            <w:r w:rsidR="007851C6" w:rsidRPr="0035173D">
              <w:rPr>
                <w:iCs/>
                <w:sz w:val="16"/>
                <w:szCs w:val="16"/>
                <w:lang w:val="en-GB"/>
              </w:rPr>
              <w:t>Annual</w:t>
            </w:r>
            <w:r w:rsidRPr="0035173D">
              <w:rPr>
                <w:iCs/>
                <w:sz w:val="16"/>
                <w:szCs w:val="16"/>
                <w:lang w:val="en-GB"/>
              </w:rPr>
              <w:t xml:space="preserve"> </w:t>
            </w:r>
            <w:r w:rsidR="007D078E">
              <w:rPr>
                <w:iCs/>
                <w:sz w:val="16"/>
                <w:szCs w:val="16"/>
                <w:lang w:val="en-GB"/>
              </w:rPr>
              <w:t>greenhouse gas</w:t>
            </w:r>
            <w:r w:rsidRPr="0035173D">
              <w:rPr>
                <w:iCs/>
                <w:sz w:val="16"/>
                <w:szCs w:val="16"/>
                <w:lang w:val="en-GB"/>
              </w:rPr>
              <w:t xml:space="preserve"> emission</w:t>
            </w:r>
            <w:r w:rsidR="002C3B9F" w:rsidRPr="0035173D">
              <w:rPr>
                <w:iCs/>
                <w:sz w:val="16"/>
                <w:szCs w:val="16"/>
                <w:lang w:val="en-GB"/>
              </w:rPr>
              <w:t xml:space="preserve"> reduction from </w:t>
            </w:r>
            <w:r w:rsidR="00EA7C80">
              <w:rPr>
                <w:iCs/>
                <w:sz w:val="16"/>
                <w:szCs w:val="16"/>
                <w:lang w:val="en-GB"/>
              </w:rPr>
              <w:t>business as usual (</w:t>
            </w:r>
            <w:r w:rsidR="002C3B9F" w:rsidRPr="0035173D">
              <w:rPr>
                <w:iCs/>
                <w:sz w:val="16"/>
                <w:szCs w:val="16"/>
                <w:lang w:val="en-GB"/>
              </w:rPr>
              <w:t>BAU</w:t>
            </w:r>
            <w:r w:rsidR="00EA7C80">
              <w:rPr>
                <w:iCs/>
                <w:sz w:val="16"/>
                <w:szCs w:val="16"/>
                <w:lang w:val="en-GB"/>
              </w:rPr>
              <w:t xml:space="preserve">), </w:t>
            </w:r>
            <w:r w:rsidR="007851C6" w:rsidRPr="0035173D">
              <w:rPr>
                <w:iCs/>
                <w:sz w:val="16"/>
                <w:szCs w:val="16"/>
                <w:lang w:val="en-GB"/>
              </w:rPr>
              <w:t>in</w:t>
            </w:r>
            <w:r w:rsidR="00DB3205" w:rsidRPr="0035173D">
              <w:rPr>
                <w:iCs/>
                <w:sz w:val="16"/>
                <w:szCs w:val="16"/>
                <w:lang w:val="en-GB"/>
              </w:rPr>
              <w:t xml:space="preserve"> thous</w:t>
            </w:r>
            <w:r w:rsidR="00FF561E" w:rsidRPr="0035173D">
              <w:rPr>
                <w:iCs/>
                <w:sz w:val="16"/>
                <w:szCs w:val="16"/>
                <w:lang w:val="en-GB"/>
              </w:rPr>
              <w:t>and</w:t>
            </w:r>
            <w:r w:rsidR="007D078E">
              <w:rPr>
                <w:iCs/>
                <w:sz w:val="16"/>
                <w:szCs w:val="16"/>
                <w:lang w:val="en-GB"/>
              </w:rPr>
              <w:t>s of</w:t>
            </w:r>
            <w:r w:rsidR="007851C6" w:rsidRPr="0035173D">
              <w:rPr>
                <w:iCs/>
                <w:sz w:val="16"/>
                <w:szCs w:val="16"/>
                <w:lang w:val="en-GB"/>
              </w:rPr>
              <w:t xml:space="preserve"> tons CO2 eq</w:t>
            </w:r>
            <w:r w:rsidR="007D078E">
              <w:rPr>
                <w:iCs/>
                <w:sz w:val="16"/>
                <w:szCs w:val="16"/>
                <w:lang w:val="en-GB"/>
              </w:rPr>
              <w:t>uivalent</w:t>
            </w:r>
          </w:p>
          <w:p w14:paraId="359E9C39" w14:textId="77777777" w:rsidR="00EA7C80" w:rsidRDefault="005F5472" w:rsidP="0003657F">
            <w:pPr>
              <w:rPr>
                <w:iCs/>
                <w:sz w:val="16"/>
                <w:szCs w:val="16"/>
                <w:lang w:val="en-GB"/>
              </w:rPr>
            </w:pPr>
            <w:r w:rsidRPr="0003657F">
              <w:rPr>
                <w:i/>
                <w:iCs/>
                <w:sz w:val="16"/>
                <w:szCs w:val="16"/>
                <w:lang w:val="en-GB"/>
              </w:rPr>
              <w:t>Baseline</w:t>
            </w:r>
            <w:r w:rsidR="007851C6" w:rsidRPr="0003657F">
              <w:rPr>
                <w:i/>
                <w:iCs/>
                <w:sz w:val="16"/>
                <w:szCs w:val="16"/>
                <w:lang w:val="en-GB"/>
              </w:rPr>
              <w:t xml:space="preserve"> </w:t>
            </w:r>
            <w:r w:rsidR="007851C6" w:rsidRPr="0035173D">
              <w:rPr>
                <w:iCs/>
                <w:sz w:val="16"/>
                <w:szCs w:val="16"/>
                <w:lang w:val="en-GB"/>
              </w:rPr>
              <w:t>(2015)</w:t>
            </w:r>
            <w:r w:rsidRPr="0035173D">
              <w:rPr>
                <w:iCs/>
                <w:sz w:val="16"/>
                <w:szCs w:val="16"/>
                <w:lang w:val="en-GB"/>
              </w:rPr>
              <w:t>:</w:t>
            </w:r>
            <w:r w:rsidRPr="0003657F">
              <w:rPr>
                <w:sz w:val="16"/>
                <w:szCs w:val="16"/>
                <w:lang w:val="en-GB"/>
              </w:rPr>
              <w:t xml:space="preserve"> </w:t>
            </w:r>
            <w:r w:rsidRPr="0035173D">
              <w:rPr>
                <w:iCs/>
                <w:sz w:val="16"/>
                <w:szCs w:val="16"/>
                <w:lang w:val="en-GB"/>
              </w:rPr>
              <w:t>26</w:t>
            </w:r>
            <w:r w:rsidR="00FF561E" w:rsidRPr="0035173D">
              <w:rPr>
                <w:iCs/>
                <w:sz w:val="16"/>
                <w:szCs w:val="16"/>
                <w:lang w:val="en-GB"/>
              </w:rPr>
              <w:t>,</w:t>
            </w:r>
            <w:r w:rsidRPr="0035173D">
              <w:rPr>
                <w:iCs/>
                <w:sz w:val="16"/>
                <w:szCs w:val="16"/>
                <w:lang w:val="en-GB"/>
              </w:rPr>
              <w:t xml:space="preserve">806 </w:t>
            </w:r>
          </w:p>
          <w:p w14:paraId="3559BDB2" w14:textId="77777777" w:rsidR="007851C6" w:rsidRPr="0035173D" w:rsidRDefault="005F5472" w:rsidP="0003657F">
            <w:pPr>
              <w:rPr>
                <w:b/>
                <w:iCs/>
                <w:color w:val="000000"/>
                <w:sz w:val="16"/>
                <w:szCs w:val="16"/>
                <w:lang w:val="en-GB"/>
              </w:rPr>
            </w:pPr>
            <w:r w:rsidRPr="0003657F">
              <w:rPr>
                <w:bCs/>
                <w:i/>
                <w:color w:val="000000"/>
                <w:sz w:val="16"/>
                <w:szCs w:val="16"/>
                <w:lang w:val="en-GB"/>
              </w:rPr>
              <w:t>Target:</w:t>
            </w:r>
            <w:r w:rsidRPr="0035173D">
              <w:rPr>
                <w:iCs/>
                <w:sz w:val="16"/>
                <w:szCs w:val="16"/>
                <w:lang w:val="en-GB"/>
              </w:rPr>
              <w:t xml:space="preserve"> Reduction from</w:t>
            </w:r>
            <w:r w:rsidR="00D54D6F" w:rsidRPr="0035173D">
              <w:rPr>
                <w:iCs/>
                <w:sz w:val="16"/>
                <w:szCs w:val="16"/>
                <w:lang w:val="en-GB"/>
              </w:rPr>
              <w:t xml:space="preserve"> </w:t>
            </w:r>
            <w:r w:rsidRPr="0035173D">
              <w:rPr>
                <w:iCs/>
                <w:sz w:val="16"/>
                <w:szCs w:val="16"/>
                <w:lang w:val="en-GB"/>
              </w:rPr>
              <w:t xml:space="preserve">BAU scenario by 4 %, from 33,212. (BAU scenario by 2020) to 31,884. </w:t>
            </w:r>
          </w:p>
        </w:tc>
        <w:tc>
          <w:tcPr>
            <w:tcW w:w="722" w:type="pct"/>
            <w:vMerge w:val="restart"/>
          </w:tcPr>
          <w:p w14:paraId="4ECF2DC7" w14:textId="36ECD2F6" w:rsidR="005F5472" w:rsidRPr="0035173D" w:rsidRDefault="005F5472" w:rsidP="005F5472">
            <w:pPr>
              <w:rPr>
                <w:iCs/>
                <w:sz w:val="16"/>
                <w:szCs w:val="16"/>
                <w:lang w:val="en-GB"/>
              </w:rPr>
            </w:pPr>
            <w:r w:rsidRPr="0003657F">
              <w:rPr>
                <w:i/>
                <w:iCs/>
                <w:sz w:val="16"/>
                <w:szCs w:val="16"/>
                <w:lang w:val="en-GB"/>
              </w:rPr>
              <w:t>Source:</w:t>
            </w:r>
            <w:r w:rsidRPr="0035173D">
              <w:rPr>
                <w:iCs/>
                <w:sz w:val="16"/>
                <w:szCs w:val="16"/>
                <w:lang w:val="en-GB"/>
              </w:rPr>
              <w:t xml:space="preserve"> Biannual </w:t>
            </w:r>
            <w:r w:rsidR="00EA7C80">
              <w:rPr>
                <w:iCs/>
                <w:sz w:val="16"/>
                <w:szCs w:val="16"/>
                <w:lang w:val="en-GB"/>
              </w:rPr>
              <w:t>u</w:t>
            </w:r>
            <w:r w:rsidRPr="0035173D">
              <w:rPr>
                <w:iCs/>
                <w:sz w:val="16"/>
                <w:szCs w:val="16"/>
                <w:lang w:val="en-GB"/>
              </w:rPr>
              <w:t xml:space="preserve">pdate </w:t>
            </w:r>
            <w:r w:rsidR="00EA7C80">
              <w:rPr>
                <w:iCs/>
                <w:sz w:val="16"/>
                <w:szCs w:val="16"/>
                <w:lang w:val="en-GB"/>
              </w:rPr>
              <w:t>r</w:t>
            </w:r>
            <w:r w:rsidRPr="0035173D">
              <w:rPr>
                <w:iCs/>
                <w:sz w:val="16"/>
                <w:szCs w:val="16"/>
                <w:lang w:val="en-GB"/>
              </w:rPr>
              <w:t xml:space="preserve">eport by Government and </w:t>
            </w:r>
            <w:r w:rsidR="00EA7C80">
              <w:rPr>
                <w:iCs/>
                <w:sz w:val="16"/>
                <w:szCs w:val="16"/>
                <w:lang w:val="en-GB"/>
              </w:rPr>
              <w:t>n</w:t>
            </w:r>
            <w:r w:rsidRPr="0035173D">
              <w:rPr>
                <w:iCs/>
                <w:sz w:val="16"/>
                <w:szCs w:val="16"/>
                <w:lang w:val="en-GB"/>
              </w:rPr>
              <w:t xml:space="preserve">ational communications to </w:t>
            </w:r>
            <w:r w:rsidR="00EA7C80">
              <w:rPr>
                <w:iCs/>
                <w:sz w:val="16"/>
                <w:szCs w:val="16"/>
                <w:lang w:val="en-GB"/>
              </w:rPr>
              <w:t xml:space="preserve">the </w:t>
            </w:r>
            <w:r w:rsidR="00EA7C80" w:rsidRPr="0003657F">
              <w:rPr>
                <w:iCs/>
                <w:sz w:val="16"/>
                <w:szCs w:val="16"/>
                <w:lang w:val="en-GB"/>
              </w:rPr>
              <w:t>Framework Convention on Climate Change</w:t>
            </w:r>
            <w:r w:rsidR="00EA7C80" w:rsidRPr="0035173D">
              <w:rPr>
                <w:iCs/>
                <w:sz w:val="16"/>
                <w:szCs w:val="16"/>
                <w:lang w:val="en-GB"/>
              </w:rPr>
              <w:t xml:space="preserve"> </w:t>
            </w:r>
          </w:p>
          <w:p w14:paraId="7D1C1C82" w14:textId="01A2676E" w:rsidR="005F5472" w:rsidRPr="0035173D" w:rsidRDefault="005F5472" w:rsidP="005F5472">
            <w:pPr>
              <w:rPr>
                <w:iCs/>
                <w:sz w:val="16"/>
                <w:szCs w:val="16"/>
                <w:lang w:val="en-GB"/>
              </w:rPr>
            </w:pPr>
            <w:r w:rsidRPr="0035173D">
              <w:rPr>
                <w:iCs/>
                <w:sz w:val="16"/>
                <w:szCs w:val="16"/>
                <w:lang w:val="en-GB"/>
              </w:rPr>
              <w:t xml:space="preserve">Frequency: </w:t>
            </w:r>
            <w:r w:rsidR="00AB3222">
              <w:rPr>
                <w:iCs/>
                <w:sz w:val="16"/>
                <w:szCs w:val="16"/>
                <w:lang w:val="en-GB"/>
              </w:rPr>
              <w:t>b</w:t>
            </w:r>
            <w:r w:rsidRPr="0035173D">
              <w:rPr>
                <w:iCs/>
                <w:sz w:val="16"/>
                <w:szCs w:val="16"/>
                <w:lang w:val="en-GB"/>
              </w:rPr>
              <w:t>iannual</w:t>
            </w:r>
          </w:p>
          <w:p w14:paraId="3A7E92AD" w14:textId="77777777" w:rsidR="005F5472" w:rsidRPr="0035173D" w:rsidRDefault="005F5472" w:rsidP="005F5472">
            <w:pPr>
              <w:rPr>
                <w:iCs/>
                <w:sz w:val="16"/>
                <w:szCs w:val="16"/>
                <w:lang w:val="en-GB"/>
              </w:rPr>
            </w:pPr>
            <w:r w:rsidRPr="0035173D">
              <w:rPr>
                <w:iCs/>
                <w:sz w:val="16"/>
                <w:szCs w:val="16"/>
                <w:lang w:val="en-GB"/>
              </w:rPr>
              <w:t xml:space="preserve">Responsibilities: </w:t>
            </w:r>
            <w:r w:rsidR="00FF561E" w:rsidRPr="0035173D">
              <w:rPr>
                <w:iCs/>
                <w:sz w:val="16"/>
                <w:szCs w:val="16"/>
                <w:lang w:val="en-GB"/>
              </w:rPr>
              <w:t>Ministry of Environment</w:t>
            </w:r>
          </w:p>
          <w:p w14:paraId="24CDBC9C" w14:textId="77777777" w:rsidR="005F5472" w:rsidRPr="0035173D" w:rsidRDefault="005F5472" w:rsidP="005F5472">
            <w:pPr>
              <w:rPr>
                <w:iCs/>
                <w:sz w:val="16"/>
                <w:szCs w:val="16"/>
                <w:lang w:val="en-GB"/>
              </w:rPr>
            </w:pPr>
          </w:p>
          <w:p w14:paraId="03C96446" w14:textId="77777777" w:rsidR="005F5472" w:rsidRPr="0035173D" w:rsidRDefault="005F5472" w:rsidP="005F5472">
            <w:pPr>
              <w:rPr>
                <w:b/>
                <w:bCs/>
                <w:color w:val="000000"/>
                <w:sz w:val="16"/>
                <w:szCs w:val="16"/>
                <w:lang w:val="en-GB"/>
              </w:rPr>
            </w:pPr>
          </w:p>
        </w:tc>
        <w:tc>
          <w:tcPr>
            <w:tcW w:w="1788" w:type="pct"/>
            <w:vMerge w:val="restart"/>
            <w:tcMar>
              <w:top w:w="72" w:type="dxa"/>
              <w:left w:w="144" w:type="dxa"/>
              <w:bottom w:w="72" w:type="dxa"/>
              <w:right w:w="144" w:type="dxa"/>
            </w:tcMar>
          </w:tcPr>
          <w:p w14:paraId="60187C5D" w14:textId="77777777" w:rsidR="00F41E0E" w:rsidRPr="0035173D" w:rsidRDefault="00D83295" w:rsidP="0003657F">
            <w:pPr>
              <w:pStyle w:val="ListParagraph"/>
              <w:ind w:left="13"/>
              <w:rPr>
                <w:iCs/>
                <w:color w:val="000000"/>
                <w:sz w:val="16"/>
                <w:szCs w:val="16"/>
                <w:lang w:val="en-GB"/>
              </w:rPr>
            </w:pPr>
            <w:r w:rsidRPr="0003657F">
              <w:rPr>
                <w:b/>
                <w:i/>
                <w:iCs/>
                <w:color w:val="000000"/>
                <w:sz w:val="16"/>
                <w:szCs w:val="16"/>
                <w:lang w:val="en-GB"/>
              </w:rPr>
              <w:t>Output 1.9.</w:t>
            </w:r>
            <w:r>
              <w:rPr>
                <w:iCs/>
                <w:color w:val="000000"/>
                <w:sz w:val="16"/>
                <w:szCs w:val="16"/>
                <w:lang w:val="en-GB"/>
              </w:rPr>
              <w:t xml:space="preserve"> </w:t>
            </w:r>
            <w:r w:rsidR="00F41E0E" w:rsidRPr="0035173D">
              <w:rPr>
                <w:iCs/>
                <w:color w:val="000000"/>
                <w:sz w:val="16"/>
                <w:szCs w:val="16"/>
                <w:lang w:val="en-GB"/>
              </w:rPr>
              <w:t>Urban policies and program</w:t>
            </w:r>
            <w:r>
              <w:rPr>
                <w:iCs/>
                <w:color w:val="000000"/>
                <w:sz w:val="16"/>
                <w:szCs w:val="16"/>
                <w:lang w:val="en-GB"/>
              </w:rPr>
              <w:t>me</w:t>
            </w:r>
            <w:r w:rsidR="00F41E0E" w:rsidRPr="0035173D">
              <w:rPr>
                <w:iCs/>
                <w:color w:val="000000"/>
                <w:sz w:val="16"/>
                <w:szCs w:val="16"/>
                <w:lang w:val="en-GB"/>
              </w:rPr>
              <w:t>s focus on poverty reduction</w:t>
            </w:r>
            <w:r w:rsidR="001802BE" w:rsidRPr="0035173D">
              <w:rPr>
                <w:iCs/>
                <w:color w:val="000000"/>
                <w:sz w:val="16"/>
                <w:szCs w:val="16"/>
                <w:lang w:val="en-GB"/>
              </w:rPr>
              <w:t xml:space="preserve"> and foster accelerated low carbon development</w:t>
            </w:r>
            <w:r w:rsidR="00F41E0E" w:rsidRPr="0035173D">
              <w:rPr>
                <w:iCs/>
                <w:color w:val="000000"/>
                <w:sz w:val="16"/>
                <w:szCs w:val="16"/>
                <w:lang w:val="en-GB"/>
              </w:rPr>
              <w:t xml:space="preserve"> </w:t>
            </w:r>
          </w:p>
          <w:p w14:paraId="2667D8B3" w14:textId="77777777" w:rsidR="00DC68C3" w:rsidRPr="0035173D" w:rsidRDefault="00DC68C3" w:rsidP="00C9722D">
            <w:pPr>
              <w:pStyle w:val="ListParagraph"/>
              <w:ind w:left="0" w:firstLine="13"/>
              <w:rPr>
                <w:iCs/>
                <w:color w:val="000000"/>
                <w:sz w:val="16"/>
                <w:szCs w:val="16"/>
                <w:lang w:val="en-GB"/>
              </w:rPr>
            </w:pPr>
          </w:p>
          <w:p w14:paraId="78F1077E" w14:textId="52817DE0" w:rsidR="00F41E0E" w:rsidRPr="0035173D" w:rsidRDefault="00F41E0E" w:rsidP="00C9722D">
            <w:pPr>
              <w:pStyle w:val="ListParagraph"/>
              <w:ind w:left="0" w:firstLine="13"/>
              <w:rPr>
                <w:iCs/>
                <w:color w:val="000000"/>
                <w:sz w:val="16"/>
                <w:szCs w:val="16"/>
                <w:lang w:val="en-GB"/>
              </w:rPr>
            </w:pPr>
            <w:r w:rsidRPr="0003657F">
              <w:rPr>
                <w:i/>
                <w:iCs/>
                <w:color w:val="000000"/>
                <w:sz w:val="16"/>
                <w:szCs w:val="16"/>
                <w:lang w:val="en-GB"/>
              </w:rPr>
              <w:t>Indicator</w:t>
            </w:r>
            <w:r w:rsidR="00A1628D" w:rsidRPr="0003657F">
              <w:rPr>
                <w:i/>
                <w:iCs/>
                <w:color w:val="000000"/>
                <w:sz w:val="16"/>
                <w:szCs w:val="16"/>
                <w:lang w:val="en-GB"/>
              </w:rPr>
              <w:t xml:space="preserve"> </w:t>
            </w:r>
            <w:r w:rsidR="00DC68C3" w:rsidRPr="0003657F">
              <w:rPr>
                <w:i/>
                <w:iCs/>
                <w:color w:val="000000"/>
                <w:sz w:val="16"/>
                <w:szCs w:val="16"/>
                <w:lang w:val="en-GB"/>
              </w:rPr>
              <w:t>1.9.1.</w:t>
            </w:r>
            <w:r w:rsidRPr="0003657F">
              <w:rPr>
                <w:sz w:val="16"/>
                <w:szCs w:val="16"/>
                <w:lang w:val="en-GB"/>
              </w:rPr>
              <w:t xml:space="preserve"> </w:t>
            </w:r>
            <w:r w:rsidR="00EA7C80">
              <w:rPr>
                <w:iCs/>
                <w:color w:val="000000"/>
                <w:sz w:val="16"/>
                <w:szCs w:val="16"/>
                <w:lang w:val="en-GB"/>
              </w:rPr>
              <w:t>P</w:t>
            </w:r>
            <w:r w:rsidRPr="0035173D">
              <w:rPr>
                <w:iCs/>
                <w:color w:val="000000"/>
                <w:sz w:val="16"/>
                <w:szCs w:val="16"/>
                <w:lang w:val="en-GB"/>
              </w:rPr>
              <w:t xml:space="preserve">olicies and strategies </w:t>
            </w:r>
            <w:r w:rsidR="00105D60" w:rsidRPr="0035173D">
              <w:rPr>
                <w:iCs/>
                <w:color w:val="000000"/>
                <w:sz w:val="16"/>
                <w:szCs w:val="16"/>
                <w:lang w:val="en-GB"/>
              </w:rPr>
              <w:t>integrate</w:t>
            </w:r>
            <w:r w:rsidRPr="0035173D">
              <w:rPr>
                <w:iCs/>
                <w:color w:val="000000"/>
                <w:sz w:val="16"/>
                <w:szCs w:val="16"/>
                <w:lang w:val="en-GB"/>
              </w:rPr>
              <w:t xml:space="preserve"> measures tackling urban poverty. </w:t>
            </w:r>
          </w:p>
          <w:p w14:paraId="4F324030" w14:textId="0440A2B7" w:rsidR="00F41E0E" w:rsidRPr="0035173D" w:rsidRDefault="00F41E0E" w:rsidP="00C9722D">
            <w:pPr>
              <w:pStyle w:val="ListParagraph"/>
              <w:ind w:left="0" w:firstLine="13"/>
              <w:rPr>
                <w:iCs/>
                <w:color w:val="000000"/>
                <w:sz w:val="16"/>
                <w:szCs w:val="16"/>
                <w:lang w:val="en-GB"/>
              </w:rPr>
            </w:pPr>
            <w:r w:rsidRPr="0003657F">
              <w:rPr>
                <w:i/>
                <w:iCs/>
                <w:color w:val="000000"/>
                <w:sz w:val="16"/>
                <w:szCs w:val="16"/>
                <w:lang w:val="en-GB"/>
              </w:rPr>
              <w:t>Baseline:</w:t>
            </w:r>
            <w:r w:rsidRPr="0003657F">
              <w:rPr>
                <w:sz w:val="16"/>
                <w:szCs w:val="16"/>
                <w:lang w:val="en-GB"/>
              </w:rPr>
              <w:t xml:space="preserve"> 0</w:t>
            </w:r>
            <w:r w:rsidR="00105D60" w:rsidRPr="0003657F">
              <w:rPr>
                <w:sz w:val="16"/>
                <w:szCs w:val="16"/>
                <w:lang w:val="en-GB"/>
              </w:rPr>
              <w:t xml:space="preserve"> (non-existent)</w:t>
            </w:r>
            <w:r w:rsidR="00952E54">
              <w:rPr>
                <w:sz w:val="16"/>
                <w:szCs w:val="16"/>
                <w:lang w:val="en-GB"/>
              </w:rPr>
              <w:t xml:space="preserve">; </w:t>
            </w:r>
            <w:r w:rsidR="00952E54">
              <w:rPr>
                <w:i/>
                <w:iCs/>
                <w:color w:val="000000"/>
                <w:sz w:val="16"/>
                <w:szCs w:val="16"/>
                <w:lang w:val="en-GB"/>
              </w:rPr>
              <w:t>t</w:t>
            </w:r>
            <w:r w:rsidRPr="0003657F">
              <w:rPr>
                <w:i/>
                <w:iCs/>
                <w:color w:val="000000"/>
                <w:sz w:val="16"/>
                <w:szCs w:val="16"/>
                <w:lang w:val="en-GB"/>
              </w:rPr>
              <w:t>arget:</w:t>
            </w:r>
            <w:r w:rsidRPr="0035173D">
              <w:rPr>
                <w:iCs/>
                <w:color w:val="000000"/>
                <w:sz w:val="16"/>
                <w:szCs w:val="16"/>
                <w:lang w:val="en-GB"/>
              </w:rPr>
              <w:t xml:space="preserve"> 3 </w:t>
            </w:r>
            <w:r w:rsidR="00105D60" w:rsidRPr="0035173D">
              <w:rPr>
                <w:iCs/>
                <w:color w:val="000000"/>
                <w:sz w:val="16"/>
                <w:szCs w:val="16"/>
                <w:lang w:val="en-GB"/>
              </w:rPr>
              <w:t>(fully)</w:t>
            </w:r>
          </w:p>
          <w:p w14:paraId="55D55431" w14:textId="593C633C" w:rsidR="00F41E0E" w:rsidRPr="0035173D" w:rsidRDefault="00F41E0E" w:rsidP="00C9722D">
            <w:pPr>
              <w:pStyle w:val="ListParagraph"/>
              <w:ind w:left="0" w:firstLine="13"/>
              <w:rPr>
                <w:b/>
                <w:bCs/>
                <w:color w:val="000000"/>
                <w:sz w:val="16"/>
                <w:szCs w:val="16"/>
                <w:lang w:val="en-GB"/>
              </w:rPr>
            </w:pPr>
            <w:r w:rsidRPr="0003657F">
              <w:rPr>
                <w:i/>
                <w:iCs/>
                <w:color w:val="000000"/>
                <w:sz w:val="16"/>
                <w:szCs w:val="16"/>
                <w:lang w:val="en-GB"/>
              </w:rPr>
              <w:t>Data source:</w:t>
            </w:r>
            <w:r w:rsidRPr="0035173D">
              <w:rPr>
                <w:iCs/>
                <w:color w:val="000000"/>
                <w:sz w:val="16"/>
                <w:szCs w:val="16"/>
                <w:lang w:val="en-GB"/>
              </w:rPr>
              <w:t xml:space="preserve"> </w:t>
            </w:r>
            <w:r w:rsidR="0026561F">
              <w:rPr>
                <w:iCs/>
                <w:color w:val="000000"/>
                <w:sz w:val="16"/>
                <w:szCs w:val="16"/>
                <w:lang w:val="en-GB"/>
              </w:rPr>
              <w:t>i</w:t>
            </w:r>
            <w:r w:rsidR="00105D60" w:rsidRPr="0035173D">
              <w:rPr>
                <w:iCs/>
                <w:color w:val="000000"/>
                <w:sz w:val="16"/>
                <w:szCs w:val="16"/>
                <w:lang w:val="en-GB"/>
              </w:rPr>
              <w:t>ndependent expert review</w:t>
            </w:r>
          </w:p>
          <w:p w14:paraId="740BC512" w14:textId="35FD0CAB" w:rsidR="00F41E0E" w:rsidRPr="0035173D" w:rsidRDefault="00F41E0E" w:rsidP="00C9722D">
            <w:pPr>
              <w:pStyle w:val="ListParagraph"/>
              <w:ind w:left="0" w:firstLine="13"/>
              <w:rPr>
                <w:b/>
                <w:bCs/>
                <w:color w:val="000000"/>
                <w:sz w:val="16"/>
                <w:szCs w:val="16"/>
                <w:lang w:val="en-GB"/>
              </w:rPr>
            </w:pPr>
            <w:r w:rsidRPr="0003657F">
              <w:rPr>
                <w:i/>
                <w:iCs/>
                <w:color w:val="000000"/>
                <w:sz w:val="16"/>
                <w:szCs w:val="16"/>
                <w:lang w:val="en-GB"/>
              </w:rPr>
              <w:t>Frequency:</w:t>
            </w:r>
            <w:r w:rsidRPr="0035173D">
              <w:rPr>
                <w:iCs/>
                <w:color w:val="000000"/>
                <w:sz w:val="16"/>
                <w:szCs w:val="16"/>
                <w:lang w:val="en-GB"/>
              </w:rPr>
              <w:t xml:space="preserve"> </w:t>
            </w:r>
            <w:r w:rsidR="00AB3222">
              <w:rPr>
                <w:iCs/>
                <w:color w:val="000000"/>
                <w:sz w:val="16"/>
                <w:szCs w:val="16"/>
                <w:lang w:val="en-GB"/>
              </w:rPr>
              <w:t>a</w:t>
            </w:r>
            <w:r w:rsidRPr="0035173D">
              <w:rPr>
                <w:iCs/>
                <w:color w:val="000000"/>
                <w:sz w:val="16"/>
                <w:szCs w:val="16"/>
                <w:lang w:val="en-GB"/>
              </w:rPr>
              <w:t>nnual</w:t>
            </w:r>
          </w:p>
          <w:p w14:paraId="02944B9D" w14:textId="77777777" w:rsidR="001802BE" w:rsidRPr="0035173D" w:rsidRDefault="001802BE" w:rsidP="00C9722D">
            <w:pPr>
              <w:pStyle w:val="ListParagraph"/>
              <w:ind w:left="0" w:firstLine="13"/>
              <w:rPr>
                <w:iCs/>
                <w:color w:val="000000"/>
                <w:sz w:val="16"/>
                <w:szCs w:val="16"/>
                <w:lang w:val="en-GB"/>
              </w:rPr>
            </w:pPr>
          </w:p>
          <w:p w14:paraId="0E25741F" w14:textId="1C978E04" w:rsidR="001F6D0C" w:rsidRPr="0035173D" w:rsidRDefault="001F6D0C" w:rsidP="00C9722D">
            <w:pPr>
              <w:pStyle w:val="ListParagraph"/>
              <w:ind w:left="0" w:firstLine="13"/>
              <w:rPr>
                <w:iCs/>
                <w:color w:val="000000"/>
                <w:sz w:val="16"/>
                <w:szCs w:val="16"/>
                <w:lang w:val="en-GB"/>
              </w:rPr>
            </w:pPr>
            <w:r w:rsidRPr="0003657F">
              <w:rPr>
                <w:i/>
                <w:iCs/>
                <w:color w:val="000000"/>
                <w:sz w:val="16"/>
                <w:szCs w:val="16"/>
                <w:lang w:val="en-GB"/>
              </w:rPr>
              <w:t>Indicator</w:t>
            </w:r>
            <w:r w:rsidR="00204C85" w:rsidRPr="0003657F">
              <w:rPr>
                <w:i/>
                <w:iCs/>
                <w:color w:val="000000"/>
                <w:sz w:val="16"/>
                <w:szCs w:val="16"/>
                <w:lang w:val="en-GB"/>
              </w:rPr>
              <w:t xml:space="preserve"> </w:t>
            </w:r>
            <w:r w:rsidR="00DC68C3" w:rsidRPr="0003657F">
              <w:rPr>
                <w:i/>
                <w:iCs/>
                <w:color w:val="000000"/>
                <w:sz w:val="16"/>
                <w:szCs w:val="16"/>
                <w:lang w:val="en-GB"/>
              </w:rPr>
              <w:t>1.9.2</w:t>
            </w:r>
            <w:r w:rsidR="00E95AE8" w:rsidRPr="0035173D">
              <w:rPr>
                <w:iCs/>
                <w:color w:val="000000"/>
                <w:sz w:val="16"/>
                <w:szCs w:val="16"/>
                <w:lang w:val="en-GB"/>
              </w:rPr>
              <w:t>.</w:t>
            </w:r>
            <w:r w:rsidR="00D83295">
              <w:rPr>
                <w:iCs/>
                <w:color w:val="000000"/>
                <w:sz w:val="16"/>
                <w:szCs w:val="16"/>
                <w:lang w:val="en-GB"/>
              </w:rPr>
              <w:t xml:space="preserve"> </w:t>
            </w:r>
            <w:r w:rsidR="00EA7C80">
              <w:rPr>
                <w:iCs/>
                <w:color w:val="000000"/>
                <w:sz w:val="16"/>
                <w:szCs w:val="16"/>
                <w:lang w:val="en-GB"/>
              </w:rPr>
              <w:t>R</w:t>
            </w:r>
            <w:r w:rsidR="00F41445" w:rsidRPr="0035173D">
              <w:rPr>
                <w:iCs/>
                <w:color w:val="000000"/>
                <w:sz w:val="16"/>
                <w:szCs w:val="16"/>
                <w:lang w:val="en-GB"/>
              </w:rPr>
              <w:t>elevant</w:t>
            </w:r>
            <w:r w:rsidRPr="0035173D">
              <w:rPr>
                <w:iCs/>
                <w:color w:val="000000"/>
                <w:sz w:val="16"/>
                <w:szCs w:val="16"/>
                <w:lang w:val="en-GB"/>
              </w:rPr>
              <w:t xml:space="preserve"> new approved policies and regulations integrate low</w:t>
            </w:r>
            <w:r w:rsidR="00EA7C80">
              <w:rPr>
                <w:iCs/>
                <w:color w:val="000000"/>
                <w:sz w:val="16"/>
                <w:szCs w:val="16"/>
                <w:lang w:val="en-GB"/>
              </w:rPr>
              <w:t>-</w:t>
            </w:r>
            <w:r w:rsidRPr="0035173D">
              <w:rPr>
                <w:iCs/>
                <w:color w:val="000000"/>
                <w:sz w:val="16"/>
                <w:szCs w:val="16"/>
                <w:lang w:val="en-GB"/>
              </w:rPr>
              <w:t xml:space="preserve">carbon urban development. </w:t>
            </w:r>
          </w:p>
          <w:p w14:paraId="4FE5FA9B" w14:textId="32B9C3C5" w:rsidR="001F6D0C" w:rsidRPr="0035173D" w:rsidRDefault="001F6D0C" w:rsidP="00C9722D">
            <w:pPr>
              <w:pStyle w:val="ListParagraph"/>
              <w:ind w:left="0" w:firstLine="13"/>
              <w:rPr>
                <w:iCs/>
                <w:color w:val="000000"/>
                <w:sz w:val="16"/>
                <w:szCs w:val="16"/>
                <w:lang w:val="en-GB"/>
              </w:rPr>
            </w:pPr>
            <w:r w:rsidRPr="0003657F">
              <w:rPr>
                <w:i/>
                <w:iCs/>
                <w:color w:val="000000"/>
                <w:sz w:val="16"/>
                <w:szCs w:val="16"/>
                <w:lang w:val="en-GB"/>
              </w:rPr>
              <w:t>Baseline</w:t>
            </w:r>
            <w:r w:rsidRPr="0035173D">
              <w:rPr>
                <w:iCs/>
                <w:color w:val="000000"/>
                <w:sz w:val="16"/>
                <w:szCs w:val="16"/>
                <w:lang w:val="en-GB"/>
              </w:rPr>
              <w:t xml:space="preserve"> (2017):</w:t>
            </w:r>
            <w:r w:rsidRPr="0003657F">
              <w:rPr>
                <w:sz w:val="16"/>
                <w:szCs w:val="16"/>
                <w:lang w:val="en-GB"/>
              </w:rPr>
              <w:t xml:space="preserve"> 0</w:t>
            </w:r>
            <w:r w:rsidR="00105D60" w:rsidRPr="0003657F">
              <w:rPr>
                <w:sz w:val="16"/>
                <w:szCs w:val="16"/>
                <w:lang w:val="en-GB"/>
              </w:rPr>
              <w:t xml:space="preserve"> (not at all)</w:t>
            </w:r>
            <w:r w:rsidR="00952E54">
              <w:rPr>
                <w:sz w:val="16"/>
                <w:szCs w:val="16"/>
                <w:lang w:val="en-GB"/>
              </w:rPr>
              <w:t xml:space="preserve">; </w:t>
            </w:r>
            <w:r w:rsidR="00952E54">
              <w:rPr>
                <w:i/>
                <w:iCs/>
                <w:color w:val="000000"/>
                <w:sz w:val="16"/>
                <w:szCs w:val="16"/>
                <w:lang w:val="en-GB"/>
              </w:rPr>
              <w:t>t</w:t>
            </w:r>
            <w:r w:rsidRPr="0003657F">
              <w:rPr>
                <w:i/>
                <w:iCs/>
                <w:color w:val="000000"/>
                <w:sz w:val="16"/>
                <w:szCs w:val="16"/>
                <w:lang w:val="en-GB"/>
              </w:rPr>
              <w:t>arget:</w:t>
            </w:r>
            <w:r w:rsidRPr="0035173D">
              <w:rPr>
                <w:iCs/>
                <w:color w:val="000000"/>
                <w:sz w:val="16"/>
                <w:szCs w:val="16"/>
                <w:lang w:val="en-GB"/>
              </w:rPr>
              <w:t xml:space="preserve"> </w:t>
            </w:r>
            <w:r w:rsidR="00F41445" w:rsidRPr="0035173D">
              <w:rPr>
                <w:iCs/>
                <w:color w:val="000000"/>
                <w:sz w:val="16"/>
                <w:szCs w:val="16"/>
                <w:lang w:val="en-GB"/>
              </w:rPr>
              <w:t>2</w:t>
            </w:r>
            <w:r w:rsidRPr="0035173D">
              <w:rPr>
                <w:iCs/>
                <w:color w:val="000000"/>
                <w:sz w:val="16"/>
                <w:szCs w:val="16"/>
                <w:lang w:val="en-GB"/>
              </w:rPr>
              <w:t xml:space="preserve"> </w:t>
            </w:r>
            <w:r w:rsidR="00105D60" w:rsidRPr="0035173D">
              <w:rPr>
                <w:iCs/>
                <w:color w:val="000000"/>
                <w:sz w:val="16"/>
                <w:szCs w:val="16"/>
                <w:lang w:val="en-GB"/>
              </w:rPr>
              <w:t>(largely)</w:t>
            </w:r>
          </w:p>
          <w:p w14:paraId="44CBDCDB" w14:textId="37E5170B" w:rsidR="001F6D0C" w:rsidRPr="0035173D" w:rsidRDefault="001F6D0C" w:rsidP="00C9722D">
            <w:pPr>
              <w:pStyle w:val="ListParagraph"/>
              <w:ind w:left="0" w:firstLine="13"/>
              <w:rPr>
                <w:b/>
                <w:bCs/>
                <w:color w:val="000000"/>
                <w:sz w:val="16"/>
                <w:szCs w:val="16"/>
                <w:lang w:val="en-GB"/>
              </w:rPr>
            </w:pPr>
            <w:r w:rsidRPr="0003657F">
              <w:rPr>
                <w:i/>
                <w:iCs/>
                <w:color w:val="000000"/>
                <w:sz w:val="16"/>
                <w:szCs w:val="16"/>
                <w:lang w:val="en-GB"/>
              </w:rPr>
              <w:t>Data source:</w:t>
            </w:r>
            <w:r w:rsidRPr="0035173D">
              <w:rPr>
                <w:iCs/>
                <w:color w:val="000000"/>
                <w:sz w:val="16"/>
                <w:szCs w:val="16"/>
                <w:lang w:val="en-GB"/>
              </w:rPr>
              <w:t xml:space="preserve"> </w:t>
            </w:r>
            <w:r w:rsidR="00AB3222">
              <w:rPr>
                <w:iCs/>
                <w:color w:val="000000"/>
                <w:sz w:val="16"/>
                <w:szCs w:val="16"/>
                <w:lang w:val="en-GB"/>
              </w:rPr>
              <w:t>i</w:t>
            </w:r>
            <w:r w:rsidR="00042679" w:rsidRPr="0035173D">
              <w:rPr>
                <w:iCs/>
                <w:color w:val="000000"/>
                <w:sz w:val="16"/>
                <w:szCs w:val="16"/>
                <w:lang w:val="en-GB"/>
              </w:rPr>
              <w:t>ndependent expert review</w:t>
            </w:r>
          </w:p>
          <w:p w14:paraId="5BE4A183" w14:textId="41D4F00E" w:rsidR="001F6D0C" w:rsidRPr="0035173D" w:rsidRDefault="001F6D0C" w:rsidP="00C9722D">
            <w:pPr>
              <w:pStyle w:val="ListParagraph"/>
              <w:ind w:left="0" w:firstLine="13"/>
              <w:rPr>
                <w:b/>
                <w:bCs/>
                <w:color w:val="000000"/>
                <w:sz w:val="16"/>
                <w:szCs w:val="16"/>
                <w:lang w:val="en-GB"/>
              </w:rPr>
            </w:pPr>
            <w:r w:rsidRPr="0003657F">
              <w:rPr>
                <w:i/>
                <w:iCs/>
                <w:color w:val="000000"/>
                <w:sz w:val="16"/>
                <w:szCs w:val="16"/>
                <w:lang w:val="en-GB"/>
              </w:rPr>
              <w:t>Frequency:</w:t>
            </w:r>
            <w:r w:rsidRPr="0035173D">
              <w:rPr>
                <w:iCs/>
                <w:color w:val="000000"/>
                <w:sz w:val="16"/>
                <w:szCs w:val="16"/>
                <w:lang w:val="en-GB"/>
              </w:rPr>
              <w:t xml:space="preserve"> </w:t>
            </w:r>
            <w:r w:rsidR="00AB3222">
              <w:rPr>
                <w:iCs/>
                <w:color w:val="000000"/>
                <w:sz w:val="16"/>
                <w:szCs w:val="16"/>
                <w:lang w:val="en-GB"/>
              </w:rPr>
              <w:t>a</w:t>
            </w:r>
            <w:r w:rsidRPr="0035173D">
              <w:rPr>
                <w:iCs/>
                <w:color w:val="000000"/>
                <w:sz w:val="16"/>
                <w:szCs w:val="16"/>
                <w:lang w:val="en-GB"/>
              </w:rPr>
              <w:t>nnual</w:t>
            </w:r>
          </w:p>
          <w:p w14:paraId="6D150444" w14:textId="77777777" w:rsidR="00BD308F" w:rsidRPr="0035173D" w:rsidRDefault="00BD308F" w:rsidP="00C9722D">
            <w:pPr>
              <w:ind w:firstLine="13"/>
              <w:rPr>
                <w:bCs/>
                <w:color w:val="000000"/>
                <w:sz w:val="16"/>
                <w:szCs w:val="16"/>
                <w:lang w:val="en-GB"/>
              </w:rPr>
            </w:pPr>
          </w:p>
          <w:p w14:paraId="5A519133" w14:textId="1D972803" w:rsidR="00BD308F" w:rsidRPr="0035173D" w:rsidRDefault="00D83295" w:rsidP="0003657F">
            <w:pPr>
              <w:pStyle w:val="ListParagraph"/>
              <w:ind w:left="13"/>
              <w:rPr>
                <w:bCs/>
                <w:color w:val="000000"/>
                <w:sz w:val="16"/>
                <w:szCs w:val="16"/>
                <w:lang w:val="en-GB"/>
              </w:rPr>
            </w:pPr>
            <w:r w:rsidRPr="0003657F">
              <w:rPr>
                <w:b/>
                <w:bCs/>
                <w:i/>
                <w:color w:val="000000"/>
                <w:sz w:val="16"/>
                <w:szCs w:val="16"/>
                <w:lang w:val="en-GB"/>
              </w:rPr>
              <w:t>Output 1.10.</w:t>
            </w:r>
            <w:r>
              <w:rPr>
                <w:bCs/>
                <w:color w:val="000000"/>
                <w:sz w:val="16"/>
                <w:szCs w:val="16"/>
                <w:lang w:val="en-GB"/>
              </w:rPr>
              <w:t xml:space="preserve"> </w:t>
            </w:r>
            <w:r w:rsidR="00105D60" w:rsidRPr="0035173D">
              <w:rPr>
                <w:bCs/>
                <w:color w:val="000000"/>
                <w:sz w:val="16"/>
                <w:szCs w:val="16"/>
                <w:lang w:val="en-GB"/>
              </w:rPr>
              <w:t>City governments implement and foster l</w:t>
            </w:r>
            <w:r w:rsidR="00BD308F" w:rsidRPr="0035173D">
              <w:rPr>
                <w:bCs/>
                <w:color w:val="000000"/>
                <w:sz w:val="16"/>
                <w:szCs w:val="16"/>
                <w:lang w:val="en-GB"/>
              </w:rPr>
              <w:t>ow</w:t>
            </w:r>
            <w:r w:rsidR="00EA7C80">
              <w:rPr>
                <w:bCs/>
                <w:color w:val="000000"/>
                <w:sz w:val="16"/>
                <w:szCs w:val="16"/>
                <w:lang w:val="en-GB"/>
              </w:rPr>
              <w:t>-</w:t>
            </w:r>
            <w:r w:rsidR="00BD308F" w:rsidRPr="0035173D">
              <w:rPr>
                <w:bCs/>
                <w:color w:val="000000"/>
                <w:sz w:val="16"/>
                <w:szCs w:val="16"/>
                <w:lang w:val="en-GB"/>
              </w:rPr>
              <w:t>carbon and energy</w:t>
            </w:r>
            <w:r w:rsidR="00EA7C80">
              <w:rPr>
                <w:bCs/>
                <w:color w:val="000000"/>
                <w:sz w:val="16"/>
                <w:szCs w:val="16"/>
                <w:lang w:val="en-GB"/>
              </w:rPr>
              <w:t>-</w:t>
            </w:r>
            <w:r w:rsidR="00BD308F" w:rsidRPr="0035173D">
              <w:rPr>
                <w:bCs/>
                <w:color w:val="000000"/>
                <w:sz w:val="16"/>
                <w:szCs w:val="16"/>
                <w:lang w:val="en-GB"/>
              </w:rPr>
              <w:t xml:space="preserve">efficient technology applications </w:t>
            </w:r>
          </w:p>
          <w:p w14:paraId="063C2BF8" w14:textId="77777777" w:rsidR="00EA7C80" w:rsidRDefault="00EA7C80" w:rsidP="00C9722D">
            <w:pPr>
              <w:ind w:firstLine="13"/>
              <w:rPr>
                <w:iCs/>
                <w:sz w:val="16"/>
                <w:szCs w:val="16"/>
                <w:lang w:val="en-GB"/>
              </w:rPr>
            </w:pPr>
          </w:p>
          <w:p w14:paraId="4D6F85C9" w14:textId="11E2DE66" w:rsidR="00BD308F" w:rsidRPr="0035173D" w:rsidRDefault="00BD308F" w:rsidP="00C9722D">
            <w:pPr>
              <w:ind w:firstLine="13"/>
              <w:rPr>
                <w:bCs/>
                <w:color w:val="000000"/>
                <w:sz w:val="16"/>
                <w:szCs w:val="16"/>
                <w:lang w:val="en-GB"/>
              </w:rPr>
            </w:pPr>
            <w:r w:rsidRPr="0003657F">
              <w:rPr>
                <w:i/>
                <w:iCs/>
                <w:sz w:val="16"/>
                <w:szCs w:val="16"/>
                <w:lang w:val="en-GB"/>
              </w:rPr>
              <w:t>Indicator</w:t>
            </w:r>
            <w:r w:rsidR="00DC68C3" w:rsidRPr="0003657F">
              <w:rPr>
                <w:i/>
                <w:iCs/>
                <w:sz w:val="16"/>
                <w:szCs w:val="16"/>
                <w:lang w:val="en-GB"/>
              </w:rPr>
              <w:t xml:space="preserve"> 1.10.1.</w:t>
            </w:r>
            <w:r w:rsidRPr="0035173D">
              <w:rPr>
                <w:iCs/>
                <w:sz w:val="16"/>
                <w:szCs w:val="16"/>
                <w:lang w:val="en-GB"/>
              </w:rPr>
              <w:t xml:space="preserve"> Reduction of </w:t>
            </w:r>
            <w:r w:rsidR="00EA7C80">
              <w:rPr>
                <w:iCs/>
                <w:sz w:val="16"/>
                <w:szCs w:val="16"/>
                <w:lang w:val="en-GB"/>
              </w:rPr>
              <w:t>greenhouse gas</w:t>
            </w:r>
            <w:r w:rsidR="00EA7C80" w:rsidRPr="0035173D">
              <w:rPr>
                <w:iCs/>
                <w:sz w:val="16"/>
                <w:szCs w:val="16"/>
                <w:lang w:val="en-GB"/>
              </w:rPr>
              <w:t xml:space="preserve"> </w:t>
            </w:r>
            <w:r w:rsidRPr="0035173D">
              <w:rPr>
                <w:iCs/>
                <w:sz w:val="16"/>
                <w:szCs w:val="16"/>
                <w:lang w:val="en-GB"/>
              </w:rPr>
              <w:t xml:space="preserve">emissions </w:t>
            </w:r>
            <w:r w:rsidR="00105D60" w:rsidRPr="0035173D">
              <w:rPr>
                <w:iCs/>
                <w:sz w:val="16"/>
                <w:szCs w:val="16"/>
                <w:lang w:val="en-GB"/>
              </w:rPr>
              <w:t xml:space="preserve">(in tons </w:t>
            </w:r>
            <w:r w:rsidR="00EA7C80">
              <w:rPr>
                <w:iCs/>
                <w:sz w:val="16"/>
                <w:szCs w:val="16"/>
                <w:lang w:val="en-GB"/>
              </w:rPr>
              <w:t xml:space="preserve">of </w:t>
            </w:r>
            <w:r w:rsidR="00105D60" w:rsidRPr="0035173D">
              <w:rPr>
                <w:iCs/>
                <w:sz w:val="16"/>
                <w:szCs w:val="16"/>
                <w:lang w:val="en-GB"/>
              </w:rPr>
              <w:t>CO2 equivalent)</w:t>
            </w:r>
          </w:p>
          <w:p w14:paraId="3818060F" w14:textId="7C2F0AA7" w:rsidR="00BD308F" w:rsidRPr="0035173D" w:rsidRDefault="00BD308F" w:rsidP="0003657F">
            <w:pPr>
              <w:rPr>
                <w:iCs/>
                <w:color w:val="000000"/>
                <w:sz w:val="16"/>
                <w:szCs w:val="16"/>
                <w:lang w:val="en-GB"/>
              </w:rPr>
            </w:pPr>
            <w:r w:rsidRPr="0003657F">
              <w:rPr>
                <w:i/>
                <w:iCs/>
                <w:sz w:val="16"/>
                <w:szCs w:val="16"/>
                <w:lang w:val="en-GB"/>
              </w:rPr>
              <w:t>Baseline</w:t>
            </w:r>
            <w:r w:rsidR="00105D60" w:rsidRPr="0003657F">
              <w:rPr>
                <w:i/>
                <w:iCs/>
                <w:sz w:val="16"/>
                <w:szCs w:val="16"/>
                <w:lang w:val="en-GB"/>
              </w:rPr>
              <w:t xml:space="preserve"> </w:t>
            </w:r>
            <w:r w:rsidR="00105D60" w:rsidRPr="0035173D">
              <w:rPr>
                <w:iCs/>
                <w:sz w:val="16"/>
                <w:szCs w:val="16"/>
                <w:lang w:val="en-GB"/>
              </w:rPr>
              <w:t>(2016)</w:t>
            </w:r>
            <w:r w:rsidRPr="0035173D">
              <w:rPr>
                <w:iCs/>
                <w:sz w:val="16"/>
                <w:szCs w:val="16"/>
                <w:lang w:val="en-GB"/>
              </w:rPr>
              <w:t>:</w:t>
            </w:r>
            <w:r w:rsidRPr="0003657F">
              <w:rPr>
                <w:sz w:val="16"/>
                <w:szCs w:val="16"/>
                <w:lang w:val="en-GB"/>
              </w:rPr>
              <w:t xml:space="preserve"> 0</w:t>
            </w:r>
            <w:r w:rsidR="00952E54">
              <w:rPr>
                <w:lang w:val="en-GB"/>
              </w:rPr>
              <w:t xml:space="preserve">; </w:t>
            </w:r>
            <w:r w:rsidR="00952E54">
              <w:rPr>
                <w:bCs/>
                <w:i/>
                <w:color w:val="000000"/>
                <w:sz w:val="16"/>
                <w:szCs w:val="16"/>
                <w:lang w:val="en-GB"/>
              </w:rPr>
              <w:t>t</w:t>
            </w:r>
            <w:r w:rsidRPr="0003657F">
              <w:rPr>
                <w:bCs/>
                <w:i/>
                <w:color w:val="000000"/>
                <w:sz w:val="16"/>
                <w:szCs w:val="16"/>
                <w:lang w:val="en-GB"/>
              </w:rPr>
              <w:t>arget:</w:t>
            </w:r>
            <w:r w:rsidRPr="0035173D">
              <w:rPr>
                <w:iCs/>
                <w:sz w:val="16"/>
                <w:szCs w:val="16"/>
                <w:lang w:val="en-GB"/>
              </w:rPr>
              <w:t xml:space="preserve">100,000 </w:t>
            </w:r>
          </w:p>
          <w:p w14:paraId="0CAD4365" w14:textId="60B37169" w:rsidR="00BD308F" w:rsidRPr="0035173D" w:rsidRDefault="00BD308F" w:rsidP="0003657F">
            <w:pPr>
              <w:rPr>
                <w:iCs/>
                <w:color w:val="000000"/>
                <w:sz w:val="16"/>
                <w:szCs w:val="16"/>
                <w:lang w:val="en-GB"/>
              </w:rPr>
            </w:pPr>
            <w:r w:rsidRPr="0003657F">
              <w:rPr>
                <w:i/>
                <w:iCs/>
                <w:color w:val="000000"/>
                <w:sz w:val="16"/>
                <w:szCs w:val="16"/>
                <w:lang w:val="en-GB"/>
              </w:rPr>
              <w:t>Data source:</w:t>
            </w:r>
            <w:r w:rsidRPr="0035173D">
              <w:rPr>
                <w:iCs/>
                <w:color w:val="000000"/>
                <w:sz w:val="16"/>
                <w:szCs w:val="16"/>
                <w:lang w:val="en-GB"/>
              </w:rPr>
              <w:t xml:space="preserve"> </w:t>
            </w:r>
            <w:r w:rsidR="00AB3222">
              <w:rPr>
                <w:iCs/>
                <w:color w:val="000000"/>
                <w:sz w:val="16"/>
                <w:szCs w:val="16"/>
                <w:lang w:val="en-GB"/>
              </w:rPr>
              <w:t>e</w:t>
            </w:r>
            <w:r w:rsidR="00042679" w:rsidRPr="0035173D">
              <w:rPr>
                <w:iCs/>
                <w:color w:val="000000"/>
                <w:sz w:val="16"/>
                <w:szCs w:val="16"/>
                <w:lang w:val="en-GB"/>
              </w:rPr>
              <w:t>xternal review and report</w:t>
            </w:r>
            <w:r w:rsidR="00EA7C80">
              <w:rPr>
                <w:iCs/>
                <w:color w:val="000000"/>
                <w:sz w:val="16"/>
                <w:szCs w:val="16"/>
                <w:lang w:val="en-GB"/>
              </w:rPr>
              <w:t>s</w:t>
            </w:r>
            <w:r w:rsidR="00042679" w:rsidRPr="0035173D">
              <w:rPr>
                <w:iCs/>
                <w:color w:val="000000"/>
                <w:sz w:val="16"/>
                <w:szCs w:val="16"/>
                <w:lang w:val="en-GB"/>
              </w:rPr>
              <w:t xml:space="preserve"> from </w:t>
            </w:r>
            <w:r w:rsidR="00EA7C80">
              <w:rPr>
                <w:iCs/>
                <w:color w:val="000000"/>
                <w:sz w:val="16"/>
                <w:szCs w:val="16"/>
                <w:lang w:val="en-GB"/>
              </w:rPr>
              <w:t>c</w:t>
            </w:r>
            <w:r w:rsidR="00042679" w:rsidRPr="0035173D">
              <w:rPr>
                <w:iCs/>
                <w:color w:val="000000"/>
                <w:sz w:val="16"/>
                <w:szCs w:val="16"/>
                <w:lang w:val="en-GB"/>
              </w:rPr>
              <w:t xml:space="preserve">ity </w:t>
            </w:r>
            <w:r w:rsidR="00EA7C80">
              <w:rPr>
                <w:iCs/>
                <w:color w:val="000000"/>
                <w:sz w:val="16"/>
                <w:szCs w:val="16"/>
                <w:lang w:val="en-GB"/>
              </w:rPr>
              <w:t>g</w:t>
            </w:r>
            <w:r w:rsidR="00042679" w:rsidRPr="0035173D">
              <w:rPr>
                <w:iCs/>
                <w:color w:val="000000"/>
                <w:sz w:val="16"/>
                <w:szCs w:val="16"/>
                <w:lang w:val="en-GB"/>
              </w:rPr>
              <w:t>overnments</w:t>
            </w:r>
          </w:p>
          <w:p w14:paraId="6DFF3A47" w14:textId="6BCF2F04" w:rsidR="00322ACA" w:rsidRPr="0035173D" w:rsidRDefault="00BD308F" w:rsidP="0003657F">
            <w:pPr>
              <w:rPr>
                <w:iCs/>
                <w:color w:val="000000"/>
                <w:sz w:val="16"/>
                <w:szCs w:val="16"/>
                <w:lang w:val="en-GB"/>
              </w:rPr>
            </w:pPr>
            <w:r w:rsidRPr="0003657F">
              <w:rPr>
                <w:i/>
                <w:iCs/>
                <w:color w:val="000000"/>
                <w:sz w:val="16"/>
                <w:szCs w:val="16"/>
                <w:lang w:val="en-GB"/>
              </w:rPr>
              <w:t>Frequency:</w:t>
            </w:r>
            <w:r w:rsidRPr="0035173D">
              <w:rPr>
                <w:iCs/>
                <w:color w:val="000000"/>
                <w:sz w:val="16"/>
                <w:szCs w:val="16"/>
                <w:lang w:val="en-GB"/>
              </w:rPr>
              <w:t xml:space="preserve"> </w:t>
            </w:r>
            <w:r w:rsidR="00AB3222">
              <w:rPr>
                <w:iCs/>
                <w:color w:val="000000"/>
                <w:sz w:val="16"/>
                <w:szCs w:val="16"/>
                <w:lang w:val="en-GB"/>
              </w:rPr>
              <w:t>a</w:t>
            </w:r>
            <w:r w:rsidRPr="0035173D">
              <w:rPr>
                <w:iCs/>
                <w:color w:val="000000"/>
                <w:sz w:val="16"/>
                <w:szCs w:val="16"/>
                <w:lang w:val="en-GB"/>
              </w:rPr>
              <w:t>nnual</w:t>
            </w:r>
          </w:p>
        </w:tc>
        <w:tc>
          <w:tcPr>
            <w:tcW w:w="791" w:type="pct"/>
            <w:vMerge w:val="restart"/>
          </w:tcPr>
          <w:p w14:paraId="736BA5A8" w14:textId="77777777" w:rsidR="005F5472" w:rsidRPr="0035173D" w:rsidRDefault="005F5472" w:rsidP="005F5472">
            <w:pPr>
              <w:rPr>
                <w:iCs/>
                <w:color w:val="000000"/>
                <w:sz w:val="16"/>
                <w:szCs w:val="16"/>
                <w:lang w:val="en-GB"/>
              </w:rPr>
            </w:pPr>
            <w:r w:rsidRPr="0035173D">
              <w:rPr>
                <w:iCs/>
                <w:color w:val="000000"/>
                <w:sz w:val="16"/>
                <w:szCs w:val="16"/>
                <w:lang w:val="en-GB"/>
              </w:rPr>
              <w:t>Government: Parliament, MCUD, MEGDT, UB City, Local government</w:t>
            </w:r>
          </w:p>
          <w:p w14:paraId="03BF2595" w14:textId="77777777" w:rsidR="005F5472" w:rsidRPr="0035173D" w:rsidRDefault="005F5472" w:rsidP="005F5472">
            <w:pPr>
              <w:rPr>
                <w:iCs/>
                <w:color w:val="000000"/>
                <w:sz w:val="16"/>
                <w:szCs w:val="16"/>
                <w:lang w:val="en-GB"/>
              </w:rPr>
            </w:pPr>
            <w:r w:rsidRPr="0035173D">
              <w:rPr>
                <w:iCs/>
                <w:color w:val="000000"/>
                <w:sz w:val="16"/>
                <w:szCs w:val="16"/>
                <w:lang w:val="en-GB"/>
              </w:rPr>
              <w:t>UN</w:t>
            </w:r>
            <w:r w:rsidR="00067D80" w:rsidRPr="0035173D">
              <w:rPr>
                <w:iCs/>
                <w:color w:val="000000"/>
                <w:sz w:val="16"/>
                <w:szCs w:val="16"/>
                <w:lang w:val="en-GB"/>
              </w:rPr>
              <w:t xml:space="preserve"> agencies</w:t>
            </w:r>
          </w:p>
          <w:p w14:paraId="571168DE" w14:textId="77777777" w:rsidR="005F5472" w:rsidRPr="0035173D" w:rsidRDefault="005F5472" w:rsidP="005F5472">
            <w:pPr>
              <w:rPr>
                <w:iCs/>
                <w:color w:val="000000"/>
                <w:sz w:val="16"/>
                <w:szCs w:val="16"/>
                <w:lang w:val="en-GB"/>
              </w:rPr>
            </w:pPr>
            <w:r w:rsidRPr="0035173D">
              <w:rPr>
                <w:iCs/>
                <w:color w:val="000000"/>
                <w:sz w:val="16"/>
                <w:szCs w:val="16"/>
                <w:lang w:val="en-GB"/>
              </w:rPr>
              <w:t xml:space="preserve">Civil society </w:t>
            </w:r>
          </w:p>
          <w:p w14:paraId="51F0FF23" w14:textId="77777777" w:rsidR="005F5472" w:rsidRPr="0035173D" w:rsidRDefault="005F5472">
            <w:pPr>
              <w:rPr>
                <w:iCs/>
                <w:color w:val="000000"/>
                <w:sz w:val="16"/>
                <w:szCs w:val="16"/>
                <w:lang w:val="en-GB"/>
              </w:rPr>
            </w:pPr>
            <w:r w:rsidRPr="0035173D">
              <w:rPr>
                <w:iCs/>
                <w:color w:val="000000"/>
                <w:sz w:val="16"/>
                <w:szCs w:val="16"/>
                <w:lang w:val="en-GB"/>
              </w:rPr>
              <w:t>Development partners</w:t>
            </w:r>
          </w:p>
        </w:tc>
        <w:tc>
          <w:tcPr>
            <w:tcW w:w="599" w:type="pct"/>
            <w:gridSpan w:val="2"/>
            <w:tcMar>
              <w:top w:w="15" w:type="dxa"/>
              <w:left w:w="108" w:type="dxa"/>
              <w:bottom w:w="0" w:type="dxa"/>
              <w:right w:w="108" w:type="dxa"/>
            </w:tcMar>
          </w:tcPr>
          <w:p w14:paraId="2578D089" w14:textId="064B8F83" w:rsidR="005F5472" w:rsidRPr="0003657F" w:rsidRDefault="005F5472" w:rsidP="005F5472">
            <w:pPr>
              <w:rPr>
                <w:b/>
                <w:color w:val="000000"/>
                <w:sz w:val="16"/>
                <w:szCs w:val="16"/>
                <w:lang w:val="en-GB"/>
              </w:rPr>
            </w:pPr>
            <w:r w:rsidRPr="0003657F">
              <w:rPr>
                <w:b/>
                <w:color w:val="000000"/>
                <w:sz w:val="16"/>
                <w:szCs w:val="16"/>
                <w:lang w:val="en-GB"/>
              </w:rPr>
              <w:t>Regular 200</w:t>
            </w:r>
          </w:p>
        </w:tc>
      </w:tr>
      <w:tr w:rsidR="005F5472" w:rsidRPr="0035173D" w14:paraId="6934BFFD" w14:textId="77777777" w:rsidTr="0003657F">
        <w:tc>
          <w:tcPr>
            <w:tcW w:w="1100" w:type="pct"/>
            <w:vMerge/>
            <w:tcBorders>
              <w:bottom w:val="single" w:sz="4" w:space="0" w:color="auto"/>
            </w:tcBorders>
            <w:tcMar>
              <w:top w:w="72" w:type="dxa"/>
              <w:left w:w="144" w:type="dxa"/>
              <w:bottom w:w="72" w:type="dxa"/>
              <w:right w:w="144" w:type="dxa"/>
            </w:tcMar>
          </w:tcPr>
          <w:p w14:paraId="360D76C1" w14:textId="77777777" w:rsidR="005F5472" w:rsidRPr="0035173D" w:rsidRDefault="005F5472" w:rsidP="00613856">
            <w:pPr>
              <w:rPr>
                <w:iCs/>
                <w:color w:val="000000"/>
                <w:sz w:val="16"/>
                <w:szCs w:val="16"/>
                <w:lang w:val="en-GB"/>
              </w:rPr>
            </w:pPr>
          </w:p>
        </w:tc>
        <w:tc>
          <w:tcPr>
            <w:tcW w:w="722" w:type="pct"/>
            <w:vMerge/>
            <w:tcBorders>
              <w:bottom w:val="single" w:sz="4" w:space="0" w:color="auto"/>
            </w:tcBorders>
          </w:tcPr>
          <w:p w14:paraId="3D918E26" w14:textId="77777777" w:rsidR="005F5472" w:rsidRPr="0035173D" w:rsidRDefault="005F5472" w:rsidP="00613856">
            <w:pPr>
              <w:rPr>
                <w:iCs/>
                <w:color w:val="000000"/>
                <w:sz w:val="16"/>
                <w:szCs w:val="16"/>
                <w:lang w:val="en-GB"/>
              </w:rPr>
            </w:pPr>
          </w:p>
        </w:tc>
        <w:tc>
          <w:tcPr>
            <w:tcW w:w="1788" w:type="pct"/>
            <w:vMerge/>
            <w:tcBorders>
              <w:bottom w:val="single" w:sz="4" w:space="0" w:color="auto"/>
            </w:tcBorders>
            <w:tcMar>
              <w:top w:w="72" w:type="dxa"/>
              <w:left w:w="144" w:type="dxa"/>
              <w:bottom w:w="72" w:type="dxa"/>
              <w:right w:w="144" w:type="dxa"/>
            </w:tcMar>
          </w:tcPr>
          <w:p w14:paraId="14071EF3" w14:textId="77777777" w:rsidR="005F5472" w:rsidRPr="0035173D" w:rsidRDefault="005F5472" w:rsidP="00613856">
            <w:pPr>
              <w:rPr>
                <w:iCs/>
                <w:color w:val="000000"/>
                <w:sz w:val="16"/>
                <w:szCs w:val="16"/>
                <w:lang w:val="en-GB"/>
              </w:rPr>
            </w:pPr>
          </w:p>
        </w:tc>
        <w:tc>
          <w:tcPr>
            <w:tcW w:w="791" w:type="pct"/>
            <w:vMerge/>
            <w:tcBorders>
              <w:bottom w:val="single" w:sz="4" w:space="0" w:color="auto"/>
            </w:tcBorders>
          </w:tcPr>
          <w:p w14:paraId="703B0D44" w14:textId="77777777" w:rsidR="005F5472" w:rsidRPr="0035173D" w:rsidRDefault="005F5472" w:rsidP="00613856">
            <w:pPr>
              <w:rPr>
                <w:iCs/>
                <w:color w:val="000000"/>
                <w:sz w:val="16"/>
                <w:szCs w:val="16"/>
                <w:lang w:val="en-GB"/>
              </w:rPr>
            </w:pPr>
          </w:p>
        </w:tc>
        <w:tc>
          <w:tcPr>
            <w:tcW w:w="599" w:type="pct"/>
            <w:gridSpan w:val="2"/>
            <w:tcBorders>
              <w:bottom w:val="single" w:sz="4" w:space="0" w:color="auto"/>
            </w:tcBorders>
            <w:tcMar>
              <w:top w:w="15" w:type="dxa"/>
              <w:left w:w="108" w:type="dxa"/>
              <w:bottom w:w="0" w:type="dxa"/>
              <w:right w:w="108" w:type="dxa"/>
            </w:tcMar>
          </w:tcPr>
          <w:p w14:paraId="2478E45D" w14:textId="1BCD4D2A" w:rsidR="005F5472" w:rsidRPr="0003657F" w:rsidRDefault="00150416" w:rsidP="005F5472">
            <w:pPr>
              <w:rPr>
                <w:b/>
                <w:color w:val="000000"/>
                <w:sz w:val="16"/>
                <w:szCs w:val="16"/>
                <w:lang w:val="en-GB"/>
              </w:rPr>
            </w:pPr>
            <w:r w:rsidRPr="0003657F">
              <w:rPr>
                <w:b/>
                <w:color w:val="000000"/>
                <w:sz w:val="16"/>
                <w:szCs w:val="16"/>
                <w:lang w:val="en-GB"/>
              </w:rPr>
              <w:t>Other 6</w:t>
            </w:r>
            <w:r w:rsidR="005F5472" w:rsidRPr="0003657F">
              <w:rPr>
                <w:b/>
                <w:color w:val="000000"/>
                <w:sz w:val="16"/>
                <w:szCs w:val="16"/>
                <w:lang w:val="en-GB"/>
              </w:rPr>
              <w:t>,000</w:t>
            </w:r>
          </w:p>
          <w:p w14:paraId="4CDD8499" w14:textId="77777777" w:rsidR="005F5472" w:rsidRPr="0003657F" w:rsidRDefault="005F5472" w:rsidP="00613856">
            <w:pPr>
              <w:rPr>
                <w:b/>
                <w:color w:val="000000"/>
                <w:sz w:val="16"/>
                <w:szCs w:val="16"/>
                <w:lang w:val="en-GB"/>
              </w:rPr>
            </w:pPr>
          </w:p>
        </w:tc>
      </w:tr>
      <w:tr w:rsidR="00670350" w:rsidRPr="0035173D" w14:paraId="16F5AC01" w14:textId="77777777" w:rsidTr="0003657F">
        <w:tc>
          <w:tcPr>
            <w:tcW w:w="5000" w:type="pct"/>
            <w:gridSpan w:val="6"/>
            <w:shd w:val="clear" w:color="auto" w:fill="auto"/>
            <w:tcMar>
              <w:top w:w="72" w:type="dxa"/>
              <w:left w:w="144" w:type="dxa"/>
              <w:bottom w:w="72" w:type="dxa"/>
              <w:right w:w="144" w:type="dxa"/>
            </w:tcMar>
          </w:tcPr>
          <w:p w14:paraId="27B64805" w14:textId="77777777" w:rsidR="007A05B6" w:rsidRPr="0003657F" w:rsidRDefault="00952E54" w:rsidP="003924FD">
            <w:pPr>
              <w:rPr>
                <w:sz w:val="16"/>
                <w:szCs w:val="16"/>
                <w:lang w:val="en-GB"/>
              </w:rPr>
            </w:pPr>
            <w:r w:rsidRPr="0035173D">
              <w:rPr>
                <w:b/>
                <w:bCs/>
                <w:sz w:val="16"/>
                <w:szCs w:val="16"/>
                <w:lang w:val="en-GB"/>
              </w:rPr>
              <w:t>National priority or goal</w:t>
            </w:r>
            <w:r w:rsidR="007A05B6" w:rsidRPr="0035173D">
              <w:rPr>
                <w:b/>
                <w:bCs/>
                <w:sz w:val="16"/>
                <w:szCs w:val="16"/>
                <w:lang w:val="en-GB"/>
              </w:rPr>
              <w:t xml:space="preserve">: </w:t>
            </w:r>
            <w:r w:rsidR="003924FD" w:rsidRPr="0035173D">
              <w:rPr>
                <w:bCs/>
                <w:iCs/>
                <w:sz w:val="16"/>
                <w:szCs w:val="16"/>
                <w:lang w:val="en-GB"/>
              </w:rPr>
              <w:t>Mongolia Sustainable Development Vision 2030, Goal 2.1 and 2.4</w:t>
            </w:r>
          </w:p>
        </w:tc>
      </w:tr>
      <w:tr w:rsidR="00670350" w:rsidRPr="0035173D" w14:paraId="139D1762" w14:textId="77777777" w:rsidTr="0003657F">
        <w:tc>
          <w:tcPr>
            <w:tcW w:w="5000" w:type="pct"/>
            <w:gridSpan w:val="6"/>
            <w:shd w:val="clear" w:color="auto" w:fill="auto"/>
            <w:tcMar>
              <w:top w:w="72" w:type="dxa"/>
              <w:left w:w="144" w:type="dxa"/>
              <w:bottom w:w="72" w:type="dxa"/>
              <w:right w:w="144" w:type="dxa"/>
            </w:tcMar>
          </w:tcPr>
          <w:p w14:paraId="69D46113" w14:textId="504430AB" w:rsidR="007A05B6" w:rsidRPr="0003657F" w:rsidRDefault="007A05B6" w:rsidP="00FD7976">
            <w:pPr>
              <w:rPr>
                <w:sz w:val="16"/>
                <w:szCs w:val="16"/>
                <w:lang w:val="en-GB"/>
              </w:rPr>
            </w:pPr>
            <w:r w:rsidRPr="0035173D">
              <w:rPr>
                <w:b/>
                <w:bCs/>
                <w:sz w:val="16"/>
                <w:szCs w:val="16"/>
                <w:lang w:val="en-GB"/>
              </w:rPr>
              <w:t xml:space="preserve">UNDAF </w:t>
            </w:r>
            <w:r w:rsidR="00952E54" w:rsidRPr="0035173D">
              <w:rPr>
                <w:b/>
                <w:bCs/>
                <w:sz w:val="16"/>
                <w:szCs w:val="16"/>
                <w:lang w:val="en-GB"/>
              </w:rPr>
              <w:t xml:space="preserve">or equivalent outcome involving UNDP </w:t>
            </w:r>
            <w:r w:rsidR="00952E54">
              <w:rPr>
                <w:b/>
                <w:bCs/>
                <w:sz w:val="16"/>
                <w:szCs w:val="16"/>
                <w:lang w:val="en-GB"/>
              </w:rPr>
              <w:t xml:space="preserve">No. </w:t>
            </w:r>
            <w:r w:rsidR="00440E2D" w:rsidRPr="0035173D">
              <w:rPr>
                <w:b/>
                <w:bCs/>
                <w:sz w:val="16"/>
                <w:szCs w:val="16"/>
                <w:lang w:val="en-GB"/>
              </w:rPr>
              <w:t>3</w:t>
            </w:r>
            <w:r w:rsidR="00952E54">
              <w:rPr>
                <w:b/>
                <w:bCs/>
                <w:sz w:val="16"/>
                <w:szCs w:val="16"/>
                <w:lang w:val="en-GB"/>
              </w:rPr>
              <w:t>.</w:t>
            </w:r>
            <w:r w:rsidRPr="0035173D">
              <w:rPr>
                <w:sz w:val="16"/>
                <w:szCs w:val="16"/>
                <w:lang w:val="en-GB"/>
              </w:rPr>
              <w:t xml:space="preserve"> </w:t>
            </w:r>
            <w:r w:rsidR="00F33255" w:rsidRPr="0035173D">
              <w:rPr>
                <w:iCs/>
                <w:sz w:val="16"/>
                <w:szCs w:val="16"/>
                <w:lang w:val="en-GB"/>
              </w:rPr>
              <w:t>By 2021, governing institutions are more responsive and accountable to citizens, while ensuring effective participation of young people and realization of the rights of the poor and marginali</w:t>
            </w:r>
            <w:r w:rsidR="00952E54">
              <w:rPr>
                <w:iCs/>
                <w:sz w:val="16"/>
                <w:szCs w:val="16"/>
                <w:lang w:val="en-GB"/>
              </w:rPr>
              <w:t>z</w:t>
            </w:r>
            <w:r w:rsidR="00F33255" w:rsidRPr="0035173D">
              <w:rPr>
                <w:iCs/>
                <w:sz w:val="16"/>
                <w:szCs w:val="16"/>
                <w:lang w:val="en-GB"/>
              </w:rPr>
              <w:t>ed.</w:t>
            </w:r>
          </w:p>
        </w:tc>
      </w:tr>
      <w:tr w:rsidR="00670350" w:rsidRPr="0035173D" w14:paraId="0D4EDF38" w14:textId="77777777" w:rsidTr="0003657F">
        <w:tc>
          <w:tcPr>
            <w:tcW w:w="5000" w:type="pct"/>
            <w:gridSpan w:val="6"/>
            <w:shd w:val="clear" w:color="auto" w:fill="auto"/>
            <w:tcMar>
              <w:top w:w="72" w:type="dxa"/>
              <w:left w:w="144" w:type="dxa"/>
              <w:bottom w:w="72" w:type="dxa"/>
              <w:right w:w="144" w:type="dxa"/>
            </w:tcMar>
          </w:tcPr>
          <w:p w14:paraId="0C96B949" w14:textId="77777777" w:rsidR="00772802" w:rsidRPr="0035173D" w:rsidRDefault="00952E54" w:rsidP="00CB23DD">
            <w:pPr>
              <w:rPr>
                <w:b/>
                <w:bCs/>
                <w:sz w:val="16"/>
                <w:szCs w:val="16"/>
                <w:lang w:val="en-GB"/>
              </w:rPr>
            </w:pPr>
            <w:r w:rsidRPr="0035173D">
              <w:rPr>
                <w:b/>
                <w:bCs/>
                <w:sz w:val="16"/>
                <w:szCs w:val="16"/>
                <w:lang w:val="en-GB"/>
              </w:rPr>
              <w:t xml:space="preserve">Related strategic plan outcome: </w:t>
            </w:r>
            <w:r w:rsidR="007C69F0" w:rsidRPr="0035173D">
              <w:rPr>
                <w:iCs/>
                <w:sz w:val="16"/>
                <w:szCs w:val="16"/>
                <w:lang w:val="en-GB"/>
              </w:rPr>
              <w:t>Citizen expectations for voice,  development, the rule of law and accountability are met by stronger systems of democratic governance</w:t>
            </w:r>
          </w:p>
        </w:tc>
      </w:tr>
      <w:tr w:rsidR="009030B8" w:rsidRPr="0035173D" w14:paraId="21068504" w14:textId="77777777" w:rsidTr="0003657F">
        <w:tc>
          <w:tcPr>
            <w:tcW w:w="5000" w:type="pct"/>
            <w:gridSpan w:val="6"/>
            <w:shd w:val="clear" w:color="auto" w:fill="auto"/>
            <w:tcMar>
              <w:top w:w="72" w:type="dxa"/>
              <w:left w:w="144" w:type="dxa"/>
              <w:bottom w:w="72" w:type="dxa"/>
              <w:right w:w="144" w:type="dxa"/>
            </w:tcMar>
            <w:vAlign w:val="center"/>
          </w:tcPr>
          <w:p w14:paraId="25D61594" w14:textId="77777777" w:rsidR="009030B8" w:rsidRPr="0035173D" w:rsidRDefault="009030B8" w:rsidP="009030B8">
            <w:pPr>
              <w:rPr>
                <w:b/>
                <w:bCs/>
                <w:color w:val="000000"/>
                <w:sz w:val="16"/>
                <w:szCs w:val="16"/>
                <w:lang w:val="en-GB"/>
              </w:rPr>
            </w:pPr>
            <w:r w:rsidRPr="0035173D">
              <w:rPr>
                <w:b/>
                <w:bCs/>
                <w:color w:val="000000"/>
                <w:sz w:val="16"/>
                <w:szCs w:val="16"/>
                <w:lang w:val="en-GB"/>
              </w:rPr>
              <w:t>Strengthened governance for increased voice and accountability</w:t>
            </w:r>
          </w:p>
        </w:tc>
      </w:tr>
      <w:tr w:rsidR="00E07A5A" w:rsidRPr="0035173D" w14:paraId="3F798C59" w14:textId="77777777" w:rsidTr="0003657F">
        <w:trPr>
          <w:gridAfter w:val="1"/>
          <w:wAfter w:w="14" w:type="pct"/>
        </w:trPr>
        <w:tc>
          <w:tcPr>
            <w:tcW w:w="1100" w:type="pct"/>
            <w:vMerge w:val="restart"/>
            <w:tcMar>
              <w:top w:w="72" w:type="dxa"/>
              <w:left w:w="144" w:type="dxa"/>
              <w:bottom w:w="72" w:type="dxa"/>
              <w:right w:w="144" w:type="dxa"/>
            </w:tcMar>
          </w:tcPr>
          <w:p w14:paraId="1229B16A" w14:textId="5BC4EC68" w:rsidR="00E07A5A" w:rsidRPr="0035173D" w:rsidRDefault="00E07A5A" w:rsidP="0003657F">
            <w:pPr>
              <w:rPr>
                <w:iCs/>
                <w:sz w:val="16"/>
                <w:szCs w:val="16"/>
                <w:lang w:val="en-GB"/>
              </w:rPr>
            </w:pPr>
            <w:r w:rsidRPr="0003657F">
              <w:rPr>
                <w:b/>
                <w:i/>
                <w:iCs/>
                <w:sz w:val="16"/>
                <w:szCs w:val="16"/>
                <w:lang w:val="en-GB"/>
              </w:rPr>
              <w:t>Indicator:</w:t>
            </w:r>
            <w:r w:rsidRPr="0035173D">
              <w:rPr>
                <w:iCs/>
                <w:sz w:val="16"/>
                <w:szCs w:val="16"/>
                <w:lang w:val="en-GB"/>
              </w:rPr>
              <w:t xml:space="preserve"> Voice and </w:t>
            </w:r>
            <w:r w:rsidR="00952E54">
              <w:rPr>
                <w:iCs/>
                <w:sz w:val="16"/>
                <w:szCs w:val="16"/>
                <w:lang w:val="en-GB"/>
              </w:rPr>
              <w:t>a</w:t>
            </w:r>
            <w:r w:rsidRPr="0035173D">
              <w:rPr>
                <w:iCs/>
                <w:sz w:val="16"/>
                <w:szCs w:val="16"/>
                <w:lang w:val="en-GB"/>
              </w:rPr>
              <w:t>ccountability</w:t>
            </w:r>
            <w:r w:rsidR="00322ACA" w:rsidRPr="0035173D">
              <w:rPr>
                <w:iCs/>
                <w:sz w:val="16"/>
                <w:szCs w:val="16"/>
                <w:lang w:val="en-GB"/>
              </w:rPr>
              <w:t xml:space="preserve"> </w:t>
            </w:r>
            <w:r w:rsidR="00952E54">
              <w:rPr>
                <w:iCs/>
                <w:sz w:val="16"/>
                <w:szCs w:val="16"/>
                <w:lang w:val="en-GB"/>
              </w:rPr>
              <w:t>i</w:t>
            </w:r>
            <w:r w:rsidR="00322ACA" w:rsidRPr="0035173D">
              <w:rPr>
                <w:iCs/>
                <w:sz w:val="16"/>
                <w:szCs w:val="16"/>
                <w:lang w:val="en-GB"/>
              </w:rPr>
              <w:t>ndex</w:t>
            </w:r>
            <w:r w:rsidR="001525D2" w:rsidRPr="0035173D">
              <w:rPr>
                <w:rStyle w:val="FootnoteReference"/>
                <w:iCs/>
                <w:sz w:val="16"/>
                <w:szCs w:val="16"/>
                <w:lang w:val="en-GB"/>
              </w:rPr>
              <w:footnoteReference w:id="29"/>
            </w:r>
          </w:p>
          <w:p w14:paraId="6487E382" w14:textId="77777777" w:rsidR="00E07A5A" w:rsidRPr="0035173D" w:rsidRDefault="00E07A5A" w:rsidP="0003657F">
            <w:pPr>
              <w:rPr>
                <w:iCs/>
                <w:sz w:val="16"/>
                <w:szCs w:val="16"/>
                <w:lang w:val="en-GB"/>
              </w:rPr>
            </w:pPr>
            <w:r w:rsidRPr="0003657F">
              <w:rPr>
                <w:i/>
                <w:iCs/>
                <w:sz w:val="16"/>
                <w:szCs w:val="16"/>
                <w:lang w:val="en-GB"/>
              </w:rPr>
              <w:t>Baseline</w:t>
            </w:r>
            <w:r w:rsidR="00322ACA" w:rsidRPr="0035173D">
              <w:rPr>
                <w:iCs/>
                <w:sz w:val="16"/>
                <w:szCs w:val="16"/>
                <w:lang w:val="en-GB"/>
              </w:rPr>
              <w:t xml:space="preserve"> (2014): 56.7</w:t>
            </w:r>
          </w:p>
          <w:p w14:paraId="4C2FCE50" w14:textId="77777777" w:rsidR="00E07A5A" w:rsidRPr="0035173D" w:rsidRDefault="00E07A5A" w:rsidP="0003657F">
            <w:pPr>
              <w:rPr>
                <w:iCs/>
                <w:sz w:val="16"/>
                <w:szCs w:val="16"/>
                <w:lang w:val="en-GB"/>
              </w:rPr>
            </w:pPr>
            <w:r w:rsidRPr="0003657F">
              <w:rPr>
                <w:i/>
                <w:iCs/>
                <w:sz w:val="16"/>
                <w:szCs w:val="16"/>
                <w:lang w:val="en-GB"/>
              </w:rPr>
              <w:t>Target</w:t>
            </w:r>
            <w:r w:rsidR="00322ACA" w:rsidRPr="0003657F">
              <w:rPr>
                <w:i/>
                <w:iCs/>
                <w:sz w:val="16"/>
                <w:szCs w:val="16"/>
                <w:lang w:val="en-GB"/>
              </w:rPr>
              <w:t xml:space="preserve"> </w:t>
            </w:r>
            <w:r w:rsidR="00322ACA" w:rsidRPr="0035173D">
              <w:rPr>
                <w:iCs/>
                <w:sz w:val="16"/>
                <w:szCs w:val="16"/>
                <w:lang w:val="en-GB"/>
              </w:rPr>
              <w:t>(2020):70.0</w:t>
            </w:r>
          </w:p>
          <w:p w14:paraId="610AB5F7" w14:textId="77777777" w:rsidR="00E07A5A" w:rsidRPr="0035173D" w:rsidRDefault="00E07A5A" w:rsidP="00B50D22">
            <w:pPr>
              <w:ind w:left="360"/>
              <w:rPr>
                <w:b/>
                <w:bCs/>
                <w:color w:val="000000"/>
                <w:sz w:val="16"/>
                <w:szCs w:val="16"/>
                <w:lang w:val="en-GB"/>
              </w:rPr>
            </w:pPr>
          </w:p>
          <w:p w14:paraId="72F3BBF0" w14:textId="77777777" w:rsidR="00322ACA" w:rsidRPr="0035173D" w:rsidRDefault="00322ACA" w:rsidP="0003657F">
            <w:pPr>
              <w:rPr>
                <w:b/>
                <w:bCs/>
                <w:color w:val="000000"/>
                <w:sz w:val="16"/>
                <w:szCs w:val="16"/>
                <w:lang w:val="en-GB"/>
              </w:rPr>
            </w:pPr>
            <w:r w:rsidRPr="0003657F">
              <w:rPr>
                <w:b/>
                <w:i/>
                <w:iCs/>
                <w:sz w:val="16"/>
                <w:szCs w:val="16"/>
                <w:lang w:val="en-GB"/>
              </w:rPr>
              <w:t>Indicator:</w:t>
            </w:r>
            <w:r w:rsidRPr="0035173D">
              <w:rPr>
                <w:iCs/>
                <w:sz w:val="16"/>
                <w:szCs w:val="16"/>
                <w:lang w:val="en-GB"/>
              </w:rPr>
              <w:t xml:space="preserve"> Proportion of seats held by women in national parliament and sub-national elected offices</w:t>
            </w:r>
          </w:p>
          <w:p w14:paraId="0B7DE605" w14:textId="77777777" w:rsidR="00322ACA" w:rsidRPr="0035173D" w:rsidRDefault="00322ACA" w:rsidP="0003657F">
            <w:pPr>
              <w:rPr>
                <w:iCs/>
                <w:color w:val="000000"/>
                <w:sz w:val="16"/>
                <w:szCs w:val="16"/>
                <w:lang w:val="en-GB"/>
              </w:rPr>
            </w:pPr>
            <w:r w:rsidRPr="0003657F">
              <w:rPr>
                <w:i/>
                <w:iCs/>
                <w:sz w:val="16"/>
                <w:szCs w:val="16"/>
                <w:lang w:val="en-GB"/>
              </w:rPr>
              <w:t>Baseline</w:t>
            </w:r>
            <w:r w:rsidRPr="0035173D">
              <w:rPr>
                <w:iCs/>
                <w:sz w:val="16"/>
                <w:szCs w:val="16"/>
                <w:lang w:val="en-GB"/>
              </w:rPr>
              <w:t xml:space="preserve"> (2015): 14.5%</w:t>
            </w:r>
            <w:r w:rsidRPr="0003657F">
              <w:rPr>
                <w:sz w:val="16"/>
                <w:szCs w:val="16"/>
                <w:lang w:val="en-GB"/>
              </w:rPr>
              <w:t xml:space="preserve"> and 27.3%, respectively</w:t>
            </w:r>
            <w:r w:rsidRPr="0003657F">
              <w:rPr>
                <w:rStyle w:val="FootnoteReference"/>
                <w:sz w:val="16"/>
                <w:szCs w:val="16"/>
                <w:lang w:val="en-GB"/>
              </w:rPr>
              <w:footnoteReference w:id="30"/>
            </w:r>
          </w:p>
          <w:p w14:paraId="77EDFCCB" w14:textId="77777777" w:rsidR="00E07A5A" w:rsidRPr="0035173D" w:rsidRDefault="00322ACA" w:rsidP="0003657F">
            <w:pPr>
              <w:rPr>
                <w:iCs/>
                <w:color w:val="000000"/>
                <w:sz w:val="16"/>
                <w:szCs w:val="16"/>
                <w:lang w:val="en-GB"/>
              </w:rPr>
            </w:pPr>
            <w:r w:rsidRPr="0003657F">
              <w:rPr>
                <w:bCs/>
                <w:i/>
                <w:color w:val="000000"/>
                <w:sz w:val="16"/>
                <w:szCs w:val="16"/>
                <w:lang w:val="en-GB"/>
              </w:rPr>
              <w:lastRenderedPageBreak/>
              <w:t xml:space="preserve">Target </w:t>
            </w:r>
            <w:r w:rsidRPr="0035173D">
              <w:rPr>
                <w:bCs/>
                <w:color w:val="000000"/>
                <w:sz w:val="16"/>
                <w:szCs w:val="16"/>
                <w:lang w:val="en-GB"/>
              </w:rPr>
              <w:t>(2021):</w:t>
            </w:r>
            <w:r w:rsidRPr="0035173D">
              <w:rPr>
                <w:iCs/>
                <w:sz w:val="16"/>
                <w:szCs w:val="16"/>
                <w:lang w:val="en-GB"/>
              </w:rPr>
              <w:t xml:space="preserve"> 30% and 40%, respectively</w:t>
            </w:r>
          </w:p>
          <w:p w14:paraId="0007F3AF" w14:textId="77777777" w:rsidR="001525D2" w:rsidRPr="0035173D" w:rsidRDefault="001525D2" w:rsidP="001525D2">
            <w:pPr>
              <w:rPr>
                <w:iCs/>
                <w:color w:val="000000"/>
                <w:sz w:val="16"/>
                <w:szCs w:val="16"/>
                <w:lang w:val="en-GB"/>
              </w:rPr>
            </w:pPr>
          </w:p>
          <w:p w14:paraId="4C1C1E78" w14:textId="77777777" w:rsidR="007C69F0" w:rsidRPr="0003657F" w:rsidRDefault="007C69F0" w:rsidP="0003657F">
            <w:pPr>
              <w:rPr>
                <w:iCs/>
                <w:color w:val="000000"/>
                <w:sz w:val="16"/>
                <w:szCs w:val="16"/>
                <w:lang w:val="en-GB"/>
              </w:rPr>
            </w:pPr>
            <w:r w:rsidRPr="0003657F">
              <w:rPr>
                <w:b/>
                <w:i/>
                <w:iCs/>
                <w:color w:val="000000"/>
                <w:sz w:val="16"/>
                <w:szCs w:val="16"/>
                <w:lang w:val="en-GB"/>
              </w:rPr>
              <w:t>Indicator:</w:t>
            </w:r>
            <w:r w:rsidRPr="0003657F">
              <w:rPr>
                <w:sz w:val="16"/>
                <w:szCs w:val="16"/>
                <w:lang w:val="en-GB"/>
              </w:rPr>
              <w:t xml:space="preserve"> Young people</w:t>
            </w:r>
            <w:r w:rsidR="00037FDE">
              <w:rPr>
                <w:sz w:val="16"/>
                <w:szCs w:val="16"/>
                <w:lang w:val="en-GB"/>
              </w:rPr>
              <w:t>’s</w:t>
            </w:r>
            <w:r w:rsidRPr="0003657F">
              <w:rPr>
                <w:sz w:val="16"/>
                <w:szCs w:val="16"/>
                <w:lang w:val="en-GB"/>
              </w:rPr>
              <w:t xml:space="preserve"> turnout in parliamentary elections</w:t>
            </w:r>
          </w:p>
          <w:p w14:paraId="6DC9CDA4" w14:textId="2CAE4493" w:rsidR="007C69F0" w:rsidRPr="0003657F" w:rsidRDefault="007C69F0" w:rsidP="0003657F">
            <w:pPr>
              <w:rPr>
                <w:iCs/>
                <w:color w:val="000000"/>
                <w:sz w:val="16"/>
                <w:szCs w:val="16"/>
                <w:lang w:val="en-GB"/>
              </w:rPr>
            </w:pPr>
            <w:r w:rsidRPr="0003657F">
              <w:rPr>
                <w:i/>
                <w:iCs/>
                <w:color w:val="000000"/>
                <w:sz w:val="16"/>
                <w:szCs w:val="16"/>
                <w:lang w:val="en-GB"/>
              </w:rPr>
              <w:t xml:space="preserve">Baseline </w:t>
            </w:r>
            <w:r w:rsidRPr="0003657F">
              <w:rPr>
                <w:iCs/>
                <w:color w:val="000000"/>
                <w:sz w:val="16"/>
                <w:szCs w:val="16"/>
                <w:lang w:val="en-GB"/>
              </w:rPr>
              <w:t>(2016):</w:t>
            </w:r>
            <w:r w:rsidRPr="0003657F">
              <w:rPr>
                <w:sz w:val="16"/>
                <w:szCs w:val="16"/>
                <w:lang w:val="en-GB"/>
              </w:rPr>
              <w:t xml:space="preserve"> </w:t>
            </w:r>
            <w:r w:rsidR="00037FDE">
              <w:rPr>
                <w:sz w:val="16"/>
                <w:szCs w:val="16"/>
                <w:lang w:val="en-GB"/>
              </w:rPr>
              <w:t>to be determined</w:t>
            </w:r>
            <w:r w:rsidR="00037FDE" w:rsidRPr="0003657F">
              <w:rPr>
                <w:sz w:val="16"/>
                <w:szCs w:val="16"/>
                <w:lang w:val="en-GB"/>
              </w:rPr>
              <w:t xml:space="preserve"> </w:t>
            </w:r>
            <w:r w:rsidRPr="0003657F">
              <w:rPr>
                <w:sz w:val="16"/>
                <w:szCs w:val="16"/>
                <w:lang w:val="en-GB"/>
              </w:rPr>
              <w:t xml:space="preserve">after June </w:t>
            </w:r>
            <w:r w:rsidR="000814B8" w:rsidRPr="0003657F">
              <w:rPr>
                <w:sz w:val="16"/>
                <w:szCs w:val="16"/>
                <w:lang w:val="en-GB"/>
              </w:rPr>
              <w:t xml:space="preserve">2016 </w:t>
            </w:r>
            <w:r w:rsidRPr="0003657F">
              <w:rPr>
                <w:sz w:val="16"/>
                <w:szCs w:val="16"/>
                <w:lang w:val="en-GB"/>
              </w:rPr>
              <w:t>elections</w:t>
            </w:r>
          </w:p>
          <w:p w14:paraId="71E2F134" w14:textId="77777777" w:rsidR="007C69F0" w:rsidRPr="0003657F" w:rsidRDefault="007C69F0" w:rsidP="0003657F">
            <w:pPr>
              <w:rPr>
                <w:iCs/>
                <w:color w:val="000000"/>
                <w:sz w:val="16"/>
                <w:szCs w:val="16"/>
                <w:lang w:val="en-GB"/>
              </w:rPr>
            </w:pPr>
            <w:r w:rsidRPr="0003657F">
              <w:rPr>
                <w:i/>
                <w:iCs/>
                <w:color w:val="000000"/>
                <w:sz w:val="16"/>
                <w:szCs w:val="16"/>
                <w:lang w:val="en-GB"/>
              </w:rPr>
              <w:t>Target:</w:t>
            </w:r>
            <w:r w:rsidRPr="0003657F">
              <w:rPr>
                <w:iCs/>
                <w:color w:val="000000"/>
                <w:sz w:val="16"/>
                <w:szCs w:val="16"/>
                <w:lang w:val="en-GB"/>
              </w:rPr>
              <w:t xml:space="preserve"> 10% increase </w:t>
            </w:r>
          </w:p>
          <w:p w14:paraId="2A4C55FF" w14:textId="77777777" w:rsidR="007C69F0" w:rsidRPr="0035173D" w:rsidRDefault="007C69F0" w:rsidP="00FC3B67">
            <w:pPr>
              <w:rPr>
                <w:iCs/>
                <w:color w:val="000000"/>
                <w:sz w:val="16"/>
                <w:szCs w:val="16"/>
                <w:lang w:val="en-GB"/>
              </w:rPr>
            </w:pPr>
          </w:p>
        </w:tc>
        <w:tc>
          <w:tcPr>
            <w:tcW w:w="722" w:type="pct"/>
            <w:vMerge w:val="restart"/>
          </w:tcPr>
          <w:p w14:paraId="4D8BE616" w14:textId="1901ED4F" w:rsidR="001525D2" w:rsidRPr="0035173D" w:rsidRDefault="001525D2" w:rsidP="001525D2">
            <w:pPr>
              <w:rPr>
                <w:iCs/>
                <w:color w:val="000000"/>
                <w:sz w:val="16"/>
                <w:szCs w:val="16"/>
                <w:lang w:val="en-GB"/>
              </w:rPr>
            </w:pPr>
            <w:r w:rsidRPr="0003657F">
              <w:rPr>
                <w:i/>
                <w:iCs/>
                <w:sz w:val="16"/>
                <w:szCs w:val="16"/>
                <w:lang w:val="en-GB"/>
              </w:rPr>
              <w:lastRenderedPageBreak/>
              <w:t>Source:</w:t>
            </w:r>
            <w:r w:rsidRPr="0035173D">
              <w:rPr>
                <w:iCs/>
                <w:sz w:val="16"/>
                <w:szCs w:val="16"/>
                <w:lang w:val="en-GB"/>
              </w:rPr>
              <w:t xml:space="preserve"> Worldwide </w:t>
            </w:r>
            <w:r w:rsidR="00952E54">
              <w:rPr>
                <w:iCs/>
                <w:sz w:val="16"/>
                <w:szCs w:val="16"/>
                <w:lang w:val="en-GB"/>
              </w:rPr>
              <w:t>g</w:t>
            </w:r>
            <w:r w:rsidRPr="0035173D">
              <w:rPr>
                <w:iCs/>
                <w:sz w:val="16"/>
                <w:szCs w:val="16"/>
                <w:lang w:val="en-GB"/>
              </w:rPr>
              <w:t xml:space="preserve">overnance </w:t>
            </w:r>
            <w:r w:rsidR="00952E54">
              <w:rPr>
                <w:iCs/>
                <w:sz w:val="16"/>
                <w:szCs w:val="16"/>
                <w:lang w:val="en-GB"/>
              </w:rPr>
              <w:t>i</w:t>
            </w:r>
            <w:r w:rsidRPr="0035173D">
              <w:rPr>
                <w:iCs/>
                <w:sz w:val="16"/>
                <w:szCs w:val="16"/>
                <w:lang w:val="en-GB"/>
              </w:rPr>
              <w:t>ndicators</w:t>
            </w:r>
          </w:p>
          <w:p w14:paraId="0B06BAA7" w14:textId="77777777" w:rsidR="001525D2" w:rsidRPr="0035173D" w:rsidRDefault="001525D2" w:rsidP="001525D2">
            <w:pPr>
              <w:rPr>
                <w:iCs/>
                <w:sz w:val="16"/>
                <w:szCs w:val="16"/>
                <w:lang w:val="en-GB"/>
              </w:rPr>
            </w:pPr>
            <w:r w:rsidRPr="0003657F">
              <w:rPr>
                <w:i/>
                <w:iCs/>
                <w:sz w:val="16"/>
                <w:szCs w:val="16"/>
                <w:lang w:val="en-GB"/>
              </w:rPr>
              <w:t>Frequency:</w:t>
            </w:r>
            <w:r w:rsidRPr="0035173D">
              <w:rPr>
                <w:iCs/>
                <w:sz w:val="16"/>
                <w:szCs w:val="16"/>
                <w:lang w:val="en-GB"/>
              </w:rPr>
              <w:t xml:space="preserve"> annual</w:t>
            </w:r>
          </w:p>
          <w:p w14:paraId="1C335849" w14:textId="77777777" w:rsidR="001525D2" w:rsidRPr="0035173D" w:rsidRDefault="001525D2" w:rsidP="001525D2">
            <w:pPr>
              <w:rPr>
                <w:iCs/>
                <w:sz w:val="16"/>
                <w:szCs w:val="16"/>
                <w:lang w:val="en-GB"/>
              </w:rPr>
            </w:pPr>
            <w:r w:rsidRPr="0003657F">
              <w:rPr>
                <w:i/>
                <w:iCs/>
                <w:sz w:val="16"/>
                <w:szCs w:val="16"/>
                <w:lang w:val="en-GB"/>
              </w:rPr>
              <w:t xml:space="preserve">Responsibilities: </w:t>
            </w:r>
            <w:r w:rsidRPr="0035173D">
              <w:rPr>
                <w:iCs/>
                <w:sz w:val="16"/>
                <w:szCs w:val="16"/>
                <w:lang w:val="en-GB"/>
              </w:rPr>
              <w:t>World Bank</w:t>
            </w:r>
          </w:p>
          <w:p w14:paraId="78CEA429" w14:textId="77777777" w:rsidR="001525D2" w:rsidRPr="0035173D" w:rsidRDefault="001525D2" w:rsidP="001525D2">
            <w:pPr>
              <w:rPr>
                <w:iCs/>
                <w:sz w:val="16"/>
                <w:szCs w:val="16"/>
                <w:lang w:val="en-GB"/>
              </w:rPr>
            </w:pPr>
          </w:p>
          <w:p w14:paraId="0B746140" w14:textId="78AB0A61" w:rsidR="001525D2" w:rsidRPr="0035173D" w:rsidRDefault="001525D2" w:rsidP="001525D2">
            <w:pPr>
              <w:rPr>
                <w:iCs/>
                <w:color w:val="000000"/>
                <w:sz w:val="16"/>
                <w:szCs w:val="16"/>
                <w:lang w:val="en-GB"/>
              </w:rPr>
            </w:pPr>
            <w:r w:rsidRPr="0003657F">
              <w:rPr>
                <w:i/>
                <w:iCs/>
                <w:sz w:val="16"/>
                <w:szCs w:val="16"/>
                <w:lang w:val="en-GB"/>
              </w:rPr>
              <w:t>Source:</w:t>
            </w:r>
            <w:r w:rsidRPr="0035173D">
              <w:rPr>
                <w:iCs/>
                <w:color w:val="000000"/>
                <w:sz w:val="16"/>
                <w:szCs w:val="16"/>
                <w:lang w:val="en-GB"/>
              </w:rPr>
              <w:t xml:space="preserve"> General </w:t>
            </w:r>
            <w:r w:rsidR="00952E54">
              <w:rPr>
                <w:iCs/>
                <w:color w:val="000000"/>
                <w:sz w:val="16"/>
                <w:szCs w:val="16"/>
                <w:lang w:val="en-GB"/>
              </w:rPr>
              <w:t>e</w:t>
            </w:r>
            <w:r w:rsidRPr="0035173D">
              <w:rPr>
                <w:iCs/>
                <w:color w:val="000000"/>
                <w:sz w:val="16"/>
                <w:szCs w:val="16"/>
                <w:lang w:val="en-GB"/>
              </w:rPr>
              <w:t xml:space="preserve">lection </w:t>
            </w:r>
            <w:r w:rsidR="00952E54">
              <w:rPr>
                <w:iCs/>
                <w:color w:val="000000"/>
                <w:sz w:val="16"/>
                <w:szCs w:val="16"/>
                <w:lang w:val="en-GB"/>
              </w:rPr>
              <w:t>c</w:t>
            </w:r>
            <w:r w:rsidRPr="0035173D">
              <w:rPr>
                <w:iCs/>
                <w:color w:val="000000"/>
                <w:sz w:val="16"/>
                <w:szCs w:val="16"/>
                <w:lang w:val="en-GB"/>
              </w:rPr>
              <w:t xml:space="preserve">ommittee </w:t>
            </w:r>
            <w:r w:rsidR="003E26F8">
              <w:rPr>
                <w:iCs/>
                <w:color w:val="000000"/>
                <w:sz w:val="16"/>
                <w:szCs w:val="16"/>
                <w:lang w:val="en-GB"/>
              </w:rPr>
              <w:t xml:space="preserve">(GEC) </w:t>
            </w:r>
            <w:r w:rsidRPr="0035173D">
              <w:rPr>
                <w:iCs/>
                <w:color w:val="000000"/>
                <w:sz w:val="16"/>
                <w:szCs w:val="16"/>
                <w:lang w:val="en-GB"/>
              </w:rPr>
              <w:t>report</w:t>
            </w:r>
          </w:p>
          <w:p w14:paraId="0AC3858E" w14:textId="77777777" w:rsidR="001525D2" w:rsidRPr="0035173D" w:rsidRDefault="001525D2" w:rsidP="001525D2">
            <w:pPr>
              <w:rPr>
                <w:iCs/>
                <w:sz w:val="16"/>
                <w:szCs w:val="16"/>
                <w:lang w:val="en-GB"/>
              </w:rPr>
            </w:pPr>
            <w:r w:rsidRPr="0003657F">
              <w:rPr>
                <w:i/>
                <w:iCs/>
                <w:sz w:val="16"/>
                <w:szCs w:val="16"/>
                <w:lang w:val="en-GB"/>
              </w:rPr>
              <w:t>Frequency:</w:t>
            </w:r>
            <w:r w:rsidRPr="0035173D">
              <w:rPr>
                <w:iCs/>
                <w:sz w:val="16"/>
                <w:szCs w:val="16"/>
                <w:lang w:val="en-GB"/>
              </w:rPr>
              <w:t xml:space="preserve"> every 4 years</w:t>
            </w:r>
          </w:p>
          <w:p w14:paraId="09E75FFF" w14:textId="77777777" w:rsidR="001525D2" w:rsidRPr="0035173D" w:rsidRDefault="001525D2" w:rsidP="001525D2">
            <w:pPr>
              <w:rPr>
                <w:iCs/>
                <w:sz w:val="16"/>
                <w:szCs w:val="16"/>
                <w:lang w:val="en-GB"/>
              </w:rPr>
            </w:pPr>
            <w:r w:rsidRPr="0003657F">
              <w:rPr>
                <w:i/>
                <w:iCs/>
                <w:sz w:val="16"/>
                <w:szCs w:val="16"/>
                <w:lang w:val="en-GB"/>
              </w:rPr>
              <w:t>Responsibilities:</w:t>
            </w:r>
            <w:r w:rsidRPr="0035173D">
              <w:rPr>
                <w:iCs/>
                <w:sz w:val="16"/>
                <w:szCs w:val="16"/>
                <w:lang w:val="en-GB"/>
              </w:rPr>
              <w:t xml:space="preserve"> GEC</w:t>
            </w:r>
          </w:p>
        </w:tc>
        <w:tc>
          <w:tcPr>
            <w:tcW w:w="1788" w:type="pct"/>
            <w:vMerge w:val="restart"/>
            <w:tcMar>
              <w:top w:w="72" w:type="dxa"/>
              <w:left w:w="144" w:type="dxa"/>
              <w:bottom w:w="72" w:type="dxa"/>
              <w:right w:w="144" w:type="dxa"/>
            </w:tcMar>
          </w:tcPr>
          <w:p w14:paraId="0C5A7116" w14:textId="03DF6E49" w:rsidR="00BC083F" w:rsidRPr="0035173D" w:rsidRDefault="00D83295" w:rsidP="00153521">
            <w:pPr>
              <w:pStyle w:val="ListParagraph"/>
              <w:ind w:left="0"/>
              <w:rPr>
                <w:iCs/>
                <w:color w:val="000000"/>
                <w:sz w:val="16"/>
                <w:szCs w:val="16"/>
                <w:lang w:val="en-GB"/>
              </w:rPr>
            </w:pPr>
            <w:r w:rsidRPr="0003657F">
              <w:rPr>
                <w:b/>
                <w:i/>
                <w:iCs/>
                <w:color w:val="000000"/>
                <w:sz w:val="16"/>
                <w:szCs w:val="16"/>
                <w:lang w:val="en-GB"/>
              </w:rPr>
              <w:t>Output 2.1.</w:t>
            </w:r>
            <w:r>
              <w:rPr>
                <w:iCs/>
                <w:color w:val="000000"/>
                <w:sz w:val="16"/>
                <w:szCs w:val="16"/>
                <w:lang w:val="en-GB"/>
              </w:rPr>
              <w:t xml:space="preserve"> </w:t>
            </w:r>
            <w:r w:rsidR="007A145A" w:rsidRPr="0035173D">
              <w:rPr>
                <w:iCs/>
                <w:color w:val="000000"/>
                <w:sz w:val="16"/>
                <w:szCs w:val="16"/>
                <w:lang w:val="en-GB"/>
              </w:rPr>
              <w:t>Frameworks and dialogue processes utili</w:t>
            </w:r>
            <w:r>
              <w:rPr>
                <w:iCs/>
                <w:color w:val="000000"/>
                <w:sz w:val="16"/>
                <w:szCs w:val="16"/>
                <w:lang w:val="en-GB"/>
              </w:rPr>
              <w:t>z</w:t>
            </w:r>
            <w:r w:rsidR="007A145A" w:rsidRPr="0035173D">
              <w:rPr>
                <w:iCs/>
                <w:color w:val="000000"/>
                <w:sz w:val="16"/>
                <w:szCs w:val="16"/>
                <w:lang w:val="en-GB"/>
              </w:rPr>
              <w:t xml:space="preserve">ed for effective and transparent </w:t>
            </w:r>
            <w:r w:rsidR="001525D2" w:rsidRPr="0035173D">
              <w:rPr>
                <w:iCs/>
                <w:color w:val="000000"/>
                <w:sz w:val="16"/>
                <w:szCs w:val="16"/>
                <w:lang w:val="en-GB"/>
              </w:rPr>
              <w:t>engagement of citizens with their elected representatives</w:t>
            </w:r>
          </w:p>
          <w:p w14:paraId="04B11C5B" w14:textId="77777777" w:rsidR="00BC083F" w:rsidRPr="0035173D" w:rsidRDefault="00BC083F" w:rsidP="00153521">
            <w:pPr>
              <w:pStyle w:val="ListParagraph"/>
              <w:ind w:left="0"/>
              <w:rPr>
                <w:iCs/>
                <w:color w:val="000000"/>
                <w:sz w:val="16"/>
                <w:szCs w:val="16"/>
                <w:lang w:val="en-GB"/>
              </w:rPr>
            </w:pPr>
          </w:p>
          <w:p w14:paraId="19998DDA" w14:textId="0F5A53D5" w:rsidR="001525D2" w:rsidRPr="0035173D" w:rsidRDefault="001525D2" w:rsidP="00153521">
            <w:pPr>
              <w:pStyle w:val="ListParagraph"/>
              <w:ind w:left="0"/>
              <w:rPr>
                <w:iCs/>
                <w:color w:val="000000"/>
                <w:sz w:val="16"/>
                <w:szCs w:val="16"/>
                <w:lang w:val="en-GB"/>
              </w:rPr>
            </w:pPr>
            <w:r w:rsidRPr="0003657F">
              <w:rPr>
                <w:i/>
                <w:iCs/>
                <w:color w:val="000000"/>
                <w:sz w:val="16"/>
                <w:szCs w:val="16"/>
                <w:lang w:val="en-GB"/>
              </w:rPr>
              <w:t>Indicator</w:t>
            </w:r>
            <w:r w:rsidR="001802BE" w:rsidRPr="0003657F">
              <w:rPr>
                <w:i/>
                <w:iCs/>
                <w:color w:val="000000"/>
                <w:sz w:val="16"/>
                <w:szCs w:val="16"/>
                <w:lang w:val="en-GB"/>
              </w:rPr>
              <w:t xml:space="preserve"> </w:t>
            </w:r>
            <w:r w:rsidR="005A373D" w:rsidRPr="0003657F">
              <w:rPr>
                <w:i/>
                <w:iCs/>
                <w:color w:val="000000"/>
                <w:sz w:val="16"/>
                <w:szCs w:val="16"/>
                <w:lang w:val="en-GB"/>
              </w:rPr>
              <w:t>2.1.1.</w:t>
            </w:r>
            <w:r w:rsidRPr="0035173D">
              <w:rPr>
                <w:iCs/>
                <w:color w:val="000000"/>
                <w:sz w:val="16"/>
                <w:szCs w:val="16"/>
                <w:lang w:val="en-GB"/>
              </w:rPr>
              <w:t xml:space="preserve"> Number of public hearings conducted by the Parliament and local </w:t>
            </w:r>
            <w:r w:rsidR="00952E54">
              <w:rPr>
                <w:iCs/>
                <w:color w:val="000000"/>
                <w:sz w:val="16"/>
                <w:szCs w:val="16"/>
                <w:lang w:val="en-GB"/>
              </w:rPr>
              <w:t>H</w:t>
            </w:r>
            <w:r w:rsidRPr="0035173D">
              <w:rPr>
                <w:iCs/>
                <w:color w:val="000000"/>
                <w:sz w:val="16"/>
                <w:szCs w:val="16"/>
                <w:lang w:val="en-GB"/>
              </w:rPr>
              <w:t>urals</w:t>
            </w:r>
          </w:p>
          <w:p w14:paraId="617AA4EE" w14:textId="3656B571" w:rsidR="001525D2" w:rsidRPr="0035173D" w:rsidRDefault="001525D2" w:rsidP="00153521">
            <w:pPr>
              <w:pStyle w:val="ListParagraph"/>
              <w:ind w:left="0"/>
              <w:rPr>
                <w:iCs/>
                <w:color w:val="000000"/>
                <w:sz w:val="16"/>
                <w:szCs w:val="16"/>
                <w:lang w:val="en-GB"/>
              </w:rPr>
            </w:pPr>
            <w:r w:rsidRPr="0003657F">
              <w:rPr>
                <w:i/>
                <w:iCs/>
                <w:color w:val="000000"/>
                <w:sz w:val="16"/>
                <w:szCs w:val="16"/>
                <w:lang w:val="en-GB"/>
              </w:rPr>
              <w:t xml:space="preserve">Baseline </w:t>
            </w:r>
            <w:r w:rsidRPr="0035173D">
              <w:rPr>
                <w:iCs/>
                <w:color w:val="000000"/>
                <w:sz w:val="16"/>
                <w:szCs w:val="16"/>
                <w:lang w:val="en-GB"/>
              </w:rPr>
              <w:t xml:space="preserve">(2015): </w:t>
            </w:r>
            <w:r w:rsidR="007C69F0" w:rsidRPr="0035173D">
              <w:rPr>
                <w:iCs/>
                <w:color w:val="000000"/>
                <w:sz w:val="16"/>
                <w:szCs w:val="16"/>
                <w:lang w:val="en-GB"/>
              </w:rPr>
              <w:t>0</w:t>
            </w:r>
            <w:r w:rsidR="00952E54">
              <w:rPr>
                <w:iCs/>
                <w:color w:val="000000"/>
                <w:sz w:val="16"/>
                <w:szCs w:val="16"/>
                <w:lang w:val="en-GB"/>
              </w:rPr>
              <w:t xml:space="preserve">; </w:t>
            </w:r>
            <w:r w:rsidR="00952E54" w:rsidRPr="0003657F">
              <w:rPr>
                <w:i/>
                <w:iCs/>
                <w:color w:val="000000"/>
                <w:sz w:val="16"/>
                <w:szCs w:val="16"/>
                <w:lang w:val="en-GB"/>
              </w:rPr>
              <w:t>t</w:t>
            </w:r>
            <w:r w:rsidRPr="0003657F">
              <w:rPr>
                <w:i/>
                <w:iCs/>
                <w:color w:val="000000"/>
                <w:sz w:val="16"/>
                <w:szCs w:val="16"/>
                <w:lang w:val="en-GB"/>
              </w:rPr>
              <w:t>arget</w:t>
            </w:r>
            <w:r w:rsidRPr="0035173D">
              <w:rPr>
                <w:iCs/>
                <w:color w:val="000000"/>
                <w:sz w:val="16"/>
                <w:szCs w:val="16"/>
                <w:lang w:val="en-GB"/>
              </w:rPr>
              <w:t xml:space="preserve"> (2020): 50 </w:t>
            </w:r>
          </w:p>
          <w:p w14:paraId="39161EE5" w14:textId="377B920F" w:rsidR="001525D2" w:rsidRPr="0035173D" w:rsidRDefault="001525D2" w:rsidP="00153521">
            <w:pPr>
              <w:pStyle w:val="ListParagraph"/>
              <w:ind w:left="0"/>
              <w:rPr>
                <w:iCs/>
                <w:color w:val="000000"/>
                <w:sz w:val="16"/>
                <w:szCs w:val="16"/>
                <w:lang w:val="en-GB"/>
              </w:rPr>
            </w:pPr>
            <w:r w:rsidRPr="0003657F">
              <w:rPr>
                <w:i/>
                <w:iCs/>
                <w:color w:val="000000"/>
                <w:sz w:val="16"/>
                <w:szCs w:val="16"/>
                <w:lang w:val="en-GB"/>
              </w:rPr>
              <w:t>Data source:</w:t>
            </w:r>
            <w:r w:rsidRPr="0035173D">
              <w:rPr>
                <w:iCs/>
                <w:color w:val="000000"/>
                <w:sz w:val="16"/>
                <w:szCs w:val="16"/>
                <w:lang w:val="en-GB"/>
              </w:rPr>
              <w:t xml:space="preserve"> </w:t>
            </w:r>
            <w:r w:rsidR="00AB3222">
              <w:rPr>
                <w:iCs/>
                <w:color w:val="000000"/>
                <w:sz w:val="16"/>
                <w:szCs w:val="16"/>
                <w:lang w:val="en-GB"/>
              </w:rPr>
              <w:t>r</w:t>
            </w:r>
            <w:r w:rsidRPr="0035173D">
              <w:rPr>
                <w:iCs/>
                <w:color w:val="000000"/>
                <w:sz w:val="16"/>
                <w:szCs w:val="16"/>
                <w:lang w:val="en-GB"/>
              </w:rPr>
              <w:t>eports of the Parliament and Aimag Hurals</w:t>
            </w:r>
          </w:p>
          <w:p w14:paraId="20AC0844" w14:textId="63B83AF8" w:rsidR="007C69F0" w:rsidRPr="0035173D" w:rsidRDefault="001525D2" w:rsidP="00153521">
            <w:pPr>
              <w:pStyle w:val="ListParagraph"/>
              <w:ind w:left="0"/>
              <w:rPr>
                <w:iCs/>
                <w:color w:val="000000"/>
                <w:sz w:val="16"/>
                <w:szCs w:val="16"/>
                <w:lang w:val="en-GB"/>
              </w:rPr>
            </w:pPr>
            <w:r w:rsidRPr="0003657F">
              <w:rPr>
                <w:i/>
                <w:iCs/>
                <w:color w:val="000000"/>
                <w:sz w:val="16"/>
                <w:szCs w:val="16"/>
                <w:lang w:val="en-GB"/>
              </w:rPr>
              <w:t>Frequency:</w:t>
            </w:r>
            <w:r w:rsidRPr="0035173D">
              <w:rPr>
                <w:iCs/>
                <w:color w:val="000000"/>
                <w:sz w:val="16"/>
                <w:szCs w:val="16"/>
                <w:lang w:val="en-GB"/>
              </w:rPr>
              <w:t xml:space="preserve"> </w:t>
            </w:r>
            <w:r w:rsidR="002909EC">
              <w:rPr>
                <w:iCs/>
                <w:color w:val="000000"/>
                <w:sz w:val="16"/>
                <w:szCs w:val="16"/>
                <w:lang w:val="en-GB"/>
              </w:rPr>
              <w:t>a</w:t>
            </w:r>
            <w:r w:rsidR="007C69F0" w:rsidRPr="0035173D">
              <w:rPr>
                <w:iCs/>
                <w:color w:val="000000"/>
                <w:sz w:val="16"/>
                <w:szCs w:val="16"/>
                <w:lang w:val="en-GB"/>
              </w:rPr>
              <w:t>nnual</w:t>
            </w:r>
          </w:p>
          <w:p w14:paraId="02C5E0B7" w14:textId="77777777" w:rsidR="007C69F0" w:rsidRPr="0035173D" w:rsidRDefault="007C69F0" w:rsidP="00153521">
            <w:pPr>
              <w:pStyle w:val="ListParagraph"/>
              <w:ind w:left="0"/>
              <w:rPr>
                <w:iCs/>
                <w:color w:val="000000"/>
                <w:sz w:val="16"/>
                <w:szCs w:val="16"/>
                <w:lang w:val="en-GB"/>
              </w:rPr>
            </w:pPr>
          </w:p>
          <w:p w14:paraId="7C4A6EF2" w14:textId="2DBB3328" w:rsidR="00B23395" w:rsidRPr="0035173D" w:rsidRDefault="007C69F0" w:rsidP="00153521">
            <w:pPr>
              <w:rPr>
                <w:iCs/>
                <w:color w:val="000000"/>
                <w:sz w:val="16"/>
                <w:szCs w:val="16"/>
                <w:lang w:val="en-GB"/>
              </w:rPr>
            </w:pPr>
            <w:r w:rsidRPr="0003657F">
              <w:rPr>
                <w:i/>
                <w:iCs/>
                <w:color w:val="000000"/>
                <w:sz w:val="16"/>
                <w:szCs w:val="16"/>
                <w:lang w:val="en-GB"/>
              </w:rPr>
              <w:lastRenderedPageBreak/>
              <w:t>Indicator 2.1.2</w:t>
            </w:r>
            <w:r w:rsidRPr="0035173D">
              <w:rPr>
                <w:iCs/>
                <w:color w:val="000000"/>
                <w:sz w:val="16"/>
                <w:szCs w:val="16"/>
                <w:lang w:val="en-GB"/>
              </w:rPr>
              <w:t xml:space="preserve">. </w:t>
            </w:r>
            <w:r w:rsidR="00BC083F" w:rsidRPr="0035173D">
              <w:rPr>
                <w:iCs/>
                <w:color w:val="000000"/>
                <w:sz w:val="16"/>
                <w:szCs w:val="16"/>
                <w:lang w:val="en-GB"/>
              </w:rPr>
              <w:t>Extent to which effective</w:t>
            </w:r>
            <w:r w:rsidRPr="0035173D">
              <w:rPr>
                <w:iCs/>
                <w:color w:val="000000"/>
                <w:sz w:val="16"/>
                <w:szCs w:val="16"/>
                <w:lang w:val="en-GB"/>
              </w:rPr>
              <w:t xml:space="preserve"> mechanisms/platforms to engage civil society have been established</w:t>
            </w:r>
          </w:p>
          <w:p w14:paraId="4E8F2909" w14:textId="77777777" w:rsidR="007C69F0" w:rsidRPr="0035173D" w:rsidRDefault="007C69F0" w:rsidP="00153521">
            <w:pPr>
              <w:rPr>
                <w:iCs/>
                <w:color w:val="000000"/>
                <w:sz w:val="16"/>
                <w:szCs w:val="16"/>
                <w:lang w:val="en-GB"/>
              </w:rPr>
            </w:pPr>
            <w:r w:rsidRPr="0035173D">
              <w:rPr>
                <w:iCs/>
                <w:color w:val="000000"/>
                <w:sz w:val="16"/>
                <w:szCs w:val="16"/>
                <w:lang w:val="en-GB"/>
              </w:rPr>
              <w:t>Baseline:</w:t>
            </w:r>
            <w:r w:rsidR="00BC083F" w:rsidRPr="0035173D">
              <w:rPr>
                <w:iCs/>
                <w:color w:val="000000"/>
                <w:sz w:val="16"/>
                <w:szCs w:val="16"/>
                <w:lang w:val="en-GB"/>
              </w:rPr>
              <w:t xml:space="preserve"> 1</w:t>
            </w:r>
          </w:p>
          <w:p w14:paraId="6526170F" w14:textId="77777777" w:rsidR="007C69F0" w:rsidRPr="0035173D" w:rsidRDefault="007C69F0" w:rsidP="00153521">
            <w:pPr>
              <w:rPr>
                <w:iCs/>
                <w:color w:val="000000"/>
                <w:sz w:val="16"/>
                <w:szCs w:val="16"/>
                <w:lang w:val="en-GB"/>
              </w:rPr>
            </w:pPr>
            <w:r w:rsidRPr="0035173D">
              <w:rPr>
                <w:iCs/>
                <w:color w:val="000000"/>
                <w:sz w:val="16"/>
                <w:szCs w:val="16"/>
                <w:lang w:val="en-GB"/>
              </w:rPr>
              <w:t>Target:</w:t>
            </w:r>
            <w:r w:rsidR="00204C85" w:rsidRPr="0035173D">
              <w:rPr>
                <w:iCs/>
                <w:color w:val="000000"/>
                <w:sz w:val="16"/>
                <w:szCs w:val="16"/>
                <w:lang w:val="en-GB"/>
              </w:rPr>
              <w:t xml:space="preserve"> </w:t>
            </w:r>
            <w:r w:rsidR="00BC083F" w:rsidRPr="0035173D">
              <w:rPr>
                <w:iCs/>
                <w:color w:val="000000"/>
                <w:sz w:val="16"/>
                <w:szCs w:val="16"/>
                <w:lang w:val="en-GB"/>
              </w:rPr>
              <w:t>2</w:t>
            </w:r>
          </w:p>
          <w:p w14:paraId="014F7DA9" w14:textId="01A65110" w:rsidR="007C69F0" w:rsidRPr="0035173D" w:rsidRDefault="007C69F0" w:rsidP="00153521">
            <w:pPr>
              <w:rPr>
                <w:iCs/>
                <w:color w:val="000000"/>
                <w:sz w:val="16"/>
                <w:szCs w:val="16"/>
                <w:lang w:val="en-GB"/>
              </w:rPr>
            </w:pPr>
            <w:r w:rsidRPr="0035173D">
              <w:rPr>
                <w:iCs/>
                <w:color w:val="000000"/>
                <w:sz w:val="16"/>
                <w:szCs w:val="16"/>
                <w:lang w:val="en-GB"/>
              </w:rPr>
              <w:t xml:space="preserve">Data source: </w:t>
            </w:r>
            <w:r w:rsidR="00AB3222">
              <w:rPr>
                <w:iCs/>
                <w:color w:val="000000"/>
                <w:sz w:val="16"/>
                <w:szCs w:val="16"/>
                <w:lang w:val="en-GB"/>
              </w:rPr>
              <w:t>r</w:t>
            </w:r>
            <w:r w:rsidRPr="0035173D">
              <w:rPr>
                <w:iCs/>
                <w:color w:val="000000"/>
                <w:sz w:val="16"/>
                <w:szCs w:val="16"/>
                <w:lang w:val="en-GB"/>
              </w:rPr>
              <w:t xml:space="preserve">eports of the Parliament and </w:t>
            </w:r>
            <w:r w:rsidR="009F578E" w:rsidRPr="0035173D">
              <w:rPr>
                <w:iCs/>
                <w:color w:val="000000"/>
                <w:sz w:val="16"/>
                <w:szCs w:val="16"/>
                <w:lang w:val="en-GB"/>
              </w:rPr>
              <w:t xml:space="preserve">subnational </w:t>
            </w:r>
            <w:r w:rsidRPr="0035173D">
              <w:rPr>
                <w:iCs/>
                <w:color w:val="000000"/>
                <w:sz w:val="16"/>
                <w:szCs w:val="16"/>
                <w:lang w:val="en-GB"/>
              </w:rPr>
              <w:t>Hurals</w:t>
            </w:r>
          </w:p>
          <w:p w14:paraId="61945C63" w14:textId="32369059" w:rsidR="007C69F0" w:rsidRPr="0035173D" w:rsidRDefault="007C69F0" w:rsidP="00153521">
            <w:pPr>
              <w:rPr>
                <w:iCs/>
                <w:color w:val="000000"/>
                <w:sz w:val="16"/>
                <w:szCs w:val="16"/>
                <w:lang w:val="en-GB"/>
              </w:rPr>
            </w:pPr>
            <w:r w:rsidRPr="0035173D">
              <w:rPr>
                <w:iCs/>
                <w:color w:val="000000"/>
                <w:sz w:val="16"/>
                <w:szCs w:val="16"/>
                <w:lang w:val="en-GB"/>
              </w:rPr>
              <w:t xml:space="preserve">Frequency: </w:t>
            </w:r>
            <w:r w:rsidR="00037FDE">
              <w:rPr>
                <w:iCs/>
                <w:color w:val="000000"/>
                <w:sz w:val="16"/>
                <w:szCs w:val="16"/>
                <w:lang w:val="en-GB"/>
              </w:rPr>
              <w:t>a</w:t>
            </w:r>
            <w:r w:rsidRPr="0035173D">
              <w:rPr>
                <w:iCs/>
                <w:color w:val="000000"/>
                <w:sz w:val="16"/>
                <w:szCs w:val="16"/>
                <w:lang w:val="en-GB"/>
              </w:rPr>
              <w:t>nnual</w:t>
            </w:r>
          </w:p>
          <w:p w14:paraId="13A93150" w14:textId="77777777" w:rsidR="001802BE" w:rsidRPr="0035173D" w:rsidRDefault="001802BE" w:rsidP="00153521">
            <w:pPr>
              <w:pStyle w:val="ListParagraph"/>
              <w:ind w:left="0"/>
              <w:rPr>
                <w:iCs/>
                <w:color w:val="000000"/>
                <w:sz w:val="16"/>
                <w:szCs w:val="16"/>
                <w:lang w:val="en-GB"/>
              </w:rPr>
            </w:pPr>
          </w:p>
          <w:p w14:paraId="5CD585DB" w14:textId="77777777" w:rsidR="007C69F0" w:rsidRPr="0035173D" w:rsidRDefault="00D83295" w:rsidP="00153521">
            <w:pPr>
              <w:rPr>
                <w:iCs/>
                <w:color w:val="000000"/>
                <w:sz w:val="16"/>
                <w:szCs w:val="16"/>
                <w:lang w:val="en-GB"/>
              </w:rPr>
            </w:pPr>
            <w:r w:rsidRPr="0003657F">
              <w:rPr>
                <w:b/>
                <w:i/>
                <w:iCs/>
                <w:color w:val="000000"/>
                <w:sz w:val="16"/>
                <w:szCs w:val="16"/>
                <w:lang w:val="en-GB"/>
              </w:rPr>
              <w:t xml:space="preserve">Output </w:t>
            </w:r>
            <w:r w:rsidR="007C69F0" w:rsidRPr="0003657F">
              <w:rPr>
                <w:b/>
                <w:i/>
                <w:iCs/>
                <w:color w:val="000000"/>
                <w:sz w:val="16"/>
                <w:szCs w:val="16"/>
                <w:lang w:val="en-GB"/>
              </w:rPr>
              <w:t>2.2.</w:t>
            </w:r>
            <w:r w:rsidR="007C69F0" w:rsidRPr="0035173D">
              <w:rPr>
                <w:iCs/>
                <w:color w:val="000000"/>
                <w:sz w:val="16"/>
                <w:szCs w:val="16"/>
                <w:lang w:val="en-GB"/>
              </w:rPr>
              <w:t xml:space="preserve"> </w:t>
            </w:r>
            <w:r w:rsidR="001802BE" w:rsidRPr="0035173D">
              <w:rPr>
                <w:iCs/>
                <w:color w:val="000000"/>
                <w:sz w:val="16"/>
                <w:szCs w:val="16"/>
                <w:lang w:val="en-GB"/>
              </w:rPr>
              <w:t>W</w:t>
            </w:r>
            <w:r w:rsidR="006F4A3C" w:rsidRPr="0035173D">
              <w:rPr>
                <w:iCs/>
                <w:color w:val="000000"/>
                <w:sz w:val="16"/>
                <w:szCs w:val="16"/>
                <w:lang w:val="en-GB"/>
              </w:rPr>
              <w:t xml:space="preserve">omen </w:t>
            </w:r>
            <w:r w:rsidR="00AD040A" w:rsidRPr="0035173D">
              <w:rPr>
                <w:iCs/>
                <w:color w:val="000000"/>
                <w:sz w:val="16"/>
                <w:szCs w:val="16"/>
                <w:lang w:val="en-GB"/>
              </w:rPr>
              <w:t xml:space="preserve">leaders have the right skills to </w:t>
            </w:r>
            <w:r w:rsidR="003870A2" w:rsidRPr="0035173D">
              <w:rPr>
                <w:iCs/>
                <w:color w:val="000000"/>
                <w:sz w:val="16"/>
                <w:szCs w:val="16"/>
                <w:lang w:val="en-GB"/>
              </w:rPr>
              <w:t xml:space="preserve">execute </w:t>
            </w:r>
            <w:r w:rsidR="006F4A3C" w:rsidRPr="0035173D">
              <w:rPr>
                <w:iCs/>
                <w:color w:val="000000"/>
                <w:sz w:val="16"/>
                <w:szCs w:val="16"/>
                <w:lang w:val="en-GB"/>
              </w:rPr>
              <w:t>political</w:t>
            </w:r>
            <w:r w:rsidR="003870A2" w:rsidRPr="0035173D">
              <w:rPr>
                <w:iCs/>
                <w:color w:val="000000"/>
                <w:sz w:val="16"/>
                <w:szCs w:val="16"/>
                <w:lang w:val="en-GB"/>
              </w:rPr>
              <w:t xml:space="preserve"> and public</w:t>
            </w:r>
            <w:r w:rsidR="00BC083F" w:rsidRPr="0035173D">
              <w:rPr>
                <w:iCs/>
                <w:color w:val="000000"/>
                <w:sz w:val="16"/>
                <w:szCs w:val="16"/>
                <w:lang w:val="en-GB"/>
              </w:rPr>
              <w:t xml:space="preserve"> </w:t>
            </w:r>
            <w:r w:rsidR="006F4A3C" w:rsidRPr="0035173D">
              <w:rPr>
                <w:iCs/>
                <w:color w:val="000000"/>
                <w:sz w:val="16"/>
                <w:szCs w:val="16"/>
                <w:lang w:val="en-GB"/>
              </w:rPr>
              <w:t>leaders</w:t>
            </w:r>
            <w:r w:rsidR="00AD040A" w:rsidRPr="0035173D">
              <w:rPr>
                <w:iCs/>
                <w:color w:val="000000"/>
                <w:sz w:val="16"/>
                <w:szCs w:val="16"/>
                <w:lang w:val="en-GB"/>
              </w:rPr>
              <w:t xml:space="preserve">hip </w:t>
            </w:r>
          </w:p>
          <w:p w14:paraId="067CFA74" w14:textId="77777777" w:rsidR="00BC083F" w:rsidRPr="0035173D" w:rsidRDefault="00BC083F" w:rsidP="00153521">
            <w:pPr>
              <w:rPr>
                <w:iCs/>
                <w:sz w:val="16"/>
                <w:szCs w:val="16"/>
                <w:lang w:val="en-GB"/>
              </w:rPr>
            </w:pPr>
          </w:p>
          <w:p w14:paraId="03A0EA18" w14:textId="67C7622B" w:rsidR="000814B8" w:rsidRPr="0035173D" w:rsidRDefault="003870A2" w:rsidP="00153521">
            <w:pPr>
              <w:rPr>
                <w:b/>
                <w:bCs/>
                <w:color w:val="000000"/>
                <w:sz w:val="16"/>
                <w:szCs w:val="16"/>
                <w:lang w:val="en-GB"/>
              </w:rPr>
            </w:pPr>
            <w:r w:rsidRPr="0003657F">
              <w:rPr>
                <w:i/>
                <w:iCs/>
                <w:sz w:val="16"/>
                <w:szCs w:val="16"/>
                <w:lang w:val="en-GB"/>
              </w:rPr>
              <w:t>Indicator 2.2.</w:t>
            </w:r>
            <w:r w:rsidR="00844BFA" w:rsidRPr="0003657F">
              <w:rPr>
                <w:i/>
                <w:iCs/>
                <w:sz w:val="16"/>
                <w:szCs w:val="16"/>
                <w:lang w:val="en-GB"/>
              </w:rPr>
              <w:t>1</w:t>
            </w:r>
            <w:r w:rsidR="00D83295">
              <w:rPr>
                <w:iCs/>
                <w:sz w:val="16"/>
                <w:szCs w:val="16"/>
                <w:lang w:val="en-GB"/>
              </w:rPr>
              <w:t>.</w:t>
            </w:r>
            <w:r w:rsidRPr="0035173D">
              <w:rPr>
                <w:iCs/>
                <w:sz w:val="16"/>
                <w:szCs w:val="16"/>
                <w:lang w:val="en-GB"/>
              </w:rPr>
              <w:t xml:space="preserve"> </w:t>
            </w:r>
            <w:r w:rsidRPr="0035173D">
              <w:rPr>
                <w:iCs/>
                <w:color w:val="000000"/>
                <w:sz w:val="16"/>
                <w:szCs w:val="16"/>
                <w:lang w:val="en-GB"/>
              </w:rPr>
              <w:t xml:space="preserve">Number of women benefiting from measures </w:t>
            </w:r>
            <w:r w:rsidR="002B301A" w:rsidRPr="0035173D">
              <w:rPr>
                <w:iCs/>
                <w:color w:val="000000"/>
                <w:sz w:val="16"/>
                <w:szCs w:val="16"/>
                <w:lang w:val="en-GB"/>
              </w:rPr>
              <w:t>supporting their</w:t>
            </w:r>
            <w:r w:rsidRPr="0035173D">
              <w:rPr>
                <w:iCs/>
                <w:color w:val="000000"/>
                <w:sz w:val="16"/>
                <w:szCs w:val="16"/>
                <w:lang w:val="en-GB"/>
              </w:rPr>
              <w:t xml:space="preserve"> preparedness for leadership and decision-making roles</w:t>
            </w:r>
            <w:r w:rsidRPr="0035173D" w:rsidDel="003870A2">
              <w:rPr>
                <w:b/>
                <w:bCs/>
                <w:color w:val="000000"/>
                <w:sz w:val="16"/>
                <w:szCs w:val="16"/>
                <w:lang w:val="en-GB"/>
              </w:rPr>
              <w:t xml:space="preserve"> </w:t>
            </w:r>
          </w:p>
          <w:p w14:paraId="4F4145CD" w14:textId="77777777" w:rsidR="00B23395" w:rsidRPr="0035173D" w:rsidRDefault="00B23395" w:rsidP="00153521">
            <w:pPr>
              <w:rPr>
                <w:iCs/>
                <w:color w:val="000000"/>
                <w:sz w:val="16"/>
                <w:szCs w:val="16"/>
                <w:lang w:val="en-GB"/>
              </w:rPr>
            </w:pPr>
            <w:r w:rsidRPr="0035173D">
              <w:rPr>
                <w:iCs/>
                <w:sz w:val="16"/>
                <w:szCs w:val="16"/>
                <w:lang w:val="en-GB"/>
              </w:rPr>
              <w:t>Baseline</w:t>
            </w:r>
            <w:r w:rsidR="006F4A3C" w:rsidRPr="0035173D">
              <w:rPr>
                <w:iCs/>
                <w:sz w:val="16"/>
                <w:szCs w:val="16"/>
                <w:lang w:val="en-GB"/>
              </w:rPr>
              <w:t xml:space="preserve"> (2016</w:t>
            </w:r>
            <w:r w:rsidR="00E20551" w:rsidRPr="0035173D">
              <w:rPr>
                <w:iCs/>
                <w:sz w:val="16"/>
                <w:szCs w:val="16"/>
                <w:lang w:val="en-GB"/>
              </w:rPr>
              <w:t>)</w:t>
            </w:r>
            <w:r w:rsidRPr="0035173D">
              <w:rPr>
                <w:iCs/>
                <w:sz w:val="16"/>
                <w:szCs w:val="16"/>
                <w:lang w:val="en-GB"/>
              </w:rPr>
              <w:t xml:space="preserve">: </w:t>
            </w:r>
            <w:r w:rsidR="001802BE" w:rsidRPr="0035173D">
              <w:rPr>
                <w:iCs/>
                <w:sz w:val="16"/>
                <w:szCs w:val="16"/>
                <w:lang w:val="en-GB"/>
              </w:rPr>
              <w:t>1,</w:t>
            </w:r>
            <w:r w:rsidR="00D24C9B" w:rsidRPr="0035173D">
              <w:rPr>
                <w:iCs/>
                <w:sz w:val="16"/>
                <w:szCs w:val="16"/>
                <w:lang w:val="en-GB"/>
              </w:rPr>
              <w:t xml:space="preserve">800 </w:t>
            </w:r>
          </w:p>
          <w:p w14:paraId="161FB453" w14:textId="77777777" w:rsidR="00B23395" w:rsidRPr="0035173D" w:rsidRDefault="00B23395" w:rsidP="00153521">
            <w:pPr>
              <w:rPr>
                <w:iCs/>
                <w:color w:val="000000"/>
                <w:sz w:val="16"/>
                <w:szCs w:val="16"/>
                <w:lang w:val="en-GB"/>
              </w:rPr>
            </w:pPr>
            <w:r w:rsidRPr="0035173D">
              <w:rPr>
                <w:bCs/>
                <w:color w:val="000000"/>
                <w:sz w:val="16"/>
                <w:szCs w:val="16"/>
                <w:lang w:val="en-GB"/>
              </w:rPr>
              <w:t>Target:</w:t>
            </w:r>
            <w:r w:rsidRPr="0035173D">
              <w:rPr>
                <w:iCs/>
                <w:sz w:val="16"/>
                <w:szCs w:val="16"/>
                <w:lang w:val="en-GB"/>
              </w:rPr>
              <w:t xml:space="preserve"> </w:t>
            </w:r>
            <w:r w:rsidR="00D24C9B" w:rsidRPr="0035173D">
              <w:rPr>
                <w:iCs/>
                <w:sz w:val="16"/>
                <w:szCs w:val="16"/>
                <w:lang w:val="en-GB"/>
              </w:rPr>
              <w:t>2</w:t>
            </w:r>
            <w:r w:rsidR="001802BE" w:rsidRPr="0035173D">
              <w:rPr>
                <w:iCs/>
                <w:sz w:val="16"/>
                <w:szCs w:val="16"/>
                <w:lang w:val="en-GB"/>
              </w:rPr>
              <w:t>,</w:t>
            </w:r>
            <w:r w:rsidR="00D24C9B" w:rsidRPr="0035173D">
              <w:rPr>
                <w:iCs/>
                <w:sz w:val="16"/>
                <w:szCs w:val="16"/>
                <w:lang w:val="en-GB"/>
              </w:rPr>
              <w:t>000</w:t>
            </w:r>
          </w:p>
          <w:p w14:paraId="59558860" w14:textId="1E3C4E1B" w:rsidR="00B23395" w:rsidRPr="0035173D" w:rsidRDefault="00B23395" w:rsidP="00153521">
            <w:pPr>
              <w:pStyle w:val="ListParagraph"/>
              <w:ind w:left="0"/>
              <w:rPr>
                <w:iCs/>
                <w:color w:val="000000"/>
                <w:sz w:val="16"/>
                <w:szCs w:val="16"/>
                <w:lang w:val="en-GB"/>
              </w:rPr>
            </w:pPr>
            <w:r w:rsidRPr="0035173D">
              <w:rPr>
                <w:iCs/>
                <w:color w:val="000000"/>
                <w:sz w:val="16"/>
                <w:szCs w:val="16"/>
                <w:lang w:val="en-GB"/>
              </w:rPr>
              <w:t xml:space="preserve">Data source: </w:t>
            </w:r>
            <w:r w:rsidR="00D24C9B" w:rsidRPr="0035173D">
              <w:rPr>
                <w:iCs/>
                <w:color w:val="000000"/>
                <w:sz w:val="16"/>
                <w:szCs w:val="16"/>
                <w:lang w:val="en-GB"/>
              </w:rPr>
              <w:t xml:space="preserve">Parliament </w:t>
            </w:r>
            <w:r w:rsidR="00D83295">
              <w:rPr>
                <w:iCs/>
                <w:color w:val="000000"/>
                <w:sz w:val="16"/>
                <w:szCs w:val="16"/>
                <w:lang w:val="en-GB"/>
              </w:rPr>
              <w:t>s</w:t>
            </w:r>
            <w:r w:rsidR="00D24C9B" w:rsidRPr="0035173D">
              <w:rPr>
                <w:iCs/>
                <w:color w:val="000000"/>
                <w:sz w:val="16"/>
                <w:szCs w:val="16"/>
                <w:lang w:val="en-GB"/>
              </w:rPr>
              <w:t>ecretariat</w:t>
            </w:r>
            <w:r w:rsidR="003870A2" w:rsidRPr="0035173D">
              <w:rPr>
                <w:iCs/>
                <w:color w:val="000000"/>
                <w:sz w:val="16"/>
                <w:szCs w:val="16"/>
                <w:lang w:val="en-GB"/>
              </w:rPr>
              <w:t xml:space="preserve"> </w:t>
            </w:r>
            <w:r w:rsidR="00D83295">
              <w:rPr>
                <w:iCs/>
                <w:color w:val="000000"/>
                <w:sz w:val="16"/>
                <w:szCs w:val="16"/>
                <w:lang w:val="en-GB"/>
              </w:rPr>
              <w:t>r</w:t>
            </w:r>
            <w:r w:rsidR="003870A2" w:rsidRPr="0035173D">
              <w:rPr>
                <w:iCs/>
                <w:color w:val="000000"/>
                <w:sz w:val="16"/>
                <w:szCs w:val="16"/>
                <w:lang w:val="en-GB"/>
              </w:rPr>
              <w:t>eport</w:t>
            </w:r>
          </w:p>
          <w:p w14:paraId="415DBBDE" w14:textId="64A6BE76" w:rsidR="00B23395" w:rsidRPr="0035173D" w:rsidRDefault="00B23395" w:rsidP="00153521">
            <w:pPr>
              <w:pStyle w:val="ListParagraph"/>
              <w:ind w:left="0"/>
              <w:rPr>
                <w:iCs/>
                <w:color w:val="000000"/>
                <w:sz w:val="16"/>
                <w:szCs w:val="16"/>
                <w:lang w:val="en-GB"/>
              </w:rPr>
            </w:pPr>
            <w:r w:rsidRPr="0035173D">
              <w:rPr>
                <w:iCs/>
                <w:color w:val="000000"/>
                <w:sz w:val="16"/>
                <w:szCs w:val="16"/>
                <w:lang w:val="en-GB"/>
              </w:rPr>
              <w:t xml:space="preserve">Frequency: </w:t>
            </w:r>
            <w:r w:rsidR="00037FDE">
              <w:rPr>
                <w:iCs/>
                <w:color w:val="000000"/>
                <w:sz w:val="16"/>
                <w:szCs w:val="16"/>
                <w:lang w:val="en-GB"/>
              </w:rPr>
              <w:t>b</w:t>
            </w:r>
            <w:r w:rsidR="00E94591" w:rsidRPr="0035173D">
              <w:rPr>
                <w:iCs/>
                <w:color w:val="000000"/>
                <w:sz w:val="16"/>
                <w:szCs w:val="16"/>
                <w:lang w:val="en-GB"/>
              </w:rPr>
              <w:t xml:space="preserve">iannual </w:t>
            </w:r>
          </w:p>
          <w:p w14:paraId="43FD0A31" w14:textId="77777777" w:rsidR="00BC083F" w:rsidRPr="0035173D" w:rsidRDefault="00BC083F" w:rsidP="00153521">
            <w:pPr>
              <w:pStyle w:val="ListParagraph"/>
              <w:ind w:left="0"/>
              <w:rPr>
                <w:iCs/>
                <w:color w:val="000000"/>
                <w:sz w:val="16"/>
                <w:szCs w:val="16"/>
                <w:lang w:val="en-GB"/>
              </w:rPr>
            </w:pPr>
          </w:p>
          <w:p w14:paraId="5D7CCBC5" w14:textId="12FE4337" w:rsidR="00322ACA" w:rsidRPr="0035173D" w:rsidRDefault="00037FDE" w:rsidP="00153521">
            <w:pPr>
              <w:rPr>
                <w:iCs/>
                <w:color w:val="000000"/>
                <w:sz w:val="16"/>
                <w:szCs w:val="16"/>
                <w:lang w:val="en-GB"/>
              </w:rPr>
            </w:pPr>
            <w:r w:rsidRPr="0003657F">
              <w:rPr>
                <w:b/>
                <w:i/>
                <w:iCs/>
                <w:color w:val="000000"/>
                <w:sz w:val="16"/>
                <w:szCs w:val="16"/>
                <w:lang w:val="en-GB"/>
              </w:rPr>
              <w:t xml:space="preserve">Output </w:t>
            </w:r>
            <w:r w:rsidR="007A145A" w:rsidRPr="0003657F">
              <w:rPr>
                <w:b/>
                <w:i/>
                <w:iCs/>
                <w:color w:val="000000"/>
                <w:sz w:val="16"/>
                <w:szCs w:val="16"/>
                <w:lang w:val="en-GB"/>
              </w:rPr>
              <w:t>2.3.</w:t>
            </w:r>
            <w:r w:rsidR="007A145A" w:rsidRPr="0035173D">
              <w:rPr>
                <w:iCs/>
                <w:color w:val="000000"/>
                <w:sz w:val="16"/>
                <w:szCs w:val="16"/>
                <w:lang w:val="en-GB"/>
              </w:rPr>
              <w:t xml:space="preserve"> </w:t>
            </w:r>
            <w:r w:rsidR="00E736A6">
              <w:rPr>
                <w:iCs/>
                <w:color w:val="000000"/>
                <w:sz w:val="16"/>
                <w:szCs w:val="16"/>
                <w:lang w:val="en-GB"/>
              </w:rPr>
              <w:t>E</w:t>
            </w:r>
            <w:r w:rsidR="00297130" w:rsidRPr="0035173D">
              <w:rPr>
                <w:iCs/>
                <w:color w:val="000000"/>
                <w:sz w:val="16"/>
                <w:szCs w:val="16"/>
                <w:lang w:val="en-GB"/>
              </w:rPr>
              <w:t>xtractive industries l</w:t>
            </w:r>
            <w:r w:rsidR="00297130" w:rsidRPr="0035173D">
              <w:rPr>
                <w:iCs/>
                <w:sz w:val="16"/>
                <w:szCs w:val="16"/>
                <w:lang w:val="en-GB"/>
              </w:rPr>
              <w:t xml:space="preserve">egislation, standards, safeguards </w:t>
            </w:r>
            <w:r w:rsidR="00297130" w:rsidRPr="0035173D">
              <w:rPr>
                <w:iCs/>
                <w:color w:val="000000"/>
                <w:sz w:val="16"/>
                <w:szCs w:val="16"/>
                <w:lang w:val="en-GB"/>
              </w:rPr>
              <w:t xml:space="preserve">and </w:t>
            </w:r>
            <w:r w:rsidR="00297130" w:rsidRPr="0035173D">
              <w:rPr>
                <w:iCs/>
                <w:sz w:val="16"/>
                <w:szCs w:val="16"/>
                <w:lang w:val="en-GB"/>
              </w:rPr>
              <w:t>corruption prevention strategies</w:t>
            </w:r>
            <w:r w:rsidR="00297130" w:rsidRPr="0035173D">
              <w:rPr>
                <w:iCs/>
                <w:color w:val="000000"/>
                <w:sz w:val="16"/>
                <w:szCs w:val="16"/>
                <w:lang w:val="en-GB"/>
              </w:rPr>
              <w:t xml:space="preserve"> improve overall governance of the sector. </w:t>
            </w:r>
          </w:p>
          <w:p w14:paraId="17A239D5" w14:textId="77777777" w:rsidR="00297130" w:rsidRPr="0035173D" w:rsidRDefault="00297130" w:rsidP="00153521">
            <w:pPr>
              <w:rPr>
                <w:iCs/>
                <w:color w:val="000000"/>
                <w:sz w:val="16"/>
                <w:szCs w:val="16"/>
                <w:lang w:val="en-GB"/>
              </w:rPr>
            </w:pPr>
          </w:p>
          <w:p w14:paraId="45915E1F" w14:textId="5BF8550E" w:rsidR="00297130" w:rsidRPr="0035173D" w:rsidRDefault="00297130" w:rsidP="00153521">
            <w:pPr>
              <w:rPr>
                <w:bCs/>
                <w:color w:val="000000"/>
                <w:sz w:val="16"/>
                <w:szCs w:val="16"/>
                <w:lang w:val="en-GB"/>
              </w:rPr>
            </w:pPr>
            <w:r w:rsidRPr="0003657F">
              <w:rPr>
                <w:bCs/>
                <w:i/>
                <w:color w:val="000000"/>
                <w:sz w:val="16"/>
                <w:szCs w:val="16"/>
                <w:lang w:val="en-GB"/>
              </w:rPr>
              <w:t>Indicator 2.3.2</w:t>
            </w:r>
            <w:r w:rsidR="00037FDE">
              <w:rPr>
                <w:bCs/>
                <w:i/>
                <w:color w:val="000000"/>
                <w:sz w:val="16"/>
                <w:szCs w:val="16"/>
                <w:lang w:val="en-GB"/>
              </w:rPr>
              <w:t>.</w:t>
            </w:r>
            <w:r w:rsidRPr="0035173D">
              <w:rPr>
                <w:bCs/>
                <w:color w:val="000000"/>
                <w:sz w:val="16"/>
                <w:szCs w:val="16"/>
                <w:lang w:val="en-GB"/>
              </w:rPr>
              <w:t xml:space="preserve"> Number </w:t>
            </w:r>
            <w:r w:rsidR="00E94591" w:rsidRPr="0035173D">
              <w:rPr>
                <w:bCs/>
                <w:color w:val="000000"/>
                <w:sz w:val="16"/>
                <w:szCs w:val="16"/>
                <w:lang w:val="en-GB"/>
              </w:rPr>
              <w:t xml:space="preserve">of government agencies adopting concrete plans </w:t>
            </w:r>
            <w:r w:rsidRPr="0035173D">
              <w:rPr>
                <w:bCs/>
                <w:color w:val="000000"/>
                <w:sz w:val="16"/>
                <w:szCs w:val="16"/>
                <w:lang w:val="en-GB"/>
              </w:rPr>
              <w:t>to</w:t>
            </w:r>
            <w:r w:rsidR="00C51441" w:rsidRPr="0035173D">
              <w:rPr>
                <w:bCs/>
                <w:color w:val="000000"/>
                <w:sz w:val="16"/>
                <w:szCs w:val="16"/>
                <w:lang w:val="en-GB"/>
              </w:rPr>
              <w:t xml:space="preserve"> </w:t>
            </w:r>
            <w:r w:rsidRPr="0035173D">
              <w:rPr>
                <w:bCs/>
                <w:color w:val="000000"/>
                <w:sz w:val="16"/>
                <w:szCs w:val="16"/>
                <w:lang w:val="en-GB"/>
              </w:rPr>
              <w:t>mitigate sector</w:t>
            </w:r>
            <w:r w:rsidR="00037FDE">
              <w:rPr>
                <w:bCs/>
                <w:color w:val="000000"/>
                <w:sz w:val="16"/>
                <w:szCs w:val="16"/>
                <w:lang w:val="en-GB"/>
              </w:rPr>
              <w:t>-</w:t>
            </w:r>
            <w:r w:rsidRPr="0035173D">
              <w:rPr>
                <w:bCs/>
                <w:color w:val="000000"/>
                <w:sz w:val="16"/>
                <w:szCs w:val="16"/>
                <w:lang w:val="en-GB"/>
              </w:rPr>
              <w:t>specific corruption risks</w:t>
            </w:r>
            <w:r w:rsidR="00C51441" w:rsidRPr="0035173D">
              <w:rPr>
                <w:bCs/>
                <w:color w:val="000000"/>
                <w:sz w:val="16"/>
                <w:szCs w:val="16"/>
                <w:lang w:val="en-GB"/>
              </w:rPr>
              <w:t xml:space="preserve"> </w:t>
            </w:r>
            <w:r w:rsidR="002B301A" w:rsidRPr="0035173D">
              <w:rPr>
                <w:bCs/>
                <w:color w:val="000000"/>
                <w:sz w:val="16"/>
                <w:szCs w:val="16"/>
                <w:lang w:val="en-GB"/>
              </w:rPr>
              <w:t>informed by</w:t>
            </w:r>
            <w:r w:rsidR="00C51441" w:rsidRPr="0035173D">
              <w:rPr>
                <w:bCs/>
                <w:color w:val="000000"/>
                <w:sz w:val="16"/>
                <w:szCs w:val="16"/>
                <w:lang w:val="en-GB"/>
              </w:rPr>
              <w:t xml:space="preserve"> law and corruption</w:t>
            </w:r>
            <w:r w:rsidR="00037FDE">
              <w:rPr>
                <w:bCs/>
                <w:color w:val="000000"/>
                <w:sz w:val="16"/>
                <w:szCs w:val="16"/>
                <w:lang w:val="en-GB"/>
              </w:rPr>
              <w:t>-</w:t>
            </w:r>
            <w:r w:rsidR="00C51441" w:rsidRPr="0035173D">
              <w:rPr>
                <w:bCs/>
                <w:color w:val="000000"/>
                <w:sz w:val="16"/>
                <w:szCs w:val="16"/>
                <w:lang w:val="en-GB"/>
              </w:rPr>
              <w:t>risk assessments</w:t>
            </w:r>
          </w:p>
          <w:p w14:paraId="74D49883" w14:textId="77777777" w:rsidR="00297130" w:rsidRPr="0035173D" w:rsidRDefault="00297130" w:rsidP="00153521">
            <w:pPr>
              <w:rPr>
                <w:bCs/>
                <w:color w:val="000000"/>
                <w:sz w:val="16"/>
                <w:szCs w:val="16"/>
                <w:lang w:val="en-GB"/>
              </w:rPr>
            </w:pPr>
            <w:r w:rsidRPr="0035173D">
              <w:rPr>
                <w:bCs/>
                <w:color w:val="000000"/>
                <w:sz w:val="16"/>
                <w:szCs w:val="16"/>
                <w:lang w:val="en-GB"/>
              </w:rPr>
              <w:t>Baseline (2016): 0</w:t>
            </w:r>
          </w:p>
          <w:p w14:paraId="1AEBBDD9" w14:textId="77777777" w:rsidR="00297130" w:rsidRPr="0035173D" w:rsidRDefault="00297130" w:rsidP="00153521">
            <w:pPr>
              <w:rPr>
                <w:bCs/>
                <w:color w:val="000000"/>
                <w:sz w:val="16"/>
                <w:szCs w:val="16"/>
                <w:lang w:val="en-GB"/>
              </w:rPr>
            </w:pPr>
            <w:r w:rsidRPr="0035173D">
              <w:rPr>
                <w:bCs/>
                <w:color w:val="000000"/>
                <w:sz w:val="16"/>
                <w:szCs w:val="16"/>
                <w:lang w:val="en-GB"/>
              </w:rPr>
              <w:t>Target:</w:t>
            </w:r>
            <w:r w:rsidR="00E94591" w:rsidRPr="0035173D">
              <w:rPr>
                <w:bCs/>
                <w:color w:val="000000"/>
                <w:sz w:val="16"/>
                <w:szCs w:val="16"/>
                <w:lang w:val="en-GB"/>
              </w:rPr>
              <w:t xml:space="preserve"> 2 </w:t>
            </w:r>
          </w:p>
          <w:p w14:paraId="60DEE2CE" w14:textId="60E3EA11" w:rsidR="00297130" w:rsidRPr="00037FDE" w:rsidRDefault="00297130" w:rsidP="00153521">
            <w:pPr>
              <w:rPr>
                <w:iCs/>
                <w:color w:val="000000"/>
                <w:sz w:val="16"/>
                <w:szCs w:val="16"/>
                <w:lang w:val="en-GB"/>
              </w:rPr>
            </w:pPr>
            <w:r w:rsidRPr="0035173D">
              <w:rPr>
                <w:bCs/>
                <w:color w:val="000000"/>
                <w:sz w:val="16"/>
                <w:szCs w:val="16"/>
                <w:lang w:val="en-GB"/>
              </w:rPr>
              <w:t>Data source:</w:t>
            </w:r>
            <w:r w:rsidR="00E94591" w:rsidRPr="0035173D">
              <w:rPr>
                <w:bCs/>
                <w:color w:val="000000"/>
                <w:sz w:val="16"/>
                <w:szCs w:val="16"/>
                <w:lang w:val="en-GB"/>
              </w:rPr>
              <w:t xml:space="preserve"> </w:t>
            </w:r>
            <w:r w:rsidR="00037FDE" w:rsidRPr="0003657F">
              <w:rPr>
                <w:color w:val="000000"/>
                <w:sz w:val="16"/>
                <w:szCs w:val="16"/>
                <w:lang w:val="en-GB"/>
              </w:rPr>
              <w:t>Independent Authority against Corruption</w:t>
            </w:r>
            <w:r w:rsidR="00037FDE">
              <w:rPr>
                <w:color w:val="000000"/>
                <w:sz w:val="16"/>
                <w:szCs w:val="16"/>
                <w:lang w:val="en-GB"/>
              </w:rPr>
              <w:t xml:space="preserve"> (IAAC)</w:t>
            </w:r>
          </w:p>
          <w:p w14:paraId="61AFE2C8" w14:textId="25479596" w:rsidR="00297130" w:rsidRPr="0035173D" w:rsidRDefault="00297130" w:rsidP="00153521">
            <w:pPr>
              <w:rPr>
                <w:iCs/>
                <w:color w:val="000000"/>
                <w:sz w:val="16"/>
                <w:szCs w:val="16"/>
                <w:lang w:val="en-GB"/>
              </w:rPr>
            </w:pPr>
            <w:r w:rsidRPr="0035173D">
              <w:rPr>
                <w:bCs/>
                <w:color w:val="000000"/>
                <w:sz w:val="16"/>
                <w:szCs w:val="16"/>
                <w:lang w:val="en-GB"/>
              </w:rPr>
              <w:t>Frequency:</w:t>
            </w:r>
            <w:r w:rsidR="00E94591" w:rsidRPr="0035173D">
              <w:rPr>
                <w:bCs/>
                <w:color w:val="000000"/>
                <w:sz w:val="16"/>
                <w:szCs w:val="16"/>
                <w:lang w:val="en-GB"/>
              </w:rPr>
              <w:t xml:space="preserve"> </w:t>
            </w:r>
            <w:r w:rsidR="00037FDE">
              <w:rPr>
                <w:bCs/>
                <w:color w:val="000000"/>
                <w:sz w:val="16"/>
                <w:szCs w:val="16"/>
                <w:lang w:val="en-GB"/>
              </w:rPr>
              <w:t>a</w:t>
            </w:r>
            <w:r w:rsidR="00FC3B67" w:rsidRPr="0035173D">
              <w:rPr>
                <w:bCs/>
                <w:color w:val="000000"/>
                <w:sz w:val="16"/>
                <w:szCs w:val="16"/>
                <w:lang w:val="en-GB"/>
              </w:rPr>
              <w:t>nnual</w:t>
            </w:r>
          </w:p>
        </w:tc>
        <w:tc>
          <w:tcPr>
            <w:tcW w:w="791" w:type="pct"/>
            <w:vMerge w:val="restart"/>
          </w:tcPr>
          <w:p w14:paraId="339C0CB7" w14:textId="00A78583" w:rsidR="00E07A5A" w:rsidRPr="002909EC" w:rsidRDefault="00E07A5A" w:rsidP="00067D80">
            <w:pPr>
              <w:rPr>
                <w:iCs/>
                <w:color w:val="000000"/>
                <w:sz w:val="16"/>
                <w:szCs w:val="16"/>
                <w:lang w:val="en-GB"/>
              </w:rPr>
            </w:pPr>
            <w:r w:rsidRPr="0035173D">
              <w:rPr>
                <w:iCs/>
                <w:color w:val="000000"/>
                <w:sz w:val="16"/>
                <w:szCs w:val="16"/>
                <w:lang w:val="en-GB"/>
              </w:rPr>
              <w:lastRenderedPageBreak/>
              <w:t xml:space="preserve">Parliament, local </w:t>
            </w:r>
            <w:r w:rsidR="00952E54">
              <w:rPr>
                <w:iCs/>
                <w:color w:val="000000"/>
                <w:sz w:val="16"/>
                <w:szCs w:val="16"/>
                <w:lang w:val="en-GB"/>
              </w:rPr>
              <w:t>H</w:t>
            </w:r>
            <w:r w:rsidRPr="0035173D">
              <w:rPr>
                <w:iCs/>
                <w:color w:val="000000"/>
                <w:sz w:val="16"/>
                <w:szCs w:val="16"/>
                <w:lang w:val="en-GB"/>
              </w:rPr>
              <w:t xml:space="preserve">urals. Cabinet </w:t>
            </w:r>
            <w:r w:rsidR="00952E54">
              <w:rPr>
                <w:iCs/>
                <w:color w:val="000000"/>
                <w:sz w:val="16"/>
                <w:szCs w:val="16"/>
                <w:lang w:val="en-GB"/>
              </w:rPr>
              <w:t>s</w:t>
            </w:r>
            <w:r w:rsidRPr="0035173D">
              <w:rPr>
                <w:iCs/>
                <w:color w:val="000000"/>
                <w:sz w:val="16"/>
                <w:szCs w:val="16"/>
                <w:lang w:val="en-GB"/>
              </w:rPr>
              <w:t xml:space="preserve">ecretariat, </w:t>
            </w:r>
            <w:r w:rsidR="00952E54" w:rsidRPr="0003657F">
              <w:rPr>
                <w:iCs/>
                <w:color w:val="000000"/>
                <w:sz w:val="16"/>
                <w:szCs w:val="16"/>
                <w:lang w:val="en-GB"/>
              </w:rPr>
              <w:t>National Commission on Gender Equality</w:t>
            </w:r>
            <w:r w:rsidRPr="0035173D">
              <w:rPr>
                <w:iCs/>
                <w:color w:val="000000"/>
                <w:sz w:val="16"/>
                <w:szCs w:val="16"/>
                <w:lang w:val="en-GB"/>
              </w:rPr>
              <w:t xml:space="preserve">, </w:t>
            </w:r>
            <w:r w:rsidR="002909EC">
              <w:rPr>
                <w:iCs/>
                <w:color w:val="000000"/>
                <w:sz w:val="16"/>
                <w:szCs w:val="16"/>
                <w:lang w:val="en-GB"/>
              </w:rPr>
              <w:t>p</w:t>
            </w:r>
            <w:r w:rsidRPr="002909EC">
              <w:rPr>
                <w:iCs/>
                <w:color w:val="000000"/>
                <w:sz w:val="16"/>
                <w:szCs w:val="16"/>
                <w:lang w:val="en-GB"/>
              </w:rPr>
              <w:t xml:space="preserve">olitical </w:t>
            </w:r>
            <w:r w:rsidR="002909EC">
              <w:rPr>
                <w:iCs/>
                <w:color w:val="000000"/>
                <w:sz w:val="16"/>
                <w:szCs w:val="16"/>
                <w:lang w:val="en-GB"/>
              </w:rPr>
              <w:t>p</w:t>
            </w:r>
            <w:r w:rsidRPr="002909EC">
              <w:rPr>
                <w:iCs/>
                <w:color w:val="000000"/>
                <w:sz w:val="16"/>
                <w:szCs w:val="16"/>
                <w:lang w:val="en-GB"/>
              </w:rPr>
              <w:t>arties</w:t>
            </w:r>
            <w:r w:rsidR="001525D2" w:rsidRPr="002909EC">
              <w:rPr>
                <w:iCs/>
                <w:color w:val="000000"/>
                <w:sz w:val="16"/>
                <w:szCs w:val="16"/>
                <w:lang w:val="en-GB"/>
              </w:rPr>
              <w:t xml:space="preserve">, </w:t>
            </w:r>
            <w:r w:rsidR="002909EC" w:rsidRPr="0003657F">
              <w:rPr>
                <w:iCs/>
                <w:color w:val="000000"/>
                <w:sz w:val="16"/>
                <w:szCs w:val="16"/>
                <w:lang w:val="en-GB"/>
              </w:rPr>
              <w:t>Ministry of Education and Science</w:t>
            </w:r>
            <w:r w:rsidR="001525D2" w:rsidRPr="002909EC">
              <w:rPr>
                <w:iCs/>
                <w:color w:val="000000"/>
                <w:sz w:val="16"/>
                <w:szCs w:val="16"/>
                <w:lang w:val="en-GB"/>
              </w:rPr>
              <w:t>, National Youth Coordination Committee, MEGDT, M</w:t>
            </w:r>
            <w:r w:rsidR="002909EC">
              <w:rPr>
                <w:iCs/>
                <w:color w:val="000000"/>
                <w:sz w:val="16"/>
                <w:szCs w:val="16"/>
                <w:lang w:val="en-GB"/>
              </w:rPr>
              <w:t>inistry of Mining</w:t>
            </w:r>
            <w:r w:rsidR="001525D2" w:rsidRPr="002909EC">
              <w:rPr>
                <w:iCs/>
                <w:color w:val="000000"/>
                <w:sz w:val="16"/>
                <w:szCs w:val="16"/>
                <w:lang w:val="en-GB"/>
              </w:rPr>
              <w:t xml:space="preserve">, </w:t>
            </w:r>
            <w:r w:rsidR="002909EC" w:rsidRPr="0003657F">
              <w:rPr>
                <w:iCs/>
                <w:color w:val="000000"/>
                <w:sz w:val="16"/>
                <w:szCs w:val="16"/>
                <w:lang w:val="en-GB"/>
              </w:rPr>
              <w:t>Mineral Resources Authority of</w:t>
            </w:r>
            <w:r w:rsidR="00F41913" w:rsidRPr="00F41913">
              <w:rPr>
                <w:iCs/>
                <w:color w:val="000000"/>
                <w:sz w:val="16"/>
                <w:szCs w:val="16"/>
                <w:lang w:val="en-GB"/>
              </w:rPr>
              <w:t xml:space="preserve"> </w:t>
            </w:r>
            <w:r w:rsidR="002909EC" w:rsidRPr="0003657F">
              <w:rPr>
                <w:color w:val="000000"/>
                <w:sz w:val="16"/>
                <w:szCs w:val="16"/>
                <w:lang w:val="en-GB"/>
              </w:rPr>
              <w:t>Mongolia</w:t>
            </w:r>
            <w:r w:rsidR="001525D2" w:rsidRPr="002909EC">
              <w:rPr>
                <w:iCs/>
                <w:color w:val="000000"/>
                <w:sz w:val="16"/>
                <w:szCs w:val="16"/>
                <w:lang w:val="en-GB"/>
              </w:rPr>
              <w:t xml:space="preserve">, </w:t>
            </w:r>
            <w:r w:rsidR="002909EC" w:rsidRPr="0003657F">
              <w:rPr>
                <w:iCs/>
                <w:color w:val="000000"/>
                <w:sz w:val="16"/>
                <w:szCs w:val="16"/>
                <w:lang w:val="en-GB"/>
              </w:rPr>
              <w:t xml:space="preserve">National Human </w:t>
            </w:r>
            <w:r w:rsidR="002909EC" w:rsidRPr="0003657F">
              <w:rPr>
                <w:iCs/>
                <w:color w:val="000000"/>
                <w:sz w:val="16"/>
                <w:szCs w:val="16"/>
                <w:lang w:val="en-GB"/>
              </w:rPr>
              <w:lastRenderedPageBreak/>
              <w:t>Rights Commission of</w:t>
            </w:r>
            <w:r w:rsidR="00F41913" w:rsidRPr="00F41913">
              <w:rPr>
                <w:iCs/>
                <w:color w:val="000000"/>
                <w:sz w:val="16"/>
                <w:szCs w:val="16"/>
                <w:lang w:val="en-GB"/>
              </w:rPr>
              <w:t xml:space="preserve"> </w:t>
            </w:r>
            <w:r w:rsidR="002909EC" w:rsidRPr="0003657F">
              <w:rPr>
                <w:color w:val="000000"/>
                <w:sz w:val="16"/>
                <w:szCs w:val="16"/>
                <w:lang w:val="en-GB"/>
              </w:rPr>
              <w:t>Mongolia</w:t>
            </w:r>
            <w:r w:rsidR="00037FDE">
              <w:rPr>
                <w:color w:val="000000"/>
                <w:sz w:val="16"/>
                <w:szCs w:val="16"/>
                <w:lang w:val="en-GB"/>
              </w:rPr>
              <w:t xml:space="preserve"> (NHRCM)</w:t>
            </w:r>
          </w:p>
          <w:p w14:paraId="04A09E34" w14:textId="35B9A16C" w:rsidR="00067D80" w:rsidRPr="0035173D" w:rsidRDefault="002909EC" w:rsidP="00067D80">
            <w:pPr>
              <w:rPr>
                <w:iCs/>
                <w:color w:val="000000"/>
                <w:sz w:val="16"/>
                <w:szCs w:val="16"/>
                <w:lang w:val="en-GB"/>
              </w:rPr>
            </w:pPr>
            <w:r>
              <w:rPr>
                <w:iCs/>
                <w:color w:val="000000"/>
                <w:sz w:val="16"/>
                <w:szCs w:val="16"/>
                <w:lang w:val="en-GB"/>
              </w:rPr>
              <w:t>United Nations Organizations</w:t>
            </w:r>
          </w:p>
          <w:p w14:paraId="20E1DC93" w14:textId="77777777" w:rsidR="00067D80" w:rsidRPr="0035173D" w:rsidRDefault="00067D80" w:rsidP="00067D80">
            <w:pPr>
              <w:rPr>
                <w:iCs/>
                <w:color w:val="000000"/>
                <w:sz w:val="16"/>
                <w:szCs w:val="16"/>
                <w:lang w:val="en-GB"/>
              </w:rPr>
            </w:pPr>
            <w:r w:rsidRPr="0035173D">
              <w:rPr>
                <w:iCs/>
                <w:color w:val="000000"/>
                <w:sz w:val="16"/>
                <w:szCs w:val="16"/>
                <w:lang w:val="en-GB"/>
              </w:rPr>
              <w:t xml:space="preserve">Youth and </w:t>
            </w:r>
            <w:r w:rsidR="007C69F0" w:rsidRPr="0035173D">
              <w:rPr>
                <w:iCs/>
                <w:color w:val="000000"/>
                <w:sz w:val="16"/>
                <w:szCs w:val="16"/>
                <w:lang w:val="en-GB"/>
              </w:rPr>
              <w:t xml:space="preserve">women </w:t>
            </w:r>
            <w:r w:rsidRPr="0035173D">
              <w:rPr>
                <w:iCs/>
                <w:color w:val="000000"/>
                <w:sz w:val="16"/>
                <w:szCs w:val="16"/>
                <w:lang w:val="en-GB"/>
              </w:rPr>
              <w:t>civil society</w:t>
            </w:r>
          </w:p>
          <w:p w14:paraId="13D7C946" w14:textId="77777777" w:rsidR="005715EA" w:rsidRPr="0035173D" w:rsidRDefault="005715EA" w:rsidP="00067D80">
            <w:pPr>
              <w:rPr>
                <w:iCs/>
                <w:color w:val="000000"/>
                <w:sz w:val="16"/>
                <w:szCs w:val="16"/>
                <w:lang w:val="en-GB"/>
              </w:rPr>
            </w:pPr>
            <w:r w:rsidRPr="0035173D">
              <w:rPr>
                <w:iCs/>
                <w:color w:val="000000"/>
                <w:sz w:val="16"/>
                <w:szCs w:val="16"/>
                <w:lang w:val="en-GB"/>
              </w:rPr>
              <w:t>Development partners</w:t>
            </w:r>
          </w:p>
        </w:tc>
        <w:tc>
          <w:tcPr>
            <w:tcW w:w="585" w:type="pct"/>
            <w:tcMar>
              <w:top w:w="15" w:type="dxa"/>
              <w:left w:w="108" w:type="dxa"/>
              <w:bottom w:w="0" w:type="dxa"/>
              <w:right w:w="108" w:type="dxa"/>
            </w:tcMar>
          </w:tcPr>
          <w:p w14:paraId="58513C0C" w14:textId="4DCA2193" w:rsidR="00E07A5A" w:rsidRPr="0003657F" w:rsidRDefault="00E07A5A" w:rsidP="00D87CDA">
            <w:pPr>
              <w:rPr>
                <w:b/>
                <w:color w:val="000000"/>
                <w:sz w:val="16"/>
                <w:szCs w:val="16"/>
                <w:lang w:val="en-GB"/>
              </w:rPr>
            </w:pPr>
            <w:r w:rsidRPr="0003657F">
              <w:rPr>
                <w:b/>
                <w:color w:val="000000"/>
                <w:sz w:val="16"/>
                <w:szCs w:val="16"/>
                <w:lang w:val="en-GB"/>
              </w:rPr>
              <w:lastRenderedPageBreak/>
              <w:t xml:space="preserve">Regular </w:t>
            </w:r>
            <w:r w:rsidR="00D87CDA">
              <w:rPr>
                <w:b/>
                <w:color w:val="000000"/>
                <w:sz w:val="16"/>
                <w:szCs w:val="16"/>
                <w:lang w:val="en-GB"/>
              </w:rPr>
              <w:t>465</w:t>
            </w:r>
          </w:p>
        </w:tc>
      </w:tr>
      <w:tr w:rsidR="00E07A5A" w:rsidRPr="0035173D" w14:paraId="4F419522" w14:textId="77777777" w:rsidTr="0003657F">
        <w:tc>
          <w:tcPr>
            <w:tcW w:w="1100" w:type="pct"/>
            <w:vMerge/>
            <w:tcMar>
              <w:top w:w="72" w:type="dxa"/>
              <w:left w:w="144" w:type="dxa"/>
              <w:bottom w:w="72" w:type="dxa"/>
              <w:right w:w="144" w:type="dxa"/>
            </w:tcMar>
          </w:tcPr>
          <w:p w14:paraId="350A1311" w14:textId="77777777" w:rsidR="00E07A5A" w:rsidRPr="0035173D" w:rsidRDefault="00E07A5A" w:rsidP="00E07A5A">
            <w:pPr>
              <w:rPr>
                <w:iCs/>
                <w:sz w:val="16"/>
                <w:szCs w:val="16"/>
                <w:lang w:val="en-GB"/>
              </w:rPr>
            </w:pPr>
          </w:p>
        </w:tc>
        <w:tc>
          <w:tcPr>
            <w:tcW w:w="722" w:type="pct"/>
            <w:vMerge/>
          </w:tcPr>
          <w:p w14:paraId="5E8A39C2" w14:textId="77777777" w:rsidR="00E07A5A" w:rsidRPr="0035173D" w:rsidRDefault="00E07A5A" w:rsidP="006D07BC">
            <w:pPr>
              <w:rPr>
                <w:iCs/>
                <w:sz w:val="16"/>
                <w:szCs w:val="16"/>
                <w:lang w:val="en-GB"/>
              </w:rPr>
            </w:pPr>
          </w:p>
        </w:tc>
        <w:tc>
          <w:tcPr>
            <w:tcW w:w="1788" w:type="pct"/>
            <w:vMerge/>
            <w:tcMar>
              <w:top w:w="72" w:type="dxa"/>
              <w:left w:w="144" w:type="dxa"/>
              <w:bottom w:w="72" w:type="dxa"/>
              <w:right w:w="144" w:type="dxa"/>
            </w:tcMar>
          </w:tcPr>
          <w:p w14:paraId="77D6A55C" w14:textId="77777777" w:rsidR="00E07A5A" w:rsidRPr="0035173D" w:rsidRDefault="00E07A5A" w:rsidP="00150416">
            <w:pPr>
              <w:rPr>
                <w:iCs/>
                <w:color w:val="000000"/>
                <w:sz w:val="16"/>
                <w:szCs w:val="16"/>
                <w:highlight w:val="yellow"/>
                <w:lang w:val="en-GB"/>
              </w:rPr>
            </w:pPr>
          </w:p>
        </w:tc>
        <w:tc>
          <w:tcPr>
            <w:tcW w:w="791" w:type="pct"/>
            <w:vMerge/>
          </w:tcPr>
          <w:p w14:paraId="0092AB1E" w14:textId="77777777" w:rsidR="00E07A5A" w:rsidRPr="0035173D" w:rsidRDefault="00E07A5A" w:rsidP="008F3768">
            <w:pPr>
              <w:rPr>
                <w:iCs/>
                <w:color w:val="000000"/>
                <w:sz w:val="16"/>
                <w:szCs w:val="16"/>
                <w:lang w:val="en-GB"/>
              </w:rPr>
            </w:pPr>
          </w:p>
        </w:tc>
        <w:tc>
          <w:tcPr>
            <w:tcW w:w="599" w:type="pct"/>
            <w:gridSpan w:val="2"/>
            <w:tcMar>
              <w:top w:w="15" w:type="dxa"/>
              <w:left w:w="108" w:type="dxa"/>
              <w:bottom w:w="0" w:type="dxa"/>
              <w:right w:w="108" w:type="dxa"/>
            </w:tcMar>
          </w:tcPr>
          <w:p w14:paraId="15BB5892" w14:textId="5E76D9F8" w:rsidR="00E07A5A" w:rsidRPr="0003657F" w:rsidRDefault="00E07A5A" w:rsidP="001525D2">
            <w:pPr>
              <w:rPr>
                <w:b/>
                <w:color w:val="000000"/>
                <w:sz w:val="16"/>
                <w:szCs w:val="16"/>
                <w:lang w:val="en-GB"/>
              </w:rPr>
            </w:pPr>
            <w:r w:rsidRPr="0003657F">
              <w:rPr>
                <w:b/>
                <w:color w:val="000000"/>
                <w:sz w:val="16"/>
                <w:szCs w:val="16"/>
                <w:lang w:val="en-GB"/>
              </w:rPr>
              <w:t>Other 3,</w:t>
            </w:r>
            <w:r w:rsidR="001525D2" w:rsidRPr="0003657F">
              <w:rPr>
                <w:b/>
                <w:color w:val="000000"/>
                <w:sz w:val="16"/>
                <w:szCs w:val="16"/>
                <w:lang w:val="en-GB"/>
              </w:rPr>
              <w:t>6</w:t>
            </w:r>
            <w:r w:rsidRPr="0003657F">
              <w:rPr>
                <w:b/>
                <w:color w:val="000000"/>
                <w:sz w:val="16"/>
                <w:szCs w:val="16"/>
                <w:lang w:val="en-GB"/>
              </w:rPr>
              <w:t>00</w:t>
            </w:r>
          </w:p>
        </w:tc>
      </w:tr>
      <w:tr w:rsidR="00AD3BC0" w:rsidRPr="0035173D" w14:paraId="6AE02220" w14:textId="77777777" w:rsidTr="0003657F">
        <w:tc>
          <w:tcPr>
            <w:tcW w:w="5000" w:type="pct"/>
            <w:gridSpan w:val="6"/>
            <w:tcMar>
              <w:top w:w="72" w:type="dxa"/>
              <w:left w:w="144" w:type="dxa"/>
              <w:bottom w:w="72" w:type="dxa"/>
              <w:right w:w="144" w:type="dxa"/>
            </w:tcMar>
          </w:tcPr>
          <w:p w14:paraId="22031242" w14:textId="77777777" w:rsidR="00AD3BC0" w:rsidRPr="0003657F" w:rsidRDefault="000B34A2" w:rsidP="00651955">
            <w:pPr>
              <w:rPr>
                <w:b/>
                <w:color w:val="000000"/>
                <w:sz w:val="16"/>
                <w:szCs w:val="16"/>
                <w:lang w:val="en-GB"/>
              </w:rPr>
            </w:pPr>
            <w:r w:rsidRPr="0035173D">
              <w:rPr>
                <w:b/>
                <w:bCs/>
                <w:color w:val="000000"/>
                <w:sz w:val="16"/>
                <w:szCs w:val="16"/>
                <w:lang w:val="en-GB"/>
              </w:rPr>
              <w:t>Effective civil service</w:t>
            </w:r>
          </w:p>
        </w:tc>
      </w:tr>
      <w:tr w:rsidR="000B34A2" w:rsidRPr="0035173D" w14:paraId="18B7348D" w14:textId="77777777" w:rsidTr="0003657F">
        <w:trPr>
          <w:gridAfter w:val="1"/>
          <w:wAfter w:w="14" w:type="pct"/>
        </w:trPr>
        <w:tc>
          <w:tcPr>
            <w:tcW w:w="1100" w:type="pct"/>
            <w:vMerge w:val="restart"/>
            <w:tcMar>
              <w:top w:w="72" w:type="dxa"/>
              <w:left w:w="144" w:type="dxa"/>
              <w:bottom w:w="72" w:type="dxa"/>
              <w:right w:w="144" w:type="dxa"/>
            </w:tcMar>
          </w:tcPr>
          <w:p w14:paraId="338A0FA6" w14:textId="1094E992" w:rsidR="001525D2" w:rsidRPr="0035173D" w:rsidRDefault="001525D2" w:rsidP="0003657F">
            <w:pPr>
              <w:rPr>
                <w:b/>
                <w:bCs/>
                <w:color w:val="000000"/>
                <w:sz w:val="16"/>
                <w:szCs w:val="16"/>
                <w:lang w:val="en-GB"/>
              </w:rPr>
            </w:pPr>
            <w:r w:rsidRPr="0003657F">
              <w:rPr>
                <w:b/>
                <w:i/>
                <w:iCs/>
                <w:sz w:val="16"/>
                <w:szCs w:val="16"/>
                <w:lang w:val="en-GB"/>
              </w:rPr>
              <w:t>Indicator:</w:t>
            </w:r>
            <w:r w:rsidRPr="0035173D">
              <w:rPr>
                <w:iCs/>
                <w:sz w:val="16"/>
                <w:szCs w:val="16"/>
                <w:lang w:val="en-GB"/>
              </w:rPr>
              <w:t xml:space="preserve"> Government </w:t>
            </w:r>
            <w:r w:rsidR="005D4762">
              <w:rPr>
                <w:iCs/>
                <w:sz w:val="16"/>
                <w:szCs w:val="16"/>
                <w:lang w:val="en-GB"/>
              </w:rPr>
              <w:t>e</w:t>
            </w:r>
            <w:r w:rsidRPr="0035173D">
              <w:rPr>
                <w:iCs/>
                <w:sz w:val="16"/>
                <w:szCs w:val="16"/>
                <w:lang w:val="en-GB"/>
              </w:rPr>
              <w:t>ffectiveness</w:t>
            </w:r>
            <w:r w:rsidRPr="0035173D">
              <w:rPr>
                <w:rStyle w:val="FootnoteReference"/>
                <w:iCs/>
                <w:sz w:val="16"/>
                <w:szCs w:val="16"/>
                <w:lang w:val="en-GB"/>
              </w:rPr>
              <w:footnoteReference w:id="31"/>
            </w:r>
          </w:p>
          <w:p w14:paraId="52872E0B" w14:textId="77777777" w:rsidR="001525D2" w:rsidRPr="0003657F" w:rsidRDefault="001525D2" w:rsidP="0003657F">
            <w:pPr>
              <w:rPr>
                <w:iCs/>
                <w:sz w:val="16"/>
                <w:szCs w:val="16"/>
                <w:lang w:val="en-GB"/>
              </w:rPr>
            </w:pPr>
            <w:r w:rsidRPr="0003657F">
              <w:rPr>
                <w:i/>
                <w:iCs/>
                <w:sz w:val="16"/>
                <w:szCs w:val="16"/>
                <w:lang w:val="en-GB"/>
              </w:rPr>
              <w:t>Baseline</w:t>
            </w:r>
            <w:r w:rsidR="00FC3B67" w:rsidRPr="0003657F">
              <w:rPr>
                <w:iCs/>
                <w:sz w:val="16"/>
                <w:szCs w:val="16"/>
                <w:lang w:val="en-GB"/>
              </w:rPr>
              <w:t xml:space="preserve"> (2014)</w:t>
            </w:r>
            <w:r w:rsidRPr="0003657F">
              <w:rPr>
                <w:iCs/>
                <w:sz w:val="16"/>
                <w:szCs w:val="16"/>
                <w:lang w:val="en-GB"/>
              </w:rPr>
              <w:t>: 37.5</w:t>
            </w:r>
          </w:p>
          <w:p w14:paraId="26FE3490" w14:textId="77777777" w:rsidR="00E07A5A" w:rsidRPr="0003657F" w:rsidRDefault="001525D2" w:rsidP="0003657F">
            <w:pPr>
              <w:rPr>
                <w:bCs/>
                <w:color w:val="000000"/>
                <w:sz w:val="16"/>
                <w:szCs w:val="16"/>
                <w:lang w:val="en-GB"/>
              </w:rPr>
            </w:pPr>
            <w:r w:rsidRPr="0003657F">
              <w:rPr>
                <w:bCs/>
                <w:i/>
                <w:color w:val="000000"/>
                <w:sz w:val="16"/>
                <w:szCs w:val="16"/>
                <w:lang w:val="en-GB"/>
              </w:rPr>
              <w:t>Target</w:t>
            </w:r>
            <w:r w:rsidR="00FC3B67" w:rsidRPr="0003657F">
              <w:rPr>
                <w:bCs/>
                <w:i/>
                <w:color w:val="000000"/>
                <w:sz w:val="16"/>
                <w:szCs w:val="16"/>
                <w:lang w:val="en-GB"/>
              </w:rPr>
              <w:t xml:space="preserve"> </w:t>
            </w:r>
            <w:r w:rsidR="00FC3B67" w:rsidRPr="0003657F">
              <w:rPr>
                <w:bCs/>
                <w:color w:val="000000"/>
                <w:sz w:val="16"/>
                <w:szCs w:val="16"/>
                <w:lang w:val="en-GB"/>
              </w:rPr>
              <w:t>(2020)</w:t>
            </w:r>
            <w:r w:rsidRPr="0003657F">
              <w:rPr>
                <w:bCs/>
                <w:color w:val="000000"/>
                <w:sz w:val="16"/>
                <w:szCs w:val="16"/>
                <w:lang w:val="en-GB"/>
              </w:rPr>
              <w:t>:</w:t>
            </w:r>
            <w:r w:rsidRPr="0003657F">
              <w:rPr>
                <w:sz w:val="16"/>
                <w:szCs w:val="16"/>
                <w:lang w:val="en-GB"/>
              </w:rPr>
              <w:t xml:space="preserve"> 50</w:t>
            </w:r>
          </w:p>
        </w:tc>
        <w:tc>
          <w:tcPr>
            <w:tcW w:w="722" w:type="pct"/>
            <w:vMerge w:val="restart"/>
          </w:tcPr>
          <w:p w14:paraId="0133469E" w14:textId="653C2740" w:rsidR="001525D2" w:rsidRPr="0035173D" w:rsidRDefault="001525D2" w:rsidP="001525D2">
            <w:pPr>
              <w:rPr>
                <w:iCs/>
                <w:color w:val="000000"/>
                <w:sz w:val="16"/>
                <w:szCs w:val="16"/>
                <w:lang w:val="en-GB"/>
              </w:rPr>
            </w:pPr>
            <w:r w:rsidRPr="0003657F">
              <w:rPr>
                <w:i/>
                <w:iCs/>
                <w:sz w:val="16"/>
                <w:szCs w:val="16"/>
                <w:lang w:val="en-GB"/>
              </w:rPr>
              <w:t xml:space="preserve">Source: </w:t>
            </w:r>
            <w:r w:rsidRPr="0035173D">
              <w:rPr>
                <w:iCs/>
                <w:sz w:val="16"/>
                <w:szCs w:val="16"/>
                <w:lang w:val="en-GB"/>
              </w:rPr>
              <w:t xml:space="preserve">Worldwide </w:t>
            </w:r>
            <w:r w:rsidR="00037FDE">
              <w:rPr>
                <w:iCs/>
                <w:sz w:val="16"/>
                <w:szCs w:val="16"/>
                <w:lang w:val="en-GB"/>
              </w:rPr>
              <w:t>g</w:t>
            </w:r>
            <w:r w:rsidRPr="0035173D">
              <w:rPr>
                <w:iCs/>
                <w:sz w:val="16"/>
                <w:szCs w:val="16"/>
                <w:lang w:val="en-GB"/>
              </w:rPr>
              <w:t xml:space="preserve">overnance </w:t>
            </w:r>
            <w:r w:rsidR="00037FDE">
              <w:rPr>
                <w:iCs/>
                <w:sz w:val="16"/>
                <w:szCs w:val="16"/>
                <w:lang w:val="en-GB"/>
              </w:rPr>
              <w:t>i</w:t>
            </w:r>
            <w:r w:rsidRPr="0035173D">
              <w:rPr>
                <w:iCs/>
                <w:sz w:val="16"/>
                <w:szCs w:val="16"/>
                <w:lang w:val="en-GB"/>
              </w:rPr>
              <w:t>ndicators</w:t>
            </w:r>
          </w:p>
          <w:p w14:paraId="2728C7C2" w14:textId="49FC56BC" w:rsidR="001525D2" w:rsidRPr="0035173D" w:rsidRDefault="001525D2" w:rsidP="001525D2">
            <w:pPr>
              <w:rPr>
                <w:iCs/>
                <w:sz w:val="16"/>
                <w:szCs w:val="16"/>
                <w:lang w:val="en-GB"/>
              </w:rPr>
            </w:pPr>
            <w:r w:rsidRPr="0003657F">
              <w:rPr>
                <w:i/>
                <w:iCs/>
                <w:sz w:val="16"/>
                <w:szCs w:val="16"/>
                <w:lang w:val="en-GB"/>
              </w:rPr>
              <w:t>Frequency</w:t>
            </w:r>
            <w:r w:rsidRPr="0035173D">
              <w:rPr>
                <w:iCs/>
                <w:sz w:val="16"/>
                <w:szCs w:val="16"/>
                <w:lang w:val="en-GB"/>
              </w:rPr>
              <w:t xml:space="preserve">: </w:t>
            </w:r>
            <w:r w:rsidR="00037FDE">
              <w:rPr>
                <w:iCs/>
                <w:sz w:val="16"/>
                <w:szCs w:val="16"/>
                <w:lang w:val="en-GB"/>
              </w:rPr>
              <w:t>a</w:t>
            </w:r>
            <w:r w:rsidR="00FC3B67" w:rsidRPr="0035173D">
              <w:rPr>
                <w:iCs/>
                <w:sz w:val="16"/>
                <w:szCs w:val="16"/>
                <w:lang w:val="en-GB"/>
              </w:rPr>
              <w:t>nnual</w:t>
            </w:r>
          </w:p>
          <w:p w14:paraId="62842555" w14:textId="77777777" w:rsidR="001525D2" w:rsidRPr="0035173D" w:rsidRDefault="001525D2" w:rsidP="001525D2">
            <w:pPr>
              <w:rPr>
                <w:iCs/>
                <w:sz w:val="16"/>
                <w:szCs w:val="16"/>
                <w:lang w:val="en-GB"/>
              </w:rPr>
            </w:pPr>
            <w:r w:rsidRPr="0003657F">
              <w:rPr>
                <w:i/>
                <w:iCs/>
                <w:sz w:val="16"/>
                <w:szCs w:val="16"/>
                <w:lang w:val="en-GB"/>
              </w:rPr>
              <w:t>Responsibilities:</w:t>
            </w:r>
            <w:r w:rsidRPr="0035173D">
              <w:rPr>
                <w:iCs/>
                <w:sz w:val="16"/>
                <w:szCs w:val="16"/>
                <w:lang w:val="en-GB"/>
              </w:rPr>
              <w:t xml:space="preserve"> World Bank</w:t>
            </w:r>
          </w:p>
          <w:p w14:paraId="02991AA4" w14:textId="77777777" w:rsidR="00E07A5A" w:rsidRPr="0003657F" w:rsidRDefault="00E07A5A" w:rsidP="00B50D22">
            <w:pPr>
              <w:rPr>
                <w:iCs/>
                <w:color w:val="000000"/>
                <w:sz w:val="16"/>
                <w:szCs w:val="16"/>
                <w:highlight w:val="yellow"/>
                <w:lang w:val="en-GB"/>
              </w:rPr>
            </w:pPr>
          </w:p>
        </w:tc>
        <w:tc>
          <w:tcPr>
            <w:tcW w:w="1788" w:type="pct"/>
            <w:vMerge w:val="restart"/>
            <w:tcMar>
              <w:top w:w="72" w:type="dxa"/>
              <w:left w:w="144" w:type="dxa"/>
              <w:bottom w:w="72" w:type="dxa"/>
              <w:right w:w="144" w:type="dxa"/>
            </w:tcMar>
          </w:tcPr>
          <w:p w14:paraId="469FBED3" w14:textId="77777777" w:rsidR="00BC083F" w:rsidRPr="0035173D" w:rsidRDefault="005D4762" w:rsidP="00C9722D">
            <w:pPr>
              <w:rPr>
                <w:iCs/>
                <w:color w:val="000000"/>
                <w:sz w:val="16"/>
                <w:szCs w:val="18"/>
                <w:lang w:val="en-GB"/>
              </w:rPr>
            </w:pPr>
            <w:r w:rsidRPr="0003657F">
              <w:rPr>
                <w:b/>
                <w:i/>
                <w:iCs/>
                <w:color w:val="000000"/>
                <w:sz w:val="16"/>
                <w:szCs w:val="18"/>
                <w:lang w:val="en-GB"/>
              </w:rPr>
              <w:t xml:space="preserve">Output </w:t>
            </w:r>
            <w:r w:rsidR="00FC7994" w:rsidRPr="0003657F">
              <w:rPr>
                <w:b/>
                <w:i/>
                <w:iCs/>
                <w:color w:val="000000"/>
                <w:sz w:val="16"/>
                <w:szCs w:val="18"/>
                <w:lang w:val="en-GB"/>
              </w:rPr>
              <w:t>2.4</w:t>
            </w:r>
            <w:r w:rsidRPr="0003657F">
              <w:rPr>
                <w:b/>
                <w:i/>
                <w:iCs/>
                <w:color w:val="000000"/>
                <w:sz w:val="16"/>
                <w:szCs w:val="18"/>
                <w:lang w:val="en-GB"/>
              </w:rPr>
              <w:t>.</w:t>
            </w:r>
            <w:r w:rsidR="00FC7994" w:rsidRPr="0035173D">
              <w:rPr>
                <w:iCs/>
                <w:color w:val="000000"/>
                <w:sz w:val="16"/>
                <w:szCs w:val="18"/>
                <w:lang w:val="en-GB"/>
              </w:rPr>
              <w:t xml:space="preserve"> </w:t>
            </w:r>
            <w:r w:rsidR="001525D2" w:rsidRPr="0035173D">
              <w:rPr>
                <w:iCs/>
                <w:color w:val="000000"/>
                <w:sz w:val="16"/>
                <w:szCs w:val="18"/>
                <w:lang w:val="en-GB"/>
              </w:rPr>
              <w:t xml:space="preserve">Strengthened legal and policy framework for a professional civil service </w:t>
            </w:r>
          </w:p>
          <w:p w14:paraId="796875CD" w14:textId="77777777" w:rsidR="00BC083F" w:rsidRPr="0035173D" w:rsidRDefault="00BC083F" w:rsidP="00C9722D">
            <w:pPr>
              <w:jc w:val="center"/>
              <w:rPr>
                <w:iCs/>
                <w:color w:val="000000"/>
                <w:sz w:val="16"/>
                <w:szCs w:val="18"/>
                <w:lang w:val="en-GB"/>
              </w:rPr>
            </w:pPr>
          </w:p>
          <w:p w14:paraId="377C1F73" w14:textId="7098537E" w:rsidR="001525D2" w:rsidRPr="0003657F" w:rsidRDefault="001525D2" w:rsidP="00C9722D">
            <w:pPr>
              <w:rPr>
                <w:sz w:val="16"/>
                <w:szCs w:val="18"/>
                <w:lang w:val="en-GB"/>
              </w:rPr>
            </w:pPr>
            <w:r w:rsidRPr="0003657F">
              <w:rPr>
                <w:i/>
                <w:sz w:val="16"/>
                <w:szCs w:val="18"/>
                <w:lang w:val="en-GB"/>
              </w:rPr>
              <w:t>Indicator</w:t>
            </w:r>
            <w:r w:rsidR="00204C85" w:rsidRPr="0003657F">
              <w:rPr>
                <w:i/>
                <w:sz w:val="16"/>
                <w:szCs w:val="18"/>
                <w:lang w:val="en-GB"/>
              </w:rPr>
              <w:t xml:space="preserve"> </w:t>
            </w:r>
            <w:r w:rsidR="00FC7994" w:rsidRPr="0003657F">
              <w:rPr>
                <w:i/>
                <w:sz w:val="16"/>
                <w:szCs w:val="18"/>
                <w:lang w:val="en-GB"/>
              </w:rPr>
              <w:t>2.4.1.</w:t>
            </w:r>
            <w:r w:rsidRPr="0035173D">
              <w:rPr>
                <w:sz w:val="16"/>
                <w:szCs w:val="18"/>
                <w:lang w:val="en-GB"/>
              </w:rPr>
              <w:t xml:space="preserve"> </w:t>
            </w:r>
            <w:r w:rsidR="000F43CB" w:rsidRPr="0003657F">
              <w:rPr>
                <w:sz w:val="16"/>
                <w:szCs w:val="18"/>
                <w:lang w:val="en-GB"/>
              </w:rPr>
              <w:t>Number of complaints received by Civil Service Commission on unlawful dismissal</w:t>
            </w:r>
            <w:r w:rsidRPr="0035173D">
              <w:rPr>
                <w:sz w:val="16"/>
                <w:szCs w:val="18"/>
                <w:lang w:val="en-GB"/>
              </w:rPr>
              <w:t xml:space="preserve"> </w:t>
            </w:r>
          </w:p>
          <w:p w14:paraId="41C3A8D8" w14:textId="7B2FAF03" w:rsidR="00350B0A" w:rsidRPr="0035173D" w:rsidRDefault="001525D2" w:rsidP="00C9722D">
            <w:pPr>
              <w:rPr>
                <w:sz w:val="16"/>
                <w:szCs w:val="18"/>
                <w:lang w:val="en-GB"/>
              </w:rPr>
            </w:pPr>
            <w:r w:rsidRPr="0003657F">
              <w:rPr>
                <w:i/>
                <w:sz w:val="16"/>
                <w:szCs w:val="18"/>
                <w:lang w:val="en-GB"/>
              </w:rPr>
              <w:t>Baseline</w:t>
            </w:r>
            <w:r w:rsidR="00350B0A" w:rsidRPr="0035173D">
              <w:rPr>
                <w:sz w:val="16"/>
                <w:szCs w:val="18"/>
                <w:lang w:val="en-GB"/>
              </w:rPr>
              <w:t xml:space="preserve"> (</w:t>
            </w:r>
            <w:r w:rsidR="000F43CB" w:rsidRPr="0035173D">
              <w:rPr>
                <w:sz w:val="16"/>
                <w:szCs w:val="18"/>
                <w:lang w:val="en-GB"/>
              </w:rPr>
              <w:t>2015</w:t>
            </w:r>
            <w:r w:rsidR="00350B0A" w:rsidRPr="0035173D">
              <w:rPr>
                <w:sz w:val="16"/>
                <w:szCs w:val="18"/>
                <w:lang w:val="en-GB"/>
              </w:rPr>
              <w:t>)</w:t>
            </w:r>
            <w:r w:rsidRPr="0035173D">
              <w:rPr>
                <w:sz w:val="16"/>
                <w:szCs w:val="18"/>
                <w:lang w:val="en-GB"/>
              </w:rPr>
              <w:t xml:space="preserve">: </w:t>
            </w:r>
            <w:r w:rsidR="000F43CB" w:rsidRPr="0035173D">
              <w:rPr>
                <w:sz w:val="16"/>
                <w:szCs w:val="18"/>
                <w:lang w:val="en-GB"/>
              </w:rPr>
              <w:t>626</w:t>
            </w:r>
            <w:r w:rsidR="005D4762">
              <w:rPr>
                <w:sz w:val="16"/>
                <w:szCs w:val="18"/>
                <w:lang w:val="en-GB"/>
              </w:rPr>
              <w:t xml:space="preserve">; </w:t>
            </w:r>
            <w:r w:rsidR="005D4762">
              <w:rPr>
                <w:i/>
                <w:sz w:val="16"/>
                <w:szCs w:val="18"/>
                <w:lang w:val="en-GB"/>
              </w:rPr>
              <w:t>t</w:t>
            </w:r>
            <w:r w:rsidRPr="0003657F">
              <w:rPr>
                <w:i/>
                <w:sz w:val="16"/>
                <w:szCs w:val="18"/>
                <w:lang w:val="en-GB"/>
              </w:rPr>
              <w:t>arget:</w:t>
            </w:r>
            <w:r w:rsidRPr="0035173D">
              <w:rPr>
                <w:sz w:val="16"/>
                <w:szCs w:val="18"/>
                <w:lang w:val="en-GB"/>
              </w:rPr>
              <w:t xml:space="preserve"> </w:t>
            </w:r>
            <w:r w:rsidR="000F43CB" w:rsidRPr="0035173D">
              <w:rPr>
                <w:sz w:val="16"/>
                <w:szCs w:val="18"/>
                <w:lang w:val="en-GB"/>
              </w:rPr>
              <w:t>400</w:t>
            </w:r>
          </w:p>
          <w:p w14:paraId="0A3146E8" w14:textId="6F5A01B8" w:rsidR="001525D2" w:rsidRPr="0003657F" w:rsidRDefault="001525D2" w:rsidP="00C9722D">
            <w:pPr>
              <w:rPr>
                <w:sz w:val="16"/>
                <w:szCs w:val="18"/>
                <w:lang w:val="en-GB"/>
              </w:rPr>
            </w:pPr>
            <w:r w:rsidRPr="0003657F">
              <w:rPr>
                <w:i/>
                <w:sz w:val="16"/>
                <w:szCs w:val="18"/>
                <w:lang w:val="en-GB"/>
              </w:rPr>
              <w:t xml:space="preserve">Data source: </w:t>
            </w:r>
            <w:r w:rsidR="000F43CB" w:rsidRPr="0003657F">
              <w:rPr>
                <w:sz w:val="16"/>
                <w:szCs w:val="18"/>
                <w:lang w:val="en-GB"/>
              </w:rPr>
              <w:t>Civil Service Commission</w:t>
            </w:r>
          </w:p>
          <w:p w14:paraId="1F79DCFE" w14:textId="1C5C6140" w:rsidR="001525D2" w:rsidRPr="0035173D" w:rsidRDefault="001525D2" w:rsidP="00C9722D">
            <w:pPr>
              <w:rPr>
                <w:iCs/>
                <w:color w:val="000000"/>
                <w:sz w:val="16"/>
                <w:szCs w:val="18"/>
                <w:lang w:val="en-GB"/>
              </w:rPr>
            </w:pPr>
            <w:r w:rsidRPr="0003657F">
              <w:rPr>
                <w:i/>
                <w:sz w:val="16"/>
                <w:szCs w:val="18"/>
                <w:lang w:val="en-GB"/>
              </w:rPr>
              <w:t>Frequency</w:t>
            </w:r>
            <w:r w:rsidRPr="0003657F">
              <w:rPr>
                <w:i/>
                <w:iCs/>
                <w:color w:val="000000"/>
                <w:sz w:val="16"/>
                <w:szCs w:val="18"/>
                <w:lang w:val="en-GB"/>
              </w:rPr>
              <w:t>:</w:t>
            </w:r>
            <w:r w:rsidRPr="0035173D">
              <w:rPr>
                <w:iCs/>
                <w:color w:val="000000"/>
                <w:sz w:val="16"/>
                <w:szCs w:val="18"/>
                <w:lang w:val="en-GB"/>
              </w:rPr>
              <w:t xml:space="preserve"> </w:t>
            </w:r>
            <w:r w:rsidR="005D4762">
              <w:rPr>
                <w:iCs/>
                <w:color w:val="000000"/>
                <w:sz w:val="16"/>
                <w:szCs w:val="18"/>
                <w:lang w:val="en-GB"/>
              </w:rPr>
              <w:t>a</w:t>
            </w:r>
            <w:r w:rsidR="000F43CB" w:rsidRPr="0035173D">
              <w:rPr>
                <w:iCs/>
                <w:color w:val="000000"/>
                <w:sz w:val="16"/>
                <w:szCs w:val="18"/>
                <w:lang w:val="en-GB"/>
              </w:rPr>
              <w:t>nnual</w:t>
            </w:r>
          </w:p>
          <w:p w14:paraId="211FC448" w14:textId="77777777" w:rsidR="001525D2" w:rsidRPr="0035173D" w:rsidRDefault="001525D2" w:rsidP="00C9722D">
            <w:pPr>
              <w:rPr>
                <w:iCs/>
                <w:color w:val="000000"/>
                <w:sz w:val="16"/>
                <w:szCs w:val="18"/>
                <w:lang w:val="en-GB"/>
              </w:rPr>
            </w:pPr>
          </w:p>
          <w:p w14:paraId="5AB9C6FC" w14:textId="20C353FB" w:rsidR="001525D2" w:rsidRPr="0035173D" w:rsidRDefault="001525D2" w:rsidP="00C9722D">
            <w:pPr>
              <w:pStyle w:val="ListParagraph"/>
              <w:ind w:left="0"/>
              <w:rPr>
                <w:iCs/>
                <w:color w:val="000000"/>
                <w:sz w:val="16"/>
                <w:szCs w:val="18"/>
                <w:lang w:val="en-GB"/>
              </w:rPr>
            </w:pPr>
            <w:r w:rsidRPr="0003657F">
              <w:rPr>
                <w:i/>
                <w:iCs/>
                <w:color w:val="000000"/>
                <w:sz w:val="16"/>
                <w:szCs w:val="18"/>
                <w:lang w:val="en-GB"/>
              </w:rPr>
              <w:t>Indicator</w:t>
            </w:r>
            <w:r w:rsidR="005D4762" w:rsidRPr="0003657F">
              <w:rPr>
                <w:i/>
                <w:iCs/>
                <w:color w:val="000000"/>
                <w:sz w:val="16"/>
                <w:szCs w:val="18"/>
                <w:lang w:val="en-GB"/>
              </w:rPr>
              <w:t xml:space="preserve"> </w:t>
            </w:r>
            <w:r w:rsidR="00FC7994" w:rsidRPr="0003657F">
              <w:rPr>
                <w:i/>
                <w:iCs/>
                <w:color w:val="000000"/>
                <w:sz w:val="16"/>
                <w:szCs w:val="18"/>
                <w:lang w:val="en-GB"/>
              </w:rPr>
              <w:t>2.4.2</w:t>
            </w:r>
            <w:r w:rsidRPr="0003657F">
              <w:rPr>
                <w:i/>
                <w:iCs/>
                <w:color w:val="000000"/>
                <w:sz w:val="16"/>
                <w:szCs w:val="18"/>
                <w:lang w:val="en-GB"/>
              </w:rPr>
              <w:t>:</w:t>
            </w:r>
            <w:r w:rsidRPr="0003657F">
              <w:rPr>
                <w:sz w:val="16"/>
                <w:szCs w:val="18"/>
                <w:lang w:val="en-GB"/>
              </w:rPr>
              <w:t xml:space="preserve"> </w:t>
            </w:r>
            <w:r w:rsidR="005D4762">
              <w:rPr>
                <w:sz w:val="16"/>
                <w:szCs w:val="18"/>
                <w:lang w:val="en-GB"/>
              </w:rPr>
              <w:t>Human resources management</w:t>
            </w:r>
            <w:r w:rsidRPr="0003657F">
              <w:rPr>
                <w:sz w:val="16"/>
                <w:szCs w:val="18"/>
                <w:lang w:val="en-GB"/>
              </w:rPr>
              <w:t xml:space="preserve"> processes and procedures meet minimum benchmarks</w:t>
            </w:r>
            <w:r w:rsidRPr="0003657F">
              <w:rPr>
                <w:rFonts w:eastAsiaTheme="minorHAnsi"/>
                <w:sz w:val="16"/>
                <w:szCs w:val="18"/>
                <w:lang w:val="en-GB"/>
              </w:rPr>
              <w:t xml:space="preserve"> of fai</w:t>
            </w:r>
            <w:r w:rsidR="005D4762">
              <w:rPr>
                <w:rFonts w:eastAsiaTheme="minorHAnsi"/>
                <w:sz w:val="16"/>
                <w:szCs w:val="18"/>
                <w:lang w:val="en-GB"/>
              </w:rPr>
              <w:t xml:space="preserve">r, </w:t>
            </w:r>
            <w:r w:rsidRPr="0003657F">
              <w:rPr>
                <w:rFonts w:eastAsiaTheme="minorHAnsi"/>
                <w:sz w:val="16"/>
                <w:szCs w:val="18"/>
                <w:lang w:val="en-GB"/>
              </w:rPr>
              <w:t xml:space="preserve">accountable recruitment, performance evaluation, and promotion </w:t>
            </w:r>
            <w:r w:rsidR="005D4762">
              <w:rPr>
                <w:rFonts w:eastAsiaTheme="minorHAnsi"/>
                <w:sz w:val="16"/>
                <w:szCs w:val="18"/>
                <w:lang w:val="en-GB"/>
              </w:rPr>
              <w:t>mechanism</w:t>
            </w:r>
            <w:r w:rsidRPr="0003657F">
              <w:rPr>
                <w:sz w:val="16"/>
                <w:szCs w:val="18"/>
                <w:lang w:val="en-GB"/>
              </w:rPr>
              <w:t xml:space="preserve">. </w:t>
            </w:r>
          </w:p>
          <w:p w14:paraId="200781E9" w14:textId="4F383CD5" w:rsidR="00350B0A" w:rsidRPr="0035173D" w:rsidRDefault="001525D2" w:rsidP="00C9722D">
            <w:pPr>
              <w:pStyle w:val="ListParagraph"/>
              <w:ind w:left="0"/>
              <w:rPr>
                <w:iCs/>
                <w:color w:val="000000"/>
                <w:sz w:val="16"/>
                <w:szCs w:val="18"/>
                <w:lang w:val="en-GB"/>
              </w:rPr>
            </w:pPr>
            <w:r w:rsidRPr="0003657F">
              <w:rPr>
                <w:i/>
                <w:iCs/>
                <w:color w:val="000000"/>
                <w:sz w:val="16"/>
                <w:szCs w:val="18"/>
                <w:lang w:val="en-GB"/>
              </w:rPr>
              <w:t>Baseline:</w:t>
            </w:r>
            <w:r w:rsidRPr="0035173D">
              <w:rPr>
                <w:iCs/>
                <w:color w:val="000000"/>
                <w:sz w:val="16"/>
                <w:szCs w:val="18"/>
                <w:lang w:val="en-GB"/>
              </w:rPr>
              <w:t xml:space="preserve"> </w:t>
            </w:r>
            <w:r w:rsidR="000F43CB" w:rsidRPr="0035173D">
              <w:rPr>
                <w:iCs/>
                <w:color w:val="000000"/>
                <w:sz w:val="16"/>
                <w:szCs w:val="18"/>
                <w:lang w:val="en-GB"/>
              </w:rPr>
              <w:t>1</w:t>
            </w:r>
            <w:r w:rsidR="005D4762">
              <w:rPr>
                <w:iCs/>
                <w:color w:val="000000"/>
                <w:sz w:val="16"/>
                <w:szCs w:val="18"/>
                <w:lang w:val="en-GB"/>
              </w:rPr>
              <w:t>;</w:t>
            </w:r>
            <w:r w:rsidR="000F43CB" w:rsidRPr="0035173D">
              <w:rPr>
                <w:iCs/>
                <w:color w:val="000000"/>
                <w:sz w:val="16"/>
                <w:szCs w:val="18"/>
                <w:lang w:val="en-GB"/>
              </w:rPr>
              <w:t xml:space="preserve"> </w:t>
            </w:r>
            <w:r w:rsidR="005D4762" w:rsidRPr="0003657F">
              <w:rPr>
                <w:i/>
                <w:iCs/>
                <w:color w:val="000000"/>
                <w:sz w:val="16"/>
                <w:szCs w:val="18"/>
                <w:lang w:val="en-GB"/>
              </w:rPr>
              <w:t>t</w:t>
            </w:r>
            <w:r w:rsidR="00350B0A" w:rsidRPr="0003657F">
              <w:rPr>
                <w:i/>
                <w:iCs/>
                <w:color w:val="000000"/>
                <w:sz w:val="16"/>
                <w:szCs w:val="18"/>
                <w:lang w:val="en-GB"/>
              </w:rPr>
              <w:t xml:space="preserve">arget: </w:t>
            </w:r>
            <w:r w:rsidR="000F43CB" w:rsidRPr="0035173D">
              <w:rPr>
                <w:iCs/>
                <w:color w:val="000000"/>
                <w:sz w:val="16"/>
                <w:szCs w:val="18"/>
                <w:lang w:val="en-GB"/>
              </w:rPr>
              <w:t>4</w:t>
            </w:r>
          </w:p>
          <w:p w14:paraId="5B0F8D8D" w14:textId="77777777" w:rsidR="001525D2" w:rsidRPr="0035173D" w:rsidRDefault="001525D2" w:rsidP="00C9722D">
            <w:pPr>
              <w:pStyle w:val="ListParagraph"/>
              <w:ind w:left="0"/>
              <w:rPr>
                <w:iCs/>
                <w:color w:val="000000"/>
                <w:sz w:val="16"/>
                <w:szCs w:val="18"/>
                <w:lang w:val="en-GB"/>
              </w:rPr>
            </w:pPr>
            <w:r w:rsidRPr="0003657F">
              <w:rPr>
                <w:i/>
                <w:iCs/>
                <w:color w:val="000000"/>
                <w:sz w:val="16"/>
                <w:szCs w:val="18"/>
                <w:lang w:val="en-GB"/>
              </w:rPr>
              <w:t>Data source:</w:t>
            </w:r>
            <w:r w:rsidRPr="0035173D">
              <w:rPr>
                <w:iCs/>
                <w:color w:val="000000"/>
                <w:sz w:val="16"/>
                <w:szCs w:val="18"/>
                <w:lang w:val="en-GB"/>
              </w:rPr>
              <w:t xml:space="preserve"> Civil Service Commission </w:t>
            </w:r>
          </w:p>
          <w:p w14:paraId="7EB6461E" w14:textId="1CC77A70" w:rsidR="00322ACA" w:rsidRPr="0035173D" w:rsidRDefault="001525D2" w:rsidP="00C9722D">
            <w:pPr>
              <w:pStyle w:val="ListParagraph"/>
              <w:ind w:left="0"/>
              <w:rPr>
                <w:iCs/>
                <w:color w:val="000000"/>
                <w:sz w:val="16"/>
                <w:szCs w:val="18"/>
                <w:lang w:val="en-GB"/>
              </w:rPr>
            </w:pPr>
            <w:r w:rsidRPr="0003657F">
              <w:rPr>
                <w:i/>
                <w:iCs/>
                <w:color w:val="000000"/>
                <w:sz w:val="16"/>
                <w:szCs w:val="18"/>
                <w:lang w:val="en-GB"/>
              </w:rPr>
              <w:t>Frequency</w:t>
            </w:r>
            <w:r w:rsidRPr="0035173D">
              <w:rPr>
                <w:iCs/>
                <w:color w:val="000000"/>
                <w:sz w:val="16"/>
                <w:szCs w:val="18"/>
                <w:lang w:val="en-GB"/>
              </w:rPr>
              <w:t xml:space="preserve">: </w:t>
            </w:r>
            <w:r w:rsidR="005D4762">
              <w:rPr>
                <w:iCs/>
                <w:color w:val="000000"/>
                <w:sz w:val="16"/>
                <w:szCs w:val="18"/>
                <w:lang w:val="en-GB"/>
              </w:rPr>
              <w:t>b</w:t>
            </w:r>
            <w:r w:rsidR="000F43CB" w:rsidRPr="0035173D">
              <w:rPr>
                <w:iCs/>
                <w:color w:val="000000"/>
                <w:sz w:val="16"/>
                <w:szCs w:val="18"/>
                <w:lang w:val="en-GB"/>
              </w:rPr>
              <w:t>iannual</w:t>
            </w:r>
            <w:r w:rsidRPr="0035173D">
              <w:rPr>
                <w:iCs/>
                <w:color w:val="000000"/>
                <w:sz w:val="16"/>
                <w:szCs w:val="18"/>
                <w:lang w:val="en-GB"/>
              </w:rPr>
              <w:t xml:space="preserve"> </w:t>
            </w:r>
          </w:p>
        </w:tc>
        <w:tc>
          <w:tcPr>
            <w:tcW w:w="791" w:type="pct"/>
            <w:vMerge w:val="restart"/>
          </w:tcPr>
          <w:p w14:paraId="31ACDC51" w14:textId="399FAA65" w:rsidR="00E07A5A" w:rsidRPr="0035173D" w:rsidRDefault="00E07A5A" w:rsidP="00B50D22">
            <w:pPr>
              <w:rPr>
                <w:iCs/>
                <w:color w:val="000000"/>
                <w:sz w:val="16"/>
                <w:szCs w:val="16"/>
                <w:lang w:val="en-GB"/>
              </w:rPr>
            </w:pPr>
            <w:r w:rsidRPr="0035173D">
              <w:rPr>
                <w:iCs/>
                <w:color w:val="000000"/>
                <w:sz w:val="16"/>
                <w:szCs w:val="16"/>
                <w:lang w:val="en-GB"/>
              </w:rPr>
              <w:t xml:space="preserve">Cabinet </w:t>
            </w:r>
            <w:r w:rsidR="00037FDE">
              <w:rPr>
                <w:iCs/>
                <w:color w:val="000000"/>
                <w:sz w:val="16"/>
                <w:szCs w:val="16"/>
                <w:lang w:val="en-GB"/>
              </w:rPr>
              <w:t>s</w:t>
            </w:r>
            <w:r w:rsidRPr="0035173D">
              <w:rPr>
                <w:iCs/>
                <w:color w:val="000000"/>
                <w:sz w:val="16"/>
                <w:szCs w:val="16"/>
                <w:lang w:val="en-GB"/>
              </w:rPr>
              <w:t xml:space="preserve">ecretariat, Ministry of Justice, Civil Service Commission, NHRCM, IAAC </w:t>
            </w:r>
          </w:p>
          <w:p w14:paraId="4F8CED29" w14:textId="77777777" w:rsidR="00067D80" w:rsidRPr="0035173D" w:rsidRDefault="00067D80" w:rsidP="00B50D22">
            <w:pPr>
              <w:rPr>
                <w:iCs/>
                <w:color w:val="000000"/>
                <w:sz w:val="16"/>
                <w:szCs w:val="16"/>
                <w:lang w:val="en-GB"/>
              </w:rPr>
            </w:pPr>
            <w:r w:rsidRPr="0035173D">
              <w:rPr>
                <w:iCs/>
                <w:color w:val="000000"/>
                <w:sz w:val="16"/>
                <w:szCs w:val="16"/>
                <w:lang w:val="en-GB"/>
              </w:rPr>
              <w:t>Civil society</w:t>
            </w:r>
          </w:p>
          <w:p w14:paraId="6C7320A6" w14:textId="77777777" w:rsidR="005715EA" w:rsidRPr="0035173D" w:rsidRDefault="005715EA" w:rsidP="00B50D22">
            <w:pPr>
              <w:rPr>
                <w:iCs/>
                <w:color w:val="000000"/>
                <w:sz w:val="16"/>
                <w:szCs w:val="16"/>
                <w:lang w:val="en-GB"/>
              </w:rPr>
            </w:pPr>
            <w:r w:rsidRPr="0035173D">
              <w:rPr>
                <w:iCs/>
                <w:color w:val="000000"/>
                <w:sz w:val="16"/>
                <w:szCs w:val="16"/>
                <w:lang w:val="en-GB"/>
              </w:rPr>
              <w:t>Development partners</w:t>
            </w:r>
          </w:p>
        </w:tc>
        <w:tc>
          <w:tcPr>
            <w:tcW w:w="585" w:type="pct"/>
            <w:tcMar>
              <w:top w:w="15" w:type="dxa"/>
              <w:left w:w="108" w:type="dxa"/>
              <w:bottom w:w="0" w:type="dxa"/>
              <w:right w:w="108" w:type="dxa"/>
            </w:tcMar>
          </w:tcPr>
          <w:p w14:paraId="17B86995" w14:textId="0FFCBFCE" w:rsidR="00E07A5A" w:rsidRPr="0003657F" w:rsidRDefault="00E07A5A" w:rsidP="00D87CDA">
            <w:pPr>
              <w:rPr>
                <w:b/>
                <w:color w:val="000000"/>
                <w:sz w:val="16"/>
                <w:szCs w:val="16"/>
                <w:lang w:val="en-GB"/>
              </w:rPr>
            </w:pPr>
            <w:r w:rsidRPr="0003657F">
              <w:rPr>
                <w:b/>
                <w:color w:val="000000"/>
                <w:sz w:val="16"/>
                <w:szCs w:val="16"/>
                <w:lang w:val="en-GB"/>
              </w:rPr>
              <w:t xml:space="preserve">Regular </w:t>
            </w:r>
            <w:r w:rsidR="00D87CDA">
              <w:rPr>
                <w:b/>
                <w:color w:val="000000"/>
                <w:sz w:val="16"/>
                <w:szCs w:val="16"/>
                <w:lang w:val="en-GB"/>
              </w:rPr>
              <w:t>5</w:t>
            </w:r>
            <w:r w:rsidR="00D87CDA" w:rsidRPr="0003657F">
              <w:rPr>
                <w:b/>
                <w:color w:val="000000"/>
                <w:sz w:val="16"/>
                <w:szCs w:val="16"/>
                <w:lang w:val="en-GB"/>
              </w:rPr>
              <w:t>10</w:t>
            </w:r>
          </w:p>
        </w:tc>
      </w:tr>
      <w:tr w:rsidR="000B34A2" w:rsidRPr="0035173D" w14:paraId="6D9FB789" w14:textId="77777777" w:rsidTr="0003657F">
        <w:trPr>
          <w:gridAfter w:val="1"/>
          <w:wAfter w:w="14" w:type="pct"/>
        </w:trPr>
        <w:tc>
          <w:tcPr>
            <w:tcW w:w="1100" w:type="pct"/>
            <w:vMerge/>
            <w:tcMar>
              <w:top w:w="72" w:type="dxa"/>
              <w:left w:w="144" w:type="dxa"/>
              <w:bottom w:w="72" w:type="dxa"/>
              <w:right w:w="144" w:type="dxa"/>
            </w:tcMar>
          </w:tcPr>
          <w:p w14:paraId="4767BA46" w14:textId="77777777" w:rsidR="00E07A5A" w:rsidRPr="0035173D" w:rsidRDefault="00E07A5A" w:rsidP="00B50D22">
            <w:pPr>
              <w:rPr>
                <w:iCs/>
                <w:color w:val="000000"/>
                <w:sz w:val="16"/>
                <w:szCs w:val="16"/>
                <w:lang w:val="en-GB"/>
              </w:rPr>
            </w:pPr>
          </w:p>
        </w:tc>
        <w:tc>
          <w:tcPr>
            <w:tcW w:w="722" w:type="pct"/>
            <w:vMerge/>
          </w:tcPr>
          <w:p w14:paraId="7161D9FB" w14:textId="77777777" w:rsidR="00E07A5A" w:rsidRPr="0035173D" w:rsidRDefault="00E07A5A" w:rsidP="00B50D22">
            <w:pPr>
              <w:rPr>
                <w:iCs/>
                <w:color w:val="000000"/>
                <w:sz w:val="16"/>
                <w:szCs w:val="16"/>
                <w:lang w:val="en-GB"/>
              </w:rPr>
            </w:pPr>
          </w:p>
        </w:tc>
        <w:tc>
          <w:tcPr>
            <w:tcW w:w="1788" w:type="pct"/>
            <w:vMerge/>
            <w:tcMar>
              <w:top w:w="72" w:type="dxa"/>
              <w:left w:w="144" w:type="dxa"/>
              <w:bottom w:w="72" w:type="dxa"/>
              <w:right w:w="144" w:type="dxa"/>
            </w:tcMar>
          </w:tcPr>
          <w:p w14:paraId="51F4681F" w14:textId="77777777" w:rsidR="00E07A5A" w:rsidRPr="0035173D" w:rsidRDefault="00E07A5A" w:rsidP="00B50D22">
            <w:pPr>
              <w:rPr>
                <w:iCs/>
                <w:color w:val="000000"/>
                <w:sz w:val="16"/>
                <w:szCs w:val="16"/>
                <w:lang w:val="en-GB"/>
              </w:rPr>
            </w:pPr>
          </w:p>
        </w:tc>
        <w:tc>
          <w:tcPr>
            <w:tcW w:w="791" w:type="pct"/>
            <w:vMerge/>
          </w:tcPr>
          <w:p w14:paraId="284B4382" w14:textId="77777777" w:rsidR="00E07A5A" w:rsidRPr="0035173D" w:rsidRDefault="00E07A5A" w:rsidP="00B50D22">
            <w:pPr>
              <w:rPr>
                <w:iCs/>
                <w:color w:val="000000"/>
                <w:sz w:val="16"/>
                <w:szCs w:val="16"/>
                <w:lang w:val="en-GB"/>
              </w:rPr>
            </w:pPr>
          </w:p>
        </w:tc>
        <w:tc>
          <w:tcPr>
            <w:tcW w:w="585" w:type="pct"/>
            <w:tcMar>
              <w:top w:w="15" w:type="dxa"/>
              <w:left w:w="108" w:type="dxa"/>
              <w:bottom w:w="0" w:type="dxa"/>
              <w:right w:w="108" w:type="dxa"/>
            </w:tcMar>
          </w:tcPr>
          <w:p w14:paraId="6A698853" w14:textId="1C5AE9B7" w:rsidR="00E07A5A" w:rsidRPr="0003657F" w:rsidRDefault="00E07A5A" w:rsidP="00B50D22">
            <w:pPr>
              <w:rPr>
                <w:b/>
                <w:color w:val="000000"/>
                <w:sz w:val="16"/>
                <w:szCs w:val="16"/>
                <w:lang w:val="en-GB"/>
              </w:rPr>
            </w:pPr>
            <w:r w:rsidRPr="0003657F">
              <w:rPr>
                <w:b/>
                <w:color w:val="000000"/>
                <w:sz w:val="16"/>
                <w:szCs w:val="16"/>
                <w:lang w:val="en-GB"/>
              </w:rPr>
              <w:t>Other 6,0</w:t>
            </w:r>
            <w:r w:rsidR="006B5C30">
              <w:rPr>
                <w:b/>
                <w:color w:val="000000"/>
                <w:sz w:val="16"/>
                <w:szCs w:val="16"/>
                <w:lang w:val="en-GB"/>
              </w:rPr>
              <w:t>9</w:t>
            </w:r>
            <w:r w:rsidRPr="0003657F">
              <w:rPr>
                <w:b/>
                <w:color w:val="000000"/>
                <w:sz w:val="16"/>
                <w:szCs w:val="16"/>
                <w:lang w:val="en-GB"/>
              </w:rPr>
              <w:t>0</w:t>
            </w:r>
          </w:p>
        </w:tc>
      </w:tr>
    </w:tbl>
    <w:p w14:paraId="1B6CE263" w14:textId="77777777" w:rsidR="00D6679C" w:rsidRPr="0003657F" w:rsidRDefault="00D6679C" w:rsidP="00FD7976">
      <w:pPr>
        <w:rPr>
          <w:color w:val="000000"/>
          <w:sz w:val="2"/>
          <w:lang w:val="en-GB"/>
        </w:rPr>
      </w:pPr>
    </w:p>
    <w:p w14:paraId="18C6B3EA" w14:textId="77777777" w:rsidR="00D209ED" w:rsidRDefault="00D209ED" w:rsidP="00D209ED">
      <w:pPr>
        <w:jc w:val="center"/>
        <w:rPr>
          <w:color w:val="000000"/>
          <w:sz w:val="2"/>
          <w:lang w:val="en-GB"/>
        </w:rPr>
      </w:pPr>
    </w:p>
    <w:p w14:paraId="19F0DA66" w14:textId="77777777" w:rsidR="00D209ED" w:rsidRDefault="00D209ED" w:rsidP="00D209ED">
      <w:pPr>
        <w:jc w:val="center"/>
        <w:rPr>
          <w:color w:val="000000"/>
          <w:sz w:val="2"/>
          <w:lang w:val="en-GB"/>
        </w:rPr>
      </w:pPr>
    </w:p>
    <w:p w14:paraId="47F72BFC" w14:textId="77777777" w:rsidR="00D209ED" w:rsidRDefault="00D209ED" w:rsidP="00D209ED">
      <w:pPr>
        <w:jc w:val="center"/>
        <w:rPr>
          <w:color w:val="000000"/>
          <w:sz w:val="2"/>
          <w:lang w:val="en-GB"/>
        </w:rPr>
      </w:pPr>
    </w:p>
    <w:p w14:paraId="705F2D79" w14:textId="77777777" w:rsidR="00D209ED" w:rsidRDefault="00D209ED" w:rsidP="00D209ED">
      <w:pPr>
        <w:jc w:val="center"/>
        <w:rPr>
          <w:color w:val="000000"/>
          <w:sz w:val="2"/>
          <w:lang w:val="en-GB"/>
        </w:rPr>
      </w:pPr>
    </w:p>
    <w:p w14:paraId="0E606D60" w14:textId="77777777" w:rsidR="00D209ED" w:rsidRDefault="00D209ED" w:rsidP="00D209ED">
      <w:pPr>
        <w:jc w:val="center"/>
        <w:rPr>
          <w:color w:val="000000"/>
          <w:sz w:val="2"/>
          <w:lang w:val="en-GB"/>
        </w:rPr>
      </w:pPr>
    </w:p>
    <w:p w14:paraId="3B35BF9D" w14:textId="7ED59B28" w:rsidR="00C9722D" w:rsidRPr="0003657F" w:rsidRDefault="00D209ED" w:rsidP="00D209ED">
      <w:pPr>
        <w:jc w:val="center"/>
        <w:rPr>
          <w:color w:val="000000"/>
          <w:sz w:val="2"/>
          <w:lang w:val="en-GB"/>
        </w:rPr>
      </w:pPr>
      <w:r>
        <w:rPr>
          <w:noProof/>
          <w:color w:val="000000"/>
          <w:sz w:val="2"/>
        </w:rPr>
        <w:drawing>
          <wp:inline distT="0" distB="0" distL="0" distR="0" wp14:anchorId="2CEE5EEF" wp14:editId="12671CC0">
            <wp:extent cx="944880" cy="30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C9722D" w:rsidRPr="0003657F" w:rsidSect="002D4C92">
      <w:headerReference w:type="even" r:id="rId22"/>
      <w:head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7C6F6" w14:textId="77777777" w:rsidR="00680AAB" w:rsidRDefault="00680AAB" w:rsidP="00441061">
      <w:r>
        <w:separator/>
      </w:r>
    </w:p>
  </w:endnote>
  <w:endnote w:type="continuationSeparator" w:id="0">
    <w:p w14:paraId="0851559C" w14:textId="77777777" w:rsidR="00680AAB" w:rsidRDefault="00680AAB"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7743" w14:textId="77777777" w:rsidR="008E3991" w:rsidRPr="005841A3" w:rsidRDefault="008E399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8EA6" w14:textId="77777777" w:rsidR="008E3991" w:rsidRPr="005841A3" w:rsidRDefault="008E399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p w14:paraId="42F752EB" w14:textId="77777777" w:rsidR="008E3991" w:rsidRDefault="008E3991"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62576"/>
      <w:docPartObj>
        <w:docPartGallery w:val="Page Numbers (Bottom of Page)"/>
        <w:docPartUnique/>
      </w:docPartObj>
    </w:sdtPr>
    <w:sdtEndPr>
      <w:rPr>
        <w:b/>
        <w:noProof/>
        <w:sz w:val="17"/>
        <w:szCs w:val="17"/>
      </w:rPr>
    </w:sdtEndPr>
    <w:sdtContent>
      <w:p w14:paraId="6ACD1A8A" w14:textId="211A6452" w:rsidR="008E3991" w:rsidRPr="003D49DC" w:rsidRDefault="008E3991" w:rsidP="003D49DC">
        <w:pPr>
          <w:pStyle w:val="Footer"/>
          <w:rPr>
            <w:b/>
            <w:sz w:val="17"/>
            <w:szCs w:val="17"/>
          </w:rPr>
        </w:pPr>
        <w:r w:rsidRPr="003D49DC">
          <w:rPr>
            <w:b/>
            <w:sz w:val="17"/>
            <w:szCs w:val="17"/>
          </w:rPr>
          <w:fldChar w:fldCharType="begin"/>
        </w:r>
        <w:r w:rsidRPr="003D49DC">
          <w:rPr>
            <w:b/>
            <w:sz w:val="17"/>
            <w:szCs w:val="17"/>
          </w:rPr>
          <w:instrText xml:space="preserve"> PAGE   \* MERGEFORMAT </w:instrText>
        </w:r>
        <w:r w:rsidRPr="003D49DC">
          <w:rPr>
            <w:b/>
            <w:sz w:val="17"/>
            <w:szCs w:val="17"/>
          </w:rPr>
          <w:fldChar w:fldCharType="separate"/>
        </w:r>
        <w:r w:rsidR="00E736A6">
          <w:rPr>
            <w:b/>
            <w:noProof/>
            <w:sz w:val="17"/>
            <w:szCs w:val="17"/>
          </w:rPr>
          <w:t>14</w:t>
        </w:r>
        <w:r w:rsidRPr="003D49DC">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8FF7" w14:textId="77777777" w:rsidR="008E3991" w:rsidRPr="00A226B9" w:rsidRDefault="008E3991">
    <w:pPr>
      <w:pStyle w:val="Footer"/>
      <w:framePr w:wrap="around" w:vAnchor="text" w:hAnchor="margin" w:xAlign="right" w:y="1"/>
      <w:rPr>
        <w:rStyle w:val="PageNumber"/>
        <w:b/>
      </w:rPr>
    </w:pPr>
    <w:r w:rsidRPr="00A226B9">
      <w:rPr>
        <w:rStyle w:val="PageNumber"/>
        <w:b/>
      </w:rPr>
      <w:fldChar w:fldCharType="begin"/>
    </w:r>
    <w:r w:rsidRPr="00A226B9">
      <w:rPr>
        <w:rStyle w:val="PageNumber"/>
        <w:b/>
      </w:rPr>
      <w:instrText xml:space="preserve">PAGE  </w:instrText>
    </w:r>
    <w:r w:rsidRPr="00A226B9">
      <w:rPr>
        <w:rStyle w:val="PageNumber"/>
        <w:b/>
      </w:rPr>
      <w:fldChar w:fldCharType="separate"/>
    </w:r>
    <w:r w:rsidR="00E736A6">
      <w:rPr>
        <w:rStyle w:val="PageNumber"/>
        <w:b/>
        <w:noProof/>
      </w:rPr>
      <w:t>13</w:t>
    </w:r>
    <w:r w:rsidRPr="00A226B9">
      <w:rPr>
        <w:rStyle w:val="PageNumber"/>
        <w:b/>
      </w:rPr>
      <w:fldChar w:fldCharType="end"/>
    </w:r>
  </w:p>
  <w:p w14:paraId="140DB021" w14:textId="77777777" w:rsidR="008E3991" w:rsidRPr="00EB6DF1" w:rsidRDefault="008E3991">
    <w:pPr>
      <w:pStyle w:val="Footer"/>
      <w:ind w:right="360"/>
      <w:rPr>
        <w:b/>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801747"/>
      <w:docPartObj>
        <w:docPartGallery w:val="Page Numbers (Bottom of Page)"/>
        <w:docPartUnique/>
      </w:docPartObj>
    </w:sdtPr>
    <w:sdtEndPr>
      <w:rPr>
        <w:b/>
        <w:noProof/>
        <w:sz w:val="17"/>
        <w:szCs w:val="17"/>
      </w:rPr>
    </w:sdtEndPr>
    <w:sdtContent>
      <w:p w14:paraId="77EBDBAD" w14:textId="77777777" w:rsidR="008E3991" w:rsidRPr="00123AF2" w:rsidRDefault="008E3991">
        <w:pPr>
          <w:pStyle w:val="Footer"/>
          <w:rPr>
            <w:b/>
            <w:sz w:val="17"/>
            <w:szCs w:val="17"/>
          </w:rPr>
        </w:pPr>
        <w:r w:rsidRPr="00123AF2">
          <w:rPr>
            <w:b/>
            <w:sz w:val="17"/>
            <w:szCs w:val="17"/>
          </w:rPr>
          <w:fldChar w:fldCharType="begin"/>
        </w:r>
        <w:r w:rsidRPr="00123AF2">
          <w:rPr>
            <w:b/>
            <w:sz w:val="17"/>
            <w:szCs w:val="17"/>
          </w:rPr>
          <w:instrText xml:space="preserve"> PAGE   \* MERGEFORMAT </w:instrText>
        </w:r>
        <w:r w:rsidRPr="00123AF2">
          <w:rPr>
            <w:b/>
            <w:sz w:val="17"/>
            <w:szCs w:val="17"/>
          </w:rPr>
          <w:fldChar w:fldCharType="separate"/>
        </w:r>
        <w:r w:rsidR="00E736A6">
          <w:rPr>
            <w:b/>
            <w:noProof/>
            <w:sz w:val="17"/>
            <w:szCs w:val="17"/>
          </w:rPr>
          <w:t>2</w:t>
        </w:r>
        <w:r w:rsidRPr="00123AF2">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7551A" w14:textId="77777777" w:rsidR="00680AAB" w:rsidRDefault="00680AAB" w:rsidP="00441061">
      <w:r>
        <w:separator/>
      </w:r>
    </w:p>
  </w:footnote>
  <w:footnote w:type="continuationSeparator" w:id="0">
    <w:p w14:paraId="5B1733FB" w14:textId="77777777" w:rsidR="00680AAB" w:rsidRDefault="00680AAB" w:rsidP="00441061">
      <w:r>
        <w:continuationSeparator/>
      </w:r>
    </w:p>
  </w:footnote>
  <w:footnote w:id="1">
    <w:p w14:paraId="3474A5F5" w14:textId="77777777" w:rsidR="008E3991" w:rsidRPr="00190D29" w:rsidRDefault="008E3991" w:rsidP="007B6EAD">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Freedom in the World  2015, Freedom House</w:t>
      </w:r>
    </w:p>
  </w:footnote>
  <w:footnote w:id="2">
    <w:p w14:paraId="7A0F7DCB" w14:textId="60B5956D" w:rsidR="008E3991" w:rsidRPr="00190D29" w:rsidRDefault="008E3991" w:rsidP="00894589">
      <w:pPr>
        <w:pStyle w:val="FootnoteText"/>
        <w:rPr>
          <w:rFonts w:ascii="Times New Roman" w:hAnsi="Times New Roman"/>
          <w:sz w:val="18"/>
        </w:rPr>
      </w:pPr>
      <w:r w:rsidRPr="00190D29">
        <w:rPr>
          <w:rStyle w:val="FootnoteReference"/>
          <w:rFonts w:ascii="Times New Roman" w:hAnsi="Times New Roman"/>
          <w:sz w:val="16"/>
        </w:rPr>
        <w:footnoteRef/>
      </w:r>
      <w:r w:rsidRPr="00190D29">
        <w:rPr>
          <w:rFonts w:ascii="Times New Roman" w:hAnsi="Times New Roman"/>
          <w:sz w:val="16"/>
        </w:rPr>
        <w:t xml:space="preserve"> </w:t>
      </w:r>
      <w:r>
        <w:rPr>
          <w:rFonts w:ascii="Times New Roman" w:hAnsi="Times New Roman"/>
          <w:sz w:val="16"/>
        </w:rPr>
        <w:t>‘Ten</w:t>
      </w:r>
      <w:r w:rsidRPr="00190D29">
        <w:rPr>
          <w:rFonts w:ascii="Times New Roman" w:hAnsi="Times New Roman"/>
          <w:sz w:val="16"/>
        </w:rPr>
        <w:t xml:space="preserve"> countries move up in income bracket</w:t>
      </w:r>
      <w:r>
        <w:rPr>
          <w:rFonts w:ascii="Times New Roman" w:hAnsi="Times New Roman"/>
          <w:sz w:val="16"/>
        </w:rPr>
        <w:t>’</w:t>
      </w:r>
      <w:r w:rsidRPr="00190D29">
        <w:rPr>
          <w:rFonts w:ascii="Times New Roman" w:hAnsi="Times New Roman"/>
          <w:sz w:val="16"/>
        </w:rPr>
        <w:t xml:space="preserve">, World Bank, 2015; </w:t>
      </w:r>
    </w:p>
  </w:footnote>
  <w:footnote w:id="3">
    <w:p w14:paraId="3F59D420" w14:textId="77777777" w:rsidR="008E3991" w:rsidRPr="00190D29" w:rsidRDefault="008E3991" w:rsidP="00894589">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Poverty headcount ratio at national poverty lines (% of population), World Bank, 2014</w:t>
      </w:r>
    </w:p>
  </w:footnote>
  <w:footnote w:id="4">
    <w:p w14:paraId="742BA15E" w14:textId="3132669E" w:rsidR="008E3991" w:rsidRPr="00190D29" w:rsidRDefault="008E3991" w:rsidP="00894589">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UNDP, Human </w:t>
      </w:r>
      <w:r>
        <w:rPr>
          <w:rFonts w:ascii="Times New Roman" w:hAnsi="Times New Roman"/>
          <w:sz w:val="16"/>
          <w:szCs w:val="18"/>
        </w:rPr>
        <w:t>D</w:t>
      </w:r>
      <w:r w:rsidRPr="00190D29">
        <w:rPr>
          <w:rFonts w:ascii="Times New Roman" w:hAnsi="Times New Roman"/>
          <w:sz w:val="16"/>
          <w:szCs w:val="18"/>
        </w:rPr>
        <w:t>evelopment Report</w:t>
      </w:r>
      <w:r>
        <w:rPr>
          <w:rFonts w:ascii="Times New Roman" w:hAnsi="Times New Roman"/>
          <w:sz w:val="16"/>
          <w:szCs w:val="18"/>
        </w:rPr>
        <w:t>,</w:t>
      </w:r>
      <w:r w:rsidRPr="00190D29">
        <w:rPr>
          <w:rFonts w:ascii="Times New Roman" w:hAnsi="Times New Roman"/>
          <w:sz w:val="16"/>
          <w:szCs w:val="18"/>
        </w:rPr>
        <w:t xml:space="preserve"> 2014</w:t>
      </w:r>
    </w:p>
  </w:footnote>
  <w:footnote w:id="5">
    <w:p w14:paraId="48DA99DF" w14:textId="75978413" w:rsidR="008E3991" w:rsidRPr="00190D29" w:rsidRDefault="008E3991" w:rsidP="006A6D2F">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Global Economic Prospects </w:t>
      </w:r>
      <w:r>
        <w:rPr>
          <w:rFonts w:ascii="Times New Roman" w:hAnsi="Times New Roman"/>
          <w:sz w:val="16"/>
          <w:szCs w:val="18"/>
        </w:rPr>
        <w:t>(f</w:t>
      </w:r>
      <w:r w:rsidRPr="00190D29">
        <w:rPr>
          <w:rFonts w:ascii="Times New Roman" w:hAnsi="Times New Roman"/>
          <w:sz w:val="16"/>
          <w:szCs w:val="18"/>
        </w:rPr>
        <w:t>orecasts</w:t>
      </w:r>
      <w:r>
        <w:rPr>
          <w:rFonts w:ascii="Times New Roman" w:hAnsi="Times New Roman"/>
          <w:sz w:val="16"/>
          <w:szCs w:val="18"/>
        </w:rPr>
        <w:t>)</w:t>
      </w:r>
      <w:r w:rsidRPr="00190D29">
        <w:rPr>
          <w:rFonts w:ascii="Times New Roman" w:hAnsi="Times New Roman"/>
          <w:sz w:val="16"/>
          <w:szCs w:val="18"/>
        </w:rPr>
        <w:t>, World Bank, 2016</w:t>
      </w:r>
    </w:p>
  </w:footnote>
  <w:footnote w:id="6">
    <w:p w14:paraId="054DCA45" w14:textId="78C0EF3A" w:rsidR="008E3991" w:rsidRPr="00190D29" w:rsidRDefault="008E3991" w:rsidP="00B05355">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Economic and </w:t>
      </w:r>
      <w:r>
        <w:rPr>
          <w:rFonts w:ascii="Times New Roman" w:hAnsi="Times New Roman"/>
          <w:sz w:val="16"/>
          <w:szCs w:val="18"/>
        </w:rPr>
        <w:t>s</w:t>
      </w:r>
      <w:r w:rsidRPr="00190D29">
        <w:rPr>
          <w:rFonts w:ascii="Times New Roman" w:hAnsi="Times New Roman"/>
          <w:sz w:val="16"/>
          <w:szCs w:val="18"/>
        </w:rPr>
        <w:t xml:space="preserve">ocial </w:t>
      </w:r>
      <w:r>
        <w:rPr>
          <w:rFonts w:ascii="Times New Roman" w:hAnsi="Times New Roman"/>
          <w:sz w:val="16"/>
          <w:szCs w:val="18"/>
        </w:rPr>
        <w:t>s</w:t>
      </w:r>
      <w:r w:rsidRPr="00190D29">
        <w:rPr>
          <w:rFonts w:ascii="Times New Roman" w:hAnsi="Times New Roman"/>
          <w:sz w:val="16"/>
          <w:szCs w:val="18"/>
        </w:rPr>
        <w:t>urvey of Asia and the Pacific</w:t>
      </w:r>
      <w:r>
        <w:rPr>
          <w:rFonts w:ascii="Times New Roman" w:hAnsi="Times New Roman"/>
          <w:sz w:val="16"/>
          <w:szCs w:val="18"/>
        </w:rPr>
        <w:t>,</w:t>
      </w:r>
      <w:r w:rsidRPr="00190D29">
        <w:rPr>
          <w:rFonts w:ascii="Times New Roman" w:hAnsi="Times New Roman"/>
          <w:sz w:val="16"/>
          <w:szCs w:val="18"/>
        </w:rPr>
        <w:t xml:space="preserve"> 2015, </w:t>
      </w:r>
      <w:r w:rsidRPr="0003657F">
        <w:rPr>
          <w:rFonts w:ascii="Times New Roman" w:hAnsi="Times New Roman"/>
          <w:sz w:val="16"/>
          <w:szCs w:val="18"/>
        </w:rPr>
        <w:t>Economic and Social Commission for Asia and the Pacific</w:t>
      </w:r>
    </w:p>
  </w:footnote>
  <w:footnote w:id="7">
    <w:p w14:paraId="14556CC5" w14:textId="1CA672E4" w:rsidR="008E3991" w:rsidRPr="00190D29" w:rsidRDefault="008E3991">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Key </w:t>
      </w:r>
      <w:r>
        <w:rPr>
          <w:rFonts w:ascii="Times New Roman" w:hAnsi="Times New Roman"/>
          <w:sz w:val="16"/>
          <w:szCs w:val="18"/>
        </w:rPr>
        <w:t>i</w:t>
      </w:r>
      <w:r w:rsidRPr="00190D29">
        <w:rPr>
          <w:rFonts w:ascii="Times New Roman" w:hAnsi="Times New Roman"/>
          <w:sz w:val="16"/>
          <w:szCs w:val="18"/>
        </w:rPr>
        <w:t>ndicators for Asia and the Pacific</w:t>
      </w:r>
      <w:r>
        <w:rPr>
          <w:rFonts w:ascii="Times New Roman" w:hAnsi="Times New Roman"/>
          <w:sz w:val="16"/>
          <w:szCs w:val="18"/>
        </w:rPr>
        <w:t>,</w:t>
      </w:r>
      <w:r w:rsidRPr="00190D29">
        <w:rPr>
          <w:rFonts w:ascii="Times New Roman" w:hAnsi="Times New Roman"/>
          <w:sz w:val="16"/>
          <w:szCs w:val="18"/>
        </w:rPr>
        <w:t xml:space="preserve"> 2015, Asian Development Bank</w:t>
      </w:r>
    </w:p>
  </w:footnote>
  <w:footnote w:id="8">
    <w:p w14:paraId="2C3A81C8" w14:textId="62A6FF12" w:rsidR="008E3991" w:rsidRPr="00190D29" w:rsidRDefault="008E3991" w:rsidP="00B05355">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Statistics </w:t>
      </w:r>
      <w:r>
        <w:rPr>
          <w:rFonts w:ascii="Times New Roman" w:hAnsi="Times New Roman"/>
          <w:sz w:val="16"/>
          <w:szCs w:val="18"/>
        </w:rPr>
        <w:t>y</w:t>
      </w:r>
      <w:r w:rsidRPr="00190D29">
        <w:rPr>
          <w:rFonts w:ascii="Times New Roman" w:hAnsi="Times New Roman"/>
          <w:sz w:val="16"/>
          <w:szCs w:val="18"/>
        </w:rPr>
        <w:t>earbook</w:t>
      </w:r>
      <w:r>
        <w:rPr>
          <w:rFonts w:ascii="Times New Roman" w:hAnsi="Times New Roman"/>
          <w:sz w:val="16"/>
          <w:szCs w:val="18"/>
        </w:rPr>
        <w:t>,</w:t>
      </w:r>
      <w:r w:rsidRPr="00190D29">
        <w:rPr>
          <w:rFonts w:ascii="Times New Roman" w:hAnsi="Times New Roman"/>
          <w:sz w:val="16"/>
          <w:szCs w:val="18"/>
        </w:rPr>
        <w:t xml:space="preserve"> 2014, </w:t>
      </w:r>
      <w:r>
        <w:rPr>
          <w:rFonts w:ascii="Times New Roman" w:hAnsi="Times New Roman"/>
          <w:sz w:val="16"/>
          <w:szCs w:val="18"/>
        </w:rPr>
        <w:t>National Statistical Office</w:t>
      </w:r>
    </w:p>
  </w:footnote>
  <w:footnote w:id="9">
    <w:p w14:paraId="5B91A2AE" w14:textId="644AAB24" w:rsidR="008E3991" w:rsidRPr="00190D29" w:rsidRDefault="008E3991" w:rsidP="00306427">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Assessment </w:t>
      </w:r>
      <w:r>
        <w:rPr>
          <w:rFonts w:ascii="Times New Roman" w:hAnsi="Times New Roman"/>
          <w:sz w:val="16"/>
          <w:szCs w:val="18"/>
        </w:rPr>
        <w:t>r</w:t>
      </w:r>
      <w:r w:rsidRPr="00190D29">
        <w:rPr>
          <w:rFonts w:ascii="Times New Roman" w:hAnsi="Times New Roman"/>
          <w:sz w:val="16"/>
          <w:szCs w:val="18"/>
        </w:rPr>
        <w:t xml:space="preserve">eport on </w:t>
      </w:r>
      <w:r>
        <w:rPr>
          <w:rFonts w:ascii="Times New Roman" w:hAnsi="Times New Roman"/>
          <w:sz w:val="16"/>
          <w:szCs w:val="18"/>
        </w:rPr>
        <w:t>c</w:t>
      </w:r>
      <w:r w:rsidRPr="00190D29">
        <w:rPr>
          <w:rFonts w:ascii="Times New Roman" w:hAnsi="Times New Roman"/>
          <w:sz w:val="16"/>
          <w:szCs w:val="18"/>
        </w:rPr>
        <w:t xml:space="preserve">limate </w:t>
      </w:r>
      <w:r>
        <w:rPr>
          <w:rFonts w:ascii="Times New Roman" w:hAnsi="Times New Roman"/>
          <w:sz w:val="16"/>
          <w:szCs w:val="18"/>
        </w:rPr>
        <w:t>c</w:t>
      </w:r>
      <w:r w:rsidRPr="00190D29">
        <w:rPr>
          <w:rFonts w:ascii="Times New Roman" w:hAnsi="Times New Roman"/>
          <w:sz w:val="16"/>
          <w:szCs w:val="18"/>
        </w:rPr>
        <w:t xml:space="preserve">hange, </w:t>
      </w:r>
      <w:r w:rsidRPr="00F63BB7">
        <w:rPr>
          <w:rFonts w:ascii="Times New Roman" w:hAnsi="Times New Roman"/>
          <w:sz w:val="16"/>
          <w:szCs w:val="18"/>
        </w:rPr>
        <w:t>Ministry of Environment, Green Development and Tourism</w:t>
      </w:r>
      <w:r w:rsidRPr="00190D29">
        <w:rPr>
          <w:rFonts w:ascii="Times New Roman" w:hAnsi="Times New Roman"/>
          <w:sz w:val="16"/>
          <w:szCs w:val="18"/>
        </w:rPr>
        <w:t>, 2014</w:t>
      </w:r>
    </w:p>
  </w:footnote>
  <w:footnote w:id="10">
    <w:p w14:paraId="7D1AE2EB" w14:textId="77777777" w:rsidR="008E3991" w:rsidRPr="00190D29" w:rsidRDefault="008E3991" w:rsidP="004408C5">
      <w:pPr>
        <w:pStyle w:val="FootnoteText"/>
        <w:rPr>
          <w:rFonts w:ascii="Times New Roman" w:hAnsi="Times New Roman"/>
          <w:sz w:val="16"/>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General Election Committee, 2012</w:t>
      </w:r>
    </w:p>
  </w:footnote>
  <w:footnote w:id="11">
    <w:p w14:paraId="0B805F4A" w14:textId="77777777" w:rsidR="008E3991" w:rsidRPr="00190D29" w:rsidRDefault="008E3991" w:rsidP="004408C5">
      <w:pPr>
        <w:pStyle w:val="FootnoteText"/>
        <w:rPr>
          <w:rFonts w:ascii="Times New Roman" w:hAnsi="Times New Roman"/>
          <w:sz w:val="18"/>
          <w:szCs w:val="18"/>
        </w:rPr>
      </w:pPr>
      <w:r w:rsidRPr="00190D29">
        <w:rPr>
          <w:rStyle w:val="FootnoteReference"/>
          <w:rFonts w:ascii="Times New Roman" w:hAnsi="Times New Roman"/>
          <w:sz w:val="16"/>
          <w:szCs w:val="18"/>
        </w:rPr>
        <w:footnoteRef/>
      </w:r>
      <w:r w:rsidRPr="00190D29">
        <w:rPr>
          <w:rFonts w:ascii="Times New Roman" w:hAnsi="Times New Roman"/>
          <w:sz w:val="16"/>
          <w:szCs w:val="18"/>
        </w:rPr>
        <w:t xml:space="preserve"> National survey on youth political participation, Institute of Philosophy, Sociology and Law, 2013 </w:t>
      </w:r>
    </w:p>
  </w:footnote>
  <w:footnote w:id="12">
    <w:p w14:paraId="56D44E8E" w14:textId="0BDB5FF8" w:rsidR="008E3991" w:rsidRPr="0003657F" w:rsidRDefault="008E3991" w:rsidP="009340FB">
      <w:pPr>
        <w:pStyle w:val="FootnoteText"/>
        <w:rPr>
          <w:rFonts w:ascii="Times New Roman" w:hAnsi="Times New Roman"/>
          <w:sz w:val="18"/>
          <w:szCs w:val="18"/>
        </w:rPr>
      </w:pPr>
      <w:r w:rsidRPr="0003657F">
        <w:rPr>
          <w:rStyle w:val="None"/>
          <w:rFonts w:ascii="Times New Roman" w:eastAsia="Calibri" w:hAnsi="Times New Roman"/>
          <w:sz w:val="16"/>
          <w:szCs w:val="18"/>
          <w:vertAlign w:val="superscript"/>
        </w:rPr>
        <w:footnoteRef/>
      </w:r>
      <w:r w:rsidRPr="0003657F">
        <w:rPr>
          <w:rFonts w:ascii="Times New Roman" w:eastAsia="Calibri" w:hAnsi="Times New Roman"/>
          <w:sz w:val="16"/>
          <w:szCs w:val="18"/>
        </w:rPr>
        <w:t xml:space="preserve"> </w:t>
      </w:r>
      <w:r w:rsidRPr="0003657F">
        <w:rPr>
          <w:rFonts w:ascii="Times New Roman" w:hAnsi="Times New Roman"/>
          <w:sz w:val="16"/>
          <w:szCs w:val="18"/>
        </w:rPr>
        <w:t xml:space="preserve">Mongolia </w:t>
      </w:r>
      <w:r w:rsidRPr="006C36EB">
        <w:rPr>
          <w:rFonts w:ascii="Times New Roman" w:hAnsi="Times New Roman"/>
          <w:sz w:val="16"/>
          <w:szCs w:val="18"/>
        </w:rPr>
        <w:t>assessment report on climate change</w:t>
      </w:r>
      <w:r w:rsidRPr="0003657F">
        <w:rPr>
          <w:rFonts w:ascii="Times New Roman" w:hAnsi="Times New Roman"/>
          <w:sz w:val="16"/>
          <w:szCs w:val="18"/>
        </w:rPr>
        <w:t>, Ministry of Environment, Green Development and Tourism, 2014</w:t>
      </w:r>
    </w:p>
  </w:footnote>
  <w:footnote w:id="13">
    <w:p w14:paraId="29D69207" w14:textId="0954885E" w:rsidR="008E3991" w:rsidRPr="0003657F" w:rsidRDefault="008E3991" w:rsidP="00B05355">
      <w:pPr>
        <w:pStyle w:val="FootnoteText"/>
        <w:rPr>
          <w:rFonts w:ascii="Times New Roman" w:hAnsi="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w:t>
      </w:r>
      <w:r>
        <w:rPr>
          <w:rFonts w:ascii="Times New Roman" w:hAnsi="Times New Roman"/>
          <w:sz w:val="16"/>
          <w:szCs w:val="18"/>
        </w:rPr>
        <w:t>F</w:t>
      </w:r>
      <w:r w:rsidRPr="0003657F">
        <w:rPr>
          <w:rFonts w:ascii="Times New Roman" w:hAnsi="Times New Roman"/>
          <w:sz w:val="16"/>
          <w:szCs w:val="18"/>
        </w:rPr>
        <w:t>ifth M</w:t>
      </w:r>
      <w:r>
        <w:rPr>
          <w:rFonts w:ascii="Times New Roman" w:hAnsi="Times New Roman"/>
          <w:sz w:val="16"/>
          <w:szCs w:val="18"/>
        </w:rPr>
        <w:t>illennium Development Goals</w:t>
      </w:r>
      <w:r w:rsidRPr="0003657F">
        <w:rPr>
          <w:rFonts w:ascii="Times New Roman" w:hAnsi="Times New Roman"/>
          <w:sz w:val="16"/>
          <w:szCs w:val="18"/>
        </w:rPr>
        <w:t xml:space="preserve"> report, Government of Mongolia, 2013</w:t>
      </w:r>
    </w:p>
  </w:footnote>
  <w:footnote w:id="14">
    <w:p w14:paraId="27ACD45C" w14:textId="3BA31D17" w:rsidR="008E3991" w:rsidRPr="0003657F" w:rsidRDefault="008E3991" w:rsidP="00B05355">
      <w:pPr>
        <w:pStyle w:val="FootnoteText"/>
        <w:rPr>
          <w:rFonts w:ascii="Times New Roman" w:hAnsi="Times New Roman"/>
          <w:sz w:val="16"/>
          <w:szCs w:val="18"/>
        </w:rPr>
      </w:pPr>
      <w:r w:rsidRPr="0003657F">
        <w:rPr>
          <w:rStyle w:val="None"/>
          <w:rFonts w:ascii="Times New Roman" w:eastAsia="Calibri" w:hAnsi="Times New Roman"/>
          <w:sz w:val="16"/>
          <w:szCs w:val="18"/>
          <w:vertAlign w:val="superscript"/>
        </w:rPr>
        <w:footnoteRef/>
      </w:r>
      <w:r w:rsidRPr="0003657F">
        <w:rPr>
          <w:rFonts w:ascii="Times New Roman" w:eastAsia="Calibri" w:hAnsi="Times New Roman"/>
          <w:sz w:val="16"/>
          <w:szCs w:val="18"/>
        </w:rPr>
        <w:t xml:space="preserve"> Gini coefficient for Mongolia is 0.365 (average for the Asia-Pacific region is</w:t>
      </w:r>
      <w:r>
        <w:rPr>
          <w:rFonts w:ascii="Times New Roman" w:eastAsia="Calibri" w:hAnsi="Times New Roman"/>
          <w:sz w:val="16"/>
          <w:szCs w:val="18"/>
        </w:rPr>
        <w:t xml:space="preserve"> </w:t>
      </w:r>
      <w:r w:rsidRPr="0003657F">
        <w:rPr>
          <w:rFonts w:ascii="Times New Roman" w:eastAsia="Calibri" w:hAnsi="Times New Roman"/>
          <w:sz w:val="16"/>
          <w:szCs w:val="18"/>
        </w:rPr>
        <w:t xml:space="preserve">0.375). </w:t>
      </w:r>
      <w:r>
        <w:rPr>
          <w:rFonts w:ascii="Times New Roman" w:eastAsia="Calibri" w:hAnsi="Times New Roman"/>
          <w:sz w:val="16"/>
          <w:szCs w:val="18"/>
        </w:rPr>
        <w:t>I</w:t>
      </w:r>
      <w:r w:rsidRPr="0003657F">
        <w:rPr>
          <w:rFonts w:ascii="Times New Roman" w:eastAsia="Calibri" w:hAnsi="Times New Roman"/>
          <w:sz w:val="16"/>
          <w:szCs w:val="18"/>
        </w:rPr>
        <w:t xml:space="preserve">nequality-adjusted </w:t>
      </w:r>
      <w:r w:rsidRPr="006C36EB">
        <w:rPr>
          <w:rFonts w:ascii="Times New Roman" w:eastAsia="Calibri" w:hAnsi="Times New Roman"/>
          <w:sz w:val="16"/>
          <w:szCs w:val="18"/>
        </w:rPr>
        <w:t xml:space="preserve">human development index </w:t>
      </w:r>
      <w:r w:rsidRPr="0003657F">
        <w:rPr>
          <w:rFonts w:ascii="Times New Roman" w:eastAsia="Calibri" w:hAnsi="Times New Roman"/>
          <w:sz w:val="16"/>
          <w:szCs w:val="18"/>
        </w:rPr>
        <w:t xml:space="preserve">score is better than </w:t>
      </w:r>
      <w:r>
        <w:rPr>
          <w:rFonts w:ascii="Times New Roman" w:eastAsia="Calibri" w:hAnsi="Times New Roman"/>
          <w:sz w:val="16"/>
          <w:szCs w:val="18"/>
        </w:rPr>
        <w:t xml:space="preserve">those of </w:t>
      </w:r>
      <w:r w:rsidRPr="0003657F">
        <w:rPr>
          <w:rFonts w:ascii="Times New Roman" w:eastAsia="Calibri" w:hAnsi="Times New Roman"/>
          <w:sz w:val="16"/>
          <w:szCs w:val="18"/>
        </w:rPr>
        <w:t xml:space="preserve">its development peers. </w:t>
      </w:r>
      <w:r w:rsidRPr="0003657F">
        <w:rPr>
          <w:rFonts w:ascii="Times New Roman" w:hAnsi="Times New Roman"/>
          <w:sz w:val="16"/>
          <w:szCs w:val="18"/>
        </w:rPr>
        <w:t>UNDP, Human Development Report</w:t>
      </w:r>
      <w:r>
        <w:rPr>
          <w:rFonts w:ascii="Times New Roman" w:hAnsi="Times New Roman"/>
          <w:sz w:val="16"/>
          <w:szCs w:val="18"/>
        </w:rPr>
        <w:t>,</w:t>
      </w:r>
      <w:r w:rsidRPr="0003657F">
        <w:rPr>
          <w:rFonts w:ascii="Times New Roman" w:hAnsi="Times New Roman"/>
          <w:sz w:val="16"/>
          <w:szCs w:val="18"/>
        </w:rPr>
        <w:t xml:space="preserve"> 2015</w:t>
      </w:r>
    </w:p>
  </w:footnote>
  <w:footnote w:id="15">
    <w:p w14:paraId="2C5BA1A5" w14:textId="77777777" w:rsidR="008E3991" w:rsidRPr="0003657F" w:rsidRDefault="008E3991" w:rsidP="00B05355">
      <w:pPr>
        <w:pStyle w:val="FootnoteText"/>
        <w:rPr>
          <w:rFonts w:ascii="Times New Roman" w:hAnsi="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Millennium </w:t>
      </w:r>
      <w:r w:rsidRPr="006C36EB">
        <w:rPr>
          <w:rFonts w:ascii="Times New Roman" w:hAnsi="Times New Roman"/>
          <w:sz w:val="16"/>
          <w:szCs w:val="18"/>
        </w:rPr>
        <w:t>development goals and poverty m</w:t>
      </w:r>
      <w:r w:rsidRPr="0003657F">
        <w:rPr>
          <w:rFonts w:ascii="Times New Roman" w:hAnsi="Times New Roman"/>
          <w:sz w:val="16"/>
          <w:szCs w:val="18"/>
        </w:rPr>
        <w:t>ap, UNDP, 2012</w:t>
      </w:r>
    </w:p>
  </w:footnote>
  <w:footnote w:id="16">
    <w:p w14:paraId="5254F0B6" w14:textId="43D30088" w:rsidR="008E3991" w:rsidRPr="0003657F" w:rsidRDefault="008E3991" w:rsidP="001D0A2A">
      <w:pPr>
        <w:pStyle w:val="FootnoteText"/>
        <w:rPr>
          <w:rFonts w:ascii="Times New Roman" w:hAnsi="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w:t>
      </w:r>
      <w:r>
        <w:rPr>
          <w:rFonts w:ascii="Times New Roman" w:hAnsi="Times New Roman"/>
          <w:sz w:val="16"/>
          <w:szCs w:val="18"/>
        </w:rPr>
        <w:t>National Statistical Office</w:t>
      </w:r>
      <w:r w:rsidRPr="0003657F">
        <w:rPr>
          <w:rFonts w:ascii="Times New Roman" w:hAnsi="Times New Roman"/>
          <w:sz w:val="16"/>
          <w:szCs w:val="18"/>
        </w:rPr>
        <w:t xml:space="preserve">, </w:t>
      </w:r>
      <w:r>
        <w:rPr>
          <w:rFonts w:ascii="Times New Roman" w:hAnsi="Times New Roman"/>
          <w:sz w:val="16"/>
          <w:szCs w:val="18"/>
        </w:rPr>
        <w:t>s</w:t>
      </w:r>
      <w:r w:rsidRPr="0003657F">
        <w:rPr>
          <w:rFonts w:ascii="Times New Roman" w:hAnsi="Times New Roman"/>
          <w:sz w:val="16"/>
          <w:szCs w:val="18"/>
        </w:rPr>
        <w:t xml:space="preserve">tatistical </w:t>
      </w:r>
      <w:r>
        <w:rPr>
          <w:rFonts w:ascii="Times New Roman" w:hAnsi="Times New Roman"/>
          <w:sz w:val="16"/>
          <w:szCs w:val="18"/>
        </w:rPr>
        <w:t>y</w:t>
      </w:r>
      <w:r w:rsidRPr="0003657F">
        <w:rPr>
          <w:rFonts w:ascii="Times New Roman" w:hAnsi="Times New Roman"/>
          <w:sz w:val="16"/>
          <w:szCs w:val="18"/>
        </w:rPr>
        <w:t>earbook, 2014</w:t>
      </w:r>
    </w:p>
  </w:footnote>
  <w:footnote w:id="17">
    <w:p w14:paraId="1FA351AF" w14:textId="3E4D2131" w:rsidR="008E3991" w:rsidRPr="0003657F" w:rsidRDefault="008E3991" w:rsidP="00306427">
      <w:pPr>
        <w:pStyle w:val="FootnoteText"/>
        <w:rPr>
          <w:rFonts w:ascii="Times New Roman" w:hAnsi="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w:t>
      </w:r>
      <w:r w:rsidRPr="0003657F">
        <w:rPr>
          <w:rFonts w:ascii="Times New Roman" w:hAnsi="Times New Roman"/>
          <w:i/>
          <w:sz w:val="16"/>
          <w:szCs w:val="18"/>
        </w:rPr>
        <w:t>Curbing air pollution in Mongolia’s capital</w:t>
      </w:r>
      <w:r w:rsidRPr="0003657F">
        <w:rPr>
          <w:rFonts w:ascii="Times New Roman" w:hAnsi="Times New Roman"/>
          <w:sz w:val="16"/>
          <w:szCs w:val="18"/>
        </w:rPr>
        <w:t>, World Bank, 2012</w:t>
      </w:r>
    </w:p>
  </w:footnote>
  <w:footnote w:id="18">
    <w:p w14:paraId="578158B3" w14:textId="77777777" w:rsidR="008E3991" w:rsidRPr="0003657F" w:rsidRDefault="008E3991" w:rsidP="00141021">
      <w:pPr>
        <w:pStyle w:val="FootnoteText"/>
        <w:rPr>
          <w:rFonts w:ascii="Times New Roman" w:hAnsi="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Global </w:t>
      </w:r>
      <w:r w:rsidRPr="00765DEE">
        <w:rPr>
          <w:rFonts w:ascii="Times New Roman" w:hAnsi="Times New Roman"/>
          <w:sz w:val="16"/>
          <w:szCs w:val="18"/>
        </w:rPr>
        <w:t>gender gap report</w:t>
      </w:r>
      <w:r w:rsidRPr="0003657F">
        <w:rPr>
          <w:rFonts w:ascii="Times New Roman" w:hAnsi="Times New Roman"/>
          <w:sz w:val="16"/>
          <w:szCs w:val="18"/>
        </w:rPr>
        <w:t>, World Economic Forum, 2015</w:t>
      </w:r>
    </w:p>
  </w:footnote>
  <w:footnote w:id="19">
    <w:p w14:paraId="1834B8BA" w14:textId="44049360" w:rsidR="008E3991" w:rsidRPr="0003657F" w:rsidRDefault="008E3991" w:rsidP="00A83EDE">
      <w:pPr>
        <w:pStyle w:val="FootnoteText"/>
        <w:rPr>
          <w:rFonts w:ascii="Times New Roman" w:hAnsi="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w:t>
      </w:r>
      <w:r w:rsidRPr="0003657F">
        <w:rPr>
          <w:rFonts w:ascii="Times New Roman" w:hAnsi="Times New Roman"/>
          <w:i/>
          <w:sz w:val="16"/>
          <w:szCs w:val="18"/>
        </w:rPr>
        <w:t xml:space="preserve">Mongolia: </w:t>
      </w:r>
      <w:r w:rsidRPr="00765DEE">
        <w:rPr>
          <w:rFonts w:ascii="Times New Roman" w:hAnsi="Times New Roman"/>
          <w:i/>
          <w:sz w:val="16"/>
          <w:szCs w:val="18"/>
        </w:rPr>
        <w:t>G</w:t>
      </w:r>
      <w:r w:rsidRPr="0003657F">
        <w:rPr>
          <w:rFonts w:ascii="Times New Roman" w:hAnsi="Times New Roman"/>
          <w:i/>
          <w:sz w:val="16"/>
          <w:szCs w:val="18"/>
        </w:rPr>
        <w:t>ender disparities in labour markets and policy suggestions</w:t>
      </w:r>
      <w:r w:rsidRPr="0003657F">
        <w:rPr>
          <w:rFonts w:ascii="Times New Roman" w:hAnsi="Times New Roman"/>
          <w:sz w:val="16"/>
          <w:szCs w:val="18"/>
        </w:rPr>
        <w:t>, World Bank, 2013</w:t>
      </w:r>
    </w:p>
  </w:footnote>
  <w:footnote w:id="20">
    <w:p w14:paraId="399F680D" w14:textId="77777777" w:rsidR="008E3991" w:rsidRPr="0003657F" w:rsidRDefault="008E3991" w:rsidP="00A83EDE">
      <w:pPr>
        <w:pStyle w:val="Default"/>
        <w:rPr>
          <w:rFonts w:ascii="Times New Roman" w:hAnsi="Times New Roman" w:cs="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cs="Times New Roman"/>
          <w:sz w:val="16"/>
          <w:szCs w:val="18"/>
        </w:rPr>
        <w:t xml:space="preserve"> Mongolia Statistical Information Service, 2016 </w:t>
      </w:r>
    </w:p>
  </w:footnote>
  <w:footnote w:id="21">
    <w:p w14:paraId="33678235" w14:textId="319A3764" w:rsidR="008E3991" w:rsidRPr="0003657F" w:rsidRDefault="008E3991" w:rsidP="00765DEE">
      <w:pPr>
        <w:pStyle w:val="FootnoteText"/>
        <w:rPr>
          <w:rFonts w:ascii="Times New Roman" w:hAnsi="Times New Roman"/>
          <w:sz w:val="16"/>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w:t>
      </w:r>
      <w:r w:rsidRPr="0003657F">
        <w:rPr>
          <w:rFonts w:ascii="Times New Roman" w:hAnsi="Times New Roman"/>
          <w:i/>
          <w:sz w:val="16"/>
          <w:szCs w:val="18"/>
        </w:rPr>
        <w:t>Gender analysis in pastoral livestock herding in Mongolia</w:t>
      </w:r>
      <w:r>
        <w:rPr>
          <w:rFonts w:ascii="Times New Roman" w:hAnsi="Times New Roman"/>
          <w:sz w:val="16"/>
          <w:szCs w:val="18"/>
        </w:rPr>
        <w:t>,</w:t>
      </w:r>
      <w:r w:rsidRPr="0003657F">
        <w:rPr>
          <w:rFonts w:ascii="Times New Roman" w:hAnsi="Times New Roman"/>
          <w:i/>
          <w:sz w:val="16"/>
          <w:szCs w:val="18"/>
        </w:rPr>
        <w:t xml:space="preserve"> </w:t>
      </w:r>
      <w:r w:rsidRPr="0003657F">
        <w:rPr>
          <w:rFonts w:ascii="Times New Roman" w:hAnsi="Times New Roman"/>
          <w:sz w:val="16"/>
          <w:szCs w:val="18"/>
        </w:rPr>
        <w:t>S</w:t>
      </w:r>
      <w:r>
        <w:rPr>
          <w:rFonts w:ascii="Times New Roman" w:hAnsi="Times New Roman"/>
          <w:sz w:val="16"/>
          <w:szCs w:val="18"/>
        </w:rPr>
        <w:t>wiss Agency for Development and Cooperation</w:t>
      </w:r>
      <w:r w:rsidRPr="0003657F">
        <w:rPr>
          <w:rFonts w:ascii="Times New Roman" w:hAnsi="Times New Roman"/>
          <w:sz w:val="16"/>
          <w:szCs w:val="18"/>
        </w:rPr>
        <w:t>, 2015</w:t>
      </w:r>
    </w:p>
  </w:footnote>
  <w:footnote w:id="22">
    <w:p w14:paraId="24FAE9AC" w14:textId="77777777" w:rsidR="008E3991" w:rsidRPr="00325C90" w:rsidRDefault="008E3991" w:rsidP="00141021">
      <w:pPr>
        <w:pStyle w:val="FootnoteText"/>
        <w:rPr>
          <w:rFonts w:asciiTheme="minorHAnsi" w:hAnsiTheme="minorHAnsi"/>
          <w:sz w:val="18"/>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w:t>
      </w:r>
      <w:r w:rsidRPr="0003657F">
        <w:rPr>
          <w:rFonts w:ascii="Times New Roman" w:hAnsi="Times New Roman"/>
          <w:i/>
          <w:sz w:val="16"/>
          <w:szCs w:val="18"/>
        </w:rPr>
        <w:t>Women in national parliaments</w:t>
      </w:r>
      <w:r w:rsidRPr="0003657F">
        <w:rPr>
          <w:rFonts w:ascii="Times New Roman" w:hAnsi="Times New Roman"/>
          <w:sz w:val="16"/>
          <w:szCs w:val="18"/>
        </w:rPr>
        <w:t>, Inter-Parliamentary Union, 2015</w:t>
      </w:r>
    </w:p>
  </w:footnote>
  <w:footnote w:id="23">
    <w:p w14:paraId="48E32AB9" w14:textId="77777777" w:rsidR="008E3991" w:rsidRPr="0003657F" w:rsidRDefault="008E3991" w:rsidP="00B83002">
      <w:pPr>
        <w:pStyle w:val="FootnoteText"/>
        <w:rPr>
          <w:rFonts w:ascii="Times New Roman" w:hAnsi="Times New Roman"/>
          <w:sz w:val="18"/>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Evaluation of UNDP </w:t>
      </w:r>
      <w:r w:rsidRPr="0035173D">
        <w:rPr>
          <w:rFonts w:ascii="Times New Roman" w:hAnsi="Times New Roman"/>
          <w:sz w:val="16"/>
          <w:szCs w:val="18"/>
        </w:rPr>
        <w:t>country programme action plan</w:t>
      </w:r>
      <w:r>
        <w:rPr>
          <w:rFonts w:ascii="Times New Roman" w:hAnsi="Times New Roman"/>
          <w:sz w:val="16"/>
          <w:szCs w:val="18"/>
        </w:rPr>
        <w:t>,</w:t>
      </w:r>
      <w:r w:rsidRPr="0035173D">
        <w:rPr>
          <w:rFonts w:ascii="Times New Roman" w:hAnsi="Times New Roman"/>
          <w:sz w:val="16"/>
          <w:szCs w:val="18"/>
        </w:rPr>
        <w:t xml:space="preserve"> </w:t>
      </w:r>
      <w:r w:rsidRPr="0003657F">
        <w:rPr>
          <w:rFonts w:ascii="Times New Roman" w:hAnsi="Times New Roman"/>
          <w:sz w:val="16"/>
          <w:szCs w:val="18"/>
        </w:rPr>
        <w:t>2012-2016, UNDP, 2016</w:t>
      </w:r>
    </w:p>
  </w:footnote>
  <w:footnote w:id="24">
    <w:p w14:paraId="455C363D" w14:textId="39499605" w:rsidR="008E3991" w:rsidRPr="0003657F" w:rsidRDefault="008E3991">
      <w:pPr>
        <w:pStyle w:val="FootnoteText"/>
        <w:rPr>
          <w:rFonts w:ascii="Times New Roman" w:hAnsi="Times New Roman"/>
          <w:sz w:val="18"/>
          <w:szCs w:val="18"/>
        </w:rPr>
      </w:pPr>
      <w:r w:rsidRPr="0003657F">
        <w:rPr>
          <w:rStyle w:val="FootnoteReference"/>
          <w:rFonts w:ascii="Times New Roman" w:hAnsi="Times New Roman"/>
          <w:sz w:val="16"/>
          <w:szCs w:val="18"/>
        </w:rPr>
        <w:footnoteRef/>
      </w:r>
      <w:r w:rsidRPr="0003657F">
        <w:rPr>
          <w:rFonts w:ascii="Times New Roman" w:hAnsi="Times New Roman"/>
          <w:sz w:val="16"/>
          <w:szCs w:val="18"/>
        </w:rPr>
        <w:t xml:space="preserve"> </w:t>
      </w:r>
      <w:r>
        <w:rPr>
          <w:rFonts w:ascii="Times New Roman" w:hAnsi="Times New Roman"/>
          <w:sz w:val="16"/>
          <w:szCs w:val="18"/>
        </w:rPr>
        <w:t xml:space="preserve">A </w:t>
      </w:r>
      <w:r w:rsidRPr="0003657F">
        <w:rPr>
          <w:rFonts w:ascii="Times New Roman" w:hAnsi="Times New Roman"/>
          <w:sz w:val="16"/>
          <w:szCs w:val="18"/>
        </w:rPr>
        <w:t xml:space="preserve">joint </w:t>
      </w:r>
      <w:r>
        <w:rPr>
          <w:rFonts w:ascii="Times New Roman" w:hAnsi="Times New Roman"/>
          <w:sz w:val="16"/>
          <w:szCs w:val="18"/>
        </w:rPr>
        <w:t xml:space="preserve">United Nations </w:t>
      </w:r>
      <w:r w:rsidRPr="0003657F">
        <w:rPr>
          <w:rFonts w:ascii="Times New Roman" w:hAnsi="Times New Roman"/>
          <w:sz w:val="16"/>
          <w:szCs w:val="18"/>
        </w:rPr>
        <w:t xml:space="preserve">programme supporting countries in green economy transition. </w:t>
      </w:r>
    </w:p>
  </w:footnote>
  <w:footnote w:id="25">
    <w:p w14:paraId="7D99A476" w14:textId="3290AB5E" w:rsidR="008E3991" w:rsidRPr="00153521" w:rsidRDefault="008E3991">
      <w:pPr>
        <w:pStyle w:val="FootnoteText"/>
        <w:rPr>
          <w:rFonts w:ascii="Times New Roman" w:hAnsi="Times New Roman"/>
          <w:sz w:val="16"/>
          <w:szCs w:val="16"/>
        </w:rPr>
      </w:pPr>
      <w:r w:rsidRPr="00153521">
        <w:rPr>
          <w:rStyle w:val="FootnoteReference"/>
          <w:rFonts w:ascii="Times New Roman" w:hAnsi="Times New Roman"/>
          <w:sz w:val="16"/>
          <w:szCs w:val="16"/>
        </w:rPr>
        <w:footnoteRef/>
      </w:r>
      <w:r w:rsidRPr="00153521">
        <w:rPr>
          <w:rFonts w:ascii="Times New Roman" w:hAnsi="Times New Roman"/>
          <w:sz w:val="16"/>
          <w:szCs w:val="16"/>
        </w:rPr>
        <w:t xml:space="preserve"> Review of </w:t>
      </w:r>
      <w:r>
        <w:rPr>
          <w:rFonts w:ascii="Times New Roman" w:hAnsi="Times New Roman"/>
          <w:sz w:val="16"/>
          <w:szCs w:val="16"/>
        </w:rPr>
        <w:t>e</w:t>
      </w:r>
      <w:r w:rsidRPr="00153521">
        <w:rPr>
          <w:rFonts w:ascii="Times New Roman" w:hAnsi="Times New Roman"/>
          <w:sz w:val="16"/>
          <w:szCs w:val="16"/>
        </w:rPr>
        <w:t xml:space="preserve">cosystem-based </w:t>
      </w:r>
      <w:r>
        <w:rPr>
          <w:rFonts w:ascii="Times New Roman" w:hAnsi="Times New Roman"/>
          <w:sz w:val="16"/>
          <w:szCs w:val="16"/>
        </w:rPr>
        <w:t>a</w:t>
      </w:r>
      <w:r w:rsidRPr="00153521">
        <w:rPr>
          <w:rFonts w:ascii="Times New Roman" w:hAnsi="Times New Roman"/>
          <w:sz w:val="16"/>
          <w:szCs w:val="16"/>
        </w:rPr>
        <w:t xml:space="preserve">daptation </w:t>
      </w:r>
      <w:r>
        <w:rPr>
          <w:rFonts w:ascii="Times New Roman" w:hAnsi="Times New Roman"/>
          <w:sz w:val="16"/>
          <w:szCs w:val="16"/>
        </w:rPr>
        <w:t>a</w:t>
      </w:r>
      <w:r w:rsidRPr="00153521">
        <w:rPr>
          <w:rFonts w:ascii="Times New Roman" w:hAnsi="Times New Roman"/>
          <w:sz w:val="16"/>
          <w:szCs w:val="16"/>
        </w:rPr>
        <w:t xml:space="preserve">pproach to </w:t>
      </w:r>
      <w:r>
        <w:rPr>
          <w:rFonts w:ascii="Times New Roman" w:hAnsi="Times New Roman"/>
          <w:sz w:val="16"/>
          <w:szCs w:val="16"/>
        </w:rPr>
        <w:t>m</w:t>
      </w:r>
      <w:r w:rsidRPr="00153521">
        <w:rPr>
          <w:rFonts w:ascii="Times New Roman" w:hAnsi="Times New Roman"/>
          <w:sz w:val="16"/>
          <w:szCs w:val="16"/>
        </w:rPr>
        <w:t xml:space="preserve">aintaining </w:t>
      </w:r>
      <w:r>
        <w:rPr>
          <w:rFonts w:ascii="Times New Roman" w:hAnsi="Times New Roman"/>
          <w:sz w:val="16"/>
          <w:szCs w:val="16"/>
        </w:rPr>
        <w:t>w</w:t>
      </w:r>
      <w:r w:rsidRPr="00153521">
        <w:rPr>
          <w:rFonts w:ascii="Times New Roman" w:hAnsi="Times New Roman"/>
          <w:sz w:val="16"/>
          <w:szCs w:val="16"/>
        </w:rPr>
        <w:t xml:space="preserve">ater </w:t>
      </w:r>
      <w:r>
        <w:rPr>
          <w:rFonts w:ascii="Times New Roman" w:hAnsi="Times New Roman"/>
          <w:sz w:val="16"/>
          <w:szCs w:val="16"/>
        </w:rPr>
        <w:t>s</w:t>
      </w:r>
      <w:r w:rsidRPr="00153521">
        <w:rPr>
          <w:rFonts w:ascii="Times New Roman" w:hAnsi="Times New Roman"/>
          <w:sz w:val="16"/>
          <w:szCs w:val="16"/>
        </w:rPr>
        <w:t xml:space="preserve">ecurity in </w:t>
      </w:r>
      <w:r>
        <w:rPr>
          <w:rFonts w:ascii="Times New Roman" w:hAnsi="Times New Roman"/>
          <w:sz w:val="16"/>
          <w:szCs w:val="16"/>
        </w:rPr>
        <w:t>c</w:t>
      </w:r>
      <w:r w:rsidRPr="00153521">
        <w:rPr>
          <w:rFonts w:ascii="Times New Roman" w:hAnsi="Times New Roman"/>
          <w:sz w:val="16"/>
          <w:szCs w:val="16"/>
        </w:rPr>
        <w:t xml:space="preserve">ritical </w:t>
      </w:r>
      <w:r>
        <w:rPr>
          <w:rFonts w:ascii="Times New Roman" w:hAnsi="Times New Roman"/>
          <w:sz w:val="16"/>
          <w:szCs w:val="16"/>
        </w:rPr>
        <w:t>w</w:t>
      </w:r>
      <w:r w:rsidRPr="00153521">
        <w:rPr>
          <w:rFonts w:ascii="Times New Roman" w:hAnsi="Times New Roman"/>
          <w:sz w:val="16"/>
          <w:szCs w:val="16"/>
        </w:rPr>
        <w:t xml:space="preserve">ater </w:t>
      </w:r>
      <w:r>
        <w:rPr>
          <w:rFonts w:ascii="Times New Roman" w:hAnsi="Times New Roman"/>
          <w:sz w:val="16"/>
          <w:szCs w:val="16"/>
        </w:rPr>
        <w:t>c</w:t>
      </w:r>
      <w:r w:rsidRPr="00153521">
        <w:rPr>
          <w:rFonts w:ascii="Times New Roman" w:hAnsi="Times New Roman"/>
          <w:sz w:val="16"/>
          <w:szCs w:val="16"/>
        </w:rPr>
        <w:t xml:space="preserve">atchments of Mongolia </w:t>
      </w:r>
      <w:r>
        <w:rPr>
          <w:rFonts w:ascii="Times New Roman" w:hAnsi="Times New Roman"/>
          <w:sz w:val="16"/>
          <w:szCs w:val="16"/>
        </w:rPr>
        <w:t>p</w:t>
      </w:r>
      <w:r w:rsidRPr="00153521">
        <w:rPr>
          <w:rFonts w:ascii="Times New Roman" w:hAnsi="Times New Roman"/>
          <w:sz w:val="16"/>
          <w:szCs w:val="16"/>
        </w:rPr>
        <w:t>roject, UNDP, February 2015</w:t>
      </w:r>
      <w:r>
        <w:rPr>
          <w:rFonts w:ascii="Times New Roman" w:hAnsi="Times New Roman"/>
          <w:sz w:val="16"/>
          <w:szCs w:val="16"/>
        </w:rPr>
        <w:t>; evaluation of scaling-up s</w:t>
      </w:r>
      <w:r w:rsidRPr="00153521">
        <w:rPr>
          <w:rFonts w:ascii="Times New Roman" w:hAnsi="Times New Roman"/>
          <w:sz w:val="16"/>
          <w:szCs w:val="16"/>
        </w:rPr>
        <w:t xml:space="preserve">upport </w:t>
      </w:r>
      <w:r>
        <w:rPr>
          <w:rFonts w:ascii="Times New Roman" w:hAnsi="Times New Roman"/>
          <w:sz w:val="16"/>
          <w:szCs w:val="16"/>
        </w:rPr>
        <w:t>to local service delivery for the Millennium Development Goals: water and sanitation p</w:t>
      </w:r>
      <w:r w:rsidRPr="00153521">
        <w:rPr>
          <w:rFonts w:ascii="Times New Roman" w:hAnsi="Times New Roman"/>
          <w:sz w:val="16"/>
          <w:szCs w:val="16"/>
        </w:rPr>
        <w:t>roject, UNDP, January 2015</w:t>
      </w:r>
    </w:p>
  </w:footnote>
  <w:footnote w:id="26">
    <w:p w14:paraId="6CB0C697" w14:textId="6BCE5A8E" w:rsidR="008E3991" w:rsidRPr="0003657F" w:rsidRDefault="008E3991">
      <w:pPr>
        <w:pStyle w:val="FootnoteText"/>
        <w:rPr>
          <w:rFonts w:ascii="Times New Roman" w:hAnsi="Times New Roman"/>
          <w:sz w:val="14"/>
          <w:szCs w:val="14"/>
        </w:rPr>
      </w:pPr>
      <w:r w:rsidRPr="00EB6DF1">
        <w:rPr>
          <w:rFonts w:ascii="Times New Roman" w:hAnsi="Times New Roman"/>
          <w:iCs/>
          <w:sz w:val="14"/>
          <w:szCs w:val="14"/>
          <w:vertAlign w:val="superscript"/>
          <w:lang w:val="en-GB"/>
        </w:rPr>
        <w:footnoteRef/>
      </w:r>
      <w:r w:rsidRPr="0003657F">
        <w:rPr>
          <w:rFonts w:ascii="Times New Roman" w:hAnsi="Times New Roman"/>
          <w:sz w:val="14"/>
          <w:szCs w:val="14"/>
        </w:rPr>
        <w:t xml:space="preserve"> </w:t>
      </w:r>
      <w:r w:rsidRPr="0003657F">
        <w:rPr>
          <w:rFonts w:ascii="Times New Roman" w:hAnsi="Times New Roman"/>
          <w:iCs/>
          <w:sz w:val="14"/>
          <w:szCs w:val="14"/>
          <w:lang w:val="en-GB"/>
        </w:rPr>
        <w:t xml:space="preserve">Programmatic interventions under this outcome are also expected to contribute to </w:t>
      </w:r>
      <w:r>
        <w:rPr>
          <w:rFonts w:ascii="Times New Roman" w:hAnsi="Times New Roman"/>
          <w:iCs/>
          <w:sz w:val="14"/>
          <w:szCs w:val="14"/>
          <w:lang w:val="en-GB"/>
        </w:rPr>
        <w:t>o</w:t>
      </w:r>
      <w:r w:rsidRPr="0003657F">
        <w:rPr>
          <w:rFonts w:ascii="Times New Roman" w:hAnsi="Times New Roman"/>
          <w:iCs/>
          <w:sz w:val="14"/>
          <w:szCs w:val="14"/>
          <w:lang w:val="en-GB"/>
        </w:rPr>
        <w:t xml:space="preserve">utcomes 1 and 5 of UNDP </w:t>
      </w:r>
      <w:r>
        <w:rPr>
          <w:rFonts w:ascii="Times New Roman" w:hAnsi="Times New Roman"/>
          <w:iCs/>
          <w:sz w:val="14"/>
          <w:szCs w:val="14"/>
          <w:lang w:val="en-GB"/>
        </w:rPr>
        <w:t>s</w:t>
      </w:r>
      <w:r w:rsidRPr="0003657F">
        <w:rPr>
          <w:rFonts w:ascii="Times New Roman" w:hAnsi="Times New Roman"/>
          <w:iCs/>
          <w:sz w:val="14"/>
          <w:szCs w:val="14"/>
          <w:lang w:val="en-GB"/>
        </w:rPr>
        <w:t xml:space="preserve">trategic </w:t>
      </w:r>
      <w:r>
        <w:rPr>
          <w:rFonts w:ascii="Times New Roman" w:hAnsi="Times New Roman"/>
          <w:iCs/>
          <w:sz w:val="14"/>
          <w:szCs w:val="14"/>
          <w:lang w:val="en-GB"/>
        </w:rPr>
        <w:t>p</w:t>
      </w:r>
      <w:r w:rsidRPr="0003657F">
        <w:rPr>
          <w:rFonts w:ascii="Times New Roman" w:hAnsi="Times New Roman"/>
          <w:iCs/>
          <w:sz w:val="14"/>
          <w:szCs w:val="14"/>
          <w:lang w:val="en-GB"/>
        </w:rPr>
        <w:t>lan</w:t>
      </w:r>
      <w:r>
        <w:rPr>
          <w:rFonts w:ascii="Times New Roman" w:hAnsi="Times New Roman"/>
          <w:iCs/>
          <w:sz w:val="14"/>
          <w:szCs w:val="14"/>
          <w:lang w:val="en-GB"/>
        </w:rPr>
        <w:t>,</w:t>
      </w:r>
      <w:r w:rsidRPr="0003657F">
        <w:rPr>
          <w:rFonts w:ascii="Times New Roman" w:hAnsi="Times New Roman"/>
          <w:iCs/>
          <w:sz w:val="14"/>
          <w:szCs w:val="14"/>
          <w:lang w:val="en-GB"/>
        </w:rPr>
        <w:t xml:space="preserve"> 2014-2017.</w:t>
      </w:r>
    </w:p>
  </w:footnote>
  <w:footnote w:id="27">
    <w:p w14:paraId="54BF8E62" w14:textId="417119D6" w:rsidR="008E3991" w:rsidRPr="0003657F" w:rsidRDefault="008E3991" w:rsidP="0092225E">
      <w:pPr>
        <w:pStyle w:val="FootnoteText"/>
        <w:tabs>
          <w:tab w:val="left" w:pos="180"/>
          <w:tab w:val="left" w:pos="540"/>
        </w:tabs>
        <w:rPr>
          <w:rFonts w:ascii="Times New Roman" w:hAnsi="Times New Roman"/>
          <w:sz w:val="14"/>
          <w:szCs w:val="14"/>
        </w:rPr>
      </w:pPr>
      <w:r w:rsidRPr="00EB6DF1">
        <w:rPr>
          <w:rFonts w:ascii="Times New Roman" w:hAnsi="Times New Roman"/>
          <w:iCs/>
          <w:sz w:val="14"/>
          <w:szCs w:val="14"/>
          <w:vertAlign w:val="superscript"/>
          <w:lang w:val="en-GB"/>
        </w:rPr>
        <w:footnoteRef/>
      </w:r>
      <w:r w:rsidRPr="0003657F">
        <w:rPr>
          <w:rFonts w:ascii="Times New Roman" w:hAnsi="Times New Roman"/>
          <w:sz w:val="14"/>
          <w:szCs w:val="14"/>
        </w:rPr>
        <w:t xml:space="preserve"> </w:t>
      </w:r>
      <w:r w:rsidRPr="0003657F">
        <w:rPr>
          <w:rFonts w:ascii="Times New Roman" w:hAnsi="Times New Roman"/>
          <w:iCs/>
          <w:sz w:val="14"/>
          <w:szCs w:val="14"/>
          <w:lang w:val="en-GB"/>
        </w:rPr>
        <w:t>Sex</w:t>
      </w:r>
      <w:r>
        <w:rPr>
          <w:rFonts w:ascii="Times New Roman" w:hAnsi="Times New Roman"/>
          <w:iCs/>
          <w:sz w:val="14"/>
          <w:szCs w:val="14"/>
          <w:lang w:val="en-GB"/>
        </w:rPr>
        <w:t>-</w:t>
      </w:r>
      <w:r w:rsidRPr="0003657F">
        <w:rPr>
          <w:rFonts w:ascii="Times New Roman" w:hAnsi="Times New Roman"/>
          <w:iCs/>
          <w:sz w:val="14"/>
          <w:szCs w:val="14"/>
          <w:lang w:val="en-GB"/>
        </w:rPr>
        <w:t xml:space="preserve"> and geographically disaggregated baseline and target values are only partially available and will be determined in collaboration with </w:t>
      </w:r>
      <w:r>
        <w:rPr>
          <w:rFonts w:ascii="Times New Roman" w:hAnsi="Times New Roman"/>
          <w:iCs/>
          <w:sz w:val="14"/>
          <w:szCs w:val="14"/>
          <w:lang w:val="en-GB"/>
        </w:rPr>
        <w:t xml:space="preserve">the </w:t>
      </w:r>
      <w:r w:rsidRPr="0003657F">
        <w:rPr>
          <w:rFonts w:ascii="Times New Roman" w:hAnsi="Times New Roman"/>
          <w:iCs/>
          <w:sz w:val="14"/>
          <w:szCs w:val="14"/>
          <w:lang w:val="en-GB"/>
        </w:rPr>
        <w:t>NSO and relevant ministries.</w:t>
      </w:r>
    </w:p>
  </w:footnote>
  <w:footnote w:id="28">
    <w:p w14:paraId="53C6256F" w14:textId="77777777" w:rsidR="008E3991" w:rsidRPr="00A607F1" w:rsidRDefault="008E3991">
      <w:pPr>
        <w:pStyle w:val="FootnoteText"/>
        <w:rPr>
          <w:rFonts w:ascii="Times New Roman" w:hAnsi="Times New Roman"/>
        </w:rPr>
      </w:pPr>
      <w:r w:rsidRPr="0003657F">
        <w:rPr>
          <w:rFonts w:ascii="Times New Roman" w:hAnsi="Times New Roman"/>
          <w:iCs/>
          <w:sz w:val="14"/>
          <w:szCs w:val="14"/>
          <w:vertAlign w:val="superscript"/>
          <w:lang w:val="en-GB"/>
        </w:rPr>
        <w:footnoteRef/>
      </w:r>
      <w:r w:rsidRPr="0003657F">
        <w:rPr>
          <w:rFonts w:ascii="Times New Roman" w:hAnsi="Times New Roman"/>
          <w:iCs/>
          <w:sz w:val="14"/>
          <w:szCs w:val="14"/>
          <w:lang w:val="en-GB"/>
        </w:rPr>
        <w:t xml:space="preserve"> All target values are for the year 2021 unless stated otherwise.</w:t>
      </w:r>
    </w:p>
  </w:footnote>
  <w:footnote w:id="29">
    <w:p w14:paraId="7396F960" w14:textId="6A41593F" w:rsidR="008E3991" w:rsidRPr="0003657F" w:rsidRDefault="008E3991" w:rsidP="001525D2">
      <w:pPr>
        <w:pStyle w:val="FootnoteText"/>
        <w:rPr>
          <w:rFonts w:ascii="Times New Roman" w:hAnsi="Times New Roman"/>
          <w:sz w:val="14"/>
          <w:szCs w:val="14"/>
        </w:rPr>
      </w:pPr>
      <w:r w:rsidRPr="0003657F">
        <w:rPr>
          <w:rStyle w:val="FootnoteReference"/>
          <w:rFonts w:ascii="Times New Roman" w:hAnsi="Times New Roman"/>
          <w:sz w:val="14"/>
          <w:szCs w:val="14"/>
        </w:rPr>
        <w:footnoteRef/>
      </w:r>
      <w:r w:rsidRPr="0003657F">
        <w:rPr>
          <w:rFonts w:ascii="Times New Roman" w:hAnsi="Times New Roman"/>
          <w:sz w:val="14"/>
          <w:szCs w:val="14"/>
        </w:rPr>
        <w:t xml:space="preserve"> </w:t>
      </w:r>
      <w:r>
        <w:rPr>
          <w:rFonts w:ascii="Times New Roman" w:hAnsi="Times New Roman"/>
          <w:sz w:val="14"/>
          <w:szCs w:val="14"/>
        </w:rPr>
        <w:t>The index</w:t>
      </w:r>
      <w:r w:rsidRPr="0003657F">
        <w:rPr>
          <w:rFonts w:ascii="Times New Roman" w:hAnsi="Times New Roman"/>
          <w:sz w:val="14"/>
          <w:szCs w:val="14"/>
        </w:rPr>
        <w:t xml:space="preserve"> captur</w:t>
      </w:r>
      <w:r>
        <w:rPr>
          <w:rFonts w:ascii="Times New Roman" w:hAnsi="Times New Roman"/>
          <w:sz w:val="14"/>
          <w:szCs w:val="14"/>
        </w:rPr>
        <w:t>es</w:t>
      </w:r>
      <w:r w:rsidRPr="0003657F">
        <w:rPr>
          <w:rFonts w:ascii="Times New Roman" w:hAnsi="Times New Roman"/>
          <w:sz w:val="14"/>
          <w:szCs w:val="14"/>
        </w:rPr>
        <w:t xml:space="preserve"> perceptions of the extent to which citizens are able to participate in selecting their government, </w:t>
      </w:r>
      <w:r>
        <w:rPr>
          <w:rFonts w:ascii="Times New Roman" w:hAnsi="Times New Roman"/>
          <w:sz w:val="14"/>
          <w:szCs w:val="14"/>
        </w:rPr>
        <w:t>with</w:t>
      </w:r>
      <w:r w:rsidRPr="0003657F">
        <w:rPr>
          <w:rFonts w:ascii="Times New Roman" w:hAnsi="Times New Roman"/>
          <w:sz w:val="14"/>
          <w:szCs w:val="14"/>
        </w:rPr>
        <w:t xml:space="preserve"> freedom of expression, freedom of  association, and free media</w:t>
      </w:r>
    </w:p>
  </w:footnote>
  <w:footnote w:id="30">
    <w:p w14:paraId="01E9C0DB" w14:textId="0E242470" w:rsidR="008E3991" w:rsidRPr="00322ACA" w:rsidRDefault="008E3991">
      <w:pPr>
        <w:pStyle w:val="FootnoteText"/>
        <w:rPr>
          <w:rFonts w:asciiTheme="minorHAnsi" w:hAnsiTheme="minorHAnsi"/>
          <w:sz w:val="18"/>
          <w:szCs w:val="18"/>
        </w:rPr>
      </w:pPr>
      <w:r w:rsidRPr="0003657F">
        <w:rPr>
          <w:rStyle w:val="FootnoteReference"/>
          <w:rFonts w:ascii="Times New Roman" w:hAnsi="Times New Roman"/>
          <w:sz w:val="14"/>
          <w:szCs w:val="14"/>
        </w:rPr>
        <w:footnoteRef/>
      </w:r>
      <w:r w:rsidRPr="0003657F">
        <w:rPr>
          <w:rFonts w:ascii="Times New Roman" w:hAnsi="Times New Roman"/>
          <w:sz w:val="14"/>
          <w:szCs w:val="14"/>
        </w:rPr>
        <w:t xml:space="preserve"> </w:t>
      </w:r>
      <w:r>
        <w:rPr>
          <w:rFonts w:ascii="Times New Roman" w:hAnsi="Times New Roman"/>
          <w:sz w:val="14"/>
          <w:szCs w:val="14"/>
        </w:rPr>
        <w:t>T</w:t>
      </w:r>
      <w:r w:rsidRPr="0003657F">
        <w:rPr>
          <w:rFonts w:ascii="Times New Roman" w:hAnsi="Times New Roman"/>
          <w:sz w:val="14"/>
          <w:szCs w:val="14"/>
        </w:rPr>
        <w:t>o be updated following the 2016 election</w:t>
      </w:r>
    </w:p>
  </w:footnote>
  <w:footnote w:id="31">
    <w:p w14:paraId="7F98311A" w14:textId="2BCA7DC3" w:rsidR="008E3991" w:rsidRPr="0003657F" w:rsidRDefault="008E3991" w:rsidP="001525D2">
      <w:pPr>
        <w:pStyle w:val="FootnoteText"/>
        <w:rPr>
          <w:rFonts w:ascii="Times New Roman" w:hAnsi="Times New Roman"/>
          <w:sz w:val="14"/>
          <w:szCs w:val="14"/>
          <w:vertAlign w:val="subscript"/>
        </w:rPr>
      </w:pPr>
      <w:r w:rsidRPr="0003657F">
        <w:rPr>
          <w:rStyle w:val="FootnoteReference"/>
          <w:rFonts w:ascii="Times New Roman" w:hAnsi="Times New Roman"/>
          <w:sz w:val="14"/>
          <w:szCs w:val="14"/>
        </w:rPr>
        <w:footnoteRef/>
      </w:r>
      <w:r w:rsidRPr="0003657F">
        <w:rPr>
          <w:rFonts w:ascii="Times New Roman" w:hAnsi="Times New Roman"/>
          <w:sz w:val="14"/>
          <w:szCs w:val="14"/>
        </w:rPr>
        <w:t xml:space="preserve"> Perceived quality of public services; quality of civil service and its independence from political pressures; quality of policy formulation and implementation; and credibility of government commitment to such 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E3991" w:rsidRPr="00870FE7" w14:paraId="4478C34F" w14:textId="77777777" w:rsidTr="00DD7C65">
      <w:trPr>
        <w:trHeight w:hRule="exact" w:val="864"/>
      </w:trPr>
      <w:tc>
        <w:tcPr>
          <w:tcW w:w="4838" w:type="dxa"/>
          <w:shd w:val="clear" w:color="auto" w:fill="auto"/>
          <w:vAlign w:val="bottom"/>
        </w:tcPr>
        <w:p w14:paraId="294ABCCC" w14:textId="2CB7AFD2" w:rsidR="008E3991" w:rsidRPr="00870FE7" w:rsidRDefault="008E3991" w:rsidP="003D49DC">
          <w:pPr>
            <w:tabs>
              <w:tab w:val="center" w:pos="4320"/>
              <w:tab w:val="right" w:pos="8640"/>
            </w:tabs>
            <w:spacing w:after="80"/>
            <w:rPr>
              <w:b/>
              <w:noProof/>
              <w:sz w:val="17"/>
            </w:rPr>
          </w:pPr>
          <w:r w:rsidRPr="00870FE7">
            <w:rPr>
              <w:b/>
              <w:noProof/>
              <w:sz w:val="17"/>
            </w:rPr>
            <w:t>D</w:t>
          </w:r>
          <w:r>
            <w:rPr>
              <w:b/>
              <w:noProof/>
              <w:sz w:val="17"/>
            </w:rPr>
            <w:t>P/DCP/MNG</w:t>
          </w:r>
          <w:r w:rsidRPr="00870FE7">
            <w:rPr>
              <w:b/>
              <w:noProof/>
              <w:sz w:val="17"/>
            </w:rPr>
            <w:t>/3</w:t>
          </w:r>
        </w:p>
      </w:tc>
      <w:tc>
        <w:tcPr>
          <w:tcW w:w="5033" w:type="dxa"/>
          <w:shd w:val="clear" w:color="auto" w:fill="auto"/>
          <w:vAlign w:val="bottom"/>
        </w:tcPr>
        <w:p w14:paraId="33399E40" w14:textId="77777777" w:rsidR="008E3991" w:rsidRPr="00870FE7" w:rsidRDefault="008E3991" w:rsidP="00870FE7">
          <w:pPr>
            <w:tabs>
              <w:tab w:val="center" w:pos="4320"/>
              <w:tab w:val="right" w:pos="8640"/>
            </w:tabs>
            <w:jc w:val="right"/>
            <w:rPr>
              <w:noProof/>
              <w:sz w:val="17"/>
            </w:rPr>
          </w:pPr>
        </w:p>
      </w:tc>
    </w:tr>
  </w:tbl>
  <w:p w14:paraId="67E9812B" w14:textId="77777777" w:rsidR="008E3991" w:rsidRDefault="008E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E3991" w:rsidRPr="003D49DC" w14:paraId="3AD37142" w14:textId="77777777" w:rsidTr="008E3991">
      <w:trPr>
        <w:trHeight w:hRule="exact" w:val="864"/>
      </w:trPr>
      <w:tc>
        <w:tcPr>
          <w:tcW w:w="4838" w:type="dxa"/>
          <w:tcBorders>
            <w:bottom w:val="single" w:sz="4" w:space="0" w:color="auto"/>
          </w:tcBorders>
          <w:vAlign w:val="bottom"/>
        </w:tcPr>
        <w:p w14:paraId="07220A0A" w14:textId="77777777" w:rsidR="008E3991" w:rsidRPr="003D49DC" w:rsidRDefault="008E3991" w:rsidP="003D49DC">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FE7CDEA" w14:textId="15D98EA6" w:rsidR="008E3991" w:rsidRPr="003D49DC" w:rsidRDefault="008E3991" w:rsidP="003D49DC">
          <w:pPr>
            <w:widowControl w:val="0"/>
            <w:tabs>
              <w:tab w:val="center" w:pos="4320"/>
              <w:tab w:val="right" w:pos="8640"/>
            </w:tabs>
            <w:jc w:val="right"/>
            <w:rPr>
              <w:sz w:val="17"/>
              <w:szCs w:val="17"/>
            </w:rPr>
          </w:pPr>
          <w:r w:rsidRPr="003D49DC">
            <w:rPr>
              <w:b/>
              <w:sz w:val="17"/>
              <w:szCs w:val="17"/>
            </w:rPr>
            <w:t>DP/DCP/</w:t>
          </w:r>
          <w:r>
            <w:rPr>
              <w:b/>
              <w:sz w:val="17"/>
              <w:szCs w:val="17"/>
            </w:rPr>
            <w:t>MNG</w:t>
          </w:r>
          <w:r w:rsidRPr="003D49DC">
            <w:rPr>
              <w:b/>
              <w:sz w:val="17"/>
              <w:szCs w:val="17"/>
            </w:rPr>
            <w:t>/</w:t>
          </w:r>
          <w:r>
            <w:rPr>
              <w:b/>
              <w:sz w:val="17"/>
              <w:szCs w:val="17"/>
            </w:rPr>
            <w:t>3</w:t>
          </w:r>
        </w:p>
      </w:tc>
    </w:tr>
  </w:tbl>
  <w:p w14:paraId="2FEF90B7" w14:textId="77777777" w:rsidR="008E3991" w:rsidRPr="00916E69" w:rsidRDefault="008E399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E3991" w:rsidRPr="00A226B9" w14:paraId="7E971B76" w14:textId="77777777" w:rsidTr="00DD7C65">
      <w:trPr>
        <w:trHeight w:hRule="exact" w:val="864"/>
      </w:trPr>
      <w:tc>
        <w:tcPr>
          <w:tcW w:w="1267" w:type="dxa"/>
          <w:tcBorders>
            <w:bottom w:val="single" w:sz="4" w:space="0" w:color="auto"/>
          </w:tcBorders>
          <w:shd w:val="clear" w:color="auto" w:fill="auto"/>
          <w:vAlign w:val="bottom"/>
        </w:tcPr>
        <w:p w14:paraId="74F618E0" w14:textId="77777777" w:rsidR="008E3991" w:rsidRPr="00A226B9" w:rsidRDefault="008E3991" w:rsidP="00A226B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0254BD4" w14:textId="77777777" w:rsidR="008E3991" w:rsidRPr="00A226B9" w:rsidRDefault="008E3991" w:rsidP="00A22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A226B9">
            <w:rPr>
              <w:spacing w:val="2"/>
              <w:w w:val="96"/>
              <w:kern w:val="14"/>
              <w:sz w:val="28"/>
              <w:lang w:val="en-GB"/>
            </w:rPr>
            <w:t>United Nations</w:t>
          </w:r>
        </w:p>
      </w:tc>
      <w:tc>
        <w:tcPr>
          <w:tcW w:w="245" w:type="dxa"/>
          <w:tcBorders>
            <w:bottom w:val="single" w:sz="4" w:space="0" w:color="auto"/>
          </w:tcBorders>
          <w:shd w:val="clear" w:color="auto" w:fill="auto"/>
          <w:vAlign w:val="bottom"/>
        </w:tcPr>
        <w:p w14:paraId="51DAC0A2" w14:textId="77777777" w:rsidR="008E3991" w:rsidRPr="00A226B9" w:rsidRDefault="008E3991" w:rsidP="00A226B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01CDEAB" w14:textId="77777777" w:rsidR="008E3991" w:rsidRPr="00A226B9" w:rsidRDefault="008E3991" w:rsidP="00A226B9">
          <w:pPr>
            <w:suppressAutoHyphens/>
            <w:spacing w:after="80"/>
            <w:jc w:val="right"/>
            <w:rPr>
              <w:spacing w:val="4"/>
              <w:w w:val="103"/>
              <w:kern w:val="14"/>
              <w:position w:val="-4"/>
              <w:lang w:val="en-GB"/>
            </w:rPr>
          </w:pPr>
          <w:r w:rsidRPr="00A226B9">
            <w:rPr>
              <w:spacing w:val="4"/>
              <w:w w:val="103"/>
              <w:kern w:val="14"/>
              <w:position w:val="-4"/>
              <w:sz w:val="40"/>
              <w:lang w:val="en-GB"/>
            </w:rPr>
            <w:t>DP</w:t>
          </w:r>
          <w:r w:rsidRPr="00A226B9">
            <w:rPr>
              <w:spacing w:val="4"/>
              <w:w w:val="103"/>
              <w:kern w:val="14"/>
              <w:position w:val="-4"/>
              <w:lang w:val="en-GB"/>
            </w:rPr>
            <w:t>/DCP/</w:t>
          </w:r>
          <w:r>
            <w:rPr>
              <w:spacing w:val="4"/>
              <w:w w:val="103"/>
              <w:kern w:val="14"/>
              <w:position w:val="-4"/>
              <w:lang w:val="en-GB"/>
            </w:rPr>
            <w:t>MNG</w:t>
          </w:r>
          <w:r w:rsidRPr="00A226B9">
            <w:rPr>
              <w:spacing w:val="4"/>
              <w:w w:val="103"/>
              <w:kern w:val="14"/>
              <w:position w:val="-4"/>
              <w:lang w:val="en-GB"/>
            </w:rPr>
            <w:t>/3</w:t>
          </w:r>
        </w:p>
      </w:tc>
    </w:tr>
    <w:tr w:rsidR="008E3991" w:rsidRPr="00A226B9" w14:paraId="4C9C9DF9" w14:textId="77777777" w:rsidTr="00DD7C65">
      <w:trPr>
        <w:gridAfter w:val="1"/>
        <w:wAfter w:w="28" w:type="dxa"/>
        <w:trHeight w:hRule="exact" w:val="2880"/>
      </w:trPr>
      <w:tc>
        <w:tcPr>
          <w:tcW w:w="1267" w:type="dxa"/>
          <w:tcBorders>
            <w:top w:val="single" w:sz="4" w:space="0" w:color="auto"/>
            <w:bottom w:val="single" w:sz="12" w:space="0" w:color="auto"/>
          </w:tcBorders>
          <w:shd w:val="clear" w:color="auto" w:fill="auto"/>
        </w:tcPr>
        <w:p w14:paraId="060579CD" w14:textId="77777777" w:rsidR="008E3991" w:rsidRPr="00A226B9" w:rsidRDefault="008E3991" w:rsidP="00A226B9">
          <w:pPr>
            <w:tabs>
              <w:tab w:val="center" w:pos="4320"/>
              <w:tab w:val="right" w:pos="8640"/>
            </w:tabs>
            <w:spacing w:before="109"/>
            <w:rPr>
              <w:noProof/>
              <w:sz w:val="17"/>
            </w:rPr>
          </w:pPr>
          <w:r w:rsidRPr="00A226B9">
            <w:rPr>
              <w:noProof/>
              <w:sz w:val="17"/>
            </w:rPr>
            <w:t xml:space="preserve"> </w:t>
          </w:r>
          <w:r w:rsidRPr="00A226B9">
            <w:rPr>
              <w:noProof/>
              <w:sz w:val="17"/>
            </w:rPr>
            <w:drawing>
              <wp:inline distT="0" distB="0" distL="0" distR="0" wp14:anchorId="6354EEE7" wp14:editId="4C5E0D60">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B1E71BC" w14:textId="77777777" w:rsidR="008E3991" w:rsidRPr="00A226B9" w:rsidRDefault="008E3991" w:rsidP="00A226B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9FDFEFA" w14:textId="77777777" w:rsidR="008E3991" w:rsidRPr="00A226B9" w:rsidRDefault="008E3991" w:rsidP="00A22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A226B9">
            <w:rPr>
              <w:b/>
              <w:sz w:val="34"/>
            </w:rPr>
            <w:t>Executive Board of the</w:t>
          </w:r>
          <w:r w:rsidRPr="00A226B9">
            <w:rPr>
              <w:b/>
              <w:sz w:val="34"/>
            </w:rPr>
            <w:br/>
            <w:t>United Nations Development</w:t>
          </w:r>
          <w:r w:rsidRPr="00A226B9">
            <w:rPr>
              <w:b/>
              <w:sz w:val="34"/>
            </w:rPr>
            <w:br/>
            <w:t xml:space="preserve">Programme, the United Nations Population Fund and the </w:t>
          </w:r>
        </w:p>
        <w:p w14:paraId="202BBA2D" w14:textId="77777777" w:rsidR="008E3991" w:rsidRPr="00A226B9" w:rsidRDefault="008E3991" w:rsidP="00A22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A226B9">
            <w:rPr>
              <w:b/>
              <w:sz w:val="34"/>
            </w:rPr>
            <w:t xml:space="preserve">United Nations Office for </w:t>
          </w:r>
        </w:p>
        <w:p w14:paraId="489225D7" w14:textId="77777777" w:rsidR="008E3991" w:rsidRPr="00A226B9" w:rsidRDefault="008E3991" w:rsidP="00A22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A226B9">
            <w:rPr>
              <w:b/>
              <w:sz w:val="34"/>
            </w:rPr>
            <w:t>Project Services</w:t>
          </w:r>
        </w:p>
      </w:tc>
      <w:tc>
        <w:tcPr>
          <w:tcW w:w="245" w:type="dxa"/>
          <w:tcBorders>
            <w:top w:val="single" w:sz="4" w:space="0" w:color="auto"/>
            <w:bottom w:val="single" w:sz="12" w:space="0" w:color="auto"/>
          </w:tcBorders>
          <w:shd w:val="clear" w:color="auto" w:fill="auto"/>
        </w:tcPr>
        <w:p w14:paraId="29C28C9D" w14:textId="77777777" w:rsidR="008E3991" w:rsidRPr="00A226B9" w:rsidRDefault="008E3991" w:rsidP="00A226B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7991EE8" w14:textId="77777777" w:rsidR="008E3991" w:rsidRPr="00A226B9" w:rsidRDefault="008E3991" w:rsidP="00A226B9">
          <w:pPr>
            <w:suppressAutoHyphens/>
            <w:spacing w:before="240" w:line="240" w:lineRule="exact"/>
            <w:rPr>
              <w:spacing w:val="4"/>
              <w:w w:val="103"/>
              <w:kern w:val="14"/>
              <w:lang w:val="en-GB"/>
            </w:rPr>
          </w:pPr>
          <w:r w:rsidRPr="00A226B9">
            <w:rPr>
              <w:spacing w:val="4"/>
              <w:w w:val="103"/>
              <w:kern w:val="14"/>
              <w:lang w:val="en-GB"/>
            </w:rPr>
            <w:t>Distr.: General</w:t>
          </w:r>
        </w:p>
        <w:p w14:paraId="384362C7" w14:textId="716CFF45" w:rsidR="008E3991" w:rsidRPr="00A226B9" w:rsidRDefault="008E3991" w:rsidP="00A226B9">
          <w:pPr>
            <w:suppressAutoHyphens/>
            <w:spacing w:line="240" w:lineRule="exact"/>
            <w:rPr>
              <w:spacing w:val="4"/>
              <w:w w:val="103"/>
              <w:kern w:val="14"/>
              <w:lang w:val="en-GB"/>
            </w:rPr>
          </w:pPr>
          <w:r>
            <w:rPr>
              <w:spacing w:val="4"/>
              <w:w w:val="103"/>
              <w:kern w:val="14"/>
              <w:lang w:val="en-GB"/>
            </w:rPr>
            <w:t>13 June</w:t>
          </w:r>
          <w:r w:rsidRPr="00A226B9">
            <w:rPr>
              <w:spacing w:val="4"/>
              <w:w w:val="103"/>
              <w:kern w:val="14"/>
              <w:lang w:val="en-GB"/>
            </w:rPr>
            <w:t xml:space="preserve"> 2016</w:t>
          </w:r>
        </w:p>
        <w:p w14:paraId="0C31447D" w14:textId="77777777" w:rsidR="008E3991" w:rsidRPr="00A226B9" w:rsidRDefault="008E3991" w:rsidP="00A226B9">
          <w:pPr>
            <w:suppressAutoHyphens/>
            <w:spacing w:line="240" w:lineRule="exact"/>
            <w:rPr>
              <w:spacing w:val="4"/>
              <w:w w:val="103"/>
              <w:kern w:val="14"/>
              <w:lang w:val="en-GB"/>
            </w:rPr>
          </w:pPr>
        </w:p>
        <w:p w14:paraId="591D1ADE" w14:textId="77777777" w:rsidR="008E3991" w:rsidRPr="00A226B9" w:rsidRDefault="008E3991" w:rsidP="00A226B9">
          <w:pPr>
            <w:suppressAutoHyphens/>
            <w:spacing w:line="240" w:lineRule="exact"/>
            <w:rPr>
              <w:spacing w:val="4"/>
              <w:w w:val="103"/>
              <w:kern w:val="14"/>
              <w:lang w:val="en-GB"/>
            </w:rPr>
          </w:pPr>
          <w:r w:rsidRPr="00A226B9">
            <w:rPr>
              <w:spacing w:val="4"/>
              <w:w w:val="103"/>
              <w:kern w:val="14"/>
              <w:lang w:val="en-GB"/>
            </w:rPr>
            <w:t>Original: English</w:t>
          </w:r>
        </w:p>
      </w:tc>
    </w:tr>
  </w:tbl>
  <w:p w14:paraId="2F6545CE" w14:textId="77777777" w:rsidR="008E3991" w:rsidRPr="00870FE7" w:rsidRDefault="008E3991">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E3991" w:rsidRPr="00870FE7" w14:paraId="63BA0D1E" w14:textId="77777777" w:rsidTr="00DD7C65">
      <w:trPr>
        <w:trHeight w:hRule="exact" w:val="864"/>
      </w:trPr>
      <w:tc>
        <w:tcPr>
          <w:tcW w:w="4838" w:type="dxa"/>
          <w:shd w:val="clear" w:color="auto" w:fill="auto"/>
          <w:vAlign w:val="bottom"/>
        </w:tcPr>
        <w:p w14:paraId="397DFEDA" w14:textId="77777777" w:rsidR="008E3991" w:rsidRPr="00870FE7" w:rsidRDefault="008E3991" w:rsidP="00A226B9">
          <w:pPr>
            <w:tabs>
              <w:tab w:val="center" w:pos="4320"/>
              <w:tab w:val="right" w:pos="8640"/>
            </w:tabs>
            <w:spacing w:after="80"/>
            <w:rPr>
              <w:b/>
              <w:noProof/>
              <w:sz w:val="17"/>
            </w:rPr>
          </w:pPr>
          <w:r w:rsidRPr="00870FE7">
            <w:rPr>
              <w:b/>
              <w:noProof/>
              <w:sz w:val="17"/>
            </w:rPr>
            <w:t>DP/DCP/</w:t>
          </w:r>
          <w:r w:rsidRPr="00A226B9">
            <w:rPr>
              <w:b/>
              <w:noProof/>
              <w:sz w:val="17"/>
            </w:rPr>
            <w:t>MNG</w:t>
          </w:r>
          <w:r w:rsidRPr="00870FE7">
            <w:rPr>
              <w:b/>
              <w:noProof/>
              <w:sz w:val="17"/>
            </w:rPr>
            <w:t>/3</w:t>
          </w:r>
        </w:p>
      </w:tc>
      <w:tc>
        <w:tcPr>
          <w:tcW w:w="5033" w:type="dxa"/>
          <w:shd w:val="clear" w:color="auto" w:fill="auto"/>
          <w:vAlign w:val="bottom"/>
        </w:tcPr>
        <w:p w14:paraId="31A6B6A8" w14:textId="77777777" w:rsidR="008E3991" w:rsidRPr="00870FE7" w:rsidRDefault="008E3991" w:rsidP="00870FE7">
          <w:pPr>
            <w:tabs>
              <w:tab w:val="center" w:pos="4320"/>
              <w:tab w:val="right" w:pos="8640"/>
            </w:tabs>
            <w:jc w:val="right"/>
            <w:rPr>
              <w:b/>
              <w:noProof/>
              <w:sz w:val="17"/>
            </w:rPr>
          </w:pPr>
        </w:p>
      </w:tc>
    </w:tr>
  </w:tbl>
  <w:p w14:paraId="739619AD" w14:textId="77777777" w:rsidR="008E3991" w:rsidRPr="00870FE7" w:rsidRDefault="008E3991">
    <w:pPr>
      <w:pStyle w:val="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0242" w14:textId="77777777" w:rsidR="008E3991" w:rsidRDefault="008E3991">
    <w:pPr>
      <w:pStyle w:val="Header"/>
    </w:pPr>
    <w:r>
      <w:rPr>
        <w:noProof/>
        <w:lang w:val="en-US" w:eastAsia="en-US"/>
      </w:rPr>
      <mc:AlternateContent>
        <mc:Choice Requires="wps">
          <w:drawing>
            <wp:anchor distT="0" distB="0" distL="114300" distR="114300" simplePos="0" relativeHeight="251657728" behindDoc="0" locked="0" layoutInCell="0" allowOverlap="1" wp14:anchorId="4F340693" wp14:editId="45825073">
              <wp:simplePos x="0" y="0"/>
              <wp:positionH relativeFrom="column">
                <wp:posOffset>-74295</wp:posOffset>
              </wp:positionH>
              <wp:positionV relativeFrom="paragraph">
                <wp:posOffset>-304800</wp:posOffset>
              </wp:positionV>
              <wp:extent cx="8416925" cy="64008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69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8E3991" w:rsidRPr="005841A3" w14:paraId="56A2E837" w14:textId="77777777">
                            <w:trPr>
                              <w:trHeight w:hRule="exact" w:val="864"/>
                            </w:trPr>
                            <w:tc>
                              <w:tcPr>
                                <w:tcW w:w="4838" w:type="dxa"/>
                                <w:tcBorders>
                                  <w:bottom w:val="single" w:sz="4" w:space="0" w:color="auto"/>
                                </w:tcBorders>
                                <w:vAlign w:val="bottom"/>
                              </w:tcPr>
                              <w:p w14:paraId="08E7761B" w14:textId="77777777" w:rsidR="008E3991" w:rsidRPr="007C6F85" w:rsidRDefault="008E3991"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MNG/3</w:t>
                                </w:r>
                              </w:p>
                            </w:tc>
                            <w:tc>
                              <w:tcPr>
                                <w:tcW w:w="8276" w:type="dxa"/>
                                <w:tcBorders>
                                  <w:bottom w:val="single" w:sz="4" w:space="0" w:color="auto"/>
                                </w:tcBorders>
                                <w:vAlign w:val="bottom"/>
                              </w:tcPr>
                              <w:p w14:paraId="32AA9F02" w14:textId="77777777" w:rsidR="008E3991" w:rsidRPr="007C6F85" w:rsidRDefault="008E3991">
                                <w:pPr>
                                  <w:pStyle w:val="Header"/>
                                  <w:rPr>
                                    <w:rFonts w:ascii="Times New Roman" w:hAnsi="Times New Roman"/>
                                    <w:sz w:val="17"/>
                                    <w:szCs w:val="17"/>
                                    <w:lang w:val="en-US" w:eastAsia="en-US"/>
                                  </w:rPr>
                                </w:pPr>
                              </w:p>
                            </w:tc>
                          </w:tr>
                        </w:tbl>
                        <w:p w14:paraId="42B373AD" w14:textId="77777777" w:rsidR="008E3991" w:rsidRDefault="008E399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F340693" id="_x0000_t202" coordsize="21600,21600" o:spt="202" path="m,l,21600r21600,l21600,xe">
              <v:stroke joinstyle="miter"/>
              <v:path gradientshapeok="t" o:connecttype="rect"/>
            </v:shapetype>
            <v:shape id="Text Box 2" o:spid="_x0000_s1026" type="#_x0000_t202" style="position:absolute;margin-left:-5.85pt;margin-top:-24pt;width:662.7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8E3991" w:rsidRPr="005841A3" w14:paraId="56A2E837" w14:textId="77777777">
                      <w:trPr>
                        <w:trHeight w:hRule="exact" w:val="864"/>
                      </w:trPr>
                      <w:tc>
                        <w:tcPr>
                          <w:tcW w:w="4838" w:type="dxa"/>
                          <w:tcBorders>
                            <w:bottom w:val="single" w:sz="4" w:space="0" w:color="auto"/>
                          </w:tcBorders>
                          <w:vAlign w:val="bottom"/>
                        </w:tcPr>
                        <w:p w14:paraId="08E7761B" w14:textId="77777777" w:rsidR="008E3991" w:rsidRPr="007C6F85" w:rsidRDefault="008E3991"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MNG/3</w:t>
                          </w:r>
                        </w:p>
                      </w:tc>
                      <w:tc>
                        <w:tcPr>
                          <w:tcW w:w="8276" w:type="dxa"/>
                          <w:tcBorders>
                            <w:bottom w:val="single" w:sz="4" w:space="0" w:color="auto"/>
                          </w:tcBorders>
                          <w:vAlign w:val="bottom"/>
                        </w:tcPr>
                        <w:p w14:paraId="32AA9F02" w14:textId="77777777" w:rsidR="008E3991" w:rsidRPr="007C6F85" w:rsidRDefault="008E3991">
                          <w:pPr>
                            <w:pStyle w:val="Header"/>
                            <w:rPr>
                              <w:rFonts w:ascii="Times New Roman" w:hAnsi="Times New Roman"/>
                              <w:sz w:val="17"/>
                              <w:szCs w:val="17"/>
                              <w:lang w:val="en-US" w:eastAsia="en-US"/>
                            </w:rPr>
                          </w:pPr>
                        </w:p>
                      </w:tc>
                    </w:tr>
                  </w:tbl>
                  <w:p w14:paraId="42B373AD" w14:textId="77777777" w:rsidR="008E3991" w:rsidRDefault="008E3991"/>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8E3991" w:rsidRPr="003D49DC" w14:paraId="33BB0901" w14:textId="77777777" w:rsidTr="008E3991">
      <w:trPr>
        <w:trHeight w:hRule="exact" w:val="864"/>
      </w:trPr>
      <w:tc>
        <w:tcPr>
          <w:tcW w:w="4838" w:type="dxa"/>
          <w:tcBorders>
            <w:bottom w:val="single" w:sz="4" w:space="0" w:color="auto"/>
          </w:tcBorders>
          <w:vAlign w:val="bottom"/>
        </w:tcPr>
        <w:p w14:paraId="261C29E2" w14:textId="77777777" w:rsidR="008E3991" w:rsidRPr="003D49DC" w:rsidRDefault="008E3991" w:rsidP="003D49DC">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217F826B" w14:textId="77777777" w:rsidR="008E3991" w:rsidRPr="003D49DC" w:rsidRDefault="008E3991" w:rsidP="003D49DC">
          <w:pPr>
            <w:widowControl w:val="0"/>
            <w:tabs>
              <w:tab w:val="center" w:pos="4320"/>
              <w:tab w:val="right" w:pos="8640"/>
            </w:tabs>
            <w:jc w:val="right"/>
            <w:rPr>
              <w:sz w:val="17"/>
              <w:szCs w:val="17"/>
            </w:rPr>
          </w:pPr>
          <w:r w:rsidRPr="003D49DC">
            <w:rPr>
              <w:b/>
              <w:sz w:val="17"/>
              <w:szCs w:val="17"/>
            </w:rPr>
            <w:t>DP/DCP/</w:t>
          </w:r>
          <w:r>
            <w:rPr>
              <w:b/>
              <w:sz w:val="17"/>
              <w:szCs w:val="17"/>
            </w:rPr>
            <w:t>MNG</w:t>
          </w:r>
          <w:r w:rsidRPr="003D49DC">
            <w:rPr>
              <w:b/>
              <w:sz w:val="17"/>
              <w:szCs w:val="17"/>
            </w:rPr>
            <w:t>/</w:t>
          </w:r>
          <w:r>
            <w:rPr>
              <w:b/>
              <w:sz w:val="17"/>
              <w:szCs w:val="17"/>
            </w:rPr>
            <w:t>3</w:t>
          </w:r>
        </w:p>
      </w:tc>
    </w:tr>
  </w:tbl>
  <w:p w14:paraId="295545CE" w14:textId="77777777" w:rsidR="008E3991" w:rsidRPr="00916E69" w:rsidRDefault="008E399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7DE"/>
    <w:multiLevelType w:val="hybridMultilevel"/>
    <w:tmpl w:val="074AE35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6" w15:restartNumberingAfterBreak="0">
    <w:nsid w:val="20755F68"/>
    <w:multiLevelType w:val="hybridMultilevel"/>
    <w:tmpl w:val="D1D0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7AB12D6"/>
    <w:multiLevelType w:val="hybridMultilevel"/>
    <w:tmpl w:val="F0F2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7597"/>
    <w:multiLevelType w:val="hybridMultilevel"/>
    <w:tmpl w:val="AA7E182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8"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430E2F9F"/>
    <w:multiLevelType w:val="hybridMultilevel"/>
    <w:tmpl w:val="6356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A08A1"/>
    <w:multiLevelType w:val="hybridMultilevel"/>
    <w:tmpl w:val="78E44644"/>
    <w:lvl w:ilvl="0" w:tplc="9FEC901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E37B89"/>
    <w:multiLevelType w:val="hybridMultilevel"/>
    <w:tmpl w:val="AA7E182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B9961B4"/>
    <w:multiLevelType w:val="hybridMultilevel"/>
    <w:tmpl w:val="0AB8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558FA"/>
    <w:multiLevelType w:val="hybridMultilevel"/>
    <w:tmpl w:val="FC6ED4EC"/>
    <w:lvl w:ilvl="0" w:tplc="0409000F">
      <w:start w:val="1"/>
      <w:numFmt w:val="decimal"/>
      <w:lvlText w:val="%1."/>
      <w:lvlJc w:val="left"/>
      <w:pPr>
        <w:ind w:left="162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46B3F"/>
    <w:multiLevelType w:val="hybridMultilevel"/>
    <w:tmpl w:val="49D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75C26"/>
    <w:multiLevelType w:val="hybridMultilevel"/>
    <w:tmpl w:val="D718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56B19"/>
    <w:multiLevelType w:val="hybridMultilevel"/>
    <w:tmpl w:val="585C4B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D10498"/>
    <w:multiLevelType w:val="hybridMultilevel"/>
    <w:tmpl w:val="DDE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5F2311"/>
    <w:multiLevelType w:val="hybridMultilevel"/>
    <w:tmpl w:val="AA7E182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7"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FB696C"/>
    <w:multiLevelType w:val="hybridMultilevel"/>
    <w:tmpl w:val="585C4B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0" w15:restartNumberingAfterBreak="0">
    <w:nsid w:val="64A14289"/>
    <w:multiLevelType w:val="hybridMultilevel"/>
    <w:tmpl w:val="A51ED8A0"/>
    <w:lvl w:ilvl="0" w:tplc="CA747E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2"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4"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5" w15:restartNumberingAfterBreak="0">
    <w:nsid w:val="6BE20FCC"/>
    <w:multiLevelType w:val="multilevel"/>
    <w:tmpl w:val="DDEC40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7" w15:restartNumberingAfterBreak="0">
    <w:nsid w:val="6F222A70"/>
    <w:multiLevelType w:val="hybridMultilevel"/>
    <w:tmpl w:val="6D2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86BEA"/>
    <w:multiLevelType w:val="hybridMultilevel"/>
    <w:tmpl w:val="9E58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9AA3557"/>
    <w:multiLevelType w:val="multilevel"/>
    <w:tmpl w:val="28EA1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37"/>
  </w:num>
  <w:num w:numId="3">
    <w:abstractNumId w:val="28"/>
  </w:num>
  <w:num w:numId="4">
    <w:abstractNumId w:val="43"/>
  </w:num>
  <w:num w:numId="5">
    <w:abstractNumId w:val="32"/>
  </w:num>
  <w:num w:numId="6">
    <w:abstractNumId w:val="1"/>
  </w:num>
  <w:num w:numId="7">
    <w:abstractNumId w:val="16"/>
  </w:num>
  <w:num w:numId="8">
    <w:abstractNumId w:val="39"/>
  </w:num>
  <w:num w:numId="9">
    <w:abstractNumId w:val="53"/>
  </w:num>
  <w:num w:numId="10">
    <w:abstractNumId w:val="42"/>
  </w:num>
  <w:num w:numId="11">
    <w:abstractNumId w:val="51"/>
  </w:num>
  <w:num w:numId="12">
    <w:abstractNumId w:val="24"/>
  </w:num>
  <w:num w:numId="13">
    <w:abstractNumId w:val="5"/>
  </w:num>
  <w:num w:numId="14">
    <w:abstractNumId w:val="15"/>
  </w:num>
  <w:num w:numId="15">
    <w:abstractNumId w:val="46"/>
  </w:num>
  <w:num w:numId="16">
    <w:abstractNumId w:val="9"/>
  </w:num>
  <w:num w:numId="17">
    <w:abstractNumId w:val="13"/>
  </w:num>
  <w:num w:numId="18">
    <w:abstractNumId w:val="17"/>
  </w:num>
  <w:num w:numId="19">
    <w:abstractNumId w:val="50"/>
  </w:num>
  <w:num w:numId="20">
    <w:abstractNumId w:val="8"/>
  </w:num>
  <w:num w:numId="21">
    <w:abstractNumId w:val="7"/>
  </w:num>
  <w:num w:numId="22">
    <w:abstractNumId w:val="49"/>
  </w:num>
  <w:num w:numId="23">
    <w:abstractNumId w:val="14"/>
  </w:num>
  <w:num w:numId="24">
    <w:abstractNumId w:val="3"/>
  </w:num>
  <w:num w:numId="25">
    <w:abstractNumId w:val="44"/>
  </w:num>
  <w:num w:numId="26">
    <w:abstractNumId w:val="41"/>
  </w:num>
  <w:num w:numId="27">
    <w:abstractNumId w:val="35"/>
  </w:num>
  <w:num w:numId="28">
    <w:abstractNumId w:val="2"/>
  </w:num>
  <w:num w:numId="29">
    <w:abstractNumId w:val="26"/>
  </w:num>
  <w:num w:numId="30">
    <w:abstractNumId w:val="33"/>
  </w:num>
  <w:num w:numId="31">
    <w:abstractNumId w:val="12"/>
  </w:num>
  <w:num w:numId="32">
    <w:abstractNumId w:val="4"/>
  </w:num>
  <w:num w:numId="33">
    <w:abstractNumId w:val="22"/>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 w:numId="37">
    <w:abstractNumId w:val="38"/>
  </w:num>
  <w:num w:numId="38">
    <w:abstractNumId w:val="34"/>
  </w:num>
  <w:num w:numId="39">
    <w:abstractNumId w:val="40"/>
  </w:num>
  <w:num w:numId="40">
    <w:abstractNumId w:val="11"/>
  </w:num>
  <w:num w:numId="41">
    <w:abstractNumId w:val="23"/>
  </w:num>
  <w:num w:numId="42">
    <w:abstractNumId w:val="29"/>
  </w:num>
  <w:num w:numId="43">
    <w:abstractNumId w:val="30"/>
  </w:num>
  <w:num w:numId="44">
    <w:abstractNumId w:val="48"/>
  </w:num>
  <w:num w:numId="45">
    <w:abstractNumId w:val="25"/>
  </w:num>
  <w:num w:numId="46">
    <w:abstractNumId w:val="19"/>
  </w:num>
  <w:num w:numId="47">
    <w:abstractNumId w:val="0"/>
  </w:num>
  <w:num w:numId="48">
    <w:abstractNumId w:val="45"/>
  </w:num>
  <w:num w:numId="49">
    <w:abstractNumId w:val="6"/>
  </w:num>
  <w:num w:numId="50">
    <w:abstractNumId w:val="47"/>
  </w:num>
  <w:num w:numId="51">
    <w:abstractNumId w:val="52"/>
  </w:num>
  <w:num w:numId="52">
    <w:abstractNumId w:val="10"/>
  </w:num>
  <w:num w:numId="53">
    <w:abstractNumId w:val="21"/>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175"/>
    <w:rsid w:val="000010B5"/>
    <w:rsid w:val="000027D2"/>
    <w:rsid w:val="00005E26"/>
    <w:rsid w:val="0001362D"/>
    <w:rsid w:val="00013717"/>
    <w:rsid w:val="00015FDE"/>
    <w:rsid w:val="00016217"/>
    <w:rsid w:val="00016861"/>
    <w:rsid w:val="000200CF"/>
    <w:rsid w:val="00020583"/>
    <w:rsid w:val="000205F1"/>
    <w:rsid w:val="00022047"/>
    <w:rsid w:val="000274B9"/>
    <w:rsid w:val="0002758B"/>
    <w:rsid w:val="000276A0"/>
    <w:rsid w:val="00027A2F"/>
    <w:rsid w:val="00032068"/>
    <w:rsid w:val="00032ABA"/>
    <w:rsid w:val="000330DB"/>
    <w:rsid w:val="0003429F"/>
    <w:rsid w:val="0003562A"/>
    <w:rsid w:val="00036095"/>
    <w:rsid w:val="0003657F"/>
    <w:rsid w:val="00036AF4"/>
    <w:rsid w:val="00037AAD"/>
    <w:rsid w:val="00037AF2"/>
    <w:rsid w:val="00037FDE"/>
    <w:rsid w:val="000411AF"/>
    <w:rsid w:val="00041C10"/>
    <w:rsid w:val="00042679"/>
    <w:rsid w:val="00043509"/>
    <w:rsid w:val="00043804"/>
    <w:rsid w:val="000441A1"/>
    <w:rsid w:val="00046C16"/>
    <w:rsid w:val="00050869"/>
    <w:rsid w:val="00050A21"/>
    <w:rsid w:val="000561C1"/>
    <w:rsid w:val="00056204"/>
    <w:rsid w:val="000570D1"/>
    <w:rsid w:val="000571A9"/>
    <w:rsid w:val="00060290"/>
    <w:rsid w:val="0006177F"/>
    <w:rsid w:val="00063E24"/>
    <w:rsid w:val="00064821"/>
    <w:rsid w:val="00067D80"/>
    <w:rsid w:val="00072229"/>
    <w:rsid w:val="00073CF1"/>
    <w:rsid w:val="00074BD0"/>
    <w:rsid w:val="00074D9A"/>
    <w:rsid w:val="00074DB9"/>
    <w:rsid w:val="000753C4"/>
    <w:rsid w:val="00075DF0"/>
    <w:rsid w:val="000762CA"/>
    <w:rsid w:val="000803A4"/>
    <w:rsid w:val="000806E3"/>
    <w:rsid w:val="00080904"/>
    <w:rsid w:val="000814B8"/>
    <w:rsid w:val="000818E2"/>
    <w:rsid w:val="0008339E"/>
    <w:rsid w:val="00083514"/>
    <w:rsid w:val="00086138"/>
    <w:rsid w:val="000900E4"/>
    <w:rsid w:val="00090AD1"/>
    <w:rsid w:val="00090F4F"/>
    <w:rsid w:val="00091476"/>
    <w:rsid w:val="00092879"/>
    <w:rsid w:val="00094149"/>
    <w:rsid w:val="00094E87"/>
    <w:rsid w:val="000954E1"/>
    <w:rsid w:val="00097A7C"/>
    <w:rsid w:val="00097FB2"/>
    <w:rsid w:val="000A151D"/>
    <w:rsid w:val="000A24C5"/>
    <w:rsid w:val="000A2907"/>
    <w:rsid w:val="000A3F7F"/>
    <w:rsid w:val="000B25A9"/>
    <w:rsid w:val="000B34A2"/>
    <w:rsid w:val="000B3A13"/>
    <w:rsid w:val="000B4A71"/>
    <w:rsid w:val="000B4BB2"/>
    <w:rsid w:val="000B597C"/>
    <w:rsid w:val="000C2143"/>
    <w:rsid w:val="000C3BA3"/>
    <w:rsid w:val="000C629A"/>
    <w:rsid w:val="000C76B0"/>
    <w:rsid w:val="000C7BBE"/>
    <w:rsid w:val="000D0011"/>
    <w:rsid w:val="000D0DDE"/>
    <w:rsid w:val="000D2475"/>
    <w:rsid w:val="000D442C"/>
    <w:rsid w:val="000D4DC4"/>
    <w:rsid w:val="000D6A76"/>
    <w:rsid w:val="000D7DB6"/>
    <w:rsid w:val="000E4227"/>
    <w:rsid w:val="000E612D"/>
    <w:rsid w:val="000E745A"/>
    <w:rsid w:val="000E7E9E"/>
    <w:rsid w:val="000F0044"/>
    <w:rsid w:val="000F0679"/>
    <w:rsid w:val="000F43CB"/>
    <w:rsid w:val="000F703B"/>
    <w:rsid w:val="000F7E44"/>
    <w:rsid w:val="00103D5C"/>
    <w:rsid w:val="0010446A"/>
    <w:rsid w:val="00104FB9"/>
    <w:rsid w:val="00105D60"/>
    <w:rsid w:val="00106EF8"/>
    <w:rsid w:val="00107081"/>
    <w:rsid w:val="001101A2"/>
    <w:rsid w:val="00111489"/>
    <w:rsid w:val="00111797"/>
    <w:rsid w:val="00111B19"/>
    <w:rsid w:val="00112352"/>
    <w:rsid w:val="00112DD5"/>
    <w:rsid w:val="00114A64"/>
    <w:rsid w:val="00115B80"/>
    <w:rsid w:val="00115F59"/>
    <w:rsid w:val="00116C1A"/>
    <w:rsid w:val="00121612"/>
    <w:rsid w:val="00121F3E"/>
    <w:rsid w:val="0012229E"/>
    <w:rsid w:val="00122F76"/>
    <w:rsid w:val="00123849"/>
    <w:rsid w:val="00123A5E"/>
    <w:rsid w:val="00123AF2"/>
    <w:rsid w:val="00125010"/>
    <w:rsid w:val="00125266"/>
    <w:rsid w:val="00125B82"/>
    <w:rsid w:val="0012697C"/>
    <w:rsid w:val="001305E6"/>
    <w:rsid w:val="0013239A"/>
    <w:rsid w:val="0013761A"/>
    <w:rsid w:val="00141021"/>
    <w:rsid w:val="00143374"/>
    <w:rsid w:val="0014423A"/>
    <w:rsid w:val="001446EA"/>
    <w:rsid w:val="00145485"/>
    <w:rsid w:val="00147042"/>
    <w:rsid w:val="001471A7"/>
    <w:rsid w:val="00147D1C"/>
    <w:rsid w:val="00150416"/>
    <w:rsid w:val="001506F6"/>
    <w:rsid w:val="001525D2"/>
    <w:rsid w:val="00153521"/>
    <w:rsid w:val="00153E3F"/>
    <w:rsid w:val="00154032"/>
    <w:rsid w:val="001547D3"/>
    <w:rsid w:val="001559BD"/>
    <w:rsid w:val="00156666"/>
    <w:rsid w:val="0015707A"/>
    <w:rsid w:val="00157CA8"/>
    <w:rsid w:val="00157F79"/>
    <w:rsid w:val="00160348"/>
    <w:rsid w:val="00162C10"/>
    <w:rsid w:val="00163E84"/>
    <w:rsid w:val="00164137"/>
    <w:rsid w:val="00164D4F"/>
    <w:rsid w:val="001668AA"/>
    <w:rsid w:val="001675B1"/>
    <w:rsid w:val="0016789D"/>
    <w:rsid w:val="00167C87"/>
    <w:rsid w:val="00172EE3"/>
    <w:rsid w:val="00174E27"/>
    <w:rsid w:val="00176E6E"/>
    <w:rsid w:val="00177E7E"/>
    <w:rsid w:val="001802BE"/>
    <w:rsid w:val="0018356F"/>
    <w:rsid w:val="0018683F"/>
    <w:rsid w:val="001876C5"/>
    <w:rsid w:val="0018794A"/>
    <w:rsid w:val="00187D68"/>
    <w:rsid w:val="00190155"/>
    <w:rsid w:val="001902B5"/>
    <w:rsid w:val="001906B5"/>
    <w:rsid w:val="00190D29"/>
    <w:rsid w:val="00193A05"/>
    <w:rsid w:val="00194163"/>
    <w:rsid w:val="00194FEB"/>
    <w:rsid w:val="001962E2"/>
    <w:rsid w:val="001970A4"/>
    <w:rsid w:val="00197AD1"/>
    <w:rsid w:val="00197FF6"/>
    <w:rsid w:val="001A09E1"/>
    <w:rsid w:val="001A0DBE"/>
    <w:rsid w:val="001A1B48"/>
    <w:rsid w:val="001A4274"/>
    <w:rsid w:val="001A4716"/>
    <w:rsid w:val="001A4F18"/>
    <w:rsid w:val="001B0020"/>
    <w:rsid w:val="001B23F1"/>
    <w:rsid w:val="001B2784"/>
    <w:rsid w:val="001B3F87"/>
    <w:rsid w:val="001B4026"/>
    <w:rsid w:val="001B598C"/>
    <w:rsid w:val="001B5B63"/>
    <w:rsid w:val="001B76A6"/>
    <w:rsid w:val="001C07F8"/>
    <w:rsid w:val="001C2F59"/>
    <w:rsid w:val="001C6C08"/>
    <w:rsid w:val="001C7E74"/>
    <w:rsid w:val="001D0A2A"/>
    <w:rsid w:val="001D2056"/>
    <w:rsid w:val="001D3E31"/>
    <w:rsid w:val="001D42D1"/>
    <w:rsid w:val="001D64E5"/>
    <w:rsid w:val="001D6EB8"/>
    <w:rsid w:val="001E05EC"/>
    <w:rsid w:val="001E4809"/>
    <w:rsid w:val="001E49A5"/>
    <w:rsid w:val="001E4F4F"/>
    <w:rsid w:val="001E5105"/>
    <w:rsid w:val="001F27F4"/>
    <w:rsid w:val="001F3DC0"/>
    <w:rsid w:val="001F4C5A"/>
    <w:rsid w:val="001F4C72"/>
    <w:rsid w:val="001F4EA9"/>
    <w:rsid w:val="001F4F73"/>
    <w:rsid w:val="001F5459"/>
    <w:rsid w:val="001F6425"/>
    <w:rsid w:val="001F6772"/>
    <w:rsid w:val="001F6D0C"/>
    <w:rsid w:val="001F7421"/>
    <w:rsid w:val="00200195"/>
    <w:rsid w:val="00200B5F"/>
    <w:rsid w:val="002015A0"/>
    <w:rsid w:val="00201EEF"/>
    <w:rsid w:val="002035E6"/>
    <w:rsid w:val="0020422B"/>
    <w:rsid w:val="00204517"/>
    <w:rsid w:val="002047C8"/>
    <w:rsid w:val="00204C85"/>
    <w:rsid w:val="002052B3"/>
    <w:rsid w:val="002058F9"/>
    <w:rsid w:val="00206640"/>
    <w:rsid w:val="00211B36"/>
    <w:rsid w:val="00212B1F"/>
    <w:rsid w:val="00213D7C"/>
    <w:rsid w:val="00214513"/>
    <w:rsid w:val="002155B7"/>
    <w:rsid w:val="0021644A"/>
    <w:rsid w:val="0021766A"/>
    <w:rsid w:val="00220883"/>
    <w:rsid w:val="00221F95"/>
    <w:rsid w:val="002225D3"/>
    <w:rsid w:val="00222A35"/>
    <w:rsid w:val="0022301D"/>
    <w:rsid w:val="00224B2C"/>
    <w:rsid w:val="00227CF2"/>
    <w:rsid w:val="00227E55"/>
    <w:rsid w:val="00232AA0"/>
    <w:rsid w:val="00234CDF"/>
    <w:rsid w:val="00236314"/>
    <w:rsid w:val="00236B91"/>
    <w:rsid w:val="002424C0"/>
    <w:rsid w:val="00242CAA"/>
    <w:rsid w:val="002435B1"/>
    <w:rsid w:val="00245D74"/>
    <w:rsid w:val="00246D03"/>
    <w:rsid w:val="00246DDF"/>
    <w:rsid w:val="00251CDC"/>
    <w:rsid w:val="00253CF0"/>
    <w:rsid w:val="002573CC"/>
    <w:rsid w:val="00260AB4"/>
    <w:rsid w:val="00260FAA"/>
    <w:rsid w:val="00261B48"/>
    <w:rsid w:val="00262338"/>
    <w:rsid w:val="00263938"/>
    <w:rsid w:val="002646D7"/>
    <w:rsid w:val="0026561F"/>
    <w:rsid w:val="0026615D"/>
    <w:rsid w:val="002671D7"/>
    <w:rsid w:val="0027259C"/>
    <w:rsid w:val="00273543"/>
    <w:rsid w:val="0027364A"/>
    <w:rsid w:val="00274C82"/>
    <w:rsid w:val="00275994"/>
    <w:rsid w:val="0027654D"/>
    <w:rsid w:val="002810DF"/>
    <w:rsid w:val="002812AB"/>
    <w:rsid w:val="002816D8"/>
    <w:rsid w:val="00282A8C"/>
    <w:rsid w:val="002854EE"/>
    <w:rsid w:val="0028565C"/>
    <w:rsid w:val="00287295"/>
    <w:rsid w:val="002875DE"/>
    <w:rsid w:val="00287E07"/>
    <w:rsid w:val="002909EC"/>
    <w:rsid w:val="00290EB3"/>
    <w:rsid w:val="0029223D"/>
    <w:rsid w:val="0029279C"/>
    <w:rsid w:val="00292846"/>
    <w:rsid w:val="00292A90"/>
    <w:rsid w:val="00294A7B"/>
    <w:rsid w:val="002967A5"/>
    <w:rsid w:val="00297130"/>
    <w:rsid w:val="002971D6"/>
    <w:rsid w:val="00297F1D"/>
    <w:rsid w:val="002A2294"/>
    <w:rsid w:val="002A28EB"/>
    <w:rsid w:val="002A2F08"/>
    <w:rsid w:val="002A2F7C"/>
    <w:rsid w:val="002A3641"/>
    <w:rsid w:val="002A419B"/>
    <w:rsid w:val="002A495F"/>
    <w:rsid w:val="002A4E45"/>
    <w:rsid w:val="002A706F"/>
    <w:rsid w:val="002A70EA"/>
    <w:rsid w:val="002A7363"/>
    <w:rsid w:val="002A7F43"/>
    <w:rsid w:val="002B301A"/>
    <w:rsid w:val="002B365E"/>
    <w:rsid w:val="002B489A"/>
    <w:rsid w:val="002B4D6A"/>
    <w:rsid w:val="002B6341"/>
    <w:rsid w:val="002B787D"/>
    <w:rsid w:val="002C0526"/>
    <w:rsid w:val="002C08DC"/>
    <w:rsid w:val="002C12F5"/>
    <w:rsid w:val="002C27A8"/>
    <w:rsid w:val="002C333E"/>
    <w:rsid w:val="002C36C8"/>
    <w:rsid w:val="002C3B9F"/>
    <w:rsid w:val="002C51A0"/>
    <w:rsid w:val="002C62B2"/>
    <w:rsid w:val="002C6B21"/>
    <w:rsid w:val="002C7971"/>
    <w:rsid w:val="002D0584"/>
    <w:rsid w:val="002D18E7"/>
    <w:rsid w:val="002D2E2A"/>
    <w:rsid w:val="002D4C92"/>
    <w:rsid w:val="002D5295"/>
    <w:rsid w:val="002D52BF"/>
    <w:rsid w:val="002D68FA"/>
    <w:rsid w:val="002D7ECA"/>
    <w:rsid w:val="002E0141"/>
    <w:rsid w:val="002E0B5D"/>
    <w:rsid w:val="002E0B76"/>
    <w:rsid w:val="002E1495"/>
    <w:rsid w:val="002E2900"/>
    <w:rsid w:val="002E3C0D"/>
    <w:rsid w:val="002E43EC"/>
    <w:rsid w:val="002E485A"/>
    <w:rsid w:val="002E5B3C"/>
    <w:rsid w:val="002E71AB"/>
    <w:rsid w:val="002E7A79"/>
    <w:rsid w:val="002F144D"/>
    <w:rsid w:val="002F2C6E"/>
    <w:rsid w:val="002F2F01"/>
    <w:rsid w:val="002F3C88"/>
    <w:rsid w:val="002F4067"/>
    <w:rsid w:val="002F4123"/>
    <w:rsid w:val="002F47EB"/>
    <w:rsid w:val="002F4DB4"/>
    <w:rsid w:val="002F7339"/>
    <w:rsid w:val="002F7461"/>
    <w:rsid w:val="0030075E"/>
    <w:rsid w:val="003025E2"/>
    <w:rsid w:val="00306427"/>
    <w:rsid w:val="003066D5"/>
    <w:rsid w:val="00306D24"/>
    <w:rsid w:val="003074D9"/>
    <w:rsid w:val="00307712"/>
    <w:rsid w:val="003122AB"/>
    <w:rsid w:val="0031404A"/>
    <w:rsid w:val="00314B7C"/>
    <w:rsid w:val="00314E49"/>
    <w:rsid w:val="00315445"/>
    <w:rsid w:val="00317183"/>
    <w:rsid w:val="003204AE"/>
    <w:rsid w:val="003208EF"/>
    <w:rsid w:val="00322ACA"/>
    <w:rsid w:val="00324195"/>
    <w:rsid w:val="003247F1"/>
    <w:rsid w:val="00324846"/>
    <w:rsid w:val="00324ABD"/>
    <w:rsid w:val="00324D9B"/>
    <w:rsid w:val="00325C90"/>
    <w:rsid w:val="00325E47"/>
    <w:rsid w:val="003272A6"/>
    <w:rsid w:val="003273CB"/>
    <w:rsid w:val="0033125E"/>
    <w:rsid w:val="00336913"/>
    <w:rsid w:val="0033718C"/>
    <w:rsid w:val="00337407"/>
    <w:rsid w:val="00340E02"/>
    <w:rsid w:val="00343E6E"/>
    <w:rsid w:val="00344C14"/>
    <w:rsid w:val="003450C8"/>
    <w:rsid w:val="0034782B"/>
    <w:rsid w:val="00350B0A"/>
    <w:rsid w:val="00351718"/>
    <w:rsid w:val="0035173D"/>
    <w:rsid w:val="00351E5C"/>
    <w:rsid w:val="0035580F"/>
    <w:rsid w:val="00357CB4"/>
    <w:rsid w:val="003604EE"/>
    <w:rsid w:val="003609AC"/>
    <w:rsid w:val="00361F9B"/>
    <w:rsid w:val="0036286B"/>
    <w:rsid w:val="00363371"/>
    <w:rsid w:val="00364915"/>
    <w:rsid w:val="00364989"/>
    <w:rsid w:val="003664C0"/>
    <w:rsid w:val="00366769"/>
    <w:rsid w:val="00366BAD"/>
    <w:rsid w:val="00367E04"/>
    <w:rsid w:val="00370813"/>
    <w:rsid w:val="00373F89"/>
    <w:rsid w:val="003743EB"/>
    <w:rsid w:val="003761F2"/>
    <w:rsid w:val="00376A05"/>
    <w:rsid w:val="003774FE"/>
    <w:rsid w:val="00383832"/>
    <w:rsid w:val="00386E5A"/>
    <w:rsid w:val="003870A2"/>
    <w:rsid w:val="00387BCA"/>
    <w:rsid w:val="00390E30"/>
    <w:rsid w:val="003924FD"/>
    <w:rsid w:val="00393ABE"/>
    <w:rsid w:val="0039458D"/>
    <w:rsid w:val="00394D61"/>
    <w:rsid w:val="003A1F5A"/>
    <w:rsid w:val="003A23E9"/>
    <w:rsid w:val="003A2ECE"/>
    <w:rsid w:val="003A3B41"/>
    <w:rsid w:val="003A4252"/>
    <w:rsid w:val="003A539A"/>
    <w:rsid w:val="003A62A4"/>
    <w:rsid w:val="003A7476"/>
    <w:rsid w:val="003A7D86"/>
    <w:rsid w:val="003B0112"/>
    <w:rsid w:val="003B08C6"/>
    <w:rsid w:val="003B0AA1"/>
    <w:rsid w:val="003B243D"/>
    <w:rsid w:val="003B299E"/>
    <w:rsid w:val="003B304F"/>
    <w:rsid w:val="003B5046"/>
    <w:rsid w:val="003B5D18"/>
    <w:rsid w:val="003B791C"/>
    <w:rsid w:val="003B795D"/>
    <w:rsid w:val="003C26A6"/>
    <w:rsid w:val="003C26C1"/>
    <w:rsid w:val="003C5C11"/>
    <w:rsid w:val="003C6A5A"/>
    <w:rsid w:val="003C6AAD"/>
    <w:rsid w:val="003C6BF7"/>
    <w:rsid w:val="003D00F1"/>
    <w:rsid w:val="003D1D4D"/>
    <w:rsid w:val="003D27DB"/>
    <w:rsid w:val="003D37DD"/>
    <w:rsid w:val="003D45DF"/>
    <w:rsid w:val="003D47C6"/>
    <w:rsid w:val="003D49DC"/>
    <w:rsid w:val="003D5459"/>
    <w:rsid w:val="003D7E38"/>
    <w:rsid w:val="003D7EAC"/>
    <w:rsid w:val="003E26F8"/>
    <w:rsid w:val="003E2833"/>
    <w:rsid w:val="003E379A"/>
    <w:rsid w:val="003E52B0"/>
    <w:rsid w:val="003E55CC"/>
    <w:rsid w:val="003E64DC"/>
    <w:rsid w:val="003E7A43"/>
    <w:rsid w:val="003F08EC"/>
    <w:rsid w:val="003F0B58"/>
    <w:rsid w:val="003F0D40"/>
    <w:rsid w:val="003F2236"/>
    <w:rsid w:val="003F27B7"/>
    <w:rsid w:val="003F4051"/>
    <w:rsid w:val="003F5812"/>
    <w:rsid w:val="003F6AA4"/>
    <w:rsid w:val="003F6EA1"/>
    <w:rsid w:val="00400E4A"/>
    <w:rsid w:val="0040112E"/>
    <w:rsid w:val="00402E9A"/>
    <w:rsid w:val="00403FA8"/>
    <w:rsid w:val="0040402A"/>
    <w:rsid w:val="00404040"/>
    <w:rsid w:val="00404213"/>
    <w:rsid w:val="004048AC"/>
    <w:rsid w:val="00404B6D"/>
    <w:rsid w:val="00404B8E"/>
    <w:rsid w:val="004068C2"/>
    <w:rsid w:val="00415646"/>
    <w:rsid w:val="00415A38"/>
    <w:rsid w:val="00415CC1"/>
    <w:rsid w:val="00415E7F"/>
    <w:rsid w:val="00420288"/>
    <w:rsid w:val="00421C78"/>
    <w:rsid w:val="004224CE"/>
    <w:rsid w:val="00424A78"/>
    <w:rsid w:val="004254DB"/>
    <w:rsid w:val="00425611"/>
    <w:rsid w:val="00426FDC"/>
    <w:rsid w:val="00427EEA"/>
    <w:rsid w:val="00430320"/>
    <w:rsid w:val="00431836"/>
    <w:rsid w:val="004318BD"/>
    <w:rsid w:val="00431EA4"/>
    <w:rsid w:val="004321E6"/>
    <w:rsid w:val="0043278E"/>
    <w:rsid w:val="004338DE"/>
    <w:rsid w:val="00434F58"/>
    <w:rsid w:val="004360AC"/>
    <w:rsid w:val="00436B83"/>
    <w:rsid w:val="004408C5"/>
    <w:rsid w:val="00440E2D"/>
    <w:rsid w:val="00441061"/>
    <w:rsid w:val="00442D4C"/>
    <w:rsid w:val="0044321D"/>
    <w:rsid w:val="00444BA3"/>
    <w:rsid w:val="004462BD"/>
    <w:rsid w:val="00450C70"/>
    <w:rsid w:val="00452665"/>
    <w:rsid w:val="00453344"/>
    <w:rsid w:val="00454E76"/>
    <w:rsid w:val="00457080"/>
    <w:rsid w:val="00457B50"/>
    <w:rsid w:val="00460891"/>
    <w:rsid w:val="00464FB2"/>
    <w:rsid w:val="00466CDC"/>
    <w:rsid w:val="00466F0D"/>
    <w:rsid w:val="004672B8"/>
    <w:rsid w:val="0046745E"/>
    <w:rsid w:val="004736BE"/>
    <w:rsid w:val="0047556D"/>
    <w:rsid w:val="00475789"/>
    <w:rsid w:val="00476170"/>
    <w:rsid w:val="00477A50"/>
    <w:rsid w:val="00480486"/>
    <w:rsid w:val="00481482"/>
    <w:rsid w:val="004820B0"/>
    <w:rsid w:val="00482E2F"/>
    <w:rsid w:val="0048309E"/>
    <w:rsid w:val="00485196"/>
    <w:rsid w:val="004859B4"/>
    <w:rsid w:val="00486ACD"/>
    <w:rsid w:val="00491A7E"/>
    <w:rsid w:val="00492348"/>
    <w:rsid w:val="00492C65"/>
    <w:rsid w:val="004932C2"/>
    <w:rsid w:val="00493F6B"/>
    <w:rsid w:val="00493F6F"/>
    <w:rsid w:val="0049403F"/>
    <w:rsid w:val="00494323"/>
    <w:rsid w:val="00494349"/>
    <w:rsid w:val="00494485"/>
    <w:rsid w:val="004A0F27"/>
    <w:rsid w:val="004A0F37"/>
    <w:rsid w:val="004A0F68"/>
    <w:rsid w:val="004A3608"/>
    <w:rsid w:val="004A4FBD"/>
    <w:rsid w:val="004A7810"/>
    <w:rsid w:val="004A7E93"/>
    <w:rsid w:val="004B28AF"/>
    <w:rsid w:val="004B3CFB"/>
    <w:rsid w:val="004B5D6B"/>
    <w:rsid w:val="004B6478"/>
    <w:rsid w:val="004B76F8"/>
    <w:rsid w:val="004C1FA6"/>
    <w:rsid w:val="004C5CFD"/>
    <w:rsid w:val="004C67CD"/>
    <w:rsid w:val="004C77C6"/>
    <w:rsid w:val="004D078C"/>
    <w:rsid w:val="004D107A"/>
    <w:rsid w:val="004D12C0"/>
    <w:rsid w:val="004D18EA"/>
    <w:rsid w:val="004D3713"/>
    <w:rsid w:val="004D6254"/>
    <w:rsid w:val="004D7E20"/>
    <w:rsid w:val="004D7E99"/>
    <w:rsid w:val="004E00CE"/>
    <w:rsid w:val="004E2BDB"/>
    <w:rsid w:val="004E632D"/>
    <w:rsid w:val="004F1780"/>
    <w:rsid w:val="004F1968"/>
    <w:rsid w:val="004F50AF"/>
    <w:rsid w:val="004F681D"/>
    <w:rsid w:val="004F6E14"/>
    <w:rsid w:val="004F7740"/>
    <w:rsid w:val="004F7FE7"/>
    <w:rsid w:val="005015FA"/>
    <w:rsid w:val="0050228C"/>
    <w:rsid w:val="00502857"/>
    <w:rsid w:val="0050316F"/>
    <w:rsid w:val="005044A9"/>
    <w:rsid w:val="00505994"/>
    <w:rsid w:val="00505FD4"/>
    <w:rsid w:val="00506D8F"/>
    <w:rsid w:val="00506E25"/>
    <w:rsid w:val="0051132C"/>
    <w:rsid w:val="00512CE3"/>
    <w:rsid w:val="00513483"/>
    <w:rsid w:val="00514A55"/>
    <w:rsid w:val="00514EF5"/>
    <w:rsid w:val="00515F9B"/>
    <w:rsid w:val="0051782D"/>
    <w:rsid w:val="00520813"/>
    <w:rsid w:val="0052087E"/>
    <w:rsid w:val="00521FEE"/>
    <w:rsid w:val="0052315E"/>
    <w:rsid w:val="00530ED3"/>
    <w:rsid w:val="0053203D"/>
    <w:rsid w:val="0053438E"/>
    <w:rsid w:val="005347B8"/>
    <w:rsid w:val="00534A95"/>
    <w:rsid w:val="005355EE"/>
    <w:rsid w:val="00535B16"/>
    <w:rsid w:val="005366D0"/>
    <w:rsid w:val="00537E27"/>
    <w:rsid w:val="00540B4D"/>
    <w:rsid w:val="00540FFA"/>
    <w:rsid w:val="00542930"/>
    <w:rsid w:val="005435B3"/>
    <w:rsid w:val="0054419B"/>
    <w:rsid w:val="00544EA9"/>
    <w:rsid w:val="0054626B"/>
    <w:rsid w:val="00550849"/>
    <w:rsid w:val="00554558"/>
    <w:rsid w:val="00554BF3"/>
    <w:rsid w:val="0055655F"/>
    <w:rsid w:val="0055657D"/>
    <w:rsid w:val="00556F2E"/>
    <w:rsid w:val="005602C5"/>
    <w:rsid w:val="00560D0D"/>
    <w:rsid w:val="00565FB1"/>
    <w:rsid w:val="005662FB"/>
    <w:rsid w:val="00567781"/>
    <w:rsid w:val="00567ECC"/>
    <w:rsid w:val="0057127E"/>
    <w:rsid w:val="005713B1"/>
    <w:rsid w:val="005715EA"/>
    <w:rsid w:val="00583090"/>
    <w:rsid w:val="005831F3"/>
    <w:rsid w:val="005835F4"/>
    <w:rsid w:val="00583EFE"/>
    <w:rsid w:val="005841A3"/>
    <w:rsid w:val="00584B0F"/>
    <w:rsid w:val="00590EAE"/>
    <w:rsid w:val="0059112A"/>
    <w:rsid w:val="00593216"/>
    <w:rsid w:val="0059390B"/>
    <w:rsid w:val="00594BC3"/>
    <w:rsid w:val="005950A1"/>
    <w:rsid w:val="0059632A"/>
    <w:rsid w:val="00596CA7"/>
    <w:rsid w:val="00596DC8"/>
    <w:rsid w:val="00596E16"/>
    <w:rsid w:val="005A16A3"/>
    <w:rsid w:val="005A1C48"/>
    <w:rsid w:val="005A253A"/>
    <w:rsid w:val="005A373D"/>
    <w:rsid w:val="005A377C"/>
    <w:rsid w:val="005B4421"/>
    <w:rsid w:val="005B5A0F"/>
    <w:rsid w:val="005B7929"/>
    <w:rsid w:val="005C2070"/>
    <w:rsid w:val="005C25D1"/>
    <w:rsid w:val="005C35A9"/>
    <w:rsid w:val="005C464B"/>
    <w:rsid w:val="005C4E6C"/>
    <w:rsid w:val="005C74A0"/>
    <w:rsid w:val="005D01F1"/>
    <w:rsid w:val="005D052C"/>
    <w:rsid w:val="005D16FE"/>
    <w:rsid w:val="005D4084"/>
    <w:rsid w:val="005D4762"/>
    <w:rsid w:val="005D4777"/>
    <w:rsid w:val="005D4C2B"/>
    <w:rsid w:val="005D6C92"/>
    <w:rsid w:val="005E7953"/>
    <w:rsid w:val="005E7E82"/>
    <w:rsid w:val="005F02CB"/>
    <w:rsid w:val="005F0FCC"/>
    <w:rsid w:val="005F5472"/>
    <w:rsid w:val="005F6C28"/>
    <w:rsid w:val="005F7AB6"/>
    <w:rsid w:val="005F7E3C"/>
    <w:rsid w:val="00600391"/>
    <w:rsid w:val="00600FA8"/>
    <w:rsid w:val="0060368D"/>
    <w:rsid w:val="006054CD"/>
    <w:rsid w:val="006061F7"/>
    <w:rsid w:val="006063DA"/>
    <w:rsid w:val="00606CE3"/>
    <w:rsid w:val="0061102D"/>
    <w:rsid w:val="00611DD3"/>
    <w:rsid w:val="00611EF0"/>
    <w:rsid w:val="00612219"/>
    <w:rsid w:val="0061280E"/>
    <w:rsid w:val="00612E04"/>
    <w:rsid w:val="00613367"/>
    <w:rsid w:val="00613856"/>
    <w:rsid w:val="006173A4"/>
    <w:rsid w:val="00617C44"/>
    <w:rsid w:val="00622266"/>
    <w:rsid w:val="00622CE4"/>
    <w:rsid w:val="006234A7"/>
    <w:rsid w:val="006247F0"/>
    <w:rsid w:val="00625917"/>
    <w:rsid w:val="006259E5"/>
    <w:rsid w:val="0062789F"/>
    <w:rsid w:val="006301BE"/>
    <w:rsid w:val="0063096E"/>
    <w:rsid w:val="00633349"/>
    <w:rsid w:val="00633D61"/>
    <w:rsid w:val="0063402B"/>
    <w:rsid w:val="00636570"/>
    <w:rsid w:val="00637901"/>
    <w:rsid w:val="00637E1B"/>
    <w:rsid w:val="006402DF"/>
    <w:rsid w:val="0064164B"/>
    <w:rsid w:val="00644468"/>
    <w:rsid w:val="00645F5E"/>
    <w:rsid w:val="00647B1E"/>
    <w:rsid w:val="00647C55"/>
    <w:rsid w:val="0065008B"/>
    <w:rsid w:val="00651955"/>
    <w:rsid w:val="006530D1"/>
    <w:rsid w:val="00653A3B"/>
    <w:rsid w:val="00653FD9"/>
    <w:rsid w:val="00654D42"/>
    <w:rsid w:val="0065615F"/>
    <w:rsid w:val="00656328"/>
    <w:rsid w:val="00656D5C"/>
    <w:rsid w:val="00660279"/>
    <w:rsid w:val="006614B7"/>
    <w:rsid w:val="006622B9"/>
    <w:rsid w:val="006625EF"/>
    <w:rsid w:val="00662E1E"/>
    <w:rsid w:val="00662EEC"/>
    <w:rsid w:val="0066371E"/>
    <w:rsid w:val="00665209"/>
    <w:rsid w:val="0066539A"/>
    <w:rsid w:val="00667377"/>
    <w:rsid w:val="00670350"/>
    <w:rsid w:val="006720CF"/>
    <w:rsid w:val="006724AD"/>
    <w:rsid w:val="00672BAB"/>
    <w:rsid w:val="0067314A"/>
    <w:rsid w:val="00673D1E"/>
    <w:rsid w:val="00677219"/>
    <w:rsid w:val="006779CF"/>
    <w:rsid w:val="00677A8F"/>
    <w:rsid w:val="00677F8A"/>
    <w:rsid w:val="00680AAB"/>
    <w:rsid w:val="006821E3"/>
    <w:rsid w:val="00683AD6"/>
    <w:rsid w:val="006842AE"/>
    <w:rsid w:val="006876E6"/>
    <w:rsid w:val="0069097D"/>
    <w:rsid w:val="00692608"/>
    <w:rsid w:val="00697D3E"/>
    <w:rsid w:val="006A2FF8"/>
    <w:rsid w:val="006A5773"/>
    <w:rsid w:val="006A5804"/>
    <w:rsid w:val="006A58F0"/>
    <w:rsid w:val="006A5F95"/>
    <w:rsid w:val="006A6D2F"/>
    <w:rsid w:val="006A7994"/>
    <w:rsid w:val="006B0372"/>
    <w:rsid w:val="006B0764"/>
    <w:rsid w:val="006B0D78"/>
    <w:rsid w:val="006B12D0"/>
    <w:rsid w:val="006B4467"/>
    <w:rsid w:val="006B497B"/>
    <w:rsid w:val="006B5C30"/>
    <w:rsid w:val="006B626A"/>
    <w:rsid w:val="006B6C46"/>
    <w:rsid w:val="006B6E78"/>
    <w:rsid w:val="006B7041"/>
    <w:rsid w:val="006B7858"/>
    <w:rsid w:val="006C0039"/>
    <w:rsid w:val="006C0A2A"/>
    <w:rsid w:val="006C1927"/>
    <w:rsid w:val="006C1B83"/>
    <w:rsid w:val="006C2585"/>
    <w:rsid w:val="006C36EB"/>
    <w:rsid w:val="006C4008"/>
    <w:rsid w:val="006C5931"/>
    <w:rsid w:val="006C73EF"/>
    <w:rsid w:val="006D07BC"/>
    <w:rsid w:val="006D1723"/>
    <w:rsid w:val="006D5363"/>
    <w:rsid w:val="006D5D3F"/>
    <w:rsid w:val="006D60ED"/>
    <w:rsid w:val="006D73B8"/>
    <w:rsid w:val="006E08AD"/>
    <w:rsid w:val="006E1166"/>
    <w:rsid w:val="006E596E"/>
    <w:rsid w:val="006E6EF6"/>
    <w:rsid w:val="006E7801"/>
    <w:rsid w:val="006F033F"/>
    <w:rsid w:val="006F1910"/>
    <w:rsid w:val="006F24D8"/>
    <w:rsid w:val="006F33B8"/>
    <w:rsid w:val="006F46C4"/>
    <w:rsid w:val="006F4A3C"/>
    <w:rsid w:val="006F4C9C"/>
    <w:rsid w:val="006F640F"/>
    <w:rsid w:val="006F654C"/>
    <w:rsid w:val="006F762A"/>
    <w:rsid w:val="00701B6B"/>
    <w:rsid w:val="0070384F"/>
    <w:rsid w:val="00703A9E"/>
    <w:rsid w:val="00703D6D"/>
    <w:rsid w:val="00704152"/>
    <w:rsid w:val="0070427B"/>
    <w:rsid w:val="00704DE3"/>
    <w:rsid w:val="00704FB5"/>
    <w:rsid w:val="00706B71"/>
    <w:rsid w:val="0071277A"/>
    <w:rsid w:val="00712D21"/>
    <w:rsid w:val="00712EE5"/>
    <w:rsid w:val="00713493"/>
    <w:rsid w:val="00713494"/>
    <w:rsid w:val="00714031"/>
    <w:rsid w:val="0071466E"/>
    <w:rsid w:val="00714A6C"/>
    <w:rsid w:val="00714CD3"/>
    <w:rsid w:val="00714DFD"/>
    <w:rsid w:val="007150B5"/>
    <w:rsid w:val="007206A8"/>
    <w:rsid w:val="0072116D"/>
    <w:rsid w:val="0072226F"/>
    <w:rsid w:val="00724A15"/>
    <w:rsid w:val="00725764"/>
    <w:rsid w:val="00725B78"/>
    <w:rsid w:val="00727082"/>
    <w:rsid w:val="0073233C"/>
    <w:rsid w:val="00732D0C"/>
    <w:rsid w:val="00733EAD"/>
    <w:rsid w:val="00734F54"/>
    <w:rsid w:val="0073545D"/>
    <w:rsid w:val="00737C04"/>
    <w:rsid w:val="0074023E"/>
    <w:rsid w:val="00743770"/>
    <w:rsid w:val="00744110"/>
    <w:rsid w:val="00744595"/>
    <w:rsid w:val="007462D8"/>
    <w:rsid w:val="00747A36"/>
    <w:rsid w:val="00747A52"/>
    <w:rsid w:val="00750F1E"/>
    <w:rsid w:val="00751073"/>
    <w:rsid w:val="0075123B"/>
    <w:rsid w:val="00751C12"/>
    <w:rsid w:val="00752691"/>
    <w:rsid w:val="007528F2"/>
    <w:rsid w:val="0075599E"/>
    <w:rsid w:val="00756A01"/>
    <w:rsid w:val="007575C4"/>
    <w:rsid w:val="00763700"/>
    <w:rsid w:val="0076427C"/>
    <w:rsid w:val="00765217"/>
    <w:rsid w:val="007659AA"/>
    <w:rsid w:val="00765DEE"/>
    <w:rsid w:val="00771169"/>
    <w:rsid w:val="00771DFE"/>
    <w:rsid w:val="0077266C"/>
    <w:rsid w:val="00772802"/>
    <w:rsid w:val="00775066"/>
    <w:rsid w:val="007757D7"/>
    <w:rsid w:val="00776406"/>
    <w:rsid w:val="00776B9C"/>
    <w:rsid w:val="0078005A"/>
    <w:rsid w:val="00780189"/>
    <w:rsid w:val="00781B6F"/>
    <w:rsid w:val="00781F9C"/>
    <w:rsid w:val="00782A26"/>
    <w:rsid w:val="00782DFD"/>
    <w:rsid w:val="00784424"/>
    <w:rsid w:val="007851C6"/>
    <w:rsid w:val="00785474"/>
    <w:rsid w:val="00787B99"/>
    <w:rsid w:val="0079359B"/>
    <w:rsid w:val="0079421C"/>
    <w:rsid w:val="0079431B"/>
    <w:rsid w:val="0079526D"/>
    <w:rsid w:val="007958F8"/>
    <w:rsid w:val="00795A2C"/>
    <w:rsid w:val="007960FE"/>
    <w:rsid w:val="0079675F"/>
    <w:rsid w:val="00797390"/>
    <w:rsid w:val="007A05B6"/>
    <w:rsid w:val="007A145A"/>
    <w:rsid w:val="007A1C0A"/>
    <w:rsid w:val="007A1C59"/>
    <w:rsid w:val="007A3204"/>
    <w:rsid w:val="007A53E6"/>
    <w:rsid w:val="007A5B41"/>
    <w:rsid w:val="007B5792"/>
    <w:rsid w:val="007B6EAD"/>
    <w:rsid w:val="007C19F3"/>
    <w:rsid w:val="007C31E2"/>
    <w:rsid w:val="007C4171"/>
    <w:rsid w:val="007C5CE1"/>
    <w:rsid w:val="007C69F0"/>
    <w:rsid w:val="007C6F85"/>
    <w:rsid w:val="007D0569"/>
    <w:rsid w:val="007D078E"/>
    <w:rsid w:val="007D16B1"/>
    <w:rsid w:val="007D18CA"/>
    <w:rsid w:val="007D19E4"/>
    <w:rsid w:val="007D299B"/>
    <w:rsid w:val="007D49E4"/>
    <w:rsid w:val="007D6190"/>
    <w:rsid w:val="007D7400"/>
    <w:rsid w:val="007D7761"/>
    <w:rsid w:val="007D79FF"/>
    <w:rsid w:val="007E0178"/>
    <w:rsid w:val="007E02A7"/>
    <w:rsid w:val="007E185A"/>
    <w:rsid w:val="007E468A"/>
    <w:rsid w:val="007E51A5"/>
    <w:rsid w:val="007E7F4C"/>
    <w:rsid w:val="007F27AA"/>
    <w:rsid w:val="007F3018"/>
    <w:rsid w:val="00803F85"/>
    <w:rsid w:val="008060C3"/>
    <w:rsid w:val="008063A1"/>
    <w:rsid w:val="00807C11"/>
    <w:rsid w:val="00807F00"/>
    <w:rsid w:val="00810754"/>
    <w:rsid w:val="00810785"/>
    <w:rsid w:val="00812095"/>
    <w:rsid w:val="00812F13"/>
    <w:rsid w:val="008134BD"/>
    <w:rsid w:val="00814656"/>
    <w:rsid w:val="00816D49"/>
    <w:rsid w:val="00820E45"/>
    <w:rsid w:val="00821E2C"/>
    <w:rsid w:val="00822835"/>
    <w:rsid w:val="00826758"/>
    <w:rsid w:val="00826ABC"/>
    <w:rsid w:val="008353E0"/>
    <w:rsid w:val="008365F0"/>
    <w:rsid w:val="00836B62"/>
    <w:rsid w:val="00836F8D"/>
    <w:rsid w:val="0084149D"/>
    <w:rsid w:val="00841534"/>
    <w:rsid w:val="00842B5C"/>
    <w:rsid w:val="00842CA2"/>
    <w:rsid w:val="00844BFA"/>
    <w:rsid w:val="008462F1"/>
    <w:rsid w:val="00846930"/>
    <w:rsid w:val="00847E3F"/>
    <w:rsid w:val="00850FDE"/>
    <w:rsid w:val="00851828"/>
    <w:rsid w:val="00852111"/>
    <w:rsid w:val="00852876"/>
    <w:rsid w:val="00853AC5"/>
    <w:rsid w:val="008543F5"/>
    <w:rsid w:val="00855004"/>
    <w:rsid w:val="008572C4"/>
    <w:rsid w:val="0085733E"/>
    <w:rsid w:val="008604A8"/>
    <w:rsid w:val="00861AFA"/>
    <w:rsid w:val="00863C61"/>
    <w:rsid w:val="00865522"/>
    <w:rsid w:val="00865ADF"/>
    <w:rsid w:val="0086644C"/>
    <w:rsid w:val="008666B5"/>
    <w:rsid w:val="008703B3"/>
    <w:rsid w:val="00870FE7"/>
    <w:rsid w:val="008760B9"/>
    <w:rsid w:val="00876985"/>
    <w:rsid w:val="00880ED7"/>
    <w:rsid w:val="00883780"/>
    <w:rsid w:val="00883B99"/>
    <w:rsid w:val="00885066"/>
    <w:rsid w:val="00885F85"/>
    <w:rsid w:val="0088665E"/>
    <w:rsid w:val="008923C8"/>
    <w:rsid w:val="00892480"/>
    <w:rsid w:val="00893260"/>
    <w:rsid w:val="008932A8"/>
    <w:rsid w:val="00893756"/>
    <w:rsid w:val="00894589"/>
    <w:rsid w:val="00894A9E"/>
    <w:rsid w:val="008950F6"/>
    <w:rsid w:val="00896815"/>
    <w:rsid w:val="008A0744"/>
    <w:rsid w:val="008A0A6E"/>
    <w:rsid w:val="008A0D0F"/>
    <w:rsid w:val="008A2FB3"/>
    <w:rsid w:val="008A398B"/>
    <w:rsid w:val="008A4BDD"/>
    <w:rsid w:val="008A5601"/>
    <w:rsid w:val="008A59AD"/>
    <w:rsid w:val="008B0EEB"/>
    <w:rsid w:val="008B15EC"/>
    <w:rsid w:val="008B431D"/>
    <w:rsid w:val="008B51FD"/>
    <w:rsid w:val="008B7186"/>
    <w:rsid w:val="008C020D"/>
    <w:rsid w:val="008C1939"/>
    <w:rsid w:val="008C241A"/>
    <w:rsid w:val="008C3396"/>
    <w:rsid w:val="008C621C"/>
    <w:rsid w:val="008C697C"/>
    <w:rsid w:val="008C75ED"/>
    <w:rsid w:val="008C7649"/>
    <w:rsid w:val="008D1AD1"/>
    <w:rsid w:val="008D2FFE"/>
    <w:rsid w:val="008E0991"/>
    <w:rsid w:val="008E3007"/>
    <w:rsid w:val="008E338E"/>
    <w:rsid w:val="008E3991"/>
    <w:rsid w:val="008E57FE"/>
    <w:rsid w:val="008E691C"/>
    <w:rsid w:val="008E698B"/>
    <w:rsid w:val="008F0002"/>
    <w:rsid w:val="008F2665"/>
    <w:rsid w:val="008F3768"/>
    <w:rsid w:val="008F6376"/>
    <w:rsid w:val="00900609"/>
    <w:rsid w:val="00900CC2"/>
    <w:rsid w:val="009019FB"/>
    <w:rsid w:val="009030B8"/>
    <w:rsid w:val="00905B05"/>
    <w:rsid w:val="0090753C"/>
    <w:rsid w:val="00911B66"/>
    <w:rsid w:val="00912A7E"/>
    <w:rsid w:val="00914FE1"/>
    <w:rsid w:val="00915330"/>
    <w:rsid w:val="00916E69"/>
    <w:rsid w:val="00917525"/>
    <w:rsid w:val="0091777D"/>
    <w:rsid w:val="0092057D"/>
    <w:rsid w:val="009218DE"/>
    <w:rsid w:val="0092225E"/>
    <w:rsid w:val="00922D00"/>
    <w:rsid w:val="00923F17"/>
    <w:rsid w:val="0092564D"/>
    <w:rsid w:val="009266DA"/>
    <w:rsid w:val="00930DE8"/>
    <w:rsid w:val="009318DD"/>
    <w:rsid w:val="009340FB"/>
    <w:rsid w:val="00935413"/>
    <w:rsid w:val="00935F5D"/>
    <w:rsid w:val="009368E0"/>
    <w:rsid w:val="0093796C"/>
    <w:rsid w:val="00941808"/>
    <w:rsid w:val="0094260B"/>
    <w:rsid w:val="00942661"/>
    <w:rsid w:val="00945307"/>
    <w:rsid w:val="0094558D"/>
    <w:rsid w:val="00946FCE"/>
    <w:rsid w:val="009513C8"/>
    <w:rsid w:val="009515BC"/>
    <w:rsid w:val="0095239C"/>
    <w:rsid w:val="00952E54"/>
    <w:rsid w:val="00953983"/>
    <w:rsid w:val="00953ED0"/>
    <w:rsid w:val="0095471E"/>
    <w:rsid w:val="0095492E"/>
    <w:rsid w:val="00955F7D"/>
    <w:rsid w:val="0096242F"/>
    <w:rsid w:val="00962E3B"/>
    <w:rsid w:val="00962FF5"/>
    <w:rsid w:val="00964A4E"/>
    <w:rsid w:val="00965B02"/>
    <w:rsid w:val="00965C07"/>
    <w:rsid w:val="00965D2D"/>
    <w:rsid w:val="009660B7"/>
    <w:rsid w:val="00971847"/>
    <w:rsid w:val="00972964"/>
    <w:rsid w:val="0097762F"/>
    <w:rsid w:val="009816B8"/>
    <w:rsid w:val="00981CEF"/>
    <w:rsid w:val="00982A91"/>
    <w:rsid w:val="00983B45"/>
    <w:rsid w:val="00984ADA"/>
    <w:rsid w:val="009855E6"/>
    <w:rsid w:val="0098766F"/>
    <w:rsid w:val="00987BA4"/>
    <w:rsid w:val="00990F9A"/>
    <w:rsid w:val="00991351"/>
    <w:rsid w:val="00993912"/>
    <w:rsid w:val="00994050"/>
    <w:rsid w:val="009962CF"/>
    <w:rsid w:val="009969D6"/>
    <w:rsid w:val="00997C88"/>
    <w:rsid w:val="009A0135"/>
    <w:rsid w:val="009A201D"/>
    <w:rsid w:val="009A26E9"/>
    <w:rsid w:val="009A4543"/>
    <w:rsid w:val="009A5DB1"/>
    <w:rsid w:val="009A7C5A"/>
    <w:rsid w:val="009A7E51"/>
    <w:rsid w:val="009B0D61"/>
    <w:rsid w:val="009B21B9"/>
    <w:rsid w:val="009B4A05"/>
    <w:rsid w:val="009B4CD0"/>
    <w:rsid w:val="009B4DA7"/>
    <w:rsid w:val="009B6A33"/>
    <w:rsid w:val="009C1EC1"/>
    <w:rsid w:val="009C21C6"/>
    <w:rsid w:val="009C383B"/>
    <w:rsid w:val="009C3A80"/>
    <w:rsid w:val="009C5238"/>
    <w:rsid w:val="009D12B4"/>
    <w:rsid w:val="009D1E70"/>
    <w:rsid w:val="009D2135"/>
    <w:rsid w:val="009D2FA7"/>
    <w:rsid w:val="009D4CAE"/>
    <w:rsid w:val="009D4F9C"/>
    <w:rsid w:val="009D55F9"/>
    <w:rsid w:val="009D5A11"/>
    <w:rsid w:val="009D7760"/>
    <w:rsid w:val="009D77EF"/>
    <w:rsid w:val="009E0F04"/>
    <w:rsid w:val="009E16E6"/>
    <w:rsid w:val="009E2953"/>
    <w:rsid w:val="009E30CE"/>
    <w:rsid w:val="009E6ED4"/>
    <w:rsid w:val="009F04C3"/>
    <w:rsid w:val="009F0760"/>
    <w:rsid w:val="009F3B29"/>
    <w:rsid w:val="009F4860"/>
    <w:rsid w:val="009F578E"/>
    <w:rsid w:val="00A00057"/>
    <w:rsid w:val="00A00485"/>
    <w:rsid w:val="00A01A5F"/>
    <w:rsid w:val="00A02C96"/>
    <w:rsid w:val="00A02E65"/>
    <w:rsid w:val="00A0340A"/>
    <w:rsid w:val="00A0440C"/>
    <w:rsid w:val="00A0585F"/>
    <w:rsid w:val="00A05D3C"/>
    <w:rsid w:val="00A0679A"/>
    <w:rsid w:val="00A0694A"/>
    <w:rsid w:val="00A10A30"/>
    <w:rsid w:val="00A1137C"/>
    <w:rsid w:val="00A113D7"/>
    <w:rsid w:val="00A11F0F"/>
    <w:rsid w:val="00A16126"/>
    <w:rsid w:val="00A1628D"/>
    <w:rsid w:val="00A1667E"/>
    <w:rsid w:val="00A21D56"/>
    <w:rsid w:val="00A226B9"/>
    <w:rsid w:val="00A24133"/>
    <w:rsid w:val="00A25978"/>
    <w:rsid w:val="00A262BF"/>
    <w:rsid w:val="00A27809"/>
    <w:rsid w:val="00A30533"/>
    <w:rsid w:val="00A31118"/>
    <w:rsid w:val="00A317B0"/>
    <w:rsid w:val="00A34591"/>
    <w:rsid w:val="00A34E44"/>
    <w:rsid w:val="00A35315"/>
    <w:rsid w:val="00A359B5"/>
    <w:rsid w:val="00A3640F"/>
    <w:rsid w:val="00A40CE2"/>
    <w:rsid w:val="00A443BF"/>
    <w:rsid w:val="00A44E60"/>
    <w:rsid w:val="00A47176"/>
    <w:rsid w:val="00A473D1"/>
    <w:rsid w:val="00A475C5"/>
    <w:rsid w:val="00A4768C"/>
    <w:rsid w:val="00A50261"/>
    <w:rsid w:val="00A50A68"/>
    <w:rsid w:val="00A50D3B"/>
    <w:rsid w:val="00A518AA"/>
    <w:rsid w:val="00A51BA0"/>
    <w:rsid w:val="00A56348"/>
    <w:rsid w:val="00A5703F"/>
    <w:rsid w:val="00A57D39"/>
    <w:rsid w:val="00A607F1"/>
    <w:rsid w:val="00A6316B"/>
    <w:rsid w:val="00A65316"/>
    <w:rsid w:val="00A674FF"/>
    <w:rsid w:val="00A70F69"/>
    <w:rsid w:val="00A711E9"/>
    <w:rsid w:val="00A72611"/>
    <w:rsid w:val="00A733D9"/>
    <w:rsid w:val="00A73ABB"/>
    <w:rsid w:val="00A76D2C"/>
    <w:rsid w:val="00A77746"/>
    <w:rsid w:val="00A806AA"/>
    <w:rsid w:val="00A807E7"/>
    <w:rsid w:val="00A81ECC"/>
    <w:rsid w:val="00A83BF6"/>
    <w:rsid w:val="00A83EDE"/>
    <w:rsid w:val="00A8457F"/>
    <w:rsid w:val="00A853E8"/>
    <w:rsid w:val="00A85A74"/>
    <w:rsid w:val="00A87F31"/>
    <w:rsid w:val="00A90D27"/>
    <w:rsid w:val="00A9103B"/>
    <w:rsid w:val="00A91284"/>
    <w:rsid w:val="00A916E5"/>
    <w:rsid w:val="00A918A7"/>
    <w:rsid w:val="00A92871"/>
    <w:rsid w:val="00A955EB"/>
    <w:rsid w:val="00A9788D"/>
    <w:rsid w:val="00AA10BC"/>
    <w:rsid w:val="00AA1F49"/>
    <w:rsid w:val="00AA297B"/>
    <w:rsid w:val="00AA3A2E"/>
    <w:rsid w:val="00AA4099"/>
    <w:rsid w:val="00AA50CC"/>
    <w:rsid w:val="00AA51F4"/>
    <w:rsid w:val="00AA6913"/>
    <w:rsid w:val="00AB034E"/>
    <w:rsid w:val="00AB20F6"/>
    <w:rsid w:val="00AB2190"/>
    <w:rsid w:val="00AB3222"/>
    <w:rsid w:val="00AB39EB"/>
    <w:rsid w:val="00AB3F27"/>
    <w:rsid w:val="00AB3FD9"/>
    <w:rsid w:val="00AB7DE7"/>
    <w:rsid w:val="00AC080E"/>
    <w:rsid w:val="00AC1BE7"/>
    <w:rsid w:val="00AC22F9"/>
    <w:rsid w:val="00AC275F"/>
    <w:rsid w:val="00AC4E3D"/>
    <w:rsid w:val="00AC50A4"/>
    <w:rsid w:val="00AC561D"/>
    <w:rsid w:val="00AC5782"/>
    <w:rsid w:val="00AC5A95"/>
    <w:rsid w:val="00AC6074"/>
    <w:rsid w:val="00AC62B5"/>
    <w:rsid w:val="00AC6471"/>
    <w:rsid w:val="00AD040A"/>
    <w:rsid w:val="00AD1751"/>
    <w:rsid w:val="00AD1DD6"/>
    <w:rsid w:val="00AD2B6E"/>
    <w:rsid w:val="00AD3443"/>
    <w:rsid w:val="00AD3BC0"/>
    <w:rsid w:val="00AD4B3C"/>
    <w:rsid w:val="00AD68A5"/>
    <w:rsid w:val="00AE137B"/>
    <w:rsid w:val="00AE185D"/>
    <w:rsid w:val="00AE1BFE"/>
    <w:rsid w:val="00AE2A8B"/>
    <w:rsid w:val="00AE3842"/>
    <w:rsid w:val="00AE3D83"/>
    <w:rsid w:val="00AE4374"/>
    <w:rsid w:val="00AE485C"/>
    <w:rsid w:val="00AE7D4F"/>
    <w:rsid w:val="00AE7FD0"/>
    <w:rsid w:val="00AE7FE4"/>
    <w:rsid w:val="00AF17D3"/>
    <w:rsid w:val="00AF1D77"/>
    <w:rsid w:val="00AF38BA"/>
    <w:rsid w:val="00AF42CD"/>
    <w:rsid w:val="00AF4F67"/>
    <w:rsid w:val="00AF5811"/>
    <w:rsid w:val="00AF586A"/>
    <w:rsid w:val="00AF6509"/>
    <w:rsid w:val="00B00BBE"/>
    <w:rsid w:val="00B0456E"/>
    <w:rsid w:val="00B05355"/>
    <w:rsid w:val="00B05C38"/>
    <w:rsid w:val="00B05F9A"/>
    <w:rsid w:val="00B06A05"/>
    <w:rsid w:val="00B06BF6"/>
    <w:rsid w:val="00B06F7F"/>
    <w:rsid w:val="00B100F0"/>
    <w:rsid w:val="00B10764"/>
    <w:rsid w:val="00B1081A"/>
    <w:rsid w:val="00B135FF"/>
    <w:rsid w:val="00B1402E"/>
    <w:rsid w:val="00B14865"/>
    <w:rsid w:val="00B165FB"/>
    <w:rsid w:val="00B167EA"/>
    <w:rsid w:val="00B217A6"/>
    <w:rsid w:val="00B21B1A"/>
    <w:rsid w:val="00B21D50"/>
    <w:rsid w:val="00B22F9B"/>
    <w:rsid w:val="00B23395"/>
    <w:rsid w:val="00B23747"/>
    <w:rsid w:val="00B24090"/>
    <w:rsid w:val="00B257E3"/>
    <w:rsid w:val="00B260C7"/>
    <w:rsid w:val="00B26751"/>
    <w:rsid w:val="00B26DDE"/>
    <w:rsid w:val="00B27494"/>
    <w:rsid w:val="00B279B9"/>
    <w:rsid w:val="00B27BFD"/>
    <w:rsid w:val="00B31AEC"/>
    <w:rsid w:val="00B34F48"/>
    <w:rsid w:val="00B4330C"/>
    <w:rsid w:val="00B44B88"/>
    <w:rsid w:val="00B465E5"/>
    <w:rsid w:val="00B50D22"/>
    <w:rsid w:val="00B51BA0"/>
    <w:rsid w:val="00B53556"/>
    <w:rsid w:val="00B535BD"/>
    <w:rsid w:val="00B53701"/>
    <w:rsid w:val="00B55E10"/>
    <w:rsid w:val="00B55FED"/>
    <w:rsid w:val="00B56A26"/>
    <w:rsid w:val="00B56B24"/>
    <w:rsid w:val="00B6110A"/>
    <w:rsid w:val="00B6176A"/>
    <w:rsid w:val="00B6301A"/>
    <w:rsid w:val="00B63E93"/>
    <w:rsid w:val="00B64CAD"/>
    <w:rsid w:val="00B66751"/>
    <w:rsid w:val="00B66F6F"/>
    <w:rsid w:val="00B67AA6"/>
    <w:rsid w:val="00B7066C"/>
    <w:rsid w:val="00B717D8"/>
    <w:rsid w:val="00B72DF3"/>
    <w:rsid w:val="00B74146"/>
    <w:rsid w:val="00B754A6"/>
    <w:rsid w:val="00B76F6C"/>
    <w:rsid w:val="00B77DE5"/>
    <w:rsid w:val="00B8080B"/>
    <w:rsid w:val="00B811EF"/>
    <w:rsid w:val="00B81EB3"/>
    <w:rsid w:val="00B820FF"/>
    <w:rsid w:val="00B83002"/>
    <w:rsid w:val="00B84355"/>
    <w:rsid w:val="00B86EDD"/>
    <w:rsid w:val="00B86EF1"/>
    <w:rsid w:val="00B90674"/>
    <w:rsid w:val="00B934E3"/>
    <w:rsid w:val="00B94323"/>
    <w:rsid w:val="00B9495A"/>
    <w:rsid w:val="00B94DB0"/>
    <w:rsid w:val="00B9566B"/>
    <w:rsid w:val="00B961B7"/>
    <w:rsid w:val="00B962B7"/>
    <w:rsid w:val="00B963D4"/>
    <w:rsid w:val="00B9772B"/>
    <w:rsid w:val="00B97A5C"/>
    <w:rsid w:val="00BA0BDE"/>
    <w:rsid w:val="00BA2DEF"/>
    <w:rsid w:val="00BA42FB"/>
    <w:rsid w:val="00BA4768"/>
    <w:rsid w:val="00BA516F"/>
    <w:rsid w:val="00BA628C"/>
    <w:rsid w:val="00BA7059"/>
    <w:rsid w:val="00BB0051"/>
    <w:rsid w:val="00BB02C6"/>
    <w:rsid w:val="00BB0548"/>
    <w:rsid w:val="00BB1082"/>
    <w:rsid w:val="00BB1CF8"/>
    <w:rsid w:val="00BB2127"/>
    <w:rsid w:val="00BB3805"/>
    <w:rsid w:val="00BB52A5"/>
    <w:rsid w:val="00BB6740"/>
    <w:rsid w:val="00BB7EA1"/>
    <w:rsid w:val="00BB7F81"/>
    <w:rsid w:val="00BC083F"/>
    <w:rsid w:val="00BC269B"/>
    <w:rsid w:val="00BC27D2"/>
    <w:rsid w:val="00BD308F"/>
    <w:rsid w:val="00BD35E1"/>
    <w:rsid w:val="00BD54FC"/>
    <w:rsid w:val="00BD63C3"/>
    <w:rsid w:val="00BD67CE"/>
    <w:rsid w:val="00BD76A4"/>
    <w:rsid w:val="00BE19E4"/>
    <w:rsid w:val="00BE1C8A"/>
    <w:rsid w:val="00BE4857"/>
    <w:rsid w:val="00BE5847"/>
    <w:rsid w:val="00BE5BE0"/>
    <w:rsid w:val="00BE70E8"/>
    <w:rsid w:val="00BE718B"/>
    <w:rsid w:val="00BF0943"/>
    <w:rsid w:val="00BF0E76"/>
    <w:rsid w:val="00BF19DC"/>
    <w:rsid w:val="00BF2B3E"/>
    <w:rsid w:val="00BF2DAF"/>
    <w:rsid w:val="00BF4156"/>
    <w:rsid w:val="00BF4E1B"/>
    <w:rsid w:val="00BF57FD"/>
    <w:rsid w:val="00C016A3"/>
    <w:rsid w:val="00C0480F"/>
    <w:rsid w:val="00C0756C"/>
    <w:rsid w:val="00C1043C"/>
    <w:rsid w:val="00C12A51"/>
    <w:rsid w:val="00C12CD1"/>
    <w:rsid w:val="00C1591E"/>
    <w:rsid w:val="00C16459"/>
    <w:rsid w:val="00C1700A"/>
    <w:rsid w:val="00C171E4"/>
    <w:rsid w:val="00C20D36"/>
    <w:rsid w:val="00C21038"/>
    <w:rsid w:val="00C2396B"/>
    <w:rsid w:val="00C25210"/>
    <w:rsid w:val="00C261F7"/>
    <w:rsid w:val="00C2785F"/>
    <w:rsid w:val="00C30BA6"/>
    <w:rsid w:val="00C31467"/>
    <w:rsid w:val="00C343A5"/>
    <w:rsid w:val="00C34CCB"/>
    <w:rsid w:val="00C34D57"/>
    <w:rsid w:val="00C35515"/>
    <w:rsid w:val="00C35807"/>
    <w:rsid w:val="00C35A4B"/>
    <w:rsid w:val="00C36696"/>
    <w:rsid w:val="00C36720"/>
    <w:rsid w:val="00C37518"/>
    <w:rsid w:val="00C37F00"/>
    <w:rsid w:val="00C421C9"/>
    <w:rsid w:val="00C42A3A"/>
    <w:rsid w:val="00C43744"/>
    <w:rsid w:val="00C4451D"/>
    <w:rsid w:val="00C4517F"/>
    <w:rsid w:val="00C45232"/>
    <w:rsid w:val="00C46E94"/>
    <w:rsid w:val="00C51441"/>
    <w:rsid w:val="00C52BA5"/>
    <w:rsid w:val="00C532B3"/>
    <w:rsid w:val="00C53323"/>
    <w:rsid w:val="00C54D8C"/>
    <w:rsid w:val="00C56C35"/>
    <w:rsid w:val="00C6092C"/>
    <w:rsid w:val="00C645ED"/>
    <w:rsid w:val="00C657AE"/>
    <w:rsid w:val="00C66A4C"/>
    <w:rsid w:val="00C66CEF"/>
    <w:rsid w:val="00C670FE"/>
    <w:rsid w:val="00C71087"/>
    <w:rsid w:val="00C71E3C"/>
    <w:rsid w:val="00C73A55"/>
    <w:rsid w:val="00C75492"/>
    <w:rsid w:val="00C770BB"/>
    <w:rsid w:val="00C77118"/>
    <w:rsid w:val="00C77B05"/>
    <w:rsid w:val="00C77C78"/>
    <w:rsid w:val="00C81005"/>
    <w:rsid w:val="00C81116"/>
    <w:rsid w:val="00C8146C"/>
    <w:rsid w:val="00C846DD"/>
    <w:rsid w:val="00C857A2"/>
    <w:rsid w:val="00C85CA6"/>
    <w:rsid w:val="00C86064"/>
    <w:rsid w:val="00C87869"/>
    <w:rsid w:val="00C9147E"/>
    <w:rsid w:val="00C925ED"/>
    <w:rsid w:val="00C9339F"/>
    <w:rsid w:val="00C94AF2"/>
    <w:rsid w:val="00C94E43"/>
    <w:rsid w:val="00C96A10"/>
    <w:rsid w:val="00C96BE6"/>
    <w:rsid w:val="00C9722D"/>
    <w:rsid w:val="00C9753B"/>
    <w:rsid w:val="00CA0C87"/>
    <w:rsid w:val="00CA1719"/>
    <w:rsid w:val="00CA19CD"/>
    <w:rsid w:val="00CA4A62"/>
    <w:rsid w:val="00CA561E"/>
    <w:rsid w:val="00CA659E"/>
    <w:rsid w:val="00CB0D76"/>
    <w:rsid w:val="00CB23DD"/>
    <w:rsid w:val="00CB2757"/>
    <w:rsid w:val="00CB2FE7"/>
    <w:rsid w:val="00CB3B57"/>
    <w:rsid w:val="00CB42AE"/>
    <w:rsid w:val="00CB4FCF"/>
    <w:rsid w:val="00CB6768"/>
    <w:rsid w:val="00CC17DB"/>
    <w:rsid w:val="00CC26E1"/>
    <w:rsid w:val="00CC2F01"/>
    <w:rsid w:val="00CC4FD8"/>
    <w:rsid w:val="00CC6453"/>
    <w:rsid w:val="00CC7DD8"/>
    <w:rsid w:val="00CD14A0"/>
    <w:rsid w:val="00CD2D8A"/>
    <w:rsid w:val="00CD31EA"/>
    <w:rsid w:val="00CD692F"/>
    <w:rsid w:val="00CE0392"/>
    <w:rsid w:val="00CE5481"/>
    <w:rsid w:val="00CE5866"/>
    <w:rsid w:val="00CE5F2C"/>
    <w:rsid w:val="00CE716F"/>
    <w:rsid w:val="00CF0045"/>
    <w:rsid w:val="00CF468B"/>
    <w:rsid w:val="00CF582B"/>
    <w:rsid w:val="00CF7194"/>
    <w:rsid w:val="00CF7C90"/>
    <w:rsid w:val="00CF7EA0"/>
    <w:rsid w:val="00D00163"/>
    <w:rsid w:val="00D00600"/>
    <w:rsid w:val="00D0329F"/>
    <w:rsid w:val="00D06299"/>
    <w:rsid w:val="00D1045D"/>
    <w:rsid w:val="00D12C84"/>
    <w:rsid w:val="00D133AA"/>
    <w:rsid w:val="00D13B0B"/>
    <w:rsid w:val="00D13CCF"/>
    <w:rsid w:val="00D14CF7"/>
    <w:rsid w:val="00D15E67"/>
    <w:rsid w:val="00D173D0"/>
    <w:rsid w:val="00D20282"/>
    <w:rsid w:val="00D209ED"/>
    <w:rsid w:val="00D20ABB"/>
    <w:rsid w:val="00D224E5"/>
    <w:rsid w:val="00D23ADD"/>
    <w:rsid w:val="00D24AEE"/>
    <w:rsid w:val="00D24C9B"/>
    <w:rsid w:val="00D26A33"/>
    <w:rsid w:val="00D3073E"/>
    <w:rsid w:val="00D31676"/>
    <w:rsid w:val="00D316C8"/>
    <w:rsid w:val="00D322A3"/>
    <w:rsid w:val="00D337D5"/>
    <w:rsid w:val="00D34817"/>
    <w:rsid w:val="00D365BB"/>
    <w:rsid w:val="00D3795A"/>
    <w:rsid w:val="00D37AB5"/>
    <w:rsid w:val="00D40C74"/>
    <w:rsid w:val="00D41B31"/>
    <w:rsid w:val="00D43174"/>
    <w:rsid w:val="00D43282"/>
    <w:rsid w:val="00D43EA4"/>
    <w:rsid w:val="00D44508"/>
    <w:rsid w:val="00D4521C"/>
    <w:rsid w:val="00D4697F"/>
    <w:rsid w:val="00D47810"/>
    <w:rsid w:val="00D5128E"/>
    <w:rsid w:val="00D5183B"/>
    <w:rsid w:val="00D52FD0"/>
    <w:rsid w:val="00D54385"/>
    <w:rsid w:val="00D54D6F"/>
    <w:rsid w:val="00D6259C"/>
    <w:rsid w:val="00D63B91"/>
    <w:rsid w:val="00D64A4A"/>
    <w:rsid w:val="00D64DDE"/>
    <w:rsid w:val="00D6679C"/>
    <w:rsid w:val="00D67610"/>
    <w:rsid w:val="00D735B3"/>
    <w:rsid w:val="00D73EE6"/>
    <w:rsid w:val="00D742D2"/>
    <w:rsid w:val="00D744DC"/>
    <w:rsid w:val="00D75CF7"/>
    <w:rsid w:val="00D75F59"/>
    <w:rsid w:val="00D76472"/>
    <w:rsid w:val="00D776C3"/>
    <w:rsid w:val="00D77D63"/>
    <w:rsid w:val="00D80072"/>
    <w:rsid w:val="00D80153"/>
    <w:rsid w:val="00D8059F"/>
    <w:rsid w:val="00D8088C"/>
    <w:rsid w:val="00D81AC7"/>
    <w:rsid w:val="00D83295"/>
    <w:rsid w:val="00D8495C"/>
    <w:rsid w:val="00D86737"/>
    <w:rsid w:val="00D8696A"/>
    <w:rsid w:val="00D87893"/>
    <w:rsid w:val="00D87CDA"/>
    <w:rsid w:val="00D9153B"/>
    <w:rsid w:val="00D95903"/>
    <w:rsid w:val="00D95D78"/>
    <w:rsid w:val="00D95EEA"/>
    <w:rsid w:val="00D97989"/>
    <w:rsid w:val="00DA0810"/>
    <w:rsid w:val="00DA3F42"/>
    <w:rsid w:val="00DA3FCE"/>
    <w:rsid w:val="00DA5F2F"/>
    <w:rsid w:val="00DA7112"/>
    <w:rsid w:val="00DB186A"/>
    <w:rsid w:val="00DB311D"/>
    <w:rsid w:val="00DB3205"/>
    <w:rsid w:val="00DB4203"/>
    <w:rsid w:val="00DB4D42"/>
    <w:rsid w:val="00DB7CA1"/>
    <w:rsid w:val="00DC25DA"/>
    <w:rsid w:val="00DC4C59"/>
    <w:rsid w:val="00DC5149"/>
    <w:rsid w:val="00DC584E"/>
    <w:rsid w:val="00DC68C3"/>
    <w:rsid w:val="00DD1B88"/>
    <w:rsid w:val="00DD3C08"/>
    <w:rsid w:val="00DD7C65"/>
    <w:rsid w:val="00DE0476"/>
    <w:rsid w:val="00DE1F4E"/>
    <w:rsid w:val="00DE2AAC"/>
    <w:rsid w:val="00DE2BE1"/>
    <w:rsid w:val="00DF1125"/>
    <w:rsid w:val="00DF27AC"/>
    <w:rsid w:val="00DF28E7"/>
    <w:rsid w:val="00DF399A"/>
    <w:rsid w:val="00DF4479"/>
    <w:rsid w:val="00DF6280"/>
    <w:rsid w:val="00DF7B14"/>
    <w:rsid w:val="00E00009"/>
    <w:rsid w:val="00E01CAB"/>
    <w:rsid w:val="00E01EF4"/>
    <w:rsid w:val="00E02CF2"/>
    <w:rsid w:val="00E04109"/>
    <w:rsid w:val="00E04947"/>
    <w:rsid w:val="00E04FBA"/>
    <w:rsid w:val="00E069F7"/>
    <w:rsid w:val="00E06C35"/>
    <w:rsid w:val="00E0710D"/>
    <w:rsid w:val="00E07A5A"/>
    <w:rsid w:val="00E07F71"/>
    <w:rsid w:val="00E114D8"/>
    <w:rsid w:val="00E1347F"/>
    <w:rsid w:val="00E1408C"/>
    <w:rsid w:val="00E1621B"/>
    <w:rsid w:val="00E20551"/>
    <w:rsid w:val="00E20D8F"/>
    <w:rsid w:val="00E21114"/>
    <w:rsid w:val="00E22B84"/>
    <w:rsid w:val="00E26045"/>
    <w:rsid w:val="00E26BDB"/>
    <w:rsid w:val="00E27304"/>
    <w:rsid w:val="00E27BFD"/>
    <w:rsid w:val="00E33076"/>
    <w:rsid w:val="00E332C1"/>
    <w:rsid w:val="00E337F5"/>
    <w:rsid w:val="00E339E4"/>
    <w:rsid w:val="00E34EBC"/>
    <w:rsid w:val="00E34FBD"/>
    <w:rsid w:val="00E35076"/>
    <w:rsid w:val="00E36382"/>
    <w:rsid w:val="00E37211"/>
    <w:rsid w:val="00E37848"/>
    <w:rsid w:val="00E4034D"/>
    <w:rsid w:val="00E404B3"/>
    <w:rsid w:val="00E408C4"/>
    <w:rsid w:val="00E41EE7"/>
    <w:rsid w:val="00E42084"/>
    <w:rsid w:val="00E44854"/>
    <w:rsid w:val="00E458BD"/>
    <w:rsid w:val="00E459E8"/>
    <w:rsid w:val="00E5130A"/>
    <w:rsid w:val="00E543E9"/>
    <w:rsid w:val="00E55808"/>
    <w:rsid w:val="00E559EA"/>
    <w:rsid w:val="00E55F1C"/>
    <w:rsid w:val="00E5696D"/>
    <w:rsid w:val="00E56E45"/>
    <w:rsid w:val="00E6161C"/>
    <w:rsid w:val="00E62DEC"/>
    <w:rsid w:val="00E63233"/>
    <w:rsid w:val="00E65F8A"/>
    <w:rsid w:val="00E66ECB"/>
    <w:rsid w:val="00E67486"/>
    <w:rsid w:val="00E7189B"/>
    <w:rsid w:val="00E727CE"/>
    <w:rsid w:val="00E731F3"/>
    <w:rsid w:val="00E736A6"/>
    <w:rsid w:val="00E749E1"/>
    <w:rsid w:val="00E755FF"/>
    <w:rsid w:val="00E8007A"/>
    <w:rsid w:val="00E80578"/>
    <w:rsid w:val="00E80B43"/>
    <w:rsid w:val="00E833CB"/>
    <w:rsid w:val="00E83654"/>
    <w:rsid w:val="00E83995"/>
    <w:rsid w:val="00E83CBA"/>
    <w:rsid w:val="00E83D2E"/>
    <w:rsid w:val="00E83FB2"/>
    <w:rsid w:val="00E84C10"/>
    <w:rsid w:val="00E85F90"/>
    <w:rsid w:val="00E90615"/>
    <w:rsid w:val="00E91FE0"/>
    <w:rsid w:val="00E94591"/>
    <w:rsid w:val="00E95AC2"/>
    <w:rsid w:val="00E95AE8"/>
    <w:rsid w:val="00E95EED"/>
    <w:rsid w:val="00E97167"/>
    <w:rsid w:val="00E97C4D"/>
    <w:rsid w:val="00E97DBB"/>
    <w:rsid w:val="00EA0169"/>
    <w:rsid w:val="00EA2EC6"/>
    <w:rsid w:val="00EA3548"/>
    <w:rsid w:val="00EA3781"/>
    <w:rsid w:val="00EA385C"/>
    <w:rsid w:val="00EA5023"/>
    <w:rsid w:val="00EA7061"/>
    <w:rsid w:val="00EA7C80"/>
    <w:rsid w:val="00EB13FE"/>
    <w:rsid w:val="00EB254B"/>
    <w:rsid w:val="00EB39F1"/>
    <w:rsid w:val="00EB41B6"/>
    <w:rsid w:val="00EB472E"/>
    <w:rsid w:val="00EB5434"/>
    <w:rsid w:val="00EB5553"/>
    <w:rsid w:val="00EB5C0C"/>
    <w:rsid w:val="00EB5D6C"/>
    <w:rsid w:val="00EB6A9B"/>
    <w:rsid w:val="00EB6DF1"/>
    <w:rsid w:val="00EB76D6"/>
    <w:rsid w:val="00EC0178"/>
    <w:rsid w:val="00EC049F"/>
    <w:rsid w:val="00EC088F"/>
    <w:rsid w:val="00EC50A0"/>
    <w:rsid w:val="00EC7344"/>
    <w:rsid w:val="00ED024E"/>
    <w:rsid w:val="00ED133A"/>
    <w:rsid w:val="00ED194C"/>
    <w:rsid w:val="00ED2C26"/>
    <w:rsid w:val="00ED3898"/>
    <w:rsid w:val="00ED5EC2"/>
    <w:rsid w:val="00ED5FB9"/>
    <w:rsid w:val="00EE063F"/>
    <w:rsid w:val="00EE0DF2"/>
    <w:rsid w:val="00EE21DD"/>
    <w:rsid w:val="00EE56DF"/>
    <w:rsid w:val="00EE6C05"/>
    <w:rsid w:val="00EF1295"/>
    <w:rsid w:val="00EF1A24"/>
    <w:rsid w:val="00EF1BF1"/>
    <w:rsid w:val="00EF1DB8"/>
    <w:rsid w:val="00EF5561"/>
    <w:rsid w:val="00EF71E1"/>
    <w:rsid w:val="00F001F9"/>
    <w:rsid w:val="00F01563"/>
    <w:rsid w:val="00F01BD5"/>
    <w:rsid w:val="00F0264E"/>
    <w:rsid w:val="00F03C0F"/>
    <w:rsid w:val="00F05EAF"/>
    <w:rsid w:val="00F063AD"/>
    <w:rsid w:val="00F06D7C"/>
    <w:rsid w:val="00F1049D"/>
    <w:rsid w:val="00F119F0"/>
    <w:rsid w:val="00F147FD"/>
    <w:rsid w:val="00F15FC1"/>
    <w:rsid w:val="00F1684F"/>
    <w:rsid w:val="00F17762"/>
    <w:rsid w:val="00F21A16"/>
    <w:rsid w:val="00F21AC8"/>
    <w:rsid w:val="00F23C5A"/>
    <w:rsid w:val="00F23E91"/>
    <w:rsid w:val="00F277D4"/>
    <w:rsid w:val="00F31104"/>
    <w:rsid w:val="00F33255"/>
    <w:rsid w:val="00F33E65"/>
    <w:rsid w:val="00F34E93"/>
    <w:rsid w:val="00F4022D"/>
    <w:rsid w:val="00F41445"/>
    <w:rsid w:val="00F41913"/>
    <w:rsid w:val="00F41E0E"/>
    <w:rsid w:val="00F422F6"/>
    <w:rsid w:val="00F42B48"/>
    <w:rsid w:val="00F42D02"/>
    <w:rsid w:val="00F4474B"/>
    <w:rsid w:val="00F50DAA"/>
    <w:rsid w:val="00F513E5"/>
    <w:rsid w:val="00F51E45"/>
    <w:rsid w:val="00F5219B"/>
    <w:rsid w:val="00F53138"/>
    <w:rsid w:val="00F534C0"/>
    <w:rsid w:val="00F54930"/>
    <w:rsid w:val="00F5523B"/>
    <w:rsid w:val="00F5549F"/>
    <w:rsid w:val="00F623B6"/>
    <w:rsid w:val="00F6280F"/>
    <w:rsid w:val="00F62819"/>
    <w:rsid w:val="00F6356B"/>
    <w:rsid w:val="00F6394B"/>
    <w:rsid w:val="00F6653B"/>
    <w:rsid w:val="00F708D9"/>
    <w:rsid w:val="00F720FB"/>
    <w:rsid w:val="00F721C2"/>
    <w:rsid w:val="00F805F7"/>
    <w:rsid w:val="00F80602"/>
    <w:rsid w:val="00F81376"/>
    <w:rsid w:val="00F81E83"/>
    <w:rsid w:val="00F84902"/>
    <w:rsid w:val="00F84C20"/>
    <w:rsid w:val="00F87994"/>
    <w:rsid w:val="00F92112"/>
    <w:rsid w:val="00F9230A"/>
    <w:rsid w:val="00F92366"/>
    <w:rsid w:val="00F92753"/>
    <w:rsid w:val="00F932D9"/>
    <w:rsid w:val="00F9598E"/>
    <w:rsid w:val="00F95E82"/>
    <w:rsid w:val="00F96B32"/>
    <w:rsid w:val="00F9735A"/>
    <w:rsid w:val="00FA226A"/>
    <w:rsid w:val="00FA42F4"/>
    <w:rsid w:val="00FA439D"/>
    <w:rsid w:val="00FA6502"/>
    <w:rsid w:val="00FA7F44"/>
    <w:rsid w:val="00FB0730"/>
    <w:rsid w:val="00FB093E"/>
    <w:rsid w:val="00FB0BC1"/>
    <w:rsid w:val="00FB13F8"/>
    <w:rsid w:val="00FB14A0"/>
    <w:rsid w:val="00FB1975"/>
    <w:rsid w:val="00FB302C"/>
    <w:rsid w:val="00FB4E4A"/>
    <w:rsid w:val="00FB54DB"/>
    <w:rsid w:val="00FB6D3A"/>
    <w:rsid w:val="00FB7924"/>
    <w:rsid w:val="00FB7F35"/>
    <w:rsid w:val="00FC11D6"/>
    <w:rsid w:val="00FC3B67"/>
    <w:rsid w:val="00FC48DD"/>
    <w:rsid w:val="00FC569E"/>
    <w:rsid w:val="00FC580D"/>
    <w:rsid w:val="00FC67E5"/>
    <w:rsid w:val="00FC6BFF"/>
    <w:rsid w:val="00FC7994"/>
    <w:rsid w:val="00FD04EB"/>
    <w:rsid w:val="00FD1036"/>
    <w:rsid w:val="00FD1082"/>
    <w:rsid w:val="00FD131D"/>
    <w:rsid w:val="00FD5177"/>
    <w:rsid w:val="00FD5DC0"/>
    <w:rsid w:val="00FD7976"/>
    <w:rsid w:val="00FD7990"/>
    <w:rsid w:val="00FE35E1"/>
    <w:rsid w:val="00FE3688"/>
    <w:rsid w:val="00FE6D86"/>
    <w:rsid w:val="00FE7960"/>
    <w:rsid w:val="00FF0DA7"/>
    <w:rsid w:val="00FF3276"/>
    <w:rsid w:val="00FF4A76"/>
    <w:rsid w:val="00FF561E"/>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7F53C3"/>
  <w15:docId w15:val="{DBFA896B-53F2-487B-B168-C2D461A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har Char,Carattere Char1,Carattere Char Char Carattere Carattere Char Char,16 Point,Superscript 6 Point,fr,Superscript 6 Point + 11 pt,Footnote Ref in FtNote,(NECG) Footnote Reference,footnote ref"/>
    <w:link w:val="BVIfnrCharCar1CarCha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Default">
    <w:name w:val="Default"/>
    <w:rsid w:val="00724A15"/>
    <w:pPr>
      <w:autoSpaceDE w:val="0"/>
      <w:autoSpaceDN w:val="0"/>
      <w:adjustRightInd w:val="0"/>
    </w:pPr>
    <w:rPr>
      <w:rFonts w:ascii="Arial" w:eastAsiaTheme="minorEastAsia" w:hAnsi="Arial" w:cs="Arial"/>
      <w:color w:val="000000"/>
      <w:sz w:val="24"/>
      <w:szCs w:val="24"/>
      <w:lang w:val="en-US" w:eastAsia="zh-CN"/>
    </w:rPr>
  </w:style>
  <w:style w:type="paragraph" w:customStyle="1" w:styleId="Body">
    <w:name w:val="Body"/>
    <w:rsid w:val="00F932D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None">
    <w:name w:val="None"/>
    <w:rsid w:val="00F932D9"/>
  </w:style>
  <w:style w:type="paragraph" w:customStyle="1" w:styleId="Normal1">
    <w:name w:val="Normal1"/>
    <w:rsid w:val="00F932D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BodyAA">
    <w:name w:val="Body A A"/>
    <w:rsid w:val="00747A3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Pa16">
    <w:name w:val="Pa16"/>
    <w:next w:val="Normal"/>
    <w:rsid w:val="00747A36"/>
    <w:pPr>
      <w:pBdr>
        <w:top w:val="nil"/>
        <w:left w:val="nil"/>
        <w:bottom w:val="nil"/>
        <w:right w:val="nil"/>
        <w:between w:val="nil"/>
        <w:bar w:val="nil"/>
      </w:pBdr>
      <w:spacing w:line="201" w:lineRule="atLeast"/>
    </w:pPr>
    <w:rPr>
      <w:rFonts w:ascii="Arial" w:eastAsia="Arial Unicode MS" w:hAnsi="Arial" w:cs="Arial Unicode MS"/>
      <w:color w:val="000000"/>
      <w:sz w:val="24"/>
      <w:szCs w:val="24"/>
      <w:u w:color="000000"/>
      <w:bdr w:val="nil"/>
      <w:lang w:val="en-US" w:eastAsia="en-US"/>
    </w:rPr>
  </w:style>
  <w:style w:type="character" w:customStyle="1" w:styleId="apple-converted-space">
    <w:name w:val="apple-converted-space"/>
    <w:basedOn w:val="DefaultParagraphFont"/>
    <w:rsid w:val="00F805F7"/>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7B6EAD"/>
    <w:pPr>
      <w:spacing w:after="160" w:line="240" w:lineRule="exact"/>
      <w:ind w:left="714" w:hanging="357"/>
      <w:jc w:val="both"/>
    </w:pPr>
    <w:rPr>
      <w:vertAlign w:val="superscript"/>
      <w:lang w:val="en-GB" w:eastAsia="en-GB"/>
    </w:rPr>
  </w:style>
  <w:style w:type="character" w:customStyle="1" w:styleId="NoneA">
    <w:name w:val="None A"/>
    <w:rsid w:val="006B12D0"/>
    <w:rPr>
      <w:lang w:val="en-US"/>
    </w:rPr>
  </w:style>
  <w:style w:type="character" w:styleId="Strong">
    <w:name w:val="Strong"/>
    <w:basedOn w:val="DefaultParagraphFont"/>
    <w:qFormat/>
    <w:locked/>
    <w:rsid w:val="009A26E9"/>
    <w:rPr>
      <w:b/>
      <w:bCs/>
    </w:rPr>
  </w:style>
  <w:style w:type="character" w:styleId="Emphasis">
    <w:name w:val="Emphasis"/>
    <w:basedOn w:val="DefaultParagraphFont"/>
    <w:uiPriority w:val="20"/>
    <w:qFormat/>
    <w:locked/>
    <w:rsid w:val="00176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72219143">
      <w:bodyDiv w:val="1"/>
      <w:marLeft w:val="0"/>
      <w:marRight w:val="0"/>
      <w:marTop w:val="0"/>
      <w:marBottom w:val="0"/>
      <w:divBdr>
        <w:top w:val="none" w:sz="0" w:space="0" w:color="auto"/>
        <w:left w:val="none" w:sz="0" w:space="0" w:color="auto"/>
        <w:bottom w:val="none" w:sz="0" w:space="0" w:color="auto"/>
        <w:right w:val="none" w:sz="0" w:space="0" w:color="auto"/>
      </w:divBdr>
      <w:divsChild>
        <w:div w:id="1375229899">
          <w:marLeft w:val="187"/>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74765364">
      <w:bodyDiv w:val="1"/>
      <w:marLeft w:val="0"/>
      <w:marRight w:val="0"/>
      <w:marTop w:val="0"/>
      <w:marBottom w:val="0"/>
      <w:divBdr>
        <w:top w:val="none" w:sz="0" w:space="0" w:color="auto"/>
        <w:left w:val="none" w:sz="0" w:space="0" w:color="auto"/>
        <w:bottom w:val="none" w:sz="0" w:space="0" w:color="auto"/>
        <w:right w:val="none" w:sz="0" w:space="0" w:color="auto"/>
      </w:divBdr>
      <w:divsChild>
        <w:div w:id="33972421">
          <w:marLeft w:val="0"/>
          <w:marRight w:val="0"/>
          <w:marTop w:val="0"/>
          <w:marBottom w:val="0"/>
          <w:divBdr>
            <w:top w:val="none" w:sz="0" w:space="0" w:color="auto"/>
            <w:left w:val="none" w:sz="0" w:space="0" w:color="auto"/>
            <w:bottom w:val="none" w:sz="0" w:space="0" w:color="auto"/>
            <w:right w:val="none" w:sz="0" w:space="0" w:color="auto"/>
          </w:divBdr>
        </w:div>
        <w:div w:id="245775342">
          <w:marLeft w:val="0"/>
          <w:marRight w:val="0"/>
          <w:marTop w:val="0"/>
          <w:marBottom w:val="0"/>
          <w:divBdr>
            <w:top w:val="none" w:sz="0" w:space="0" w:color="auto"/>
            <w:left w:val="none" w:sz="0" w:space="0" w:color="auto"/>
            <w:bottom w:val="none" w:sz="0" w:space="0" w:color="auto"/>
            <w:right w:val="none" w:sz="0" w:space="0" w:color="auto"/>
          </w:divBdr>
        </w:div>
        <w:div w:id="324013380">
          <w:marLeft w:val="0"/>
          <w:marRight w:val="0"/>
          <w:marTop w:val="0"/>
          <w:marBottom w:val="0"/>
          <w:divBdr>
            <w:top w:val="none" w:sz="0" w:space="0" w:color="auto"/>
            <w:left w:val="none" w:sz="0" w:space="0" w:color="auto"/>
            <w:bottom w:val="none" w:sz="0" w:space="0" w:color="auto"/>
            <w:right w:val="none" w:sz="0" w:space="0" w:color="auto"/>
          </w:divBdr>
        </w:div>
        <w:div w:id="434793867">
          <w:marLeft w:val="0"/>
          <w:marRight w:val="0"/>
          <w:marTop w:val="0"/>
          <w:marBottom w:val="0"/>
          <w:divBdr>
            <w:top w:val="none" w:sz="0" w:space="0" w:color="auto"/>
            <w:left w:val="none" w:sz="0" w:space="0" w:color="auto"/>
            <w:bottom w:val="none" w:sz="0" w:space="0" w:color="auto"/>
            <w:right w:val="none" w:sz="0" w:space="0" w:color="auto"/>
          </w:divBdr>
        </w:div>
        <w:div w:id="676689040">
          <w:marLeft w:val="0"/>
          <w:marRight w:val="0"/>
          <w:marTop w:val="0"/>
          <w:marBottom w:val="0"/>
          <w:divBdr>
            <w:top w:val="none" w:sz="0" w:space="0" w:color="auto"/>
            <w:left w:val="none" w:sz="0" w:space="0" w:color="auto"/>
            <w:bottom w:val="none" w:sz="0" w:space="0" w:color="auto"/>
            <w:right w:val="none" w:sz="0" w:space="0" w:color="auto"/>
          </w:divBdr>
        </w:div>
        <w:div w:id="925500286">
          <w:marLeft w:val="0"/>
          <w:marRight w:val="0"/>
          <w:marTop w:val="0"/>
          <w:marBottom w:val="0"/>
          <w:divBdr>
            <w:top w:val="none" w:sz="0" w:space="0" w:color="auto"/>
            <w:left w:val="none" w:sz="0" w:space="0" w:color="auto"/>
            <w:bottom w:val="none" w:sz="0" w:space="0" w:color="auto"/>
            <w:right w:val="none" w:sz="0" w:space="0" w:color="auto"/>
          </w:divBdr>
        </w:div>
        <w:div w:id="1669480499">
          <w:marLeft w:val="0"/>
          <w:marRight w:val="0"/>
          <w:marTop w:val="0"/>
          <w:marBottom w:val="0"/>
          <w:divBdr>
            <w:top w:val="none" w:sz="0" w:space="0" w:color="auto"/>
            <w:left w:val="none" w:sz="0" w:space="0" w:color="auto"/>
            <w:bottom w:val="none" w:sz="0" w:space="0" w:color="auto"/>
            <w:right w:val="none" w:sz="0" w:space="0" w:color="auto"/>
          </w:divBdr>
        </w:div>
      </w:divsChild>
    </w:div>
    <w:div w:id="18071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9DF2A89A-9350-47FA-A700-1E85DE5F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6025</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40291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2</cp:revision>
  <cp:lastPrinted>2016-05-15T00:48:00Z</cp:lastPrinted>
  <dcterms:created xsi:type="dcterms:W3CDTF">2016-05-25T15:39:00Z</dcterms:created>
  <dcterms:modified xsi:type="dcterms:W3CDTF">2016-05-25T15:39:00Z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