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817" w:rsidRDefault="000C2817" w:rsidP="000C2817">
      <w:pPr>
        <w:jc w:val="center"/>
        <w:rPr>
          <w:rFonts w:cs="Times New Roman"/>
          <w:b/>
          <w:sz w:val="28"/>
          <w:szCs w:val="28"/>
        </w:rPr>
      </w:pPr>
      <w:bookmarkStart w:id="0" w:name="_GoBack"/>
      <w:bookmarkEnd w:id="0"/>
    </w:p>
    <w:p w:rsidR="009830B4" w:rsidRDefault="004079BD" w:rsidP="000C2817">
      <w:pPr>
        <w:jc w:val="center"/>
        <w:rPr>
          <w:rFonts w:cs="Times New Roman"/>
          <w:b/>
          <w:sz w:val="28"/>
          <w:szCs w:val="28"/>
        </w:rPr>
      </w:pPr>
      <w:r w:rsidRPr="00AD5CA0">
        <w:rPr>
          <w:rFonts w:cs="Times New Roman"/>
          <w:b/>
          <w:sz w:val="28"/>
          <w:szCs w:val="28"/>
        </w:rPr>
        <w:t>United Nations Office for Project Services (UNOPS)</w:t>
      </w:r>
    </w:p>
    <w:p w:rsidR="009830B4" w:rsidRDefault="004079BD" w:rsidP="000C2817">
      <w:pPr>
        <w:jc w:val="center"/>
        <w:rPr>
          <w:rFonts w:cs="Times New Roman"/>
          <w:b/>
          <w:sz w:val="28"/>
          <w:szCs w:val="28"/>
        </w:rPr>
      </w:pPr>
      <w:r w:rsidRPr="005D60DC">
        <w:rPr>
          <w:rFonts w:cs="Times New Roman"/>
          <w:b/>
          <w:sz w:val="28"/>
          <w:szCs w:val="28"/>
        </w:rPr>
        <w:t>Audit Advisory Committee</w:t>
      </w:r>
    </w:p>
    <w:p w:rsidR="009830B4" w:rsidRPr="005D60DC" w:rsidRDefault="004079BD" w:rsidP="000C2817">
      <w:pPr>
        <w:jc w:val="center"/>
        <w:rPr>
          <w:rFonts w:cs="Times New Roman"/>
          <w:b/>
          <w:sz w:val="28"/>
          <w:szCs w:val="28"/>
        </w:rPr>
      </w:pPr>
      <w:r w:rsidRPr="005D60DC">
        <w:rPr>
          <w:rFonts w:cs="Times New Roman"/>
          <w:b/>
          <w:sz w:val="28"/>
          <w:szCs w:val="28"/>
        </w:rPr>
        <w:t>Annual Report 201</w:t>
      </w:r>
      <w:r w:rsidR="00F637D3">
        <w:rPr>
          <w:rFonts w:cs="Times New Roman"/>
          <w:b/>
          <w:sz w:val="28"/>
          <w:szCs w:val="28"/>
        </w:rPr>
        <w:t>6</w:t>
      </w:r>
    </w:p>
    <w:p w:rsidR="004079BD" w:rsidRPr="00C20A3B" w:rsidRDefault="004079BD" w:rsidP="000C2817">
      <w:pPr>
        <w:autoSpaceDE w:val="0"/>
        <w:autoSpaceDN w:val="0"/>
        <w:adjustRightInd w:val="0"/>
        <w:jc w:val="center"/>
        <w:rPr>
          <w:rFonts w:eastAsia="Times New Roman" w:cs="Times New Roman"/>
          <w:b/>
          <w:bCs/>
          <w:sz w:val="24"/>
          <w:szCs w:val="24"/>
          <w:lang w:val="en-GB" w:eastAsia="en-GB"/>
        </w:rPr>
      </w:pPr>
      <w:r w:rsidRPr="00C20A3B">
        <w:rPr>
          <w:rFonts w:eastAsia="Times New Roman" w:cs="Times New Roman"/>
          <w:b/>
          <w:bCs/>
          <w:sz w:val="24"/>
          <w:szCs w:val="24"/>
          <w:lang w:val="en-GB" w:eastAsia="en-GB"/>
        </w:rPr>
        <w:t>(</w:t>
      </w:r>
      <w:r w:rsidR="00F637D3">
        <w:rPr>
          <w:rFonts w:eastAsia="Times New Roman" w:cs="Times New Roman"/>
          <w:b/>
          <w:bCs/>
          <w:sz w:val="24"/>
          <w:szCs w:val="24"/>
          <w:lang w:val="en-GB" w:eastAsia="en-GB"/>
        </w:rPr>
        <w:t>DP/OPS/2017</w:t>
      </w:r>
      <w:r w:rsidR="00F637D3" w:rsidRPr="00D17FD6">
        <w:rPr>
          <w:rFonts w:eastAsia="Times New Roman" w:cs="Times New Roman"/>
          <w:b/>
          <w:bCs/>
          <w:sz w:val="24"/>
          <w:szCs w:val="24"/>
          <w:lang w:val="en-GB" w:eastAsia="en-GB"/>
        </w:rPr>
        <w:t>/</w:t>
      </w:r>
      <w:r w:rsidR="00D17FD6" w:rsidRPr="00D17FD6">
        <w:rPr>
          <w:rFonts w:eastAsia="Times New Roman" w:cs="Times New Roman"/>
          <w:b/>
          <w:bCs/>
          <w:sz w:val="24"/>
          <w:szCs w:val="24"/>
          <w:lang w:val="en-GB" w:eastAsia="en-GB"/>
        </w:rPr>
        <w:t>3</w:t>
      </w:r>
      <w:r w:rsidR="00F637D3" w:rsidRPr="00D17FD6">
        <w:rPr>
          <w:rFonts w:eastAsia="Times New Roman" w:cs="Times New Roman"/>
          <w:b/>
          <w:bCs/>
          <w:sz w:val="24"/>
          <w:szCs w:val="24"/>
          <w:lang w:val="en-GB" w:eastAsia="en-GB"/>
        </w:rPr>
        <w:t xml:space="preserve"> – Annex </w:t>
      </w:r>
      <w:r w:rsidR="00D17FD6" w:rsidRPr="00D17FD6">
        <w:rPr>
          <w:rFonts w:eastAsia="Times New Roman" w:cs="Times New Roman"/>
          <w:b/>
          <w:bCs/>
          <w:sz w:val="24"/>
          <w:szCs w:val="24"/>
          <w:lang w:val="en-GB" w:eastAsia="en-GB"/>
        </w:rPr>
        <w:t>3</w:t>
      </w:r>
      <w:r w:rsidRPr="00C20A3B">
        <w:rPr>
          <w:rFonts w:eastAsia="Times New Roman" w:cs="Times New Roman"/>
          <w:b/>
          <w:bCs/>
          <w:sz w:val="24"/>
          <w:szCs w:val="24"/>
          <w:lang w:val="en-GB" w:eastAsia="en-GB"/>
        </w:rPr>
        <w:t>)</w:t>
      </w:r>
    </w:p>
    <w:p w:rsidR="004079BD" w:rsidRPr="006562DE" w:rsidRDefault="004079BD" w:rsidP="00132800">
      <w:pPr>
        <w:autoSpaceDE w:val="0"/>
        <w:autoSpaceDN w:val="0"/>
        <w:adjustRightInd w:val="0"/>
        <w:jc w:val="both"/>
        <w:rPr>
          <w:rFonts w:eastAsia="Times New Roman" w:cs="Times New Roman"/>
          <w:b/>
          <w:bCs/>
          <w:sz w:val="24"/>
          <w:szCs w:val="24"/>
          <w:lang w:val="en-GB" w:eastAsia="en-GB"/>
        </w:rPr>
      </w:pPr>
    </w:p>
    <w:sdt>
      <w:sdtPr>
        <w:id w:val="-183832608"/>
        <w:docPartObj>
          <w:docPartGallery w:val="Table of Contents"/>
          <w:docPartUnique/>
        </w:docPartObj>
      </w:sdtPr>
      <w:sdtEndPr>
        <w:rPr>
          <w:noProof/>
        </w:rPr>
      </w:sdtEndPr>
      <w:sdtContent>
        <w:p w:rsidR="009B278B" w:rsidRPr="006562DE" w:rsidRDefault="009B278B" w:rsidP="009830B4">
          <w:pPr>
            <w:rPr>
              <w:rFonts w:cs="Times New Roman"/>
            </w:rPr>
          </w:pPr>
        </w:p>
        <w:p w:rsidR="004D1B90" w:rsidRPr="006562DE" w:rsidRDefault="004D1B90" w:rsidP="00132800">
          <w:pPr>
            <w:jc w:val="both"/>
            <w:rPr>
              <w:lang w:eastAsia="ja-JP"/>
            </w:rPr>
          </w:pPr>
        </w:p>
        <w:p w:rsidR="006562DE" w:rsidRPr="006562DE" w:rsidRDefault="009B278B">
          <w:pPr>
            <w:pStyle w:val="TOC1"/>
            <w:rPr>
              <w:rFonts w:asciiTheme="minorHAnsi" w:eastAsiaTheme="minorEastAsia" w:hAnsiTheme="minorHAnsi" w:cstheme="minorBidi"/>
              <w:color w:val="auto"/>
              <w:lang w:val="en-GB" w:eastAsia="en-GB"/>
            </w:rPr>
          </w:pPr>
          <w:r w:rsidRPr="006562DE">
            <w:rPr>
              <w:color w:val="auto"/>
            </w:rPr>
            <w:fldChar w:fldCharType="begin"/>
          </w:r>
          <w:r w:rsidRPr="006562DE">
            <w:rPr>
              <w:color w:val="auto"/>
            </w:rPr>
            <w:instrText xml:space="preserve"> TOC \o "1-3" \h \z \u </w:instrText>
          </w:r>
          <w:r w:rsidRPr="006562DE">
            <w:rPr>
              <w:color w:val="auto"/>
            </w:rPr>
            <w:fldChar w:fldCharType="separate"/>
          </w:r>
          <w:hyperlink w:anchor="_Toc478983760" w:history="1">
            <w:r w:rsidR="006562DE" w:rsidRPr="006562DE">
              <w:rPr>
                <w:rStyle w:val="Hyperlink"/>
                <w:color w:val="auto"/>
              </w:rPr>
              <w:t>A.</w:t>
            </w:r>
            <w:r w:rsidR="006562DE" w:rsidRPr="006562DE">
              <w:rPr>
                <w:rFonts w:asciiTheme="minorHAnsi" w:eastAsiaTheme="minorEastAsia" w:hAnsiTheme="minorHAnsi" w:cstheme="minorBidi"/>
                <w:color w:val="auto"/>
                <w:lang w:val="en-GB" w:eastAsia="en-GB"/>
              </w:rPr>
              <w:tab/>
            </w:r>
            <w:r w:rsidR="006562DE" w:rsidRPr="006562DE">
              <w:rPr>
                <w:rStyle w:val="Hyperlink"/>
                <w:color w:val="auto"/>
              </w:rPr>
              <w:t>Background</w:t>
            </w:r>
            <w:r w:rsidR="006562DE" w:rsidRPr="006562DE">
              <w:rPr>
                <w:webHidden/>
                <w:color w:val="auto"/>
              </w:rPr>
              <w:tab/>
            </w:r>
            <w:r w:rsidR="006562DE" w:rsidRPr="006562DE">
              <w:rPr>
                <w:webHidden/>
                <w:color w:val="auto"/>
              </w:rPr>
              <w:fldChar w:fldCharType="begin"/>
            </w:r>
            <w:r w:rsidR="006562DE" w:rsidRPr="006562DE">
              <w:rPr>
                <w:webHidden/>
                <w:color w:val="auto"/>
              </w:rPr>
              <w:instrText xml:space="preserve"> PAGEREF _Toc478983760 \h </w:instrText>
            </w:r>
            <w:r w:rsidR="006562DE" w:rsidRPr="006562DE">
              <w:rPr>
                <w:webHidden/>
                <w:color w:val="auto"/>
              </w:rPr>
            </w:r>
            <w:r w:rsidR="006562DE" w:rsidRPr="006562DE">
              <w:rPr>
                <w:webHidden/>
                <w:color w:val="auto"/>
              </w:rPr>
              <w:fldChar w:fldCharType="separate"/>
            </w:r>
            <w:r w:rsidR="006562DE" w:rsidRPr="006562DE">
              <w:rPr>
                <w:webHidden/>
                <w:color w:val="auto"/>
              </w:rPr>
              <w:t>2</w:t>
            </w:r>
            <w:r w:rsidR="006562DE" w:rsidRPr="006562DE">
              <w:rPr>
                <w:webHidden/>
                <w:color w:val="auto"/>
              </w:rPr>
              <w:fldChar w:fldCharType="end"/>
            </w:r>
          </w:hyperlink>
        </w:p>
        <w:p w:rsidR="006562DE" w:rsidRPr="006562DE" w:rsidRDefault="00657C16">
          <w:pPr>
            <w:pStyle w:val="TOC1"/>
            <w:rPr>
              <w:rFonts w:asciiTheme="minorHAnsi" w:eastAsiaTheme="minorEastAsia" w:hAnsiTheme="minorHAnsi" w:cstheme="minorBidi"/>
              <w:color w:val="auto"/>
              <w:lang w:val="en-GB" w:eastAsia="en-GB"/>
            </w:rPr>
          </w:pPr>
          <w:hyperlink w:anchor="_Toc478983761" w:history="1">
            <w:r w:rsidR="006562DE" w:rsidRPr="006562DE">
              <w:rPr>
                <w:rStyle w:val="Hyperlink"/>
                <w:color w:val="auto"/>
              </w:rPr>
              <w:t>B.</w:t>
            </w:r>
            <w:r w:rsidR="006562DE" w:rsidRPr="006562DE">
              <w:rPr>
                <w:rFonts w:asciiTheme="minorHAnsi" w:eastAsiaTheme="minorEastAsia" w:hAnsiTheme="minorHAnsi" w:cstheme="minorBidi"/>
                <w:color w:val="auto"/>
                <w:lang w:val="en-GB" w:eastAsia="en-GB"/>
              </w:rPr>
              <w:tab/>
            </w:r>
            <w:r w:rsidR="006562DE" w:rsidRPr="006562DE">
              <w:rPr>
                <w:rStyle w:val="Hyperlink"/>
                <w:color w:val="auto"/>
              </w:rPr>
              <w:t>Committee members and meetings in 2016</w:t>
            </w:r>
            <w:r w:rsidR="006562DE" w:rsidRPr="006562DE">
              <w:rPr>
                <w:webHidden/>
                <w:color w:val="auto"/>
              </w:rPr>
              <w:tab/>
            </w:r>
            <w:r w:rsidR="006562DE" w:rsidRPr="006562DE">
              <w:rPr>
                <w:webHidden/>
                <w:color w:val="auto"/>
              </w:rPr>
              <w:fldChar w:fldCharType="begin"/>
            </w:r>
            <w:r w:rsidR="006562DE" w:rsidRPr="006562DE">
              <w:rPr>
                <w:webHidden/>
                <w:color w:val="auto"/>
              </w:rPr>
              <w:instrText xml:space="preserve"> PAGEREF _Toc478983761 \h </w:instrText>
            </w:r>
            <w:r w:rsidR="006562DE" w:rsidRPr="006562DE">
              <w:rPr>
                <w:webHidden/>
                <w:color w:val="auto"/>
              </w:rPr>
            </w:r>
            <w:r w:rsidR="006562DE" w:rsidRPr="006562DE">
              <w:rPr>
                <w:webHidden/>
                <w:color w:val="auto"/>
              </w:rPr>
              <w:fldChar w:fldCharType="separate"/>
            </w:r>
            <w:r w:rsidR="006562DE" w:rsidRPr="006562DE">
              <w:rPr>
                <w:webHidden/>
                <w:color w:val="auto"/>
              </w:rPr>
              <w:t>2</w:t>
            </w:r>
            <w:r w:rsidR="006562DE" w:rsidRPr="006562DE">
              <w:rPr>
                <w:webHidden/>
                <w:color w:val="auto"/>
              </w:rPr>
              <w:fldChar w:fldCharType="end"/>
            </w:r>
          </w:hyperlink>
        </w:p>
        <w:p w:rsidR="006562DE" w:rsidRPr="006562DE" w:rsidRDefault="00657C16">
          <w:pPr>
            <w:pStyle w:val="TOC1"/>
            <w:rPr>
              <w:rFonts w:asciiTheme="minorHAnsi" w:eastAsiaTheme="minorEastAsia" w:hAnsiTheme="minorHAnsi" w:cstheme="minorBidi"/>
              <w:color w:val="auto"/>
              <w:lang w:val="en-GB" w:eastAsia="en-GB"/>
            </w:rPr>
          </w:pPr>
          <w:hyperlink w:anchor="_Toc478983762" w:history="1">
            <w:r w:rsidR="006562DE" w:rsidRPr="006562DE">
              <w:rPr>
                <w:rStyle w:val="Hyperlink"/>
                <w:color w:val="auto"/>
              </w:rPr>
              <w:t>C.</w:t>
            </w:r>
            <w:r w:rsidR="006562DE" w:rsidRPr="006562DE">
              <w:rPr>
                <w:rFonts w:asciiTheme="minorHAnsi" w:eastAsiaTheme="minorEastAsia" w:hAnsiTheme="minorHAnsi" w:cstheme="minorBidi"/>
                <w:color w:val="auto"/>
                <w:lang w:val="en-GB" w:eastAsia="en-GB"/>
              </w:rPr>
              <w:tab/>
            </w:r>
            <w:r w:rsidR="006562DE" w:rsidRPr="006562DE">
              <w:rPr>
                <w:rStyle w:val="Hyperlink"/>
                <w:color w:val="auto"/>
              </w:rPr>
              <w:t>Reporting to the Executive Board</w:t>
            </w:r>
            <w:r w:rsidR="006562DE" w:rsidRPr="006562DE">
              <w:rPr>
                <w:webHidden/>
                <w:color w:val="auto"/>
              </w:rPr>
              <w:tab/>
            </w:r>
            <w:r w:rsidR="006562DE" w:rsidRPr="006562DE">
              <w:rPr>
                <w:webHidden/>
                <w:color w:val="auto"/>
              </w:rPr>
              <w:fldChar w:fldCharType="begin"/>
            </w:r>
            <w:r w:rsidR="006562DE" w:rsidRPr="006562DE">
              <w:rPr>
                <w:webHidden/>
                <w:color w:val="auto"/>
              </w:rPr>
              <w:instrText xml:space="preserve"> PAGEREF _Toc478983762 \h </w:instrText>
            </w:r>
            <w:r w:rsidR="006562DE" w:rsidRPr="006562DE">
              <w:rPr>
                <w:webHidden/>
                <w:color w:val="auto"/>
              </w:rPr>
            </w:r>
            <w:r w:rsidR="006562DE" w:rsidRPr="006562DE">
              <w:rPr>
                <w:webHidden/>
                <w:color w:val="auto"/>
              </w:rPr>
              <w:fldChar w:fldCharType="separate"/>
            </w:r>
            <w:r w:rsidR="006562DE" w:rsidRPr="006562DE">
              <w:rPr>
                <w:webHidden/>
                <w:color w:val="auto"/>
              </w:rPr>
              <w:t>3</w:t>
            </w:r>
            <w:r w:rsidR="006562DE" w:rsidRPr="006562DE">
              <w:rPr>
                <w:webHidden/>
                <w:color w:val="auto"/>
              </w:rPr>
              <w:fldChar w:fldCharType="end"/>
            </w:r>
          </w:hyperlink>
        </w:p>
        <w:p w:rsidR="006562DE" w:rsidRPr="006562DE" w:rsidRDefault="00657C16">
          <w:pPr>
            <w:pStyle w:val="TOC1"/>
            <w:rPr>
              <w:rFonts w:asciiTheme="minorHAnsi" w:eastAsiaTheme="minorEastAsia" w:hAnsiTheme="minorHAnsi" w:cstheme="minorBidi"/>
              <w:color w:val="auto"/>
              <w:lang w:val="en-GB" w:eastAsia="en-GB"/>
            </w:rPr>
          </w:pPr>
          <w:hyperlink w:anchor="_Toc478983763" w:history="1">
            <w:r w:rsidR="006562DE" w:rsidRPr="006562DE">
              <w:rPr>
                <w:rStyle w:val="Hyperlink"/>
                <w:color w:val="auto"/>
              </w:rPr>
              <w:t>D.</w:t>
            </w:r>
            <w:r w:rsidR="006562DE" w:rsidRPr="006562DE">
              <w:rPr>
                <w:rFonts w:asciiTheme="minorHAnsi" w:eastAsiaTheme="minorEastAsia" w:hAnsiTheme="minorHAnsi" w:cstheme="minorBidi"/>
                <w:color w:val="auto"/>
                <w:lang w:val="en-GB" w:eastAsia="en-GB"/>
              </w:rPr>
              <w:tab/>
            </w:r>
            <w:r w:rsidR="006562DE" w:rsidRPr="006562DE">
              <w:rPr>
                <w:rStyle w:val="Hyperlink"/>
                <w:color w:val="auto"/>
              </w:rPr>
              <w:t>External audit</w:t>
            </w:r>
            <w:r w:rsidR="006562DE" w:rsidRPr="006562DE">
              <w:rPr>
                <w:webHidden/>
                <w:color w:val="auto"/>
              </w:rPr>
              <w:tab/>
            </w:r>
            <w:r w:rsidR="006562DE" w:rsidRPr="006562DE">
              <w:rPr>
                <w:webHidden/>
                <w:color w:val="auto"/>
              </w:rPr>
              <w:fldChar w:fldCharType="begin"/>
            </w:r>
            <w:r w:rsidR="006562DE" w:rsidRPr="006562DE">
              <w:rPr>
                <w:webHidden/>
                <w:color w:val="auto"/>
              </w:rPr>
              <w:instrText xml:space="preserve"> PAGEREF _Toc478983763 \h </w:instrText>
            </w:r>
            <w:r w:rsidR="006562DE" w:rsidRPr="006562DE">
              <w:rPr>
                <w:webHidden/>
                <w:color w:val="auto"/>
              </w:rPr>
            </w:r>
            <w:r w:rsidR="006562DE" w:rsidRPr="006562DE">
              <w:rPr>
                <w:webHidden/>
                <w:color w:val="auto"/>
              </w:rPr>
              <w:fldChar w:fldCharType="separate"/>
            </w:r>
            <w:r w:rsidR="006562DE" w:rsidRPr="006562DE">
              <w:rPr>
                <w:webHidden/>
                <w:color w:val="auto"/>
              </w:rPr>
              <w:t>3</w:t>
            </w:r>
            <w:r w:rsidR="006562DE" w:rsidRPr="006562DE">
              <w:rPr>
                <w:webHidden/>
                <w:color w:val="auto"/>
              </w:rPr>
              <w:fldChar w:fldCharType="end"/>
            </w:r>
          </w:hyperlink>
        </w:p>
        <w:p w:rsidR="006562DE" w:rsidRPr="006562DE" w:rsidRDefault="00657C16">
          <w:pPr>
            <w:pStyle w:val="TOC1"/>
            <w:rPr>
              <w:rFonts w:asciiTheme="minorHAnsi" w:eastAsiaTheme="minorEastAsia" w:hAnsiTheme="minorHAnsi" w:cstheme="minorBidi"/>
              <w:color w:val="auto"/>
              <w:lang w:val="en-GB" w:eastAsia="en-GB"/>
            </w:rPr>
          </w:pPr>
          <w:hyperlink w:anchor="_Toc478983764" w:history="1">
            <w:r w:rsidR="006562DE" w:rsidRPr="006562DE">
              <w:rPr>
                <w:rStyle w:val="Hyperlink"/>
                <w:color w:val="auto"/>
              </w:rPr>
              <w:t>E.</w:t>
            </w:r>
            <w:r w:rsidR="006562DE" w:rsidRPr="006562DE">
              <w:rPr>
                <w:rFonts w:asciiTheme="minorHAnsi" w:eastAsiaTheme="minorEastAsia" w:hAnsiTheme="minorHAnsi" w:cstheme="minorBidi"/>
                <w:color w:val="auto"/>
                <w:lang w:val="en-GB" w:eastAsia="en-GB"/>
              </w:rPr>
              <w:tab/>
            </w:r>
            <w:r w:rsidR="006562DE" w:rsidRPr="006562DE">
              <w:rPr>
                <w:rStyle w:val="Hyperlink"/>
                <w:color w:val="auto"/>
              </w:rPr>
              <w:t>Internal audit and investigations</w:t>
            </w:r>
            <w:r w:rsidR="006562DE" w:rsidRPr="006562DE">
              <w:rPr>
                <w:webHidden/>
                <w:color w:val="auto"/>
              </w:rPr>
              <w:tab/>
            </w:r>
            <w:r w:rsidR="006562DE" w:rsidRPr="006562DE">
              <w:rPr>
                <w:webHidden/>
                <w:color w:val="auto"/>
              </w:rPr>
              <w:fldChar w:fldCharType="begin"/>
            </w:r>
            <w:r w:rsidR="006562DE" w:rsidRPr="006562DE">
              <w:rPr>
                <w:webHidden/>
                <w:color w:val="auto"/>
              </w:rPr>
              <w:instrText xml:space="preserve"> PAGEREF _Toc478983764 \h </w:instrText>
            </w:r>
            <w:r w:rsidR="006562DE" w:rsidRPr="006562DE">
              <w:rPr>
                <w:webHidden/>
                <w:color w:val="auto"/>
              </w:rPr>
            </w:r>
            <w:r w:rsidR="006562DE" w:rsidRPr="006562DE">
              <w:rPr>
                <w:webHidden/>
                <w:color w:val="auto"/>
              </w:rPr>
              <w:fldChar w:fldCharType="separate"/>
            </w:r>
            <w:r w:rsidR="006562DE" w:rsidRPr="006562DE">
              <w:rPr>
                <w:webHidden/>
                <w:color w:val="auto"/>
              </w:rPr>
              <w:t>4</w:t>
            </w:r>
            <w:r w:rsidR="006562DE" w:rsidRPr="006562DE">
              <w:rPr>
                <w:webHidden/>
                <w:color w:val="auto"/>
              </w:rPr>
              <w:fldChar w:fldCharType="end"/>
            </w:r>
          </w:hyperlink>
        </w:p>
        <w:p w:rsidR="006562DE" w:rsidRPr="006562DE" w:rsidRDefault="00657C16">
          <w:pPr>
            <w:pStyle w:val="TOC1"/>
            <w:rPr>
              <w:rFonts w:asciiTheme="minorHAnsi" w:eastAsiaTheme="minorEastAsia" w:hAnsiTheme="minorHAnsi" w:cstheme="minorBidi"/>
              <w:color w:val="auto"/>
              <w:lang w:val="en-GB" w:eastAsia="en-GB"/>
            </w:rPr>
          </w:pPr>
          <w:hyperlink w:anchor="_Toc478983765" w:history="1">
            <w:r w:rsidR="006562DE" w:rsidRPr="006562DE">
              <w:rPr>
                <w:rStyle w:val="Hyperlink"/>
                <w:color w:val="auto"/>
              </w:rPr>
              <w:t>F.</w:t>
            </w:r>
            <w:r w:rsidR="006562DE" w:rsidRPr="006562DE">
              <w:rPr>
                <w:rFonts w:asciiTheme="minorHAnsi" w:eastAsiaTheme="minorEastAsia" w:hAnsiTheme="minorHAnsi" w:cstheme="minorBidi"/>
                <w:color w:val="auto"/>
                <w:lang w:val="en-GB" w:eastAsia="en-GB"/>
              </w:rPr>
              <w:tab/>
            </w:r>
            <w:r w:rsidR="006562DE" w:rsidRPr="006562DE">
              <w:rPr>
                <w:rStyle w:val="Hyperlink"/>
                <w:color w:val="auto"/>
              </w:rPr>
              <w:t>Ethics</w:t>
            </w:r>
            <w:r w:rsidR="006562DE" w:rsidRPr="006562DE">
              <w:rPr>
                <w:webHidden/>
                <w:color w:val="auto"/>
              </w:rPr>
              <w:tab/>
            </w:r>
            <w:r w:rsidR="006562DE" w:rsidRPr="006562DE">
              <w:rPr>
                <w:webHidden/>
                <w:color w:val="auto"/>
              </w:rPr>
              <w:fldChar w:fldCharType="begin"/>
            </w:r>
            <w:r w:rsidR="006562DE" w:rsidRPr="006562DE">
              <w:rPr>
                <w:webHidden/>
                <w:color w:val="auto"/>
              </w:rPr>
              <w:instrText xml:space="preserve"> PAGEREF _Toc478983765 \h </w:instrText>
            </w:r>
            <w:r w:rsidR="006562DE" w:rsidRPr="006562DE">
              <w:rPr>
                <w:webHidden/>
                <w:color w:val="auto"/>
              </w:rPr>
            </w:r>
            <w:r w:rsidR="006562DE" w:rsidRPr="006562DE">
              <w:rPr>
                <w:webHidden/>
                <w:color w:val="auto"/>
              </w:rPr>
              <w:fldChar w:fldCharType="separate"/>
            </w:r>
            <w:r w:rsidR="006562DE" w:rsidRPr="006562DE">
              <w:rPr>
                <w:webHidden/>
                <w:color w:val="auto"/>
              </w:rPr>
              <w:t>4</w:t>
            </w:r>
            <w:r w:rsidR="006562DE" w:rsidRPr="006562DE">
              <w:rPr>
                <w:webHidden/>
                <w:color w:val="auto"/>
              </w:rPr>
              <w:fldChar w:fldCharType="end"/>
            </w:r>
          </w:hyperlink>
        </w:p>
        <w:p w:rsidR="006562DE" w:rsidRPr="006562DE" w:rsidRDefault="00657C16">
          <w:pPr>
            <w:pStyle w:val="TOC1"/>
            <w:rPr>
              <w:rFonts w:asciiTheme="minorHAnsi" w:eastAsiaTheme="minorEastAsia" w:hAnsiTheme="minorHAnsi" w:cstheme="minorBidi"/>
              <w:color w:val="auto"/>
              <w:lang w:val="en-GB" w:eastAsia="en-GB"/>
            </w:rPr>
          </w:pPr>
          <w:hyperlink w:anchor="_Toc478983766" w:history="1">
            <w:r w:rsidR="006562DE" w:rsidRPr="006562DE">
              <w:rPr>
                <w:rStyle w:val="Hyperlink"/>
                <w:color w:val="auto"/>
              </w:rPr>
              <w:t>G.</w:t>
            </w:r>
            <w:r w:rsidR="006562DE" w:rsidRPr="006562DE">
              <w:rPr>
                <w:rFonts w:asciiTheme="minorHAnsi" w:eastAsiaTheme="minorEastAsia" w:hAnsiTheme="minorHAnsi" w:cstheme="minorBidi"/>
                <w:color w:val="auto"/>
                <w:lang w:val="en-GB" w:eastAsia="en-GB"/>
              </w:rPr>
              <w:tab/>
            </w:r>
            <w:r w:rsidR="006562DE" w:rsidRPr="006562DE">
              <w:rPr>
                <w:rStyle w:val="Hyperlink"/>
                <w:color w:val="auto"/>
              </w:rPr>
              <w:t>Financial matters</w:t>
            </w:r>
            <w:r w:rsidR="006562DE" w:rsidRPr="006562DE">
              <w:rPr>
                <w:webHidden/>
                <w:color w:val="auto"/>
              </w:rPr>
              <w:tab/>
            </w:r>
            <w:r w:rsidR="006562DE" w:rsidRPr="006562DE">
              <w:rPr>
                <w:webHidden/>
                <w:color w:val="auto"/>
              </w:rPr>
              <w:fldChar w:fldCharType="begin"/>
            </w:r>
            <w:r w:rsidR="006562DE" w:rsidRPr="006562DE">
              <w:rPr>
                <w:webHidden/>
                <w:color w:val="auto"/>
              </w:rPr>
              <w:instrText xml:space="preserve"> PAGEREF _Toc478983766 \h </w:instrText>
            </w:r>
            <w:r w:rsidR="006562DE" w:rsidRPr="006562DE">
              <w:rPr>
                <w:webHidden/>
                <w:color w:val="auto"/>
              </w:rPr>
            </w:r>
            <w:r w:rsidR="006562DE" w:rsidRPr="006562DE">
              <w:rPr>
                <w:webHidden/>
                <w:color w:val="auto"/>
              </w:rPr>
              <w:fldChar w:fldCharType="separate"/>
            </w:r>
            <w:r w:rsidR="006562DE" w:rsidRPr="006562DE">
              <w:rPr>
                <w:webHidden/>
                <w:color w:val="auto"/>
              </w:rPr>
              <w:t>5</w:t>
            </w:r>
            <w:r w:rsidR="006562DE" w:rsidRPr="006562DE">
              <w:rPr>
                <w:webHidden/>
                <w:color w:val="auto"/>
              </w:rPr>
              <w:fldChar w:fldCharType="end"/>
            </w:r>
          </w:hyperlink>
        </w:p>
        <w:p w:rsidR="006562DE" w:rsidRPr="006562DE" w:rsidRDefault="00657C16">
          <w:pPr>
            <w:pStyle w:val="TOC1"/>
            <w:rPr>
              <w:rFonts w:asciiTheme="minorHAnsi" w:eastAsiaTheme="minorEastAsia" w:hAnsiTheme="minorHAnsi" w:cstheme="minorBidi"/>
              <w:color w:val="auto"/>
              <w:lang w:val="en-GB" w:eastAsia="en-GB"/>
            </w:rPr>
          </w:pPr>
          <w:hyperlink w:anchor="_Toc478983767" w:history="1">
            <w:r w:rsidR="006562DE" w:rsidRPr="006562DE">
              <w:rPr>
                <w:rStyle w:val="Hyperlink"/>
                <w:color w:val="auto"/>
              </w:rPr>
              <w:t>H.</w:t>
            </w:r>
            <w:r w:rsidR="006562DE" w:rsidRPr="006562DE">
              <w:rPr>
                <w:rFonts w:asciiTheme="minorHAnsi" w:eastAsiaTheme="minorEastAsia" w:hAnsiTheme="minorHAnsi" w:cstheme="minorBidi"/>
                <w:color w:val="auto"/>
                <w:lang w:val="en-GB" w:eastAsia="en-GB"/>
              </w:rPr>
              <w:tab/>
            </w:r>
            <w:r w:rsidR="006562DE" w:rsidRPr="006562DE">
              <w:rPr>
                <w:rStyle w:val="Hyperlink"/>
                <w:color w:val="auto"/>
              </w:rPr>
              <w:t>Risk management systems</w:t>
            </w:r>
            <w:r w:rsidR="006562DE" w:rsidRPr="006562DE">
              <w:rPr>
                <w:webHidden/>
                <w:color w:val="auto"/>
              </w:rPr>
              <w:tab/>
            </w:r>
            <w:r w:rsidR="006562DE" w:rsidRPr="006562DE">
              <w:rPr>
                <w:webHidden/>
                <w:color w:val="auto"/>
              </w:rPr>
              <w:fldChar w:fldCharType="begin"/>
            </w:r>
            <w:r w:rsidR="006562DE" w:rsidRPr="006562DE">
              <w:rPr>
                <w:webHidden/>
                <w:color w:val="auto"/>
              </w:rPr>
              <w:instrText xml:space="preserve"> PAGEREF _Toc478983767 \h </w:instrText>
            </w:r>
            <w:r w:rsidR="006562DE" w:rsidRPr="006562DE">
              <w:rPr>
                <w:webHidden/>
                <w:color w:val="auto"/>
              </w:rPr>
            </w:r>
            <w:r w:rsidR="006562DE" w:rsidRPr="006562DE">
              <w:rPr>
                <w:webHidden/>
                <w:color w:val="auto"/>
              </w:rPr>
              <w:fldChar w:fldCharType="separate"/>
            </w:r>
            <w:r w:rsidR="006562DE" w:rsidRPr="006562DE">
              <w:rPr>
                <w:webHidden/>
                <w:color w:val="auto"/>
              </w:rPr>
              <w:t>5</w:t>
            </w:r>
            <w:r w:rsidR="006562DE" w:rsidRPr="006562DE">
              <w:rPr>
                <w:webHidden/>
                <w:color w:val="auto"/>
              </w:rPr>
              <w:fldChar w:fldCharType="end"/>
            </w:r>
          </w:hyperlink>
        </w:p>
        <w:p w:rsidR="006562DE" w:rsidRPr="006562DE" w:rsidRDefault="00657C16">
          <w:pPr>
            <w:pStyle w:val="TOC1"/>
            <w:rPr>
              <w:rFonts w:asciiTheme="minorHAnsi" w:eastAsiaTheme="minorEastAsia" w:hAnsiTheme="minorHAnsi" w:cstheme="minorBidi"/>
              <w:color w:val="auto"/>
              <w:lang w:val="en-GB" w:eastAsia="en-GB"/>
            </w:rPr>
          </w:pPr>
          <w:hyperlink w:anchor="_Toc478983768" w:history="1">
            <w:r w:rsidR="006562DE" w:rsidRPr="006562DE">
              <w:rPr>
                <w:rStyle w:val="Hyperlink"/>
                <w:color w:val="auto"/>
              </w:rPr>
              <w:t>I.</w:t>
            </w:r>
            <w:r w:rsidR="006562DE" w:rsidRPr="006562DE">
              <w:rPr>
                <w:rFonts w:asciiTheme="minorHAnsi" w:eastAsiaTheme="minorEastAsia" w:hAnsiTheme="minorHAnsi" w:cstheme="minorBidi"/>
                <w:color w:val="auto"/>
                <w:lang w:val="en-GB" w:eastAsia="en-GB"/>
              </w:rPr>
              <w:tab/>
            </w:r>
            <w:r w:rsidR="006562DE" w:rsidRPr="006562DE">
              <w:rPr>
                <w:rStyle w:val="Hyperlink"/>
                <w:color w:val="auto"/>
              </w:rPr>
              <w:t>Management information systems</w:t>
            </w:r>
            <w:r w:rsidR="006562DE" w:rsidRPr="006562DE">
              <w:rPr>
                <w:webHidden/>
                <w:color w:val="auto"/>
              </w:rPr>
              <w:tab/>
            </w:r>
            <w:r w:rsidR="006562DE" w:rsidRPr="006562DE">
              <w:rPr>
                <w:webHidden/>
                <w:color w:val="auto"/>
              </w:rPr>
              <w:fldChar w:fldCharType="begin"/>
            </w:r>
            <w:r w:rsidR="006562DE" w:rsidRPr="006562DE">
              <w:rPr>
                <w:webHidden/>
                <w:color w:val="auto"/>
              </w:rPr>
              <w:instrText xml:space="preserve"> PAGEREF _Toc478983768 \h </w:instrText>
            </w:r>
            <w:r w:rsidR="006562DE" w:rsidRPr="006562DE">
              <w:rPr>
                <w:webHidden/>
                <w:color w:val="auto"/>
              </w:rPr>
            </w:r>
            <w:r w:rsidR="006562DE" w:rsidRPr="006562DE">
              <w:rPr>
                <w:webHidden/>
                <w:color w:val="auto"/>
              </w:rPr>
              <w:fldChar w:fldCharType="separate"/>
            </w:r>
            <w:r w:rsidR="006562DE" w:rsidRPr="006562DE">
              <w:rPr>
                <w:webHidden/>
                <w:color w:val="auto"/>
              </w:rPr>
              <w:t>6</w:t>
            </w:r>
            <w:r w:rsidR="006562DE" w:rsidRPr="006562DE">
              <w:rPr>
                <w:webHidden/>
                <w:color w:val="auto"/>
              </w:rPr>
              <w:fldChar w:fldCharType="end"/>
            </w:r>
          </w:hyperlink>
        </w:p>
        <w:p w:rsidR="006562DE" w:rsidRPr="006562DE" w:rsidRDefault="00657C16">
          <w:pPr>
            <w:pStyle w:val="TOC1"/>
            <w:rPr>
              <w:rFonts w:asciiTheme="minorHAnsi" w:eastAsiaTheme="minorEastAsia" w:hAnsiTheme="minorHAnsi" w:cstheme="minorBidi"/>
              <w:color w:val="auto"/>
              <w:lang w:val="en-GB" w:eastAsia="en-GB"/>
            </w:rPr>
          </w:pPr>
          <w:hyperlink w:anchor="_Toc478983769" w:history="1">
            <w:r w:rsidR="006562DE" w:rsidRPr="006562DE">
              <w:rPr>
                <w:rStyle w:val="Hyperlink"/>
                <w:color w:val="auto"/>
              </w:rPr>
              <w:t>J.</w:t>
            </w:r>
            <w:r w:rsidR="006562DE" w:rsidRPr="006562DE">
              <w:rPr>
                <w:rFonts w:asciiTheme="minorHAnsi" w:eastAsiaTheme="minorEastAsia" w:hAnsiTheme="minorHAnsi" w:cstheme="minorBidi"/>
                <w:color w:val="auto"/>
                <w:lang w:val="en-GB" w:eastAsia="en-GB"/>
              </w:rPr>
              <w:tab/>
            </w:r>
            <w:r w:rsidR="006562DE" w:rsidRPr="006562DE">
              <w:rPr>
                <w:rStyle w:val="Hyperlink"/>
                <w:color w:val="auto"/>
              </w:rPr>
              <w:t>Committee working methods</w:t>
            </w:r>
            <w:r w:rsidR="006562DE" w:rsidRPr="006562DE">
              <w:rPr>
                <w:webHidden/>
                <w:color w:val="auto"/>
              </w:rPr>
              <w:tab/>
            </w:r>
            <w:r w:rsidR="006562DE" w:rsidRPr="006562DE">
              <w:rPr>
                <w:webHidden/>
                <w:color w:val="auto"/>
              </w:rPr>
              <w:fldChar w:fldCharType="begin"/>
            </w:r>
            <w:r w:rsidR="006562DE" w:rsidRPr="006562DE">
              <w:rPr>
                <w:webHidden/>
                <w:color w:val="auto"/>
              </w:rPr>
              <w:instrText xml:space="preserve"> PAGEREF _Toc478983769 \h </w:instrText>
            </w:r>
            <w:r w:rsidR="006562DE" w:rsidRPr="006562DE">
              <w:rPr>
                <w:webHidden/>
                <w:color w:val="auto"/>
              </w:rPr>
            </w:r>
            <w:r w:rsidR="006562DE" w:rsidRPr="006562DE">
              <w:rPr>
                <w:webHidden/>
                <w:color w:val="auto"/>
              </w:rPr>
              <w:fldChar w:fldCharType="separate"/>
            </w:r>
            <w:r w:rsidR="006562DE" w:rsidRPr="006562DE">
              <w:rPr>
                <w:webHidden/>
                <w:color w:val="auto"/>
              </w:rPr>
              <w:t>7</w:t>
            </w:r>
            <w:r w:rsidR="006562DE" w:rsidRPr="006562DE">
              <w:rPr>
                <w:webHidden/>
                <w:color w:val="auto"/>
              </w:rPr>
              <w:fldChar w:fldCharType="end"/>
            </w:r>
          </w:hyperlink>
        </w:p>
        <w:p w:rsidR="006562DE" w:rsidRPr="006562DE" w:rsidRDefault="00657C16">
          <w:pPr>
            <w:pStyle w:val="TOC1"/>
            <w:rPr>
              <w:rFonts w:asciiTheme="minorHAnsi" w:eastAsiaTheme="minorEastAsia" w:hAnsiTheme="minorHAnsi" w:cstheme="minorBidi"/>
              <w:color w:val="auto"/>
              <w:lang w:val="en-GB" w:eastAsia="en-GB"/>
            </w:rPr>
          </w:pPr>
          <w:hyperlink w:anchor="_Toc478983770" w:history="1">
            <w:r w:rsidR="006562DE" w:rsidRPr="006562DE">
              <w:rPr>
                <w:rStyle w:val="Hyperlink"/>
                <w:color w:val="auto"/>
              </w:rPr>
              <w:t>K.</w:t>
            </w:r>
            <w:r w:rsidR="006562DE" w:rsidRPr="006562DE">
              <w:rPr>
                <w:rFonts w:asciiTheme="minorHAnsi" w:eastAsiaTheme="minorEastAsia" w:hAnsiTheme="minorHAnsi" w:cstheme="minorBidi"/>
                <w:color w:val="auto"/>
                <w:lang w:val="en-GB" w:eastAsia="en-GB"/>
              </w:rPr>
              <w:tab/>
            </w:r>
            <w:r w:rsidR="006562DE" w:rsidRPr="006562DE">
              <w:rPr>
                <w:rStyle w:val="Hyperlink"/>
                <w:color w:val="auto"/>
              </w:rPr>
              <w:t>Conclusions</w:t>
            </w:r>
            <w:r w:rsidR="006562DE" w:rsidRPr="006562DE">
              <w:rPr>
                <w:webHidden/>
                <w:color w:val="auto"/>
              </w:rPr>
              <w:tab/>
            </w:r>
            <w:r w:rsidR="006562DE" w:rsidRPr="006562DE">
              <w:rPr>
                <w:webHidden/>
                <w:color w:val="auto"/>
              </w:rPr>
              <w:fldChar w:fldCharType="begin"/>
            </w:r>
            <w:r w:rsidR="006562DE" w:rsidRPr="006562DE">
              <w:rPr>
                <w:webHidden/>
                <w:color w:val="auto"/>
              </w:rPr>
              <w:instrText xml:space="preserve"> PAGEREF _Toc478983770 \h </w:instrText>
            </w:r>
            <w:r w:rsidR="006562DE" w:rsidRPr="006562DE">
              <w:rPr>
                <w:webHidden/>
                <w:color w:val="auto"/>
              </w:rPr>
            </w:r>
            <w:r w:rsidR="006562DE" w:rsidRPr="006562DE">
              <w:rPr>
                <w:webHidden/>
                <w:color w:val="auto"/>
              </w:rPr>
              <w:fldChar w:fldCharType="separate"/>
            </w:r>
            <w:r w:rsidR="006562DE" w:rsidRPr="006562DE">
              <w:rPr>
                <w:webHidden/>
                <w:color w:val="auto"/>
              </w:rPr>
              <w:t>7</w:t>
            </w:r>
            <w:r w:rsidR="006562DE" w:rsidRPr="006562DE">
              <w:rPr>
                <w:webHidden/>
                <w:color w:val="auto"/>
              </w:rPr>
              <w:fldChar w:fldCharType="end"/>
            </w:r>
          </w:hyperlink>
        </w:p>
        <w:p w:rsidR="009B278B" w:rsidRPr="006562DE" w:rsidRDefault="009B278B" w:rsidP="00132800">
          <w:pPr>
            <w:jc w:val="both"/>
          </w:pPr>
          <w:r w:rsidRPr="006562DE">
            <w:rPr>
              <w:b/>
              <w:bCs/>
              <w:noProof/>
            </w:rPr>
            <w:fldChar w:fldCharType="end"/>
          </w:r>
        </w:p>
      </w:sdtContent>
    </w:sdt>
    <w:p w:rsidR="00E5368D" w:rsidRPr="006562DE" w:rsidRDefault="00E5368D" w:rsidP="009830B4">
      <w:pPr>
        <w:rPr>
          <w:lang w:val="en-GB" w:eastAsia="en-GB"/>
        </w:rPr>
      </w:pPr>
    </w:p>
    <w:p w:rsidR="00E5368D" w:rsidRDefault="00E5368D" w:rsidP="00E95149">
      <w:pPr>
        <w:ind w:left="142"/>
        <w:jc w:val="both"/>
        <w:rPr>
          <w:rFonts w:eastAsiaTheme="majorEastAsia" w:cs="Times New Roman"/>
          <w:b/>
          <w:bCs/>
        </w:rPr>
      </w:pPr>
      <w:r>
        <w:rPr>
          <w:rFonts w:cs="Times New Roman"/>
        </w:rPr>
        <w:br w:type="page"/>
      </w:r>
    </w:p>
    <w:p w:rsidR="009208D7" w:rsidRDefault="0083561F" w:rsidP="00396850">
      <w:pPr>
        <w:pStyle w:val="Heading1"/>
      </w:pPr>
      <w:bookmarkStart w:id="1" w:name="_Toc478983760"/>
      <w:r w:rsidRPr="003D0912">
        <w:lastRenderedPageBreak/>
        <w:t>Background</w:t>
      </w:r>
      <w:bookmarkEnd w:id="1"/>
    </w:p>
    <w:p w:rsidR="00685541" w:rsidRPr="00685541" w:rsidRDefault="00685541" w:rsidP="00685541"/>
    <w:p w:rsidR="003E41CC" w:rsidRPr="00317448" w:rsidRDefault="00D64B13" w:rsidP="00396850">
      <w:pPr>
        <w:pStyle w:val="ListParagraph"/>
        <w:numPr>
          <w:ilvl w:val="0"/>
          <w:numId w:val="4"/>
        </w:numPr>
        <w:tabs>
          <w:tab w:val="left" w:pos="426"/>
        </w:tabs>
        <w:ind w:left="0" w:firstLine="0"/>
        <w:jc w:val="both"/>
        <w:rPr>
          <w:rFonts w:cs="Times New Roman"/>
        </w:rPr>
      </w:pPr>
      <w:r w:rsidRPr="00BB0030">
        <w:rPr>
          <w:rFonts w:cs="Times New Roman"/>
        </w:rPr>
        <w:t xml:space="preserve">The Audit Advisory Committee (“Committee”) </w:t>
      </w:r>
      <w:r w:rsidR="00857D5E" w:rsidRPr="00BB0030">
        <w:rPr>
          <w:rFonts w:cs="Times New Roman"/>
        </w:rPr>
        <w:t>of the United Nations Office for Project S</w:t>
      </w:r>
      <w:r w:rsidR="00E87DA5">
        <w:rPr>
          <w:rFonts w:cs="Times New Roman"/>
        </w:rPr>
        <w:t xml:space="preserve">ervices </w:t>
      </w:r>
      <w:r w:rsidR="00A37354" w:rsidRPr="00BB0030">
        <w:rPr>
          <w:rFonts w:cs="Times New Roman"/>
        </w:rPr>
        <w:t xml:space="preserve">was established in </w:t>
      </w:r>
      <w:r w:rsidRPr="00BB0030">
        <w:rPr>
          <w:rFonts w:cs="Times New Roman"/>
        </w:rPr>
        <w:t>2015</w:t>
      </w:r>
      <w:r w:rsidR="00A0691B">
        <w:rPr>
          <w:rFonts w:cs="Times New Roman"/>
        </w:rPr>
        <w:t xml:space="preserve"> </w:t>
      </w:r>
      <w:r w:rsidR="00A37354" w:rsidRPr="00BB0030">
        <w:rPr>
          <w:rFonts w:cs="Times New Roman"/>
        </w:rPr>
        <w:t>pursuant to</w:t>
      </w:r>
      <w:r w:rsidRPr="00BB0030">
        <w:rPr>
          <w:rFonts w:cs="Times New Roman"/>
        </w:rPr>
        <w:t xml:space="preserve"> Executive Boar</w:t>
      </w:r>
      <w:r w:rsidR="00A37354" w:rsidRPr="00BB0030">
        <w:rPr>
          <w:rFonts w:cs="Times New Roman"/>
        </w:rPr>
        <w:t>d</w:t>
      </w:r>
      <w:r w:rsidR="006609AC" w:rsidRPr="00BB0030">
        <w:rPr>
          <w:rFonts w:cs="Times New Roman"/>
        </w:rPr>
        <w:t xml:space="preserve"> decisio</w:t>
      </w:r>
      <w:r w:rsidR="00CF5EB1" w:rsidRPr="00BB0030">
        <w:rPr>
          <w:rFonts w:cs="Times New Roman"/>
        </w:rPr>
        <w:t>n</w:t>
      </w:r>
      <w:r w:rsidR="00A37354" w:rsidRPr="00BB0030">
        <w:rPr>
          <w:rFonts w:cs="Times New Roman"/>
        </w:rPr>
        <w:t>s</w:t>
      </w:r>
      <w:r w:rsidR="00CF5EB1" w:rsidRPr="00BB0030">
        <w:rPr>
          <w:rFonts w:cs="Times New Roman"/>
        </w:rPr>
        <w:t xml:space="preserve"> </w:t>
      </w:r>
      <w:r w:rsidR="00833938" w:rsidRPr="00BB0030">
        <w:rPr>
          <w:rFonts w:cs="Times New Roman"/>
        </w:rPr>
        <w:t xml:space="preserve">2015/4 and </w:t>
      </w:r>
      <w:r w:rsidR="004551FD" w:rsidRPr="00BB0030">
        <w:rPr>
          <w:rFonts w:cs="Times New Roman"/>
        </w:rPr>
        <w:t>2015/12</w:t>
      </w:r>
      <w:r w:rsidR="00A37354" w:rsidRPr="00BB0030">
        <w:rPr>
          <w:rFonts w:cs="Times New Roman"/>
        </w:rPr>
        <w:t xml:space="preserve"> on the Committee’s T</w:t>
      </w:r>
      <w:r w:rsidR="00B47C10" w:rsidRPr="00BB0030">
        <w:rPr>
          <w:rFonts w:cs="Times New Roman"/>
        </w:rPr>
        <w:t xml:space="preserve">erms of Reference laid out in </w:t>
      </w:r>
      <w:r w:rsidR="006609AC" w:rsidRPr="00BB0030">
        <w:rPr>
          <w:rFonts w:cs="Times New Roman"/>
        </w:rPr>
        <w:t>DP/OPS/2015/CRP.1.</w:t>
      </w:r>
      <w:r w:rsidR="00A37354" w:rsidRPr="00BB0030">
        <w:rPr>
          <w:rFonts w:cs="Times New Roman"/>
        </w:rPr>
        <w:t xml:space="preserve"> </w:t>
      </w:r>
      <w:r w:rsidR="00D36F81" w:rsidRPr="00BB0030">
        <w:rPr>
          <w:rFonts w:cs="Times New Roman"/>
        </w:rPr>
        <w:t>Pursuant to t</w:t>
      </w:r>
      <w:r w:rsidR="00852385" w:rsidRPr="00BB0030">
        <w:rPr>
          <w:rFonts w:cs="Times New Roman"/>
        </w:rPr>
        <w:t xml:space="preserve">he </w:t>
      </w:r>
      <w:r w:rsidR="004551FD" w:rsidRPr="00BB0030">
        <w:rPr>
          <w:rFonts w:cs="Times New Roman"/>
        </w:rPr>
        <w:t xml:space="preserve">Committee’s </w:t>
      </w:r>
      <w:r w:rsidR="004D52DA" w:rsidRPr="00BB0030">
        <w:rPr>
          <w:rFonts w:cs="Times New Roman"/>
        </w:rPr>
        <w:t>ToR</w:t>
      </w:r>
      <w:r w:rsidR="004551FD" w:rsidRPr="00BB0030">
        <w:rPr>
          <w:rFonts w:cs="Times New Roman"/>
        </w:rPr>
        <w:t>, its</w:t>
      </w:r>
      <w:r w:rsidR="006609AC" w:rsidRPr="00BB0030">
        <w:rPr>
          <w:rFonts w:cs="Times New Roman"/>
        </w:rPr>
        <w:t xml:space="preserve"> purpose is to assist t</w:t>
      </w:r>
      <w:r w:rsidR="0083561F" w:rsidRPr="00BB0030">
        <w:rPr>
          <w:rFonts w:cs="Times New Roman"/>
        </w:rPr>
        <w:t>he Executive Director in fulfilling his/her responsibilities regarding oversight, financial management and reporting, internal audit and investigation, external audit, risk management, and systems of internal control and accountability. The primary role of the Committee is to advise the Executive Director, taking into consideration the Financial and Staff Regulation</w:t>
      </w:r>
      <w:r w:rsidR="0083561F" w:rsidRPr="00317448">
        <w:rPr>
          <w:rFonts w:cs="Times New Roman"/>
        </w:rPr>
        <w:t>s</w:t>
      </w:r>
      <w:r w:rsidR="0083561F" w:rsidRPr="00BB0030">
        <w:rPr>
          <w:rFonts w:cs="Times New Roman"/>
        </w:rPr>
        <w:t xml:space="preserve"> and Rules as well as the policies and procedures applicable to UNOPS and its operating </w:t>
      </w:r>
      <w:r w:rsidR="0083561F" w:rsidRPr="00317448">
        <w:rPr>
          <w:rFonts w:cs="Times New Roman"/>
        </w:rPr>
        <w:t>environment.</w:t>
      </w:r>
      <w:r w:rsidR="00D17FD6" w:rsidRPr="00317448">
        <w:rPr>
          <w:rStyle w:val="FootnoteReference"/>
          <w:rFonts w:cs="Times New Roman"/>
        </w:rPr>
        <w:t xml:space="preserve"> </w:t>
      </w:r>
      <w:r w:rsidR="00D17FD6" w:rsidRPr="00317448">
        <w:rPr>
          <w:rStyle w:val="FootnoteReference"/>
          <w:rFonts w:cs="Times New Roman"/>
        </w:rPr>
        <w:footnoteReference w:id="1"/>
      </w:r>
      <w:r w:rsidR="00411735" w:rsidRPr="00317448">
        <w:rPr>
          <w:rFonts w:cs="Times New Roman"/>
        </w:rPr>
        <w:t xml:space="preserve"> </w:t>
      </w:r>
    </w:p>
    <w:p w:rsidR="000A1B14" w:rsidRDefault="000A1B14" w:rsidP="00132800">
      <w:pPr>
        <w:jc w:val="both"/>
        <w:rPr>
          <w:rFonts w:cs="Times New Roman"/>
        </w:rPr>
      </w:pPr>
    </w:p>
    <w:p w:rsidR="00CE28C4" w:rsidRPr="000A1B14" w:rsidRDefault="0071254F" w:rsidP="00396850">
      <w:pPr>
        <w:pStyle w:val="ListParagraph"/>
        <w:numPr>
          <w:ilvl w:val="0"/>
          <w:numId w:val="4"/>
        </w:numPr>
        <w:tabs>
          <w:tab w:val="left" w:pos="426"/>
        </w:tabs>
        <w:ind w:left="0" w:firstLine="0"/>
        <w:jc w:val="both"/>
        <w:rPr>
          <w:rFonts w:cs="Times New Roman"/>
        </w:rPr>
      </w:pPr>
      <w:r w:rsidRPr="000A1B14">
        <w:rPr>
          <w:rFonts w:cs="Times New Roman"/>
        </w:rPr>
        <w:t xml:space="preserve">The Committee held its inaugural meeting </w:t>
      </w:r>
      <w:r w:rsidR="004E0AFA" w:rsidRPr="000A1B14">
        <w:rPr>
          <w:rFonts w:cs="Times New Roman"/>
        </w:rPr>
        <w:t xml:space="preserve">on </w:t>
      </w:r>
      <w:r w:rsidRPr="000A1B14">
        <w:rPr>
          <w:rFonts w:cs="Times New Roman"/>
        </w:rPr>
        <w:t>4 March</w:t>
      </w:r>
      <w:r w:rsidR="006A3733" w:rsidRPr="000A1B14">
        <w:rPr>
          <w:rFonts w:cs="Times New Roman"/>
        </w:rPr>
        <w:t xml:space="preserve"> 2015 and</w:t>
      </w:r>
      <w:r w:rsidR="003E69BB" w:rsidRPr="000A1B14">
        <w:rPr>
          <w:rFonts w:cs="Times New Roman"/>
        </w:rPr>
        <w:t xml:space="preserve"> operates under the Terms of Reference laid out in the Organizational Directive no 5, rev. 5</w:t>
      </w:r>
      <w:r w:rsidR="00844497" w:rsidRPr="000A1B14">
        <w:rPr>
          <w:rFonts w:cs="Times New Roman"/>
          <w:color w:val="FF0000"/>
        </w:rPr>
        <w:t xml:space="preserve"> </w:t>
      </w:r>
      <w:r w:rsidR="003E69BB" w:rsidRPr="000A1B14">
        <w:rPr>
          <w:rFonts w:cs="Times New Roman"/>
        </w:rPr>
        <w:t xml:space="preserve">of 1 September 2015. </w:t>
      </w:r>
    </w:p>
    <w:p w:rsidR="004E0AFA" w:rsidRPr="004E0AFA" w:rsidRDefault="004E0AFA" w:rsidP="00132800">
      <w:pPr>
        <w:pStyle w:val="ListParagraph"/>
        <w:jc w:val="both"/>
        <w:rPr>
          <w:rFonts w:cs="Times New Roman"/>
        </w:rPr>
      </w:pPr>
    </w:p>
    <w:p w:rsidR="00006FE9" w:rsidRPr="00ED1CA8" w:rsidRDefault="00CE28C4" w:rsidP="00132800">
      <w:pPr>
        <w:pStyle w:val="ListParagraph"/>
        <w:numPr>
          <w:ilvl w:val="0"/>
          <w:numId w:val="4"/>
        </w:numPr>
        <w:ind w:left="0" w:firstLine="0"/>
        <w:jc w:val="both"/>
        <w:rPr>
          <w:rFonts w:cs="Times New Roman"/>
        </w:rPr>
      </w:pPr>
      <w:r w:rsidRPr="00ED1CA8">
        <w:rPr>
          <w:rFonts w:cs="Times New Roman"/>
        </w:rPr>
        <w:t xml:space="preserve">This annual report, covering the period </w:t>
      </w:r>
      <w:r w:rsidR="00F73414">
        <w:rPr>
          <w:rFonts w:cs="Times New Roman"/>
        </w:rPr>
        <w:t>1 January and 31 December 2016</w:t>
      </w:r>
      <w:r w:rsidR="00A75E43" w:rsidRPr="00ED1CA8">
        <w:rPr>
          <w:rFonts w:cs="Times New Roman"/>
        </w:rPr>
        <w:t>,</w:t>
      </w:r>
      <w:r w:rsidRPr="00ED1CA8">
        <w:rPr>
          <w:rFonts w:cs="Times New Roman"/>
        </w:rPr>
        <w:t xml:space="preserve"> submitted at the request of the Executive Board </w:t>
      </w:r>
      <w:r w:rsidR="00811BDE" w:rsidRPr="00ED1CA8">
        <w:rPr>
          <w:rFonts w:cs="Times New Roman"/>
        </w:rPr>
        <w:t>(decision 2008/37, DP/2009/2</w:t>
      </w:r>
      <w:r w:rsidRPr="00ED1CA8">
        <w:rPr>
          <w:rFonts w:cs="Times New Roman"/>
        </w:rPr>
        <w:t>)</w:t>
      </w:r>
      <w:r w:rsidR="00DD69B2">
        <w:rPr>
          <w:rFonts w:cs="Times New Roman"/>
        </w:rPr>
        <w:t>,</w:t>
      </w:r>
      <w:r w:rsidR="001C2E9C" w:rsidRPr="00ED1CA8">
        <w:rPr>
          <w:rFonts w:cs="Times New Roman"/>
        </w:rPr>
        <w:t xml:space="preserve"> </w:t>
      </w:r>
      <w:r w:rsidR="00D06EB4" w:rsidRPr="00ED1CA8">
        <w:rPr>
          <w:rFonts w:cs="Times New Roman"/>
        </w:rPr>
        <w:t xml:space="preserve">is </w:t>
      </w:r>
      <w:r w:rsidR="001C2E9C" w:rsidRPr="00ED1CA8">
        <w:rPr>
          <w:rFonts w:cs="Times New Roman"/>
        </w:rPr>
        <w:t xml:space="preserve">pursuant to section 31 of the Committee’s Terms of Reference. </w:t>
      </w:r>
    </w:p>
    <w:p w:rsidR="00B83C5F" w:rsidRDefault="00006FE9" w:rsidP="00396850">
      <w:pPr>
        <w:pStyle w:val="Heading1"/>
      </w:pPr>
      <w:bookmarkStart w:id="2" w:name="_Toc478983761"/>
      <w:r w:rsidRPr="006E0D7A">
        <w:t>Committee members and meetings in 201</w:t>
      </w:r>
      <w:r w:rsidR="00F73414">
        <w:t>6</w:t>
      </w:r>
      <w:bookmarkEnd w:id="2"/>
    </w:p>
    <w:p w:rsidR="00685541" w:rsidRPr="00685541" w:rsidRDefault="00685541" w:rsidP="00685541"/>
    <w:p w:rsidR="00247105" w:rsidRPr="007B2E47" w:rsidRDefault="00AA183F" w:rsidP="00396850">
      <w:pPr>
        <w:pStyle w:val="ListParagraph"/>
        <w:numPr>
          <w:ilvl w:val="0"/>
          <w:numId w:val="4"/>
        </w:numPr>
        <w:tabs>
          <w:tab w:val="left" w:pos="426"/>
        </w:tabs>
        <w:ind w:left="0" w:firstLine="0"/>
        <w:jc w:val="both"/>
        <w:rPr>
          <w:rFonts w:cs="Times New Roman"/>
        </w:rPr>
      </w:pPr>
      <w:r w:rsidRPr="007B2E47">
        <w:rPr>
          <w:rFonts w:cs="Times New Roman"/>
        </w:rPr>
        <w:t>For the period fr</w:t>
      </w:r>
      <w:r w:rsidR="006C1E55">
        <w:rPr>
          <w:rFonts w:cs="Times New Roman"/>
        </w:rPr>
        <w:t>om 1 January to 31 December 2016</w:t>
      </w:r>
      <w:r w:rsidRPr="007B2E47">
        <w:rPr>
          <w:rFonts w:cs="Times New Roman"/>
        </w:rPr>
        <w:t>, the Committee comprised the following members, all of whom confirmed the</w:t>
      </w:r>
      <w:r w:rsidR="00796E62" w:rsidRPr="007B2E47">
        <w:rPr>
          <w:rFonts w:cs="Times New Roman"/>
        </w:rPr>
        <w:t>ir</w:t>
      </w:r>
      <w:r w:rsidRPr="007B2E47">
        <w:rPr>
          <w:rFonts w:cs="Times New Roman"/>
        </w:rPr>
        <w:t xml:space="preserve"> independen</w:t>
      </w:r>
      <w:r w:rsidR="00247105" w:rsidRPr="007B2E47">
        <w:rPr>
          <w:rFonts w:cs="Times New Roman"/>
        </w:rPr>
        <w:t>ce in fulfilling their function:</w:t>
      </w:r>
    </w:p>
    <w:p w:rsidR="00247105" w:rsidRDefault="00247105" w:rsidP="00132800">
      <w:pPr>
        <w:pStyle w:val="ListParagraph"/>
        <w:jc w:val="both"/>
        <w:rPr>
          <w:rFonts w:cs="Times New Roman"/>
        </w:rPr>
      </w:pPr>
    </w:p>
    <w:p w:rsidR="00247105" w:rsidRPr="006C3FB6" w:rsidRDefault="00247105" w:rsidP="00132800">
      <w:pPr>
        <w:pStyle w:val="ListParagraph"/>
        <w:numPr>
          <w:ilvl w:val="0"/>
          <w:numId w:val="2"/>
        </w:numPr>
        <w:jc w:val="both"/>
        <w:rPr>
          <w:rFonts w:cs="Times New Roman"/>
        </w:rPr>
      </w:pPr>
      <w:r w:rsidRPr="006C3FB6">
        <w:rPr>
          <w:rFonts w:cs="Times New Roman"/>
        </w:rPr>
        <w:t xml:space="preserve">Anni Haraszuk </w:t>
      </w:r>
      <w:r w:rsidR="008B7173" w:rsidRPr="006C3FB6">
        <w:rPr>
          <w:rFonts w:cs="Times New Roman"/>
        </w:rPr>
        <w:t>(Chair)</w:t>
      </w:r>
    </w:p>
    <w:p w:rsidR="00006FE9" w:rsidRDefault="008B7173" w:rsidP="00132800">
      <w:pPr>
        <w:pStyle w:val="ListParagraph"/>
        <w:numPr>
          <w:ilvl w:val="0"/>
          <w:numId w:val="2"/>
        </w:numPr>
        <w:jc w:val="both"/>
        <w:rPr>
          <w:rFonts w:cs="Times New Roman"/>
        </w:rPr>
      </w:pPr>
      <w:r>
        <w:rPr>
          <w:rFonts w:cs="Times New Roman"/>
        </w:rPr>
        <w:t>Robin McPhail</w:t>
      </w:r>
    </w:p>
    <w:p w:rsidR="00A56269" w:rsidRDefault="008B7173" w:rsidP="00132800">
      <w:pPr>
        <w:pStyle w:val="ListParagraph"/>
        <w:numPr>
          <w:ilvl w:val="0"/>
          <w:numId w:val="2"/>
        </w:numPr>
        <w:jc w:val="both"/>
        <w:rPr>
          <w:rFonts w:cs="Times New Roman"/>
        </w:rPr>
      </w:pPr>
      <w:r>
        <w:rPr>
          <w:rFonts w:cs="Times New Roman"/>
        </w:rPr>
        <w:t>Bente Svensson</w:t>
      </w:r>
    </w:p>
    <w:p w:rsidR="006C1E55" w:rsidRPr="005218E7" w:rsidRDefault="006C1E55" w:rsidP="00132800">
      <w:pPr>
        <w:pStyle w:val="ListParagraph"/>
        <w:numPr>
          <w:ilvl w:val="0"/>
          <w:numId w:val="2"/>
        </w:numPr>
        <w:jc w:val="both"/>
        <w:rPr>
          <w:rFonts w:cs="Times New Roman"/>
        </w:rPr>
      </w:pPr>
      <w:r>
        <w:rPr>
          <w:rFonts w:cs="Times New Roman"/>
        </w:rPr>
        <w:t>S. Bhaskar</w:t>
      </w:r>
    </w:p>
    <w:p w:rsidR="00FD21C8" w:rsidRDefault="00FD21C8" w:rsidP="00132800">
      <w:pPr>
        <w:pStyle w:val="ListParagraph"/>
        <w:ind w:left="0"/>
        <w:jc w:val="both"/>
        <w:rPr>
          <w:rFonts w:cs="Times New Roman"/>
        </w:rPr>
      </w:pPr>
    </w:p>
    <w:p w:rsidR="005F0309" w:rsidRPr="009F75D2" w:rsidRDefault="00D35D66" w:rsidP="00396850">
      <w:pPr>
        <w:pStyle w:val="ListParagraph"/>
        <w:numPr>
          <w:ilvl w:val="0"/>
          <w:numId w:val="4"/>
        </w:numPr>
        <w:tabs>
          <w:tab w:val="left" w:pos="426"/>
        </w:tabs>
        <w:ind w:left="0" w:firstLine="0"/>
        <w:jc w:val="both"/>
        <w:rPr>
          <w:rFonts w:cs="Times New Roman"/>
        </w:rPr>
      </w:pPr>
      <w:r>
        <w:rPr>
          <w:rFonts w:cs="Times New Roman"/>
        </w:rPr>
        <w:t>During 2016</w:t>
      </w:r>
      <w:r w:rsidR="00FD347D">
        <w:rPr>
          <w:rFonts w:cs="Times New Roman"/>
        </w:rPr>
        <w:t xml:space="preserve">, </w:t>
      </w:r>
      <w:r w:rsidR="00D31AC3">
        <w:rPr>
          <w:rFonts w:cs="Times New Roman"/>
        </w:rPr>
        <w:t>the Committee convened for its 5</w:t>
      </w:r>
      <w:r w:rsidR="00D31AC3">
        <w:rPr>
          <w:rFonts w:cs="Times New Roman"/>
          <w:vertAlign w:val="superscript"/>
        </w:rPr>
        <w:t>th</w:t>
      </w:r>
      <w:r w:rsidR="00D31AC3">
        <w:rPr>
          <w:rFonts w:cs="Times New Roman"/>
        </w:rPr>
        <w:t xml:space="preserve"> – 7</w:t>
      </w:r>
      <w:r w:rsidR="00FD347D" w:rsidRPr="00FD347D">
        <w:rPr>
          <w:rFonts w:cs="Times New Roman"/>
          <w:vertAlign w:val="superscript"/>
        </w:rPr>
        <w:t>th</w:t>
      </w:r>
      <w:r w:rsidR="00FD347D">
        <w:rPr>
          <w:rFonts w:cs="Times New Roman"/>
        </w:rPr>
        <w:t xml:space="preserve"> meeting</w:t>
      </w:r>
      <w:r w:rsidR="00C870E4">
        <w:rPr>
          <w:rFonts w:cs="Times New Roman"/>
        </w:rPr>
        <w:t>s</w:t>
      </w:r>
      <w:r w:rsidR="00D31AC3">
        <w:rPr>
          <w:rFonts w:cs="Times New Roman"/>
        </w:rPr>
        <w:t xml:space="preserve"> in February, June and November</w:t>
      </w:r>
      <w:r w:rsidR="00FD21C8">
        <w:rPr>
          <w:rFonts w:cs="Times New Roman"/>
        </w:rPr>
        <w:t>. All meetings were atte</w:t>
      </w:r>
      <w:r w:rsidR="0044045D">
        <w:rPr>
          <w:rFonts w:cs="Times New Roman"/>
        </w:rPr>
        <w:t xml:space="preserve">nded by the Executive Director. </w:t>
      </w:r>
      <w:r w:rsidR="00FD21C8">
        <w:rPr>
          <w:rFonts w:cs="Times New Roman"/>
        </w:rPr>
        <w:t xml:space="preserve">UNOPS </w:t>
      </w:r>
      <w:r w:rsidR="0044045D">
        <w:rPr>
          <w:rFonts w:cs="Times New Roman"/>
        </w:rPr>
        <w:t>Deputy Executive Director, D</w:t>
      </w:r>
      <w:r w:rsidR="00FD21C8">
        <w:rPr>
          <w:rFonts w:cs="Times New Roman"/>
        </w:rPr>
        <w:t>irector of IAIG</w:t>
      </w:r>
      <w:r w:rsidR="001A58FF">
        <w:rPr>
          <w:rFonts w:cs="Times New Roman"/>
        </w:rPr>
        <w:t>, and members of the UNBOA</w:t>
      </w:r>
      <w:r w:rsidR="00FD21C8">
        <w:rPr>
          <w:rFonts w:cs="Times New Roman"/>
        </w:rPr>
        <w:t xml:space="preserve"> team engaged with the Committee on relevant matters. Additionally, </w:t>
      </w:r>
      <w:r w:rsidR="0044045D">
        <w:rPr>
          <w:rFonts w:cs="Times New Roman"/>
        </w:rPr>
        <w:t>throughout the year</w:t>
      </w:r>
      <w:r w:rsidR="00FD21C8" w:rsidRPr="00AD5CA0">
        <w:rPr>
          <w:rFonts w:cs="Times New Roman"/>
        </w:rPr>
        <w:t xml:space="preserve"> the Committee invited members of the senior management team and selected technical experts for </w:t>
      </w:r>
      <w:r w:rsidR="00A254A6">
        <w:rPr>
          <w:rFonts w:cs="Times New Roman"/>
        </w:rPr>
        <w:t>deliberation on specific topics</w:t>
      </w:r>
      <w:r w:rsidR="00FD21C8" w:rsidRPr="00AD5CA0">
        <w:rPr>
          <w:rFonts w:cs="Times New Roman"/>
        </w:rPr>
        <w:t xml:space="preserve">. Pursuant to section </w:t>
      </w:r>
      <w:r w:rsidR="00CD2214" w:rsidRPr="00CD2214">
        <w:rPr>
          <w:rFonts w:cs="Times New Roman"/>
        </w:rPr>
        <w:t>15</w:t>
      </w:r>
      <w:r w:rsidR="00FD21C8" w:rsidRPr="00CD2214">
        <w:rPr>
          <w:rFonts w:cs="Times New Roman"/>
        </w:rPr>
        <w:t xml:space="preserve"> of the AAC Terms of Reference, </w:t>
      </w:r>
      <w:r w:rsidR="00FD21C8" w:rsidRPr="00AD5CA0">
        <w:rPr>
          <w:rFonts w:cs="Times New Roman"/>
        </w:rPr>
        <w:t xml:space="preserve">UNOPS provided substantive and technical secretariat </w:t>
      </w:r>
      <w:r w:rsidR="00B617AE">
        <w:rPr>
          <w:rFonts w:cs="Times New Roman"/>
        </w:rPr>
        <w:t xml:space="preserve">support. The Committee commends the </w:t>
      </w:r>
      <w:r w:rsidR="00EB301D">
        <w:rPr>
          <w:rFonts w:cs="Times New Roman"/>
        </w:rPr>
        <w:t xml:space="preserve">substantive </w:t>
      </w:r>
      <w:r w:rsidR="00B617AE">
        <w:rPr>
          <w:rFonts w:cs="Times New Roman"/>
        </w:rPr>
        <w:t>quality and timeliness of the secretariat support.</w:t>
      </w:r>
    </w:p>
    <w:p w:rsidR="005F0309" w:rsidRDefault="006152F7" w:rsidP="00685541">
      <w:pPr>
        <w:pStyle w:val="Heading1"/>
      </w:pPr>
      <w:bookmarkStart w:id="3" w:name="_Toc478983762"/>
      <w:r>
        <w:lastRenderedPageBreak/>
        <w:t>R</w:t>
      </w:r>
      <w:r w:rsidR="005F0309" w:rsidRPr="009F75D2">
        <w:t>eporting to the Executive Board</w:t>
      </w:r>
      <w:bookmarkEnd w:id="3"/>
    </w:p>
    <w:p w:rsidR="00685541" w:rsidRPr="00685541" w:rsidRDefault="00685541" w:rsidP="00685541">
      <w:pPr>
        <w:keepNext/>
      </w:pPr>
    </w:p>
    <w:p w:rsidR="00452220" w:rsidRPr="00ED1CA8" w:rsidRDefault="007064A5" w:rsidP="00685541">
      <w:pPr>
        <w:pStyle w:val="ListParagraph"/>
        <w:keepNext/>
        <w:numPr>
          <w:ilvl w:val="0"/>
          <w:numId w:val="4"/>
        </w:numPr>
        <w:tabs>
          <w:tab w:val="left" w:pos="426"/>
        </w:tabs>
        <w:ind w:left="0" w:firstLine="0"/>
        <w:jc w:val="both"/>
        <w:rPr>
          <w:rFonts w:cs="Times New Roman"/>
        </w:rPr>
      </w:pPr>
      <w:r w:rsidRPr="00ED1CA8">
        <w:rPr>
          <w:rFonts w:cs="Times New Roman"/>
        </w:rPr>
        <w:t xml:space="preserve">Pursuant to section </w:t>
      </w:r>
      <w:r w:rsidR="0005464C" w:rsidRPr="00ED1CA8">
        <w:rPr>
          <w:rFonts w:cs="Times New Roman"/>
        </w:rPr>
        <w:t>2</w:t>
      </w:r>
      <w:r w:rsidR="00452220" w:rsidRPr="00ED1CA8">
        <w:rPr>
          <w:rFonts w:cs="Times New Roman"/>
        </w:rPr>
        <w:t xml:space="preserve"> of the AAC Terms of Reference, the Committee provided </w:t>
      </w:r>
      <w:r w:rsidR="001410EC" w:rsidRPr="00ED1CA8">
        <w:rPr>
          <w:rFonts w:cs="Times New Roman"/>
        </w:rPr>
        <w:t xml:space="preserve">independent </w:t>
      </w:r>
      <w:r w:rsidR="00452220" w:rsidRPr="00ED1CA8">
        <w:rPr>
          <w:rFonts w:cs="Times New Roman"/>
        </w:rPr>
        <w:t xml:space="preserve">advice to the Executive Director and UNOPS management on </w:t>
      </w:r>
      <w:r w:rsidR="00AA0FBF" w:rsidRPr="00ED1CA8">
        <w:rPr>
          <w:rFonts w:cs="Times New Roman"/>
        </w:rPr>
        <w:t xml:space="preserve">governance </w:t>
      </w:r>
      <w:r w:rsidR="001D05AE" w:rsidRPr="00ED1CA8">
        <w:rPr>
          <w:rFonts w:cs="Times New Roman"/>
        </w:rPr>
        <w:t xml:space="preserve">reports to the Executive Board. </w:t>
      </w:r>
    </w:p>
    <w:p w:rsidR="00B16A39" w:rsidRDefault="00B16A39" w:rsidP="00685541">
      <w:pPr>
        <w:keepNext/>
        <w:jc w:val="both"/>
        <w:rPr>
          <w:rFonts w:cs="Times New Roman"/>
        </w:rPr>
      </w:pPr>
    </w:p>
    <w:p w:rsidR="007833F3" w:rsidRDefault="009874DC" w:rsidP="00685541">
      <w:pPr>
        <w:pStyle w:val="ListParagraph"/>
        <w:keepNext/>
        <w:numPr>
          <w:ilvl w:val="0"/>
          <w:numId w:val="4"/>
        </w:numPr>
        <w:tabs>
          <w:tab w:val="left" w:pos="426"/>
        </w:tabs>
        <w:ind w:left="0" w:firstLine="0"/>
        <w:jc w:val="both"/>
        <w:rPr>
          <w:rFonts w:cs="Times New Roman"/>
        </w:rPr>
      </w:pPr>
      <w:r w:rsidRPr="00ED1CA8">
        <w:rPr>
          <w:rFonts w:cs="Times New Roman"/>
        </w:rPr>
        <w:t xml:space="preserve">Throughout the year, the Committee reviewed and provided advice on </w:t>
      </w:r>
      <w:r w:rsidR="00083EDC" w:rsidRPr="00ED1CA8">
        <w:rPr>
          <w:rFonts w:cs="Times New Roman"/>
        </w:rPr>
        <w:t>relevant governance</w:t>
      </w:r>
      <w:r w:rsidRPr="00ED1CA8">
        <w:rPr>
          <w:rFonts w:cs="Times New Roman"/>
        </w:rPr>
        <w:t xml:space="preserve"> reports and followed the outcomes of UNOPS official reporting to the Executive Board</w:t>
      </w:r>
      <w:r w:rsidRPr="00C220E0">
        <w:rPr>
          <w:rFonts w:cs="Times New Roman"/>
        </w:rPr>
        <w:t>, i.e.:</w:t>
      </w:r>
    </w:p>
    <w:p w:rsidR="006562DE" w:rsidRPr="00C220E0" w:rsidRDefault="006562DE" w:rsidP="006562DE">
      <w:pPr>
        <w:pStyle w:val="ListParagraph"/>
        <w:keepNext/>
        <w:tabs>
          <w:tab w:val="left" w:pos="426"/>
        </w:tabs>
        <w:ind w:left="0"/>
        <w:jc w:val="both"/>
        <w:rPr>
          <w:rFonts w:cs="Times New Roman"/>
        </w:rPr>
      </w:pPr>
    </w:p>
    <w:p w:rsidR="002355B4" w:rsidRPr="002355B4" w:rsidRDefault="002355B4" w:rsidP="00685541">
      <w:pPr>
        <w:pStyle w:val="ListParagraph"/>
        <w:keepNext/>
        <w:numPr>
          <w:ilvl w:val="0"/>
          <w:numId w:val="3"/>
        </w:numPr>
        <w:rPr>
          <w:rFonts w:cs="Times New Roman"/>
        </w:rPr>
      </w:pPr>
      <w:r w:rsidRPr="002355B4">
        <w:rPr>
          <w:rFonts w:cs="Times New Roman"/>
        </w:rPr>
        <w:t>Financial report and audited financial statements for the year ended 31 December 2014 and Report of the Board of Auditors (A/70/5/Add.11)</w:t>
      </w:r>
    </w:p>
    <w:p w:rsidR="00232098" w:rsidRPr="00232098" w:rsidRDefault="00232098" w:rsidP="00685541">
      <w:pPr>
        <w:pStyle w:val="ListParagraph"/>
        <w:keepNext/>
        <w:numPr>
          <w:ilvl w:val="0"/>
          <w:numId w:val="3"/>
        </w:numPr>
        <w:rPr>
          <w:rFonts w:cs="Times New Roman"/>
        </w:rPr>
      </w:pPr>
      <w:r w:rsidRPr="00232098">
        <w:rPr>
          <w:rFonts w:cs="Times New Roman"/>
        </w:rPr>
        <w:t>Report of UNOPS on the status of implementation of the recommendations of the Board of Auditors for 2014 (DP/OPS/2016/1)</w:t>
      </w:r>
    </w:p>
    <w:p w:rsidR="009874DC" w:rsidRDefault="00252DCC" w:rsidP="00685541">
      <w:pPr>
        <w:pStyle w:val="ListParagraph"/>
        <w:keepNext/>
        <w:numPr>
          <w:ilvl w:val="0"/>
          <w:numId w:val="3"/>
        </w:numPr>
        <w:jc w:val="both"/>
        <w:rPr>
          <w:rFonts w:cs="Times New Roman"/>
        </w:rPr>
      </w:pPr>
      <w:r w:rsidRPr="001F4F1D">
        <w:rPr>
          <w:rFonts w:cs="Times New Roman"/>
        </w:rPr>
        <w:t xml:space="preserve">Annual report of the Executive </w:t>
      </w:r>
      <w:r w:rsidRPr="006465A6">
        <w:rPr>
          <w:rFonts w:cs="Times New Roman"/>
        </w:rPr>
        <w:t>Director</w:t>
      </w:r>
      <w:r w:rsidR="00502527" w:rsidRPr="006465A6">
        <w:rPr>
          <w:rFonts w:cs="Times New Roman"/>
        </w:rPr>
        <w:t xml:space="preserve"> </w:t>
      </w:r>
      <w:r w:rsidR="000C1938" w:rsidRPr="006465A6">
        <w:rPr>
          <w:rFonts w:cs="Times New Roman"/>
          <w:szCs w:val="20"/>
        </w:rPr>
        <w:t>(</w:t>
      </w:r>
      <w:r w:rsidR="00D31AC3" w:rsidRPr="006465A6">
        <w:rPr>
          <w:rFonts w:cs="Times New Roman"/>
          <w:szCs w:val="20"/>
        </w:rPr>
        <w:t>DP/OPS/2016/2</w:t>
      </w:r>
      <w:r w:rsidR="000C1938" w:rsidRPr="006465A6">
        <w:rPr>
          <w:rFonts w:cs="Times New Roman"/>
          <w:szCs w:val="20"/>
        </w:rPr>
        <w:t>), including A</w:t>
      </w:r>
      <w:r w:rsidR="001B607F" w:rsidRPr="006465A6">
        <w:rPr>
          <w:rFonts w:cs="Times New Roman"/>
        </w:rPr>
        <w:t xml:space="preserve">nnex </w:t>
      </w:r>
      <w:r w:rsidR="006465A6" w:rsidRPr="006465A6">
        <w:rPr>
          <w:rFonts w:cs="Times New Roman"/>
        </w:rPr>
        <w:t>1</w:t>
      </w:r>
      <w:r w:rsidR="000C1938">
        <w:rPr>
          <w:rFonts w:cs="Times New Roman"/>
        </w:rPr>
        <w:t xml:space="preserve"> - </w:t>
      </w:r>
      <w:r w:rsidR="00502527" w:rsidRPr="001F4F1D">
        <w:rPr>
          <w:rFonts w:cs="Times New Roman"/>
        </w:rPr>
        <w:t>Financial highlights</w:t>
      </w:r>
      <w:r w:rsidRPr="001F4F1D">
        <w:rPr>
          <w:rFonts w:cs="Times New Roman"/>
        </w:rPr>
        <w:t xml:space="preserve"> </w:t>
      </w:r>
    </w:p>
    <w:p w:rsidR="0015105F" w:rsidRPr="00C220E0" w:rsidRDefault="00960FAB" w:rsidP="00685541">
      <w:pPr>
        <w:pStyle w:val="ListParagraph"/>
        <w:keepNext/>
        <w:numPr>
          <w:ilvl w:val="0"/>
          <w:numId w:val="3"/>
        </w:numPr>
        <w:jc w:val="both"/>
        <w:rPr>
          <w:rFonts w:cs="Times New Roman"/>
          <w:sz w:val="24"/>
        </w:rPr>
      </w:pPr>
      <w:r>
        <w:rPr>
          <w:rFonts w:cs="Times New Roman"/>
          <w:szCs w:val="20"/>
        </w:rPr>
        <w:t>Activity report for 2015</w:t>
      </w:r>
      <w:r w:rsidR="0015105F" w:rsidRPr="00C220E0">
        <w:rPr>
          <w:rFonts w:cs="Times New Roman"/>
          <w:szCs w:val="20"/>
        </w:rPr>
        <w:t xml:space="preserve"> of the Internal Audit and Investigations Group (</w:t>
      </w:r>
      <w:r w:rsidRPr="00960FAB">
        <w:rPr>
          <w:rFonts w:cs="Times New Roman"/>
          <w:szCs w:val="20"/>
        </w:rPr>
        <w:t>DP/OPS/2016/3</w:t>
      </w:r>
      <w:r w:rsidR="0015105F" w:rsidRPr="00C220E0">
        <w:rPr>
          <w:rFonts w:cs="Times New Roman"/>
          <w:szCs w:val="20"/>
        </w:rPr>
        <w:t>)</w:t>
      </w:r>
    </w:p>
    <w:p w:rsidR="0015105F" w:rsidRDefault="0015105F" w:rsidP="00685541">
      <w:pPr>
        <w:pStyle w:val="ListParagraph"/>
        <w:keepNext/>
        <w:numPr>
          <w:ilvl w:val="0"/>
          <w:numId w:val="3"/>
        </w:numPr>
        <w:jc w:val="both"/>
        <w:rPr>
          <w:rFonts w:cs="Times New Roman"/>
        </w:rPr>
      </w:pPr>
      <w:r w:rsidRPr="002B4AB0">
        <w:rPr>
          <w:rFonts w:cs="Times New Roman"/>
        </w:rPr>
        <w:t>Activities of the UNOPS Ethics Office</w:t>
      </w:r>
      <w:r>
        <w:rPr>
          <w:rFonts w:cs="Times New Roman"/>
        </w:rPr>
        <w:t>r</w:t>
      </w:r>
      <w:r w:rsidR="00960FAB">
        <w:rPr>
          <w:rFonts w:cs="Times New Roman"/>
        </w:rPr>
        <w:t xml:space="preserve"> in 2015</w:t>
      </w:r>
      <w:r w:rsidRPr="002B4AB0">
        <w:rPr>
          <w:rFonts w:cs="Times New Roman"/>
        </w:rPr>
        <w:t xml:space="preserve"> (</w:t>
      </w:r>
      <w:r w:rsidR="00960FAB" w:rsidRPr="00960FAB">
        <w:rPr>
          <w:rFonts w:cs="Times New Roman"/>
        </w:rPr>
        <w:t>DP/OPS/2016/4</w:t>
      </w:r>
      <w:r w:rsidRPr="002B4AB0">
        <w:rPr>
          <w:rFonts w:cs="Times New Roman"/>
        </w:rPr>
        <w:t>)</w:t>
      </w:r>
    </w:p>
    <w:p w:rsidR="005D0E45" w:rsidRPr="00773489" w:rsidRDefault="005D0E45" w:rsidP="00FF3946">
      <w:pPr>
        <w:pStyle w:val="ListParagraph"/>
        <w:numPr>
          <w:ilvl w:val="0"/>
          <w:numId w:val="3"/>
        </w:numPr>
        <w:jc w:val="both"/>
        <w:rPr>
          <w:rFonts w:cs="Times New Roman"/>
        </w:rPr>
      </w:pPr>
      <w:r w:rsidRPr="00773489">
        <w:rPr>
          <w:rFonts w:cs="Times New Roman"/>
        </w:rPr>
        <w:t xml:space="preserve">Midterm review of the UNOPS strategic plan, 2014-2017 (DP/OPS/2016/5) </w:t>
      </w:r>
    </w:p>
    <w:p w:rsidR="00720BA5" w:rsidRDefault="000B7D75" w:rsidP="00396850">
      <w:pPr>
        <w:pStyle w:val="Heading1"/>
      </w:pPr>
      <w:bookmarkStart w:id="4" w:name="_Toc478983763"/>
      <w:r w:rsidRPr="00CC00DF">
        <w:t xml:space="preserve">External </w:t>
      </w:r>
      <w:r w:rsidR="00CA1DCE">
        <w:t>audit</w:t>
      </w:r>
      <w:bookmarkEnd w:id="4"/>
    </w:p>
    <w:p w:rsidR="00685541" w:rsidRPr="00685541" w:rsidRDefault="00685541" w:rsidP="00685541"/>
    <w:p w:rsidR="00E95149" w:rsidRPr="00E95149" w:rsidRDefault="00720BA5" w:rsidP="006C1D02">
      <w:pPr>
        <w:pStyle w:val="ListParagraph"/>
        <w:numPr>
          <w:ilvl w:val="0"/>
          <w:numId w:val="4"/>
        </w:numPr>
        <w:tabs>
          <w:tab w:val="left" w:pos="426"/>
        </w:tabs>
        <w:ind w:left="0" w:firstLine="0"/>
        <w:jc w:val="both"/>
        <w:rPr>
          <w:rFonts w:cs="Times New Roman"/>
          <w:b/>
        </w:rPr>
      </w:pPr>
      <w:r w:rsidRPr="00145512">
        <w:rPr>
          <w:rFonts w:cs="Times New Roman"/>
        </w:rPr>
        <w:t xml:space="preserve">Pursuant </w:t>
      </w:r>
      <w:r w:rsidR="00CA1DCE" w:rsidRPr="00145512">
        <w:rPr>
          <w:rFonts w:cs="Times New Roman"/>
        </w:rPr>
        <w:t>to sections</w:t>
      </w:r>
      <w:r w:rsidR="0020203B" w:rsidRPr="00145512">
        <w:rPr>
          <w:rFonts w:cs="Times New Roman"/>
        </w:rPr>
        <w:t xml:space="preserve"> 6.e</w:t>
      </w:r>
      <w:r w:rsidR="00CA1DCE" w:rsidRPr="00145512">
        <w:rPr>
          <w:rFonts w:cs="Times New Roman"/>
        </w:rPr>
        <w:t>, 6.f, 6.g, and 6.h</w:t>
      </w:r>
      <w:r w:rsidR="0020203B" w:rsidRPr="00145512">
        <w:rPr>
          <w:rFonts w:cs="Times New Roman"/>
        </w:rPr>
        <w:t xml:space="preserve"> of the </w:t>
      </w:r>
      <w:r w:rsidRPr="00145512">
        <w:rPr>
          <w:rFonts w:cs="Times New Roman"/>
        </w:rPr>
        <w:t>AAC Terms of Reference, the Committee reviewed and advised extensivel</w:t>
      </w:r>
      <w:r w:rsidR="00187176" w:rsidRPr="00145512">
        <w:rPr>
          <w:rFonts w:cs="Times New Roman"/>
        </w:rPr>
        <w:t xml:space="preserve">y on external </w:t>
      </w:r>
      <w:r w:rsidR="00B843E5" w:rsidRPr="00145512">
        <w:rPr>
          <w:rFonts w:cs="Times New Roman"/>
        </w:rPr>
        <w:t>audit matters</w:t>
      </w:r>
      <w:r w:rsidR="00103C17" w:rsidRPr="00145512">
        <w:rPr>
          <w:rFonts w:cs="Times New Roman"/>
        </w:rPr>
        <w:t>.</w:t>
      </w:r>
    </w:p>
    <w:p w:rsidR="00E95149" w:rsidRPr="00E95149" w:rsidRDefault="00E95149" w:rsidP="00E95149">
      <w:pPr>
        <w:pStyle w:val="ListParagraph"/>
        <w:ind w:left="0"/>
        <w:jc w:val="both"/>
        <w:rPr>
          <w:rFonts w:cs="Times New Roman"/>
          <w:b/>
        </w:rPr>
      </w:pPr>
    </w:p>
    <w:p w:rsidR="00BD51DF" w:rsidRPr="00BD51DF" w:rsidRDefault="008F3AF4" w:rsidP="006C1D02">
      <w:pPr>
        <w:pStyle w:val="ListParagraph"/>
        <w:numPr>
          <w:ilvl w:val="0"/>
          <w:numId w:val="4"/>
        </w:numPr>
        <w:tabs>
          <w:tab w:val="left" w:pos="426"/>
        </w:tabs>
        <w:ind w:left="0" w:firstLine="0"/>
        <w:jc w:val="both"/>
        <w:rPr>
          <w:rFonts w:cs="Times New Roman"/>
          <w:b/>
        </w:rPr>
      </w:pPr>
      <w:r w:rsidRPr="00E95149">
        <w:rPr>
          <w:rFonts w:cs="Times New Roman"/>
        </w:rPr>
        <w:t>The Committee was continuously briefed on the status</w:t>
      </w:r>
      <w:r w:rsidR="00E95149" w:rsidRPr="00E95149">
        <w:rPr>
          <w:rFonts w:cs="Times New Roman"/>
        </w:rPr>
        <w:t xml:space="preserve"> of UNBOA recommendations under </w:t>
      </w:r>
      <w:r w:rsidRPr="00E95149">
        <w:rPr>
          <w:rFonts w:cs="Times New Roman"/>
        </w:rPr>
        <w:t>implementation throughout the year, as well as the ongoing UNBOA 2015 audit p</w:t>
      </w:r>
      <w:r w:rsidR="00213530">
        <w:rPr>
          <w:rFonts w:cs="Times New Roman"/>
        </w:rPr>
        <w:t xml:space="preserve">rocess including the </w:t>
      </w:r>
      <w:r w:rsidRPr="00E95149">
        <w:rPr>
          <w:rFonts w:cs="Times New Roman"/>
        </w:rPr>
        <w:t xml:space="preserve">focus areas for the management and financial audits. </w:t>
      </w:r>
      <w:r w:rsidR="002A3A3F" w:rsidRPr="00E95149">
        <w:rPr>
          <w:rFonts w:cs="Times New Roman"/>
        </w:rPr>
        <w:t>The Committee noted that the 201</w:t>
      </w:r>
      <w:r w:rsidR="006465A6">
        <w:rPr>
          <w:rFonts w:cs="Times New Roman"/>
        </w:rPr>
        <w:t xml:space="preserve">5 financial audit statements </w:t>
      </w:r>
      <w:r w:rsidR="006465A6" w:rsidRPr="001C4CF0">
        <w:rPr>
          <w:rFonts w:cs="Times New Roman"/>
        </w:rPr>
        <w:t>were</w:t>
      </w:r>
      <w:r w:rsidR="002A3A3F" w:rsidRPr="001C4CF0">
        <w:rPr>
          <w:rFonts w:cs="Times New Roman"/>
        </w:rPr>
        <w:t xml:space="preserve"> issued </w:t>
      </w:r>
      <w:r w:rsidR="002A3A3F" w:rsidRPr="00E95149">
        <w:rPr>
          <w:rFonts w:cs="Times New Roman"/>
        </w:rPr>
        <w:t>with an unqualified audit opinion</w:t>
      </w:r>
      <w:r w:rsidR="00204470">
        <w:rPr>
          <w:rFonts w:cs="Times New Roman"/>
        </w:rPr>
        <w:t>,</w:t>
      </w:r>
      <w:r w:rsidRPr="00E95149">
        <w:rPr>
          <w:rFonts w:cs="Times New Roman"/>
        </w:rPr>
        <w:t xml:space="preserve"> </w:t>
      </w:r>
      <w:r w:rsidR="00376EC5">
        <w:rPr>
          <w:rFonts w:cs="Times New Roman"/>
        </w:rPr>
        <w:t>highlighting</w:t>
      </w:r>
      <w:r w:rsidR="002A3A3F" w:rsidRPr="00E95149">
        <w:rPr>
          <w:rFonts w:cs="Times New Roman"/>
        </w:rPr>
        <w:t xml:space="preserve"> </w:t>
      </w:r>
      <w:r w:rsidRPr="00E95149">
        <w:rPr>
          <w:rFonts w:cs="Times New Roman"/>
        </w:rPr>
        <w:t xml:space="preserve">that </w:t>
      </w:r>
      <w:r w:rsidR="00E95149" w:rsidRPr="00E95149">
        <w:rPr>
          <w:rFonts w:cs="Times New Roman"/>
        </w:rPr>
        <w:t xml:space="preserve">the </w:t>
      </w:r>
      <w:r w:rsidRPr="00E95149">
        <w:rPr>
          <w:rFonts w:cs="Times New Roman"/>
        </w:rPr>
        <w:t>UNOPS management continues to emphasi</w:t>
      </w:r>
      <w:r w:rsidR="000A724D">
        <w:rPr>
          <w:rFonts w:cs="Times New Roman"/>
        </w:rPr>
        <w:t xml:space="preserve">ze the importance of </w:t>
      </w:r>
      <w:r w:rsidRPr="00E95149">
        <w:rPr>
          <w:rFonts w:cs="Times New Roman"/>
        </w:rPr>
        <w:t xml:space="preserve">audit </w:t>
      </w:r>
      <w:r w:rsidR="000A724D">
        <w:rPr>
          <w:rFonts w:cs="Times New Roman"/>
        </w:rPr>
        <w:t>as a</w:t>
      </w:r>
      <w:r w:rsidR="000D66BD">
        <w:rPr>
          <w:rFonts w:cs="Times New Roman"/>
        </w:rPr>
        <w:t xml:space="preserve"> </w:t>
      </w:r>
      <w:r w:rsidR="000A724D">
        <w:rPr>
          <w:rFonts w:cs="Times New Roman"/>
        </w:rPr>
        <w:t>going concern</w:t>
      </w:r>
      <w:r w:rsidRPr="00E95149">
        <w:rPr>
          <w:rFonts w:cs="Times New Roman"/>
        </w:rPr>
        <w:t>. The Committee commended the good cooperation and continuous dialogue between the UNBOA team, IAIG, UNOPS management and the AAC.</w:t>
      </w:r>
      <w:r w:rsidR="00376EC5">
        <w:rPr>
          <w:rFonts w:cs="Times New Roman"/>
        </w:rPr>
        <w:t xml:space="preserve"> </w:t>
      </w:r>
    </w:p>
    <w:p w:rsidR="00BD51DF" w:rsidRDefault="00BD51DF" w:rsidP="00BD51DF">
      <w:pPr>
        <w:pStyle w:val="ListParagraph"/>
      </w:pPr>
    </w:p>
    <w:p w:rsidR="00706E4B" w:rsidRPr="00706E4B" w:rsidRDefault="008F3AF4" w:rsidP="006C1D02">
      <w:pPr>
        <w:pStyle w:val="ListParagraph"/>
        <w:numPr>
          <w:ilvl w:val="0"/>
          <w:numId w:val="4"/>
        </w:numPr>
        <w:tabs>
          <w:tab w:val="left" w:pos="426"/>
        </w:tabs>
        <w:ind w:left="0" w:firstLine="0"/>
        <w:jc w:val="both"/>
        <w:rPr>
          <w:rFonts w:cs="Times New Roman"/>
          <w:b/>
        </w:rPr>
      </w:pPr>
      <w:r w:rsidRPr="00BD51DF">
        <w:rPr>
          <w:rFonts w:cs="Times New Roman"/>
        </w:rPr>
        <w:t xml:space="preserve">The </w:t>
      </w:r>
      <w:r w:rsidR="00AB174D" w:rsidRPr="00BD51DF">
        <w:rPr>
          <w:rFonts w:cs="Times New Roman"/>
        </w:rPr>
        <w:t>C</w:t>
      </w:r>
      <w:r w:rsidRPr="00BD51DF">
        <w:rPr>
          <w:rFonts w:cs="Times New Roman"/>
        </w:rPr>
        <w:t xml:space="preserve">ommittee further noted that UNOPS maintains a full overview of UNBOA recommendations </w:t>
      </w:r>
      <w:r w:rsidR="000E7CA6" w:rsidRPr="00BD51DF">
        <w:rPr>
          <w:rFonts w:cs="Times New Roman"/>
        </w:rPr>
        <w:t>through successfully introducing</w:t>
      </w:r>
      <w:r w:rsidR="00F3310A">
        <w:rPr>
          <w:rFonts w:cs="Times New Roman"/>
        </w:rPr>
        <w:t xml:space="preserve"> </w:t>
      </w:r>
      <w:r w:rsidR="005368A4">
        <w:rPr>
          <w:rFonts w:cs="Times New Roman"/>
        </w:rPr>
        <w:t>quarterly benchmarking</w:t>
      </w:r>
      <w:r w:rsidR="00F3310A">
        <w:rPr>
          <w:rFonts w:cs="Times New Roman"/>
        </w:rPr>
        <w:t xml:space="preserve"> </w:t>
      </w:r>
      <w:r w:rsidRPr="00BD51DF">
        <w:rPr>
          <w:rFonts w:cs="Times New Roman"/>
        </w:rPr>
        <w:t xml:space="preserve">among the senior leadership </w:t>
      </w:r>
      <w:r w:rsidR="00535956" w:rsidRPr="00BD51DF">
        <w:rPr>
          <w:rFonts w:cs="Times New Roman"/>
        </w:rPr>
        <w:t>vis-à-vis</w:t>
      </w:r>
      <w:r w:rsidRPr="00BD51DF">
        <w:rPr>
          <w:rFonts w:cs="Times New Roman"/>
        </w:rPr>
        <w:t xml:space="preserve"> implementati</w:t>
      </w:r>
      <w:r w:rsidR="00925AF1">
        <w:rPr>
          <w:rFonts w:cs="Times New Roman"/>
        </w:rPr>
        <w:t>on of oversight recommendations</w:t>
      </w:r>
      <w:r w:rsidRPr="00BD51DF">
        <w:rPr>
          <w:rFonts w:cs="Times New Roman"/>
        </w:rPr>
        <w:t xml:space="preserve">. </w:t>
      </w:r>
      <w:r w:rsidR="00E77243" w:rsidRPr="00BD51DF">
        <w:rPr>
          <w:rFonts w:cs="Times New Roman"/>
        </w:rPr>
        <w:t xml:space="preserve">In this context, the Committee discussed the importance of highlighting the processes UNOPS has </w:t>
      </w:r>
      <w:r w:rsidR="008A1C95">
        <w:rPr>
          <w:rFonts w:cs="Times New Roman"/>
        </w:rPr>
        <w:t>initiated</w:t>
      </w:r>
      <w:r w:rsidR="00E77243" w:rsidRPr="00BD51DF">
        <w:rPr>
          <w:rFonts w:cs="Times New Roman"/>
        </w:rPr>
        <w:t xml:space="preserve"> to strategically address the UNBOA recommendations. </w:t>
      </w:r>
      <w:r w:rsidR="00BD51DF">
        <w:rPr>
          <w:rFonts w:cs="Times New Roman"/>
        </w:rPr>
        <w:t xml:space="preserve">The UNBOA </w:t>
      </w:r>
      <w:r w:rsidRPr="00BD51DF">
        <w:rPr>
          <w:rFonts w:cs="Times New Roman"/>
        </w:rPr>
        <w:t xml:space="preserve">and the Committee </w:t>
      </w:r>
      <w:r w:rsidR="00E77243" w:rsidRPr="00BD51DF">
        <w:rPr>
          <w:rFonts w:cs="Times New Roman"/>
        </w:rPr>
        <w:t>extended</w:t>
      </w:r>
      <w:r w:rsidRPr="00BD51DF">
        <w:rPr>
          <w:rFonts w:cs="Times New Roman"/>
        </w:rPr>
        <w:t xml:space="preserve"> their appreciation to UNOPS continuous attention and efforts </w:t>
      </w:r>
      <w:r w:rsidR="003770FA">
        <w:rPr>
          <w:rFonts w:cs="Times New Roman"/>
        </w:rPr>
        <w:t xml:space="preserve">towards the </w:t>
      </w:r>
      <w:r w:rsidRPr="00BD51DF">
        <w:rPr>
          <w:rFonts w:cs="Times New Roman"/>
        </w:rPr>
        <w:t xml:space="preserve">recommendations scheduled for implementation in 2016. </w:t>
      </w:r>
    </w:p>
    <w:p w:rsidR="00706E4B" w:rsidRDefault="00706E4B" w:rsidP="00706E4B">
      <w:pPr>
        <w:pStyle w:val="ListParagraph"/>
      </w:pPr>
    </w:p>
    <w:p w:rsidR="00461592" w:rsidRPr="00706E4B" w:rsidRDefault="008F3AF4" w:rsidP="006C1D02">
      <w:pPr>
        <w:pStyle w:val="ListParagraph"/>
        <w:numPr>
          <w:ilvl w:val="0"/>
          <w:numId w:val="4"/>
        </w:numPr>
        <w:tabs>
          <w:tab w:val="left" w:pos="426"/>
        </w:tabs>
        <w:ind w:left="0" w:firstLine="0"/>
        <w:jc w:val="both"/>
        <w:rPr>
          <w:rFonts w:cs="Times New Roman"/>
          <w:b/>
        </w:rPr>
      </w:pPr>
      <w:r w:rsidRPr="00706E4B">
        <w:rPr>
          <w:rFonts w:cs="Times New Roman"/>
        </w:rPr>
        <w:t xml:space="preserve">The UK team’s mandate as the UN Board of Auditors for UNOPS ended in 2016 with the official hand-over to the new India team </w:t>
      </w:r>
      <w:r w:rsidR="0015766C" w:rsidRPr="00706E4B">
        <w:rPr>
          <w:rFonts w:cs="Times New Roman"/>
        </w:rPr>
        <w:t>occurring</w:t>
      </w:r>
      <w:r w:rsidRPr="00706E4B">
        <w:rPr>
          <w:rFonts w:cs="Times New Roman"/>
        </w:rPr>
        <w:t xml:space="preserve"> </w:t>
      </w:r>
      <w:r w:rsidR="00A45A17" w:rsidRPr="00706E4B">
        <w:rPr>
          <w:rFonts w:cs="Times New Roman"/>
        </w:rPr>
        <w:t>at</w:t>
      </w:r>
      <w:r w:rsidRPr="00706E4B">
        <w:rPr>
          <w:rFonts w:cs="Times New Roman"/>
        </w:rPr>
        <w:t xml:space="preserve"> the end of July 2016. The Committee was introduced to the Director and Depu</w:t>
      </w:r>
      <w:r w:rsidR="00706E4B" w:rsidRPr="00706E4B">
        <w:rPr>
          <w:rFonts w:cs="Times New Roman"/>
        </w:rPr>
        <w:t>ty Director of the new team, and</w:t>
      </w:r>
      <w:r w:rsidR="0015766C" w:rsidRPr="00706E4B">
        <w:rPr>
          <w:rFonts w:cs="Times New Roman"/>
        </w:rPr>
        <w:t xml:space="preserve"> briefed on the</w:t>
      </w:r>
      <w:r w:rsidR="005368A4">
        <w:rPr>
          <w:rFonts w:cs="Times New Roman"/>
        </w:rPr>
        <w:t xml:space="preserve"> timeline</w:t>
      </w:r>
      <w:r w:rsidR="00A519FE">
        <w:rPr>
          <w:rFonts w:cs="Times New Roman"/>
        </w:rPr>
        <w:t xml:space="preserve"> for the</w:t>
      </w:r>
      <w:r w:rsidR="0015766C" w:rsidRPr="00706E4B">
        <w:rPr>
          <w:rFonts w:cs="Times New Roman"/>
        </w:rPr>
        <w:t xml:space="preserve"> </w:t>
      </w:r>
      <w:r w:rsidR="009558F9">
        <w:rPr>
          <w:rFonts w:cs="Times New Roman"/>
        </w:rPr>
        <w:t>2017 UNBOA audit plan</w:t>
      </w:r>
      <w:r w:rsidR="0015766C" w:rsidRPr="00706E4B">
        <w:rPr>
          <w:rFonts w:cs="Times New Roman"/>
        </w:rPr>
        <w:t>.</w:t>
      </w:r>
      <w:r w:rsidR="00706E4B" w:rsidRPr="00706E4B">
        <w:rPr>
          <w:rFonts w:cs="Times New Roman"/>
        </w:rPr>
        <w:t xml:space="preserve"> It further noted</w:t>
      </w:r>
      <w:r w:rsidRPr="00706E4B">
        <w:rPr>
          <w:rFonts w:cs="Times New Roman"/>
        </w:rPr>
        <w:t xml:space="preserve"> that the initial assessment conducted by the India team at UNOPS HQ had been concluded as satisfying. </w:t>
      </w:r>
      <w:r w:rsidR="00544418">
        <w:rPr>
          <w:rFonts w:cs="Times New Roman"/>
        </w:rPr>
        <w:t xml:space="preserve">The Committee urged the new team to consider some continuity of team members over the three-year term. </w:t>
      </w:r>
      <w:r w:rsidR="00706E4B" w:rsidRPr="00706E4B">
        <w:rPr>
          <w:rFonts w:cs="Times New Roman"/>
        </w:rPr>
        <w:t>The team, UNOPS and the Committee look forward to further deepen the working relationship.</w:t>
      </w:r>
    </w:p>
    <w:p w:rsidR="0043649A" w:rsidRDefault="0043649A" w:rsidP="006562DE">
      <w:pPr>
        <w:pStyle w:val="Heading1"/>
      </w:pPr>
      <w:bookmarkStart w:id="5" w:name="_Toc478983764"/>
      <w:r w:rsidRPr="00BF6446">
        <w:lastRenderedPageBreak/>
        <w:t>Internal audit</w:t>
      </w:r>
      <w:r w:rsidR="00BD3971">
        <w:t xml:space="preserve"> and investigations</w:t>
      </w:r>
      <w:bookmarkEnd w:id="5"/>
    </w:p>
    <w:p w:rsidR="00685541" w:rsidRPr="00685541" w:rsidRDefault="00685541" w:rsidP="006562DE">
      <w:pPr>
        <w:keepNext/>
      </w:pPr>
    </w:p>
    <w:p w:rsidR="00032190" w:rsidRDefault="0015600F" w:rsidP="006562DE">
      <w:pPr>
        <w:pStyle w:val="ListParagraph"/>
        <w:keepNext/>
        <w:numPr>
          <w:ilvl w:val="0"/>
          <w:numId w:val="4"/>
        </w:numPr>
        <w:tabs>
          <w:tab w:val="left" w:pos="426"/>
        </w:tabs>
        <w:ind w:left="0" w:firstLine="0"/>
        <w:jc w:val="both"/>
        <w:rPr>
          <w:rFonts w:cs="Times New Roman"/>
        </w:rPr>
      </w:pPr>
      <w:r w:rsidRPr="00145512">
        <w:rPr>
          <w:rFonts w:cs="Times New Roman"/>
        </w:rPr>
        <w:t>Pursuant to sections 6.e, 6.f, 6.h</w:t>
      </w:r>
      <w:r w:rsidR="00187176" w:rsidRPr="00145512">
        <w:rPr>
          <w:rFonts w:cs="Times New Roman"/>
        </w:rPr>
        <w:t xml:space="preserve"> of the AAC Terms of Reference, the Committee reviewed and</w:t>
      </w:r>
      <w:r w:rsidR="0033670C" w:rsidRPr="00145512">
        <w:rPr>
          <w:rFonts w:cs="Times New Roman"/>
        </w:rPr>
        <w:t xml:space="preserve"> advised extensively on internal</w:t>
      </w:r>
      <w:r w:rsidR="00103C17" w:rsidRPr="00145512">
        <w:rPr>
          <w:rFonts w:cs="Times New Roman"/>
        </w:rPr>
        <w:t xml:space="preserve"> audit matters.</w:t>
      </w:r>
    </w:p>
    <w:p w:rsidR="00032190" w:rsidRDefault="00032190" w:rsidP="006562DE">
      <w:pPr>
        <w:pStyle w:val="ListParagraph"/>
        <w:keepNext/>
        <w:ind w:left="0"/>
        <w:jc w:val="both"/>
        <w:rPr>
          <w:rFonts w:cs="Times New Roman"/>
        </w:rPr>
      </w:pPr>
    </w:p>
    <w:p w:rsidR="00EA039E" w:rsidRDefault="008F3AF4" w:rsidP="006C1D02">
      <w:pPr>
        <w:pStyle w:val="ListParagraph"/>
        <w:numPr>
          <w:ilvl w:val="0"/>
          <w:numId w:val="4"/>
        </w:numPr>
        <w:tabs>
          <w:tab w:val="left" w:pos="426"/>
        </w:tabs>
        <w:ind w:left="0" w:firstLine="0"/>
        <w:jc w:val="both"/>
        <w:rPr>
          <w:rFonts w:cs="Times New Roman"/>
        </w:rPr>
      </w:pPr>
      <w:r w:rsidRPr="00F232C7">
        <w:rPr>
          <w:rFonts w:cs="Times New Roman"/>
        </w:rPr>
        <w:t>The Committee noted EB decision 2015/13 in which UNOPS, UNDP and UNFPA had been requested to express an audit opinion in the 2015 reports based on the work undertaken during the year. The C</w:t>
      </w:r>
      <w:r w:rsidR="00F531AA">
        <w:rPr>
          <w:rFonts w:cs="Times New Roman"/>
        </w:rPr>
        <w:t>ommittee recognized the value of</w:t>
      </w:r>
      <w:r w:rsidRPr="00F232C7">
        <w:rPr>
          <w:rFonts w:cs="Times New Roman"/>
        </w:rPr>
        <w:t xml:space="preserve"> the provision of an audit opinion from IAIG to the UNOPS management</w:t>
      </w:r>
      <w:r w:rsidR="00AB5525" w:rsidRPr="00F232C7">
        <w:rPr>
          <w:rFonts w:cs="Times New Roman"/>
        </w:rPr>
        <w:t xml:space="preserve"> and noted with appreciation </w:t>
      </w:r>
      <w:r w:rsidRPr="00F232C7">
        <w:rPr>
          <w:rFonts w:cs="Times New Roman"/>
        </w:rPr>
        <w:t xml:space="preserve">that IAIG had liaised with UNOPS General Counsel and UNDP in order to assure compliance with the UN standards for expression of audit opinion. </w:t>
      </w:r>
    </w:p>
    <w:p w:rsidR="00EA039E" w:rsidRDefault="00EA039E" w:rsidP="00EA039E">
      <w:pPr>
        <w:pStyle w:val="ListParagraph"/>
      </w:pPr>
    </w:p>
    <w:p w:rsidR="000D2D2C" w:rsidRDefault="00360352" w:rsidP="006C1D02">
      <w:pPr>
        <w:pStyle w:val="ListParagraph"/>
        <w:numPr>
          <w:ilvl w:val="0"/>
          <w:numId w:val="4"/>
        </w:numPr>
        <w:tabs>
          <w:tab w:val="left" w:pos="426"/>
        </w:tabs>
        <w:ind w:left="0" w:firstLine="0"/>
        <w:jc w:val="both"/>
        <w:rPr>
          <w:rFonts w:cs="Times New Roman"/>
        </w:rPr>
      </w:pPr>
      <w:r w:rsidRPr="00AA6BA3">
        <w:rPr>
          <w:rFonts w:cs="Times New Roman"/>
        </w:rPr>
        <w:t>T</w:t>
      </w:r>
      <w:r w:rsidR="008F3AF4" w:rsidRPr="00AA6BA3">
        <w:rPr>
          <w:rFonts w:cs="Times New Roman"/>
        </w:rPr>
        <w:t>he Committee discussed the evolvement of UNOPS maturity level</w:t>
      </w:r>
      <w:r w:rsidR="00E7430A">
        <w:rPr>
          <w:rFonts w:cs="Times New Roman"/>
        </w:rPr>
        <w:t xml:space="preserve"> over the past years in</w:t>
      </w:r>
      <w:r w:rsidR="008F3AF4" w:rsidRPr="00AA6BA3">
        <w:rPr>
          <w:rFonts w:cs="Times New Roman"/>
        </w:rPr>
        <w:t xml:space="preserve"> internal audit and investigations. It was noted that targeted audits had become more frequent,</w:t>
      </w:r>
      <w:r w:rsidR="00CB0B4C" w:rsidRPr="00AA6BA3">
        <w:rPr>
          <w:rFonts w:cs="Times New Roman"/>
        </w:rPr>
        <w:t xml:space="preserve"> and </w:t>
      </w:r>
      <w:r w:rsidR="008F3AF4" w:rsidRPr="00AA6BA3">
        <w:rPr>
          <w:rFonts w:cs="Times New Roman"/>
        </w:rPr>
        <w:t>that the advisory r</w:t>
      </w:r>
      <w:r w:rsidR="00F232C7" w:rsidRPr="00AA6BA3">
        <w:rPr>
          <w:rFonts w:cs="Times New Roman"/>
        </w:rPr>
        <w:t>ole of IAIG had</w:t>
      </w:r>
      <w:r w:rsidR="00686D6A">
        <w:rPr>
          <w:rFonts w:cs="Times New Roman"/>
        </w:rPr>
        <w:t xml:space="preserve"> gradually</w:t>
      </w:r>
      <w:r w:rsidR="00F232C7" w:rsidRPr="00AA6BA3">
        <w:rPr>
          <w:rFonts w:cs="Times New Roman"/>
        </w:rPr>
        <w:t xml:space="preserve"> expanded, allowing</w:t>
      </w:r>
      <w:r w:rsidR="008F3AF4" w:rsidRPr="00AA6BA3">
        <w:rPr>
          <w:rFonts w:cs="Times New Roman"/>
        </w:rPr>
        <w:t xml:space="preserve"> IAIG to provide proactive support to directors and managers during the entire project cycle.  </w:t>
      </w:r>
      <w:r w:rsidR="00F232C7" w:rsidRPr="00AA6BA3">
        <w:rPr>
          <w:rFonts w:cs="Times New Roman"/>
        </w:rPr>
        <w:t>The Committee further noted that, f</w:t>
      </w:r>
      <w:r w:rsidR="007677E9">
        <w:rPr>
          <w:rFonts w:cs="Times New Roman"/>
        </w:rPr>
        <w:t>ollowing a</w:t>
      </w:r>
      <w:r w:rsidR="008F3AF4" w:rsidRPr="00AA6BA3">
        <w:rPr>
          <w:rFonts w:cs="Times New Roman"/>
        </w:rPr>
        <w:t xml:space="preserve"> peer review of the investigations function of IAIG</w:t>
      </w:r>
      <w:r w:rsidR="00B55078">
        <w:rPr>
          <w:rFonts w:cs="Times New Roman"/>
        </w:rPr>
        <w:t xml:space="preserve"> in 2015</w:t>
      </w:r>
      <w:r w:rsidR="008F3AF4" w:rsidRPr="00AA6BA3">
        <w:rPr>
          <w:rFonts w:cs="Times New Roman"/>
        </w:rPr>
        <w:t>, a recruitment process of an Investigations lawyer had been initiated so to further assure the quality and enforcement of the investigations function of IAIG.</w:t>
      </w:r>
    </w:p>
    <w:p w:rsidR="000D2D2C" w:rsidRDefault="000D2D2C" w:rsidP="000D2D2C">
      <w:pPr>
        <w:pStyle w:val="ListParagraph"/>
      </w:pPr>
    </w:p>
    <w:p w:rsidR="000D2D2C" w:rsidRPr="000D2D2C" w:rsidRDefault="008F3AF4" w:rsidP="006C1D02">
      <w:pPr>
        <w:pStyle w:val="ListParagraph"/>
        <w:numPr>
          <w:ilvl w:val="0"/>
          <w:numId w:val="4"/>
        </w:numPr>
        <w:tabs>
          <w:tab w:val="left" w:pos="426"/>
        </w:tabs>
        <w:ind w:left="0" w:firstLine="0"/>
        <w:jc w:val="both"/>
        <w:rPr>
          <w:rFonts w:cs="Times New Roman"/>
        </w:rPr>
      </w:pPr>
      <w:r w:rsidRPr="000D2D2C">
        <w:rPr>
          <w:rFonts w:cs="Times New Roman"/>
        </w:rPr>
        <w:t>During the year, t</w:t>
      </w:r>
      <w:r w:rsidR="00AA6BA3" w:rsidRPr="000D2D2C">
        <w:rPr>
          <w:rFonts w:cs="Times New Roman"/>
        </w:rPr>
        <w:t xml:space="preserve">he Committee discussed </w:t>
      </w:r>
      <w:r w:rsidR="008455B6" w:rsidRPr="000D2D2C">
        <w:rPr>
          <w:rFonts w:cs="Times New Roman"/>
        </w:rPr>
        <w:t xml:space="preserve">the </w:t>
      </w:r>
      <w:r w:rsidRPr="000D2D2C">
        <w:rPr>
          <w:rFonts w:cs="Times New Roman"/>
        </w:rPr>
        <w:t>ongoing w</w:t>
      </w:r>
      <w:r w:rsidR="0041464D" w:rsidRPr="000D2D2C">
        <w:rPr>
          <w:rFonts w:cs="Times New Roman"/>
        </w:rPr>
        <w:t xml:space="preserve">ork of IAIG </w:t>
      </w:r>
      <w:r w:rsidRPr="000D2D2C">
        <w:rPr>
          <w:rFonts w:cs="Times New Roman"/>
        </w:rPr>
        <w:t>as</w:t>
      </w:r>
      <w:r w:rsidR="0041464D" w:rsidRPr="000D2D2C">
        <w:rPr>
          <w:rFonts w:cs="Times New Roman"/>
        </w:rPr>
        <w:t xml:space="preserve"> well as</w:t>
      </w:r>
      <w:r w:rsidRPr="000D2D2C">
        <w:rPr>
          <w:rFonts w:cs="Times New Roman"/>
        </w:rPr>
        <w:t xml:space="preserve"> the 2017 IAIG Audit work plan. </w:t>
      </w:r>
      <w:r w:rsidR="001048F2" w:rsidRPr="000D2D2C">
        <w:rPr>
          <w:rFonts w:cs="Times New Roman"/>
        </w:rPr>
        <w:t xml:space="preserve">It was highlighted that during 2016 and 2017, IAIG would apply a proactive approach in its </w:t>
      </w:r>
      <w:r w:rsidR="0041464D" w:rsidRPr="000D2D2C">
        <w:rPr>
          <w:rFonts w:cs="Times New Roman"/>
        </w:rPr>
        <w:t xml:space="preserve">audit </w:t>
      </w:r>
      <w:r w:rsidR="001048F2" w:rsidRPr="000D2D2C">
        <w:rPr>
          <w:rFonts w:cs="Times New Roman"/>
        </w:rPr>
        <w:t xml:space="preserve">methodology by </w:t>
      </w:r>
      <w:r w:rsidR="00B90941">
        <w:rPr>
          <w:rFonts w:cs="Times New Roman"/>
        </w:rPr>
        <w:t>using the new ERP system</w:t>
      </w:r>
      <w:r w:rsidR="001048F2" w:rsidRPr="000D2D2C">
        <w:rPr>
          <w:rFonts w:cs="Times New Roman"/>
        </w:rPr>
        <w:t xml:space="preserve">. </w:t>
      </w:r>
      <w:r w:rsidR="0041464D" w:rsidRPr="000D2D2C">
        <w:rPr>
          <w:rFonts w:cs="Times New Roman"/>
        </w:rPr>
        <w:t>In this context, t</w:t>
      </w:r>
      <w:r w:rsidR="00202511">
        <w:rPr>
          <w:rFonts w:cs="Times New Roman"/>
        </w:rPr>
        <w:t>he Committee noted</w:t>
      </w:r>
      <w:r w:rsidR="0017473C" w:rsidRPr="000D2D2C">
        <w:rPr>
          <w:rFonts w:cs="Times New Roman"/>
        </w:rPr>
        <w:t xml:space="preserve"> </w:t>
      </w:r>
      <w:r w:rsidR="0011661C">
        <w:rPr>
          <w:rFonts w:cs="Times New Roman"/>
        </w:rPr>
        <w:t>that management had prioritized reserves for a</w:t>
      </w:r>
      <w:r w:rsidR="00B42865">
        <w:rPr>
          <w:rFonts w:cs="Times New Roman"/>
        </w:rPr>
        <w:t>n</w:t>
      </w:r>
      <w:r w:rsidR="0011661C">
        <w:rPr>
          <w:rFonts w:cs="Times New Roman"/>
        </w:rPr>
        <w:t xml:space="preserve"> </w:t>
      </w:r>
      <w:r w:rsidR="0017473C" w:rsidRPr="000D2D2C">
        <w:rPr>
          <w:rFonts w:cs="Times New Roman"/>
        </w:rPr>
        <w:t xml:space="preserve">IAIG data analytics tool which had been developed for the purpose of providing a more holistic and continuous approach to analyse transactional data in oneUNOPS. </w:t>
      </w:r>
    </w:p>
    <w:p w:rsidR="000D2D2C" w:rsidRDefault="000D2D2C" w:rsidP="000D2D2C">
      <w:pPr>
        <w:pStyle w:val="ListParagraph"/>
      </w:pPr>
    </w:p>
    <w:p w:rsidR="00267E1A" w:rsidRDefault="000D2D2C" w:rsidP="006C1D02">
      <w:pPr>
        <w:pStyle w:val="ListParagraph"/>
        <w:numPr>
          <w:ilvl w:val="0"/>
          <w:numId w:val="4"/>
        </w:numPr>
        <w:tabs>
          <w:tab w:val="left" w:pos="426"/>
        </w:tabs>
        <w:ind w:left="0" w:firstLine="0"/>
        <w:jc w:val="both"/>
        <w:rPr>
          <w:rFonts w:cs="Times New Roman"/>
        </w:rPr>
      </w:pPr>
      <w:r w:rsidRPr="000D2D2C">
        <w:rPr>
          <w:rFonts w:cs="Times New Roman"/>
        </w:rPr>
        <w:t xml:space="preserve">The Committee also noted that IAIG would continue its engagement with </w:t>
      </w:r>
      <w:r w:rsidR="008F3AF4" w:rsidRPr="000D2D2C">
        <w:rPr>
          <w:rFonts w:cs="Times New Roman"/>
        </w:rPr>
        <w:t xml:space="preserve">the Governance, Risk and Compliance team in an ex-oficio role so to focus efforts on specific functional and process areas where non-compliance is expected to pose the highest risks. The Committee commended IAIG for taking a proactive approach in its work during 2016 </w:t>
      </w:r>
      <w:r>
        <w:rPr>
          <w:rFonts w:cs="Times New Roman"/>
        </w:rPr>
        <w:t xml:space="preserve">and 2017 </w:t>
      </w:r>
      <w:r w:rsidR="008F3AF4" w:rsidRPr="000D2D2C">
        <w:rPr>
          <w:rFonts w:cs="Times New Roman"/>
        </w:rPr>
        <w:t xml:space="preserve">as well as taking advantage of the new technology and risk management introduced to UNOPS. </w:t>
      </w:r>
    </w:p>
    <w:p w:rsidR="00267E1A" w:rsidRDefault="00267E1A" w:rsidP="00267E1A">
      <w:pPr>
        <w:pStyle w:val="ListParagraph"/>
      </w:pPr>
    </w:p>
    <w:p w:rsidR="008F3AF4" w:rsidRPr="00267E1A" w:rsidRDefault="00D160C1" w:rsidP="006C1D02">
      <w:pPr>
        <w:pStyle w:val="ListParagraph"/>
        <w:numPr>
          <w:ilvl w:val="0"/>
          <w:numId w:val="4"/>
        </w:numPr>
        <w:tabs>
          <w:tab w:val="left" w:pos="426"/>
        </w:tabs>
        <w:ind w:left="0" w:firstLine="0"/>
        <w:jc w:val="both"/>
        <w:rPr>
          <w:rFonts w:cs="Times New Roman"/>
        </w:rPr>
      </w:pPr>
      <w:r w:rsidRPr="00267E1A">
        <w:t>The Committee noted that UNOPS has maintained high implementation rate</w:t>
      </w:r>
      <w:r w:rsidR="00267E1A">
        <w:t xml:space="preserve"> of internal audit </w:t>
      </w:r>
      <w:r w:rsidRPr="00267E1A">
        <w:t xml:space="preserve">recommendations </w:t>
      </w:r>
      <w:r w:rsidR="00267E1A" w:rsidRPr="00267E1A">
        <w:t>in the past years. In addition, the Committee noted with appreciation the lowest number ever of internal audit recommendations open for more than 18 months</w:t>
      </w:r>
      <w:r w:rsidRPr="00267E1A">
        <w:t xml:space="preserve"> </w:t>
      </w:r>
      <w:r w:rsidR="00267E1A">
        <w:t xml:space="preserve">at the end of 2016. </w:t>
      </w:r>
    </w:p>
    <w:p w:rsidR="009830B4" w:rsidRDefault="009830B4" w:rsidP="00396850">
      <w:pPr>
        <w:pStyle w:val="Heading1"/>
      </w:pPr>
      <w:bookmarkStart w:id="6" w:name="_Toc443501750"/>
      <w:bookmarkStart w:id="7" w:name="_Toc478983765"/>
      <w:bookmarkEnd w:id="6"/>
      <w:r>
        <w:t>Ethics</w:t>
      </w:r>
      <w:bookmarkEnd w:id="7"/>
    </w:p>
    <w:p w:rsidR="00685541" w:rsidRPr="00685541" w:rsidRDefault="00685541" w:rsidP="00685541"/>
    <w:p w:rsidR="003B5F52" w:rsidRDefault="00236666" w:rsidP="006C1D02">
      <w:pPr>
        <w:pStyle w:val="ListParagraph"/>
        <w:numPr>
          <w:ilvl w:val="0"/>
          <w:numId w:val="4"/>
        </w:numPr>
        <w:tabs>
          <w:tab w:val="left" w:pos="426"/>
        </w:tabs>
        <w:ind w:left="0" w:firstLine="0"/>
        <w:jc w:val="both"/>
      </w:pPr>
      <w:r w:rsidRPr="00DC5764">
        <w:t xml:space="preserve">Pursuant to </w:t>
      </w:r>
      <w:r w:rsidR="00DC5764" w:rsidRPr="00DC5764">
        <w:t>section 6.b of the AAC Terms of Reference, the Committee reviewed and advised on Activities of the UNOPS Ethics Office (</w:t>
      </w:r>
      <w:r w:rsidR="00BC47B5" w:rsidRPr="00960FAB">
        <w:rPr>
          <w:rFonts w:cs="Times New Roman"/>
        </w:rPr>
        <w:t>DP/OPS/2016/4</w:t>
      </w:r>
      <w:r w:rsidR="00DC5764" w:rsidRPr="00DC5764">
        <w:t>), the UNOPS fraud and corruption prevention policy, ethics function including code of ethics, and whistle blower policy.</w:t>
      </w:r>
    </w:p>
    <w:p w:rsidR="003B5F52" w:rsidRDefault="003B5F52" w:rsidP="00217B9C">
      <w:pPr>
        <w:pStyle w:val="ListParagraph"/>
        <w:ind w:left="0"/>
        <w:jc w:val="both"/>
      </w:pPr>
    </w:p>
    <w:p w:rsidR="00DA6C35" w:rsidRDefault="00717B59" w:rsidP="006C1D02">
      <w:pPr>
        <w:pStyle w:val="ListParagraph"/>
        <w:numPr>
          <w:ilvl w:val="0"/>
          <w:numId w:val="4"/>
        </w:numPr>
        <w:tabs>
          <w:tab w:val="left" w:pos="426"/>
        </w:tabs>
        <w:ind w:left="0" w:firstLine="0"/>
        <w:jc w:val="both"/>
      </w:pPr>
      <w:r>
        <w:t xml:space="preserve">The Committee discussed the 2015 Annual Report of the Ethics Office and the results of the </w:t>
      </w:r>
      <w:r w:rsidRPr="00EC76CC">
        <w:t>Ethics, Integrity and Anti-Fraud Survey</w:t>
      </w:r>
      <w:r>
        <w:t xml:space="preserve"> for the same year.</w:t>
      </w:r>
      <w:r w:rsidR="00592A73">
        <w:t xml:space="preserve"> The Annual Report</w:t>
      </w:r>
      <w:r w:rsidR="00592A73" w:rsidRPr="00592A73">
        <w:t xml:space="preserve"> highlighted that the number of referrals to the UNOPS Ethics office has remained th</w:t>
      </w:r>
      <w:r w:rsidR="00592A73">
        <w:t>e same for the past five years, however noticing that th</w:t>
      </w:r>
      <w:r w:rsidR="00DF2809">
        <w:t xml:space="preserve">e Office receives a </w:t>
      </w:r>
      <w:r w:rsidR="00592A73">
        <w:t xml:space="preserve">number of HR related </w:t>
      </w:r>
      <w:r w:rsidR="00DF2809">
        <w:t>referrals</w:t>
      </w:r>
      <w:r w:rsidR="007C7D8A">
        <w:t>, which</w:t>
      </w:r>
      <w:r w:rsidR="00CC6EE9">
        <w:t xml:space="preserve"> </w:t>
      </w:r>
      <w:r w:rsidR="00DF2809">
        <w:t>may be better</w:t>
      </w:r>
      <w:r w:rsidR="00CC6EE9" w:rsidRPr="00CC6EE9">
        <w:t xml:space="preserve"> directed to </w:t>
      </w:r>
      <w:r w:rsidR="007C7D8A">
        <w:t xml:space="preserve">the </w:t>
      </w:r>
      <w:r w:rsidR="00CC6EE9" w:rsidRPr="00CC6EE9">
        <w:t>People and Change Group</w:t>
      </w:r>
      <w:r w:rsidR="00592A73">
        <w:t>. It was also noted that i</w:t>
      </w:r>
      <w:r w:rsidR="00855550">
        <w:t>n 2016, the Ethics Office would be</w:t>
      </w:r>
      <w:r w:rsidR="00592A73" w:rsidRPr="00592A73">
        <w:t xml:space="preserve"> aiming to </w:t>
      </w:r>
      <w:r w:rsidR="00592A73">
        <w:t>achieve higher efficiency in its</w:t>
      </w:r>
      <w:r w:rsidR="00592A73" w:rsidRPr="00592A73">
        <w:t xml:space="preserve"> review of t</w:t>
      </w:r>
      <w:r w:rsidR="005D6C22">
        <w:t xml:space="preserve">he financial disclosure program, and give added emphasis on revealing potential conflicts of interest. </w:t>
      </w:r>
    </w:p>
    <w:p w:rsidR="00DA6C35" w:rsidRDefault="00DA6C35" w:rsidP="00DA6C35">
      <w:pPr>
        <w:pStyle w:val="ListParagraph"/>
      </w:pPr>
    </w:p>
    <w:p w:rsidR="00592A73" w:rsidRDefault="00DA6C35" w:rsidP="006C1D02">
      <w:pPr>
        <w:pStyle w:val="ListParagraph"/>
        <w:numPr>
          <w:ilvl w:val="0"/>
          <w:numId w:val="4"/>
        </w:numPr>
        <w:tabs>
          <w:tab w:val="left" w:pos="426"/>
        </w:tabs>
        <w:ind w:left="0" w:firstLine="0"/>
        <w:jc w:val="both"/>
      </w:pPr>
      <w:r>
        <w:t xml:space="preserve">In the context of the </w:t>
      </w:r>
      <w:r w:rsidRPr="00DA6C35">
        <w:t>Ethics, Integrity and Anti-Fraud Survey</w:t>
      </w:r>
      <w:r>
        <w:t>, t</w:t>
      </w:r>
      <w:r w:rsidR="00C86124">
        <w:t xml:space="preserve">he Committee noted that the UNOPS </w:t>
      </w:r>
      <w:r w:rsidR="00717B59" w:rsidRPr="00EC76CC">
        <w:t xml:space="preserve">culture and personnel management </w:t>
      </w:r>
      <w:r w:rsidR="00C86124">
        <w:t>had been a central topic in various senior management meetings and in the Corporate Operations Gr</w:t>
      </w:r>
      <w:r w:rsidR="006968C1">
        <w:t>oup retreat in 2016 and had been</w:t>
      </w:r>
      <w:r w:rsidR="00C86124">
        <w:t xml:space="preserve"> </w:t>
      </w:r>
      <w:r w:rsidR="00C86124" w:rsidRPr="00C86124">
        <w:t>further highlighted in t</w:t>
      </w:r>
      <w:r w:rsidR="00C86124">
        <w:t>he Midterm r</w:t>
      </w:r>
      <w:r w:rsidR="000935DB">
        <w:t>eview of the Strategic P</w:t>
      </w:r>
      <w:r w:rsidR="00C86124" w:rsidRPr="00C86124">
        <w:t>lan</w:t>
      </w:r>
      <w:r w:rsidR="000935DB">
        <w:t xml:space="preserve"> 2014-2017</w:t>
      </w:r>
      <w:r w:rsidR="00C86124" w:rsidRPr="00C86124">
        <w:t>.</w:t>
      </w:r>
      <w:r w:rsidR="00592A73">
        <w:t xml:space="preserve"> </w:t>
      </w:r>
      <w:r w:rsidR="00717B59" w:rsidRPr="00223AFF">
        <w:t>The Committee was</w:t>
      </w:r>
      <w:r w:rsidR="001759B1">
        <w:t xml:space="preserve"> further</w:t>
      </w:r>
      <w:r w:rsidR="00717B59" w:rsidRPr="00223AFF">
        <w:t xml:space="preserve"> informed of the new PRA/PER system in the </w:t>
      </w:r>
      <w:r w:rsidR="00B048A2" w:rsidRPr="00223AFF">
        <w:lastRenderedPageBreak/>
        <w:t>organization</w:t>
      </w:r>
      <w:r w:rsidR="00B048A2">
        <w:t>, which</w:t>
      </w:r>
      <w:r w:rsidR="00717B59" w:rsidRPr="00223AFF">
        <w:t xml:space="preserve"> </w:t>
      </w:r>
      <w:r w:rsidR="001759B1">
        <w:t xml:space="preserve">had </w:t>
      </w:r>
      <w:r w:rsidR="00717B59" w:rsidRPr="00223AFF">
        <w:t xml:space="preserve">been restructured </w:t>
      </w:r>
      <w:r w:rsidR="003B5F52">
        <w:t>to reflect</w:t>
      </w:r>
      <w:r w:rsidR="00717B59" w:rsidRPr="00223AFF">
        <w:t xml:space="preserve"> a five-point scale so to provide a more detailed and realistic performance assessment of the UNOPS personnel compared to the previous three-point scale. </w:t>
      </w:r>
    </w:p>
    <w:p w:rsidR="000B7D75" w:rsidRDefault="000B7D75" w:rsidP="00685541">
      <w:pPr>
        <w:pStyle w:val="Heading1"/>
      </w:pPr>
      <w:bookmarkStart w:id="8" w:name="_Toc478983766"/>
      <w:r w:rsidRPr="00B41DAA">
        <w:t>Financial matters</w:t>
      </w:r>
      <w:bookmarkEnd w:id="8"/>
      <w:r w:rsidR="00592C3D" w:rsidRPr="00B41DAA">
        <w:t xml:space="preserve"> </w:t>
      </w:r>
    </w:p>
    <w:p w:rsidR="00685541" w:rsidRPr="00685541" w:rsidRDefault="00685541" w:rsidP="00685541">
      <w:pPr>
        <w:keepNext/>
      </w:pPr>
    </w:p>
    <w:p w:rsidR="00724E7A" w:rsidRDefault="00516A47" w:rsidP="00685541">
      <w:pPr>
        <w:pStyle w:val="ListParagraph"/>
        <w:keepNext/>
        <w:numPr>
          <w:ilvl w:val="0"/>
          <w:numId w:val="4"/>
        </w:numPr>
        <w:tabs>
          <w:tab w:val="left" w:pos="426"/>
        </w:tabs>
        <w:ind w:left="0" w:firstLine="0"/>
        <w:jc w:val="both"/>
        <w:rPr>
          <w:rFonts w:cs="Times New Roman"/>
        </w:rPr>
      </w:pPr>
      <w:r w:rsidRPr="00145512">
        <w:rPr>
          <w:rFonts w:cs="Times New Roman"/>
        </w:rPr>
        <w:t>Pursuant to secti</w:t>
      </w:r>
      <w:r w:rsidR="00681475" w:rsidRPr="00145512">
        <w:rPr>
          <w:rFonts w:cs="Times New Roman"/>
        </w:rPr>
        <w:t xml:space="preserve">ons 6.c and </w:t>
      </w:r>
      <w:r w:rsidR="00812ED0" w:rsidRPr="00145512">
        <w:rPr>
          <w:rFonts w:cs="Times New Roman"/>
        </w:rPr>
        <w:t xml:space="preserve">6.d of the </w:t>
      </w:r>
      <w:r w:rsidRPr="00145512">
        <w:rPr>
          <w:rFonts w:cs="Times New Roman"/>
        </w:rPr>
        <w:t xml:space="preserve">AAC Terms of Reference </w:t>
      </w:r>
      <w:r w:rsidR="006042BE" w:rsidRPr="00145512">
        <w:rPr>
          <w:rFonts w:cs="Times New Roman"/>
        </w:rPr>
        <w:t>th</w:t>
      </w:r>
      <w:r w:rsidR="00A52D3E" w:rsidRPr="00145512">
        <w:rPr>
          <w:rFonts w:cs="Times New Roman"/>
        </w:rPr>
        <w:t>e Committee</w:t>
      </w:r>
      <w:r w:rsidR="006042BE" w:rsidRPr="00145512">
        <w:rPr>
          <w:rFonts w:cs="Times New Roman"/>
        </w:rPr>
        <w:t xml:space="preserve"> a</w:t>
      </w:r>
      <w:r w:rsidRPr="00145512">
        <w:rPr>
          <w:rFonts w:cs="Times New Roman"/>
        </w:rPr>
        <w:t xml:space="preserve">dvised on financial matters and </w:t>
      </w:r>
      <w:r w:rsidR="006042BE" w:rsidRPr="00145512">
        <w:rPr>
          <w:rFonts w:cs="Times New Roman"/>
        </w:rPr>
        <w:t>reporting.</w:t>
      </w:r>
    </w:p>
    <w:p w:rsidR="00724E7A" w:rsidRDefault="00724E7A" w:rsidP="00685541">
      <w:pPr>
        <w:pStyle w:val="ListParagraph"/>
        <w:keepNext/>
        <w:ind w:left="0"/>
        <w:jc w:val="both"/>
        <w:rPr>
          <w:rFonts w:cs="Times New Roman"/>
        </w:rPr>
      </w:pPr>
    </w:p>
    <w:p w:rsidR="00724E7A" w:rsidRPr="00724E7A" w:rsidRDefault="002D796C" w:rsidP="006C1D02">
      <w:pPr>
        <w:pStyle w:val="ListParagraph"/>
        <w:numPr>
          <w:ilvl w:val="0"/>
          <w:numId w:val="4"/>
        </w:numPr>
        <w:tabs>
          <w:tab w:val="left" w:pos="426"/>
        </w:tabs>
        <w:ind w:left="0" w:firstLine="0"/>
        <w:jc w:val="both"/>
        <w:rPr>
          <w:rFonts w:cs="Times New Roman"/>
        </w:rPr>
      </w:pPr>
      <w:r>
        <w:t>The Committee commended UNOPS for</w:t>
      </w:r>
      <w:r w:rsidR="00754880">
        <w:t xml:space="preserve"> the 2015 prelimi</w:t>
      </w:r>
      <w:r w:rsidR="00A370F2">
        <w:t xml:space="preserve">nary financial results </w:t>
      </w:r>
      <w:r>
        <w:t>which indicated</w:t>
      </w:r>
      <w:r w:rsidR="00754880">
        <w:t xml:space="preserve"> </w:t>
      </w:r>
      <w:r w:rsidR="00754880" w:rsidRPr="00CC4F40">
        <w:t xml:space="preserve">a strong </w:t>
      </w:r>
      <w:r>
        <w:t xml:space="preserve">financial </w:t>
      </w:r>
      <w:r w:rsidR="007A6286">
        <w:t>year for the organization</w:t>
      </w:r>
      <w:r w:rsidR="00754880" w:rsidRPr="00CC4F40">
        <w:t xml:space="preserve">. </w:t>
      </w:r>
      <w:r w:rsidR="00E45696">
        <w:t>It further</w:t>
      </w:r>
      <w:r w:rsidR="00754880" w:rsidRPr="00CC4F40">
        <w:t xml:space="preserve"> highlighted that the corporate performance review is an essential process for UNOPS which supports the organization to systematically monitor and manage both financial performance and risks. </w:t>
      </w:r>
    </w:p>
    <w:p w:rsidR="00724E7A" w:rsidRDefault="00724E7A" w:rsidP="00724E7A">
      <w:pPr>
        <w:pStyle w:val="ListParagraph"/>
      </w:pPr>
    </w:p>
    <w:p w:rsidR="00396850" w:rsidRPr="00396850" w:rsidRDefault="00E45696" w:rsidP="006C1D02">
      <w:pPr>
        <w:pStyle w:val="ListParagraph"/>
        <w:numPr>
          <w:ilvl w:val="0"/>
          <w:numId w:val="4"/>
        </w:numPr>
        <w:tabs>
          <w:tab w:val="left" w:pos="426"/>
        </w:tabs>
        <w:ind w:left="0" w:firstLine="0"/>
        <w:jc w:val="both"/>
        <w:rPr>
          <w:rFonts w:cs="Times New Roman"/>
        </w:rPr>
      </w:pPr>
      <w:r>
        <w:t xml:space="preserve">The Committee further discussed and commended the </w:t>
      </w:r>
      <w:r w:rsidR="00754880" w:rsidRPr="00CC4F40">
        <w:t>organization</w:t>
      </w:r>
      <w:r>
        <w:t>’s</w:t>
      </w:r>
      <w:r w:rsidR="00A370F2">
        <w:t xml:space="preserve"> improved </w:t>
      </w:r>
      <w:r w:rsidR="00754880" w:rsidRPr="00CC4F40">
        <w:t xml:space="preserve">ability to make appropriate financial projections and </w:t>
      </w:r>
      <w:r>
        <w:t xml:space="preserve">to manage risks in partner and business </w:t>
      </w:r>
      <w:r w:rsidR="00AD2E20">
        <w:t>related changes</w:t>
      </w:r>
      <w:r>
        <w:t xml:space="preserve"> while sustaining growth. It also discussed how </w:t>
      </w:r>
      <w:r w:rsidR="00754880">
        <w:t>th</w:t>
      </w:r>
      <w:r w:rsidR="007235D3">
        <w:t xml:space="preserve">e new ERP system could support the UNOPS Finance Group </w:t>
      </w:r>
      <w:r w:rsidR="00754880">
        <w:t>in preparing the year-end financial review and facilitate further analysis of financial results in the future, e.g. cost patt</w:t>
      </w:r>
      <w:r w:rsidR="0032296D">
        <w:t xml:space="preserve">ern by type of revenue. </w:t>
      </w:r>
      <w:r w:rsidR="007D73AC">
        <w:t xml:space="preserve">The Committee noted management’s attention to enhance use of internal data for performance management and business intelligence, including </w:t>
      </w:r>
      <w:r w:rsidR="00754880">
        <w:t>auto</w:t>
      </w:r>
      <w:r w:rsidR="007D73AC">
        <w:t>mation of</w:t>
      </w:r>
      <w:r w:rsidR="00754880">
        <w:t xml:space="preserve"> corporate performance reviews and reporting via the ERP system.</w:t>
      </w:r>
    </w:p>
    <w:p w:rsidR="00396850" w:rsidRDefault="00396850" w:rsidP="00396850">
      <w:pPr>
        <w:pStyle w:val="ListParagraph"/>
      </w:pPr>
    </w:p>
    <w:p w:rsidR="00724E7A" w:rsidRPr="00396850" w:rsidRDefault="00754880" w:rsidP="006C1D02">
      <w:pPr>
        <w:pStyle w:val="ListParagraph"/>
        <w:numPr>
          <w:ilvl w:val="0"/>
          <w:numId w:val="4"/>
        </w:numPr>
        <w:tabs>
          <w:tab w:val="left" w:pos="426"/>
        </w:tabs>
        <w:ind w:left="0" w:firstLine="0"/>
        <w:jc w:val="both"/>
        <w:rPr>
          <w:rFonts w:cs="Times New Roman"/>
        </w:rPr>
      </w:pPr>
      <w:r>
        <w:t xml:space="preserve">The Committee noted that </w:t>
      </w:r>
      <w:r w:rsidRPr="007B0F31">
        <w:t xml:space="preserve">the </w:t>
      </w:r>
      <w:r w:rsidR="007B0F31" w:rsidRPr="007B0F31">
        <w:t xml:space="preserve">audited financial </w:t>
      </w:r>
      <w:r w:rsidRPr="007B0F31">
        <w:t xml:space="preserve">statements </w:t>
      </w:r>
      <w:r w:rsidR="007B0F31" w:rsidRPr="007B0F31">
        <w:t xml:space="preserve">for 2015 </w:t>
      </w:r>
      <w:r w:rsidR="007D73AC">
        <w:t xml:space="preserve">were </w:t>
      </w:r>
      <w:r>
        <w:t>issued with an unqualified audit opinion, supporting the impression of the strength and quality of the UNOPS financial statements.</w:t>
      </w:r>
      <w:r w:rsidR="00A362BF">
        <w:t xml:space="preserve"> </w:t>
      </w:r>
      <w:r w:rsidR="0032296D">
        <w:t>T</w:t>
      </w:r>
      <w:r w:rsidRPr="00A67E02">
        <w:t>he Committee</w:t>
      </w:r>
      <w:r w:rsidR="0032296D">
        <w:t xml:space="preserve"> also noted</w:t>
      </w:r>
      <w:r w:rsidRPr="00A67E02">
        <w:t xml:space="preserve"> that 2015 was the final year of IPSAS </w:t>
      </w:r>
      <w:r w:rsidR="00D910D1">
        <w:t>implementation and that PP&amp;E had</w:t>
      </w:r>
      <w:r w:rsidRPr="00A67E02">
        <w:t xml:space="preserve"> been brought onto the balance sheet.</w:t>
      </w:r>
      <w:r>
        <w:t xml:space="preserve"> </w:t>
      </w:r>
      <w:r w:rsidR="009E6F2B">
        <w:t xml:space="preserve">The Committee notes the UNBOA suggestion that UNOPS, </w:t>
      </w:r>
      <w:r w:rsidR="009E6F2B" w:rsidRPr="009E6F2B">
        <w:t>with a view to the risk and liabilities of its operations</w:t>
      </w:r>
      <w:r w:rsidR="009E6F2B">
        <w:t xml:space="preserve">, may consider setting reserve levels on a more strategic basis.  </w:t>
      </w:r>
      <w:r w:rsidR="007A6AA6" w:rsidRPr="007A6AA6">
        <w:t xml:space="preserve">The Committee </w:t>
      </w:r>
      <w:r w:rsidR="007A6AA6">
        <w:t>concurs with t</w:t>
      </w:r>
      <w:r w:rsidR="007A6AA6" w:rsidRPr="007A6AA6">
        <w:t xml:space="preserve">he importance </w:t>
      </w:r>
      <w:r w:rsidR="007A6AA6">
        <w:t xml:space="preserve">for UNOPS </w:t>
      </w:r>
      <w:r w:rsidR="001C64C3">
        <w:t>of having an explicitly</w:t>
      </w:r>
      <w:r w:rsidR="007A6AA6" w:rsidRPr="007A6AA6">
        <w:t xml:space="preserve"> articulated position on</w:t>
      </w:r>
      <w:r w:rsidR="007A6AA6">
        <w:t xml:space="preserve"> the strategic use of its </w:t>
      </w:r>
      <w:r w:rsidR="007A6AA6" w:rsidRPr="007A6AA6">
        <w:t>operational reserves.</w:t>
      </w:r>
    </w:p>
    <w:p w:rsidR="00724E7A" w:rsidRDefault="00724E7A" w:rsidP="00724E7A">
      <w:pPr>
        <w:pStyle w:val="ListParagraph"/>
      </w:pPr>
    </w:p>
    <w:p w:rsidR="00651575" w:rsidRPr="00DD5ADE" w:rsidRDefault="00754880" w:rsidP="006C1D02">
      <w:pPr>
        <w:pStyle w:val="ListParagraph"/>
        <w:numPr>
          <w:ilvl w:val="0"/>
          <w:numId w:val="4"/>
        </w:numPr>
        <w:tabs>
          <w:tab w:val="left" w:pos="426"/>
        </w:tabs>
        <w:ind w:left="0" w:firstLine="0"/>
        <w:jc w:val="both"/>
        <w:rPr>
          <w:rFonts w:cs="Times New Roman"/>
        </w:rPr>
      </w:pPr>
      <w:r>
        <w:t xml:space="preserve">UNBOA </w:t>
      </w:r>
      <w:r w:rsidR="0064184B">
        <w:t xml:space="preserve">commended </w:t>
      </w:r>
      <w:r>
        <w:t xml:space="preserve">the implementation progress </w:t>
      </w:r>
      <w:r w:rsidR="007235D3">
        <w:t>of o</w:t>
      </w:r>
      <w:r w:rsidR="00135854">
        <w:t xml:space="preserve">neUNOPS, </w:t>
      </w:r>
      <w:r w:rsidR="007235D3">
        <w:t>highlighting that it would enhance the organization’s</w:t>
      </w:r>
      <w:r w:rsidR="00AD2E20">
        <w:t xml:space="preserve"> internal controls. </w:t>
      </w:r>
      <w:r>
        <w:t>UNBOA appreciated the fruitful collaboration with IAIG during 2015 in assuring consistency in reports and c</w:t>
      </w:r>
      <w:r w:rsidR="0064184B">
        <w:t>o</w:t>
      </w:r>
      <w:r w:rsidR="00366E44">
        <w:t>nclusions</w:t>
      </w:r>
      <w:r>
        <w:t xml:space="preserve">. The Committee </w:t>
      </w:r>
      <w:r w:rsidR="004B6D26">
        <w:t xml:space="preserve">noted the UNBOA opinion </w:t>
      </w:r>
      <w:r>
        <w:t>that the work of IAIG serves as an important and effective component within the internal control framework</w:t>
      </w:r>
      <w:r w:rsidR="004B6D26">
        <w:t>.</w:t>
      </w:r>
      <w:r w:rsidR="00135854">
        <w:t xml:space="preserve"> The Committee also noted with appreciation t</w:t>
      </w:r>
      <w:r w:rsidR="0003754D">
        <w:t>he successful recruitment of a</w:t>
      </w:r>
      <w:r w:rsidR="00135854">
        <w:t xml:space="preserve"> new CFO</w:t>
      </w:r>
      <w:r w:rsidR="0003754D">
        <w:t>.</w:t>
      </w:r>
    </w:p>
    <w:p w:rsidR="00EC13C6" w:rsidRDefault="00FD7DD4" w:rsidP="00396850">
      <w:pPr>
        <w:pStyle w:val="Heading1"/>
      </w:pPr>
      <w:bookmarkStart w:id="9" w:name="_Toc478983767"/>
      <w:r w:rsidRPr="007E66EC">
        <w:t>Risk management systems</w:t>
      </w:r>
      <w:bookmarkEnd w:id="9"/>
    </w:p>
    <w:p w:rsidR="00685541" w:rsidRPr="00685541" w:rsidRDefault="00685541" w:rsidP="00685541"/>
    <w:p w:rsidR="004013C6" w:rsidRDefault="00FD7DD4" w:rsidP="006C1D02">
      <w:pPr>
        <w:pStyle w:val="ListParagraph"/>
        <w:numPr>
          <w:ilvl w:val="0"/>
          <w:numId w:val="4"/>
        </w:numPr>
        <w:tabs>
          <w:tab w:val="left" w:pos="426"/>
        </w:tabs>
        <w:ind w:left="0" w:firstLine="0"/>
        <w:jc w:val="both"/>
        <w:rPr>
          <w:rFonts w:cs="Times New Roman"/>
        </w:rPr>
      </w:pPr>
      <w:r w:rsidRPr="00EC13C6">
        <w:rPr>
          <w:rFonts w:cs="Times New Roman"/>
        </w:rPr>
        <w:t>Pursuant to section 6.</w:t>
      </w:r>
      <w:proofErr w:type="spellStart"/>
      <w:r w:rsidRPr="00EC13C6">
        <w:rPr>
          <w:rFonts w:cs="Times New Roman"/>
        </w:rPr>
        <w:t>a</w:t>
      </w:r>
      <w:proofErr w:type="spellEnd"/>
      <w:r w:rsidRPr="00EC13C6">
        <w:rPr>
          <w:rFonts w:cs="Times New Roman"/>
        </w:rPr>
        <w:t xml:space="preserve"> of the AAC Terms of Reference, the Committee reviewed and advised on the development and soundness of UNOPS Risk Management Systems</w:t>
      </w:r>
      <w:r w:rsidR="00D326E5">
        <w:rPr>
          <w:rFonts w:cs="Times New Roman"/>
        </w:rPr>
        <w:t xml:space="preserve"> as per </w:t>
      </w:r>
      <w:r w:rsidR="001B4268" w:rsidRPr="0025220B">
        <w:rPr>
          <w:rFonts w:cs="Times New Roman"/>
        </w:rPr>
        <w:t xml:space="preserve">UNOPS Financial </w:t>
      </w:r>
      <w:r w:rsidR="00112F4C">
        <w:rPr>
          <w:rFonts w:cs="Times New Roman"/>
        </w:rPr>
        <w:t>Regulations and Rules</w:t>
      </w:r>
      <w:r w:rsidR="001B4268" w:rsidRPr="0025220B">
        <w:rPr>
          <w:rFonts w:cs="Times New Roman"/>
        </w:rPr>
        <w:t xml:space="preserve">, </w:t>
      </w:r>
      <w:r w:rsidR="00644543">
        <w:rPr>
          <w:rFonts w:cs="Times New Roman"/>
        </w:rPr>
        <w:t>A</w:t>
      </w:r>
      <w:r w:rsidR="0025220B" w:rsidRPr="0025220B">
        <w:rPr>
          <w:rFonts w:cs="Times New Roman"/>
        </w:rPr>
        <w:t>rticle 4</w:t>
      </w:r>
      <w:r w:rsidR="007B3072">
        <w:rPr>
          <w:rFonts w:cs="Times New Roman"/>
        </w:rPr>
        <w:t xml:space="preserve">, Rule </w:t>
      </w:r>
      <w:r w:rsidR="0025220B" w:rsidRPr="0025220B">
        <w:rPr>
          <w:rFonts w:cs="Times New Roman"/>
        </w:rPr>
        <w:t>104.03</w:t>
      </w:r>
      <w:r w:rsidRPr="00EC13C6">
        <w:rPr>
          <w:rFonts w:cs="Times New Roman"/>
        </w:rPr>
        <w:t>.</w:t>
      </w:r>
    </w:p>
    <w:p w:rsidR="004013C6" w:rsidRDefault="004013C6" w:rsidP="004013C6">
      <w:pPr>
        <w:pStyle w:val="ListParagraph"/>
        <w:ind w:left="0"/>
        <w:jc w:val="both"/>
        <w:rPr>
          <w:rFonts w:cs="Times New Roman"/>
        </w:rPr>
      </w:pPr>
    </w:p>
    <w:p w:rsidR="004013C6" w:rsidRPr="004013C6" w:rsidRDefault="00213756" w:rsidP="006C1D02">
      <w:pPr>
        <w:pStyle w:val="ListParagraph"/>
        <w:numPr>
          <w:ilvl w:val="0"/>
          <w:numId w:val="4"/>
        </w:numPr>
        <w:tabs>
          <w:tab w:val="left" w:pos="426"/>
        </w:tabs>
        <w:ind w:left="0" w:firstLine="0"/>
        <w:jc w:val="both"/>
        <w:rPr>
          <w:rFonts w:cs="Times New Roman"/>
        </w:rPr>
      </w:pPr>
      <w:r>
        <w:t>During the year, t</w:t>
      </w:r>
      <w:r w:rsidR="00066A7C">
        <w:t xml:space="preserve">he Committee </w:t>
      </w:r>
      <w:r w:rsidR="00F649EB">
        <w:t>was briefed on</w:t>
      </w:r>
      <w:r w:rsidR="00066A7C">
        <w:t xml:space="preserve"> the implementation process of the UNOPS Governance, Risk and Compliance</w:t>
      </w:r>
      <w:r>
        <w:t xml:space="preserve"> (GRC)</w:t>
      </w:r>
      <w:r w:rsidR="00066A7C">
        <w:t xml:space="preserve"> </w:t>
      </w:r>
      <w:r w:rsidR="005A4CF8">
        <w:t xml:space="preserve">principled performance </w:t>
      </w:r>
      <w:r w:rsidR="00E64CCD">
        <w:t>framework</w:t>
      </w:r>
      <w:r w:rsidR="00066A7C">
        <w:t xml:space="preserve">, to be launched on 1 January 2017. </w:t>
      </w:r>
      <w:r w:rsidR="00310B3D">
        <w:t xml:space="preserve">The Committee noted </w:t>
      </w:r>
      <w:r w:rsidR="005C005A" w:rsidRPr="005C005A">
        <w:t xml:space="preserve">that the vision for the UNOPS GRC approach would be to achieve a pragmatic alignment between the three lines of defense modality and the segregation of duty, while maintaining organizational knowledge and experience. </w:t>
      </w:r>
      <w:r w:rsidR="009E29F3">
        <w:t>In this context, t</w:t>
      </w:r>
      <w:r w:rsidR="009E29F3" w:rsidRPr="009E29F3">
        <w:t>he Committee highlighted the potential benefit of aligning/embedding GRC and three lines of defense with the more strategic framework of the EFQM excellence model.</w:t>
      </w:r>
    </w:p>
    <w:p w:rsidR="004013C6" w:rsidRDefault="004013C6" w:rsidP="004013C6">
      <w:pPr>
        <w:pStyle w:val="ListParagraph"/>
      </w:pPr>
    </w:p>
    <w:p w:rsidR="00600554" w:rsidRPr="00600554" w:rsidRDefault="009E29F3" w:rsidP="00950A97">
      <w:pPr>
        <w:pStyle w:val="ListParagraph"/>
        <w:numPr>
          <w:ilvl w:val="0"/>
          <w:numId w:val="4"/>
        </w:numPr>
        <w:ind w:left="0" w:firstLine="0"/>
        <w:jc w:val="both"/>
        <w:rPr>
          <w:rFonts w:cs="Times New Roman"/>
        </w:rPr>
      </w:pPr>
      <w:r>
        <w:t xml:space="preserve">The Committee further noted </w:t>
      </w:r>
      <w:r w:rsidR="00310B3D">
        <w:t xml:space="preserve">the </w:t>
      </w:r>
      <w:r w:rsidR="00D521DA">
        <w:t>ongoing work</w:t>
      </w:r>
      <w:r w:rsidR="00B43A4F">
        <w:t xml:space="preserve"> to establish an enhanced legislative framework </w:t>
      </w:r>
      <w:r w:rsidR="00D521DA">
        <w:t xml:space="preserve">for the purpose </w:t>
      </w:r>
      <w:r w:rsidR="005C005A" w:rsidRPr="005C005A">
        <w:t>to ensure clearer boundaries in the policies and consistency between the differ</w:t>
      </w:r>
      <w:r w:rsidR="00F649EB">
        <w:t xml:space="preserve">ent legislative instruments and </w:t>
      </w:r>
      <w:r w:rsidR="005C005A" w:rsidRPr="005C005A">
        <w:t>components</w:t>
      </w:r>
      <w:r w:rsidR="00467319">
        <w:t>,</w:t>
      </w:r>
      <w:r w:rsidR="005C005A" w:rsidRPr="005C005A">
        <w:t xml:space="preserve"> and increase efficiency through simplification and empowerment </w:t>
      </w:r>
      <w:r w:rsidR="005C005A" w:rsidRPr="005C005A">
        <w:lastRenderedPageBreak/>
        <w:t>of personnel.</w:t>
      </w:r>
      <w:r w:rsidR="005C005A">
        <w:t xml:space="preserve"> </w:t>
      </w:r>
      <w:r w:rsidR="00D521DA" w:rsidRPr="00D521DA">
        <w:t xml:space="preserve">The Committee was further </w:t>
      </w:r>
      <w:r w:rsidR="00467319">
        <w:t>informed that in order to enhance monitoring of</w:t>
      </w:r>
      <w:r w:rsidR="00D521DA" w:rsidRPr="00D521DA">
        <w:t xml:space="preserve"> </w:t>
      </w:r>
      <w:r w:rsidR="00D521DA">
        <w:t>risk-based decision making in the organization</w:t>
      </w:r>
      <w:r w:rsidR="00D521DA" w:rsidRPr="00D521DA">
        <w:t xml:space="preserve">, the current opportunity and engagement process would be merged in the quarterly assurance </w:t>
      </w:r>
      <w:r w:rsidR="004013C6">
        <w:t>process and linked together in o</w:t>
      </w:r>
      <w:r w:rsidR="00D521DA" w:rsidRPr="00D521DA">
        <w:t xml:space="preserve">neUNOPS. It was suggested that this could allow for appropriate escalation of key risk </w:t>
      </w:r>
      <w:r w:rsidR="00F61921">
        <w:t xml:space="preserve">areas </w:t>
      </w:r>
      <w:r w:rsidR="003218B7">
        <w:t>on all organizational levels</w:t>
      </w:r>
      <w:r w:rsidR="00D521DA">
        <w:t xml:space="preserve"> to then </w:t>
      </w:r>
      <w:r w:rsidR="00D521DA" w:rsidRPr="00D521DA">
        <w:t>be annuall</w:t>
      </w:r>
      <w:r w:rsidR="00AC698F">
        <w:t xml:space="preserve">y aggregated and prioritized to </w:t>
      </w:r>
      <w:r w:rsidR="00D521DA" w:rsidRPr="00D521DA">
        <w:t>determine the overall UNOPS risk profile.</w:t>
      </w:r>
      <w:r w:rsidR="00654E37">
        <w:t xml:space="preserve"> </w:t>
      </w:r>
      <w:r w:rsidR="00AC698F">
        <w:t>The Committee further reminded of upside risks, that risks should be considered also as opportunities.</w:t>
      </w:r>
    </w:p>
    <w:p w:rsidR="00600554" w:rsidRDefault="00600554" w:rsidP="00600554">
      <w:pPr>
        <w:pStyle w:val="ListParagraph"/>
      </w:pPr>
    </w:p>
    <w:p w:rsidR="00FD7DD4" w:rsidRPr="00921100" w:rsidRDefault="00AC698F" w:rsidP="006C1D02">
      <w:pPr>
        <w:pStyle w:val="ListParagraph"/>
        <w:numPr>
          <w:ilvl w:val="0"/>
          <w:numId w:val="4"/>
        </w:numPr>
        <w:tabs>
          <w:tab w:val="left" w:pos="426"/>
        </w:tabs>
        <w:ind w:left="0" w:firstLine="0"/>
        <w:jc w:val="both"/>
        <w:rPr>
          <w:rFonts w:cs="Times New Roman"/>
        </w:rPr>
      </w:pPr>
      <w:r w:rsidRPr="00AC698F">
        <w:t>The Committee discussed the UNOPS risk picture</w:t>
      </w:r>
      <w:r w:rsidR="003218B7">
        <w:t xml:space="preserve"> in relation to the development of the new ICT strategy and UNOPS reporting process, noting that </w:t>
      </w:r>
      <w:r w:rsidRPr="00AC698F">
        <w:t>reporting on ri</w:t>
      </w:r>
      <w:r w:rsidR="003218B7">
        <w:t>sks would be included in the new</w:t>
      </w:r>
      <w:r w:rsidRPr="00AC698F">
        <w:t xml:space="preserve"> strategy and </w:t>
      </w:r>
      <w:r w:rsidR="003218B7">
        <w:t xml:space="preserve">overall ICT </w:t>
      </w:r>
      <w:r w:rsidRPr="00AC698F">
        <w:t>architecture. It was further noted that properly embedding the E</w:t>
      </w:r>
      <w:r w:rsidR="00467319">
        <w:t xml:space="preserve">ngagement </w:t>
      </w:r>
      <w:r w:rsidRPr="00AC698F">
        <w:t>A</w:t>
      </w:r>
      <w:r w:rsidR="00467319">
        <w:t>cceptance</w:t>
      </w:r>
      <w:r w:rsidRPr="00AC698F">
        <w:t xml:space="preserve"> process in the UNOPS systems and processes remains a vital objective as many risks pertain to and can be identified in the organization’s pipeline.</w:t>
      </w:r>
      <w:r w:rsidR="00A078FB">
        <w:t xml:space="preserve"> The Committee further discussed the UNOPS risk picture from a </w:t>
      </w:r>
      <w:r w:rsidR="00950A97">
        <w:t xml:space="preserve">behavioral perspective, including KPIs and incentives. </w:t>
      </w:r>
      <w:r w:rsidR="00BB3483">
        <w:t>The Committee highlighted</w:t>
      </w:r>
      <w:r w:rsidR="00A078FB">
        <w:t xml:space="preserve"> the importance</w:t>
      </w:r>
      <w:r w:rsidR="00950A97">
        <w:t xml:space="preserve"> to align the organization’s business development KPIs with the organization’s risk appetite.</w:t>
      </w:r>
    </w:p>
    <w:p w:rsidR="00FD7DD4" w:rsidRDefault="00FD7DD4" w:rsidP="00396850">
      <w:pPr>
        <w:pStyle w:val="Heading1"/>
      </w:pPr>
      <w:bookmarkStart w:id="10" w:name="_Toc478983768"/>
      <w:r w:rsidRPr="008C4841">
        <w:t>Management information systems</w:t>
      </w:r>
      <w:bookmarkEnd w:id="10"/>
      <w:r w:rsidRPr="008C4841">
        <w:t xml:space="preserve"> </w:t>
      </w:r>
    </w:p>
    <w:p w:rsidR="00685541" w:rsidRPr="00685541" w:rsidRDefault="00685541" w:rsidP="00685541"/>
    <w:p w:rsidR="006B274C" w:rsidRDefault="00FD7DD4" w:rsidP="006C1D02">
      <w:pPr>
        <w:pStyle w:val="ListParagraph"/>
        <w:numPr>
          <w:ilvl w:val="0"/>
          <w:numId w:val="4"/>
        </w:numPr>
        <w:tabs>
          <w:tab w:val="left" w:pos="426"/>
        </w:tabs>
        <w:ind w:left="0" w:right="-116" w:firstLine="0"/>
        <w:jc w:val="both"/>
        <w:rPr>
          <w:rFonts w:eastAsia="Calibri" w:cs="Times New Roman"/>
          <w:szCs w:val="20"/>
        </w:rPr>
      </w:pPr>
      <w:r w:rsidRPr="00316879">
        <w:rPr>
          <w:rFonts w:eastAsia="Calibri" w:cs="Times New Roman"/>
          <w:szCs w:val="20"/>
        </w:rPr>
        <w:t>Pursuant to section 6.i of the AAC Terms of Reference, the Committee reviewed and advised on the deve</w:t>
      </w:r>
      <w:r w:rsidR="006E408E">
        <w:rPr>
          <w:rFonts w:eastAsia="Calibri" w:cs="Times New Roman"/>
          <w:szCs w:val="20"/>
        </w:rPr>
        <w:t>lopment and soundness of UNOPS m</w:t>
      </w:r>
      <w:r w:rsidRPr="00316879">
        <w:rPr>
          <w:rFonts w:eastAsia="Calibri" w:cs="Times New Roman"/>
          <w:szCs w:val="20"/>
        </w:rPr>
        <w:t xml:space="preserve">anagement information systems. </w:t>
      </w:r>
    </w:p>
    <w:p w:rsidR="006B274C" w:rsidRDefault="006B274C" w:rsidP="006B274C">
      <w:pPr>
        <w:pStyle w:val="ListParagraph"/>
        <w:ind w:left="0" w:right="-116"/>
        <w:jc w:val="both"/>
        <w:rPr>
          <w:rFonts w:eastAsia="Calibri" w:cs="Times New Roman"/>
          <w:szCs w:val="20"/>
        </w:rPr>
      </w:pPr>
    </w:p>
    <w:p w:rsidR="00541A1B" w:rsidRPr="00541A1B" w:rsidRDefault="00550000" w:rsidP="006C1D02">
      <w:pPr>
        <w:pStyle w:val="ListParagraph"/>
        <w:numPr>
          <w:ilvl w:val="0"/>
          <w:numId w:val="4"/>
        </w:numPr>
        <w:tabs>
          <w:tab w:val="left" w:pos="426"/>
        </w:tabs>
        <w:ind w:left="0" w:right="-116" w:firstLine="0"/>
        <w:jc w:val="both"/>
        <w:rPr>
          <w:rFonts w:eastAsia="Calibri" w:cs="Times New Roman"/>
          <w:szCs w:val="20"/>
        </w:rPr>
      </w:pPr>
      <w:r>
        <w:t>The Committee was briefed on the road map for the ICT strategy</w:t>
      </w:r>
      <w:r w:rsidR="006B274C">
        <w:t xml:space="preserve">, </w:t>
      </w:r>
      <w:r>
        <w:t>focus</w:t>
      </w:r>
      <w:r w:rsidR="006B274C">
        <w:t>ing</w:t>
      </w:r>
      <w:r>
        <w:t xml:space="preserve"> on establishing, inter alia, strategic priorities for 2017 and development of a two-year ICT strategy. In the context of the ICT strategy, the Committee noted that it would contain two dimensions; a) A road map of the way forward for the ICT components, its infrastructure and service delivery, b) A </w:t>
      </w:r>
      <w:r w:rsidR="007552C6">
        <w:t xml:space="preserve">new </w:t>
      </w:r>
      <w:r>
        <w:t xml:space="preserve">formal ICT governance structure for the longer term. </w:t>
      </w:r>
    </w:p>
    <w:p w:rsidR="00541A1B" w:rsidRDefault="00541A1B" w:rsidP="00541A1B">
      <w:pPr>
        <w:pStyle w:val="ListParagraph"/>
      </w:pPr>
    </w:p>
    <w:p w:rsidR="00541A1B" w:rsidRPr="00541A1B" w:rsidRDefault="00642BA1" w:rsidP="006C1D02">
      <w:pPr>
        <w:pStyle w:val="ListParagraph"/>
        <w:numPr>
          <w:ilvl w:val="0"/>
          <w:numId w:val="4"/>
        </w:numPr>
        <w:tabs>
          <w:tab w:val="left" w:pos="426"/>
        </w:tabs>
        <w:ind w:left="0" w:right="-116" w:firstLine="0"/>
        <w:jc w:val="both"/>
        <w:rPr>
          <w:rFonts w:eastAsia="Calibri" w:cs="Times New Roman"/>
          <w:szCs w:val="20"/>
        </w:rPr>
      </w:pPr>
      <w:r>
        <w:t>The Committee further discussed</w:t>
      </w:r>
      <w:r w:rsidR="00550000">
        <w:t xml:space="preserve"> the possibility of developing the ICT strategy as a business line in the future. In t</w:t>
      </w:r>
      <w:r>
        <w:t xml:space="preserve">his context, the Committee </w:t>
      </w:r>
      <w:r w:rsidR="00550000">
        <w:t>discussed the digital agenda in relation to implementation of the SDGs. It was further highlighted that continuous innovation and improvement of technology would be an essential lever for optimization f</w:t>
      </w:r>
      <w:r w:rsidR="005D3DBD">
        <w:t xml:space="preserve">or UNOPS transactional services and the provision of efficient management support services to partners in the UN system and beyond. </w:t>
      </w:r>
      <w:r w:rsidR="00550000">
        <w:t xml:space="preserve"> </w:t>
      </w:r>
    </w:p>
    <w:p w:rsidR="00541A1B" w:rsidRDefault="00541A1B" w:rsidP="00541A1B">
      <w:pPr>
        <w:pStyle w:val="ListParagraph"/>
      </w:pPr>
    </w:p>
    <w:p w:rsidR="00541A1B" w:rsidRPr="00541A1B" w:rsidRDefault="00642BA1" w:rsidP="006C1D02">
      <w:pPr>
        <w:pStyle w:val="ListParagraph"/>
        <w:numPr>
          <w:ilvl w:val="0"/>
          <w:numId w:val="4"/>
        </w:numPr>
        <w:tabs>
          <w:tab w:val="left" w:pos="426"/>
        </w:tabs>
        <w:ind w:left="0" w:right="-116" w:firstLine="0"/>
        <w:jc w:val="both"/>
        <w:rPr>
          <w:rFonts w:eastAsia="Calibri" w:cs="Times New Roman"/>
          <w:szCs w:val="20"/>
        </w:rPr>
      </w:pPr>
      <w:r>
        <w:t xml:space="preserve">In the context of the development of the ICT strategy, the Committee noted </w:t>
      </w:r>
      <w:r w:rsidR="00243C20">
        <w:t>it would focus on address of potential system risks.</w:t>
      </w:r>
      <w:r w:rsidR="001A0D3F" w:rsidRPr="001A0D3F">
        <w:t xml:space="preserve"> It noted that address should be achieved through a combination of policy/process and system updates. Moreover, </w:t>
      </w:r>
      <w:r w:rsidR="008B11BC">
        <w:t xml:space="preserve">the </w:t>
      </w:r>
      <w:r w:rsidR="001A0D3F" w:rsidRPr="001A0D3F">
        <w:t xml:space="preserve">ICT </w:t>
      </w:r>
      <w:r w:rsidR="008B11BC">
        <w:t xml:space="preserve">unit </w:t>
      </w:r>
      <w:r w:rsidR="001A0D3F" w:rsidRPr="001A0D3F">
        <w:t xml:space="preserve">would coordinate with </w:t>
      </w:r>
      <w:r w:rsidR="008B11BC">
        <w:t xml:space="preserve">the </w:t>
      </w:r>
      <w:r w:rsidR="001A0D3F" w:rsidRPr="001A0D3F">
        <w:t>R</w:t>
      </w:r>
      <w:r w:rsidR="008B11BC">
        <w:t xml:space="preserve">isk and </w:t>
      </w:r>
      <w:r w:rsidR="001A0D3F" w:rsidRPr="001A0D3F">
        <w:t>Q</w:t>
      </w:r>
      <w:r w:rsidR="008B11BC">
        <w:t xml:space="preserve">uality </w:t>
      </w:r>
      <w:r w:rsidR="001A0D3F" w:rsidRPr="001A0D3F">
        <w:t>G</w:t>
      </w:r>
      <w:r w:rsidR="008B11BC">
        <w:t>roup</w:t>
      </w:r>
      <w:r w:rsidR="001A0D3F" w:rsidRPr="001A0D3F">
        <w:t xml:space="preserve"> to ensure integration into the GRC framework, as well as facilitate prioritization of high and mediu</w:t>
      </w:r>
      <w:r w:rsidR="00BA0B5E">
        <w:t>m risks based on risk appetite.</w:t>
      </w:r>
    </w:p>
    <w:p w:rsidR="00541A1B" w:rsidRDefault="00541A1B" w:rsidP="00541A1B">
      <w:pPr>
        <w:pStyle w:val="ListParagraph"/>
      </w:pPr>
    </w:p>
    <w:p w:rsidR="001C77B9" w:rsidRPr="006562DE" w:rsidRDefault="001C77B9" w:rsidP="006C1D02">
      <w:pPr>
        <w:pStyle w:val="ListParagraph"/>
        <w:numPr>
          <w:ilvl w:val="0"/>
          <w:numId w:val="4"/>
        </w:numPr>
        <w:tabs>
          <w:tab w:val="left" w:pos="426"/>
        </w:tabs>
        <w:ind w:left="0" w:right="-116" w:firstLine="0"/>
        <w:jc w:val="both"/>
        <w:rPr>
          <w:rFonts w:eastAsia="Calibri" w:cs="Times New Roman"/>
          <w:szCs w:val="20"/>
        </w:rPr>
      </w:pPr>
      <w:r>
        <w:t xml:space="preserve">The Committee further discussed the possibility of benchmarking </w:t>
      </w:r>
      <w:r w:rsidR="00DC3646">
        <w:t xml:space="preserve">potential </w:t>
      </w:r>
      <w:r>
        <w:t xml:space="preserve">fraud risks of UNOPS contracts and vendors using oneUNOPS. It further noted that considering the areas and countries where UNOPS operates it would be challenging to perform an overall assessment of the market. The Committee suggested that country specific analyses may be warranted, in order to determine possible risk of fraud in relation to specific transactions in such situations and countries. </w:t>
      </w:r>
      <w:r w:rsidR="00DC3646">
        <w:t xml:space="preserve">The Committee noted </w:t>
      </w:r>
      <w:r w:rsidR="00441F96">
        <w:t xml:space="preserve">the </w:t>
      </w:r>
      <w:r>
        <w:t xml:space="preserve">IAIG </w:t>
      </w:r>
      <w:r w:rsidR="00441F96">
        <w:t xml:space="preserve">attention to </w:t>
      </w:r>
      <w:r>
        <w:t xml:space="preserve">analysis of offices in similar contexts, </w:t>
      </w:r>
      <w:r w:rsidR="00441F96">
        <w:t xml:space="preserve">and ambition to </w:t>
      </w:r>
      <w:r>
        <w:t>identify possible trends.</w:t>
      </w:r>
    </w:p>
    <w:p w:rsidR="006562DE" w:rsidRPr="006562DE" w:rsidRDefault="006562DE" w:rsidP="006562DE">
      <w:pPr>
        <w:pStyle w:val="ListParagraph"/>
        <w:rPr>
          <w:rFonts w:eastAsia="Calibri" w:cs="Times New Roman"/>
          <w:szCs w:val="20"/>
        </w:rPr>
      </w:pPr>
    </w:p>
    <w:p w:rsidR="006562DE" w:rsidRPr="00541A1B" w:rsidRDefault="006562DE" w:rsidP="006562DE">
      <w:pPr>
        <w:pStyle w:val="ListParagraph"/>
        <w:tabs>
          <w:tab w:val="left" w:pos="426"/>
        </w:tabs>
        <w:ind w:left="0" w:right="-116"/>
        <w:jc w:val="both"/>
        <w:rPr>
          <w:rFonts w:eastAsia="Calibri" w:cs="Times New Roman"/>
          <w:szCs w:val="20"/>
        </w:rPr>
      </w:pPr>
    </w:p>
    <w:p w:rsidR="00621047" w:rsidRDefault="000D3758" w:rsidP="006562DE">
      <w:pPr>
        <w:pStyle w:val="Heading1"/>
        <w:numPr>
          <w:ilvl w:val="0"/>
          <w:numId w:val="5"/>
        </w:numPr>
        <w:ind w:hanging="720"/>
      </w:pPr>
      <w:bookmarkStart w:id="11" w:name="_Toc478983769"/>
      <w:r w:rsidRPr="00A35233">
        <w:lastRenderedPageBreak/>
        <w:t>Committee working methods</w:t>
      </w:r>
      <w:bookmarkEnd w:id="11"/>
    </w:p>
    <w:p w:rsidR="00685541" w:rsidRPr="00685541" w:rsidRDefault="00685541" w:rsidP="006562DE">
      <w:pPr>
        <w:keepNext/>
      </w:pPr>
    </w:p>
    <w:p w:rsidR="00FC7595" w:rsidRPr="00CB477E" w:rsidRDefault="00621047" w:rsidP="006562DE">
      <w:pPr>
        <w:pStyle w:val="ListParagraph"/>
        <w:keepNext/>
        <w:numPr>
          <w:ilvl w:val="0"/>
          <w:numId w:val="4"/>
        </w:numPr>
        <w:tabs>
          <w:tab w:val="left" w:pos="426"/>
        </w:tabs>
        <w:ind w:left="0" w:firstLine="0"/>
        <w:jc w:val="both"/>
      </w:pPr>
      <w:r w:rsidRPr="00145512">
        <w:rPr>
          <w:rFonts w:cs="Times New Roman"/>
        </w:rPr>
        <w:t xml:space="preserve">The Committee confirmed its commitment as the Audit Advisory Committee to support and advise the Executive Director on critical matters, adding value to UNOPS and meeting mutual expectations. </w:t>
      </w:r>
    </w:p>
    <w:p w:rsidR="00CB477E" w:rsidRPr="00FC7595" w:rsidRDefault="00CB477E" w:rsidP="006562DE">
      <w:pPr>
        <w:pStyle w:val="ListParagraph"/>
        <w:keepNext/>
        <w:ind w:left="0"/>
        <w:jc w:val="both"/>
      </w:pPr>
    </w:p>
    <w:p w:rsidR="00EC74E4" w:rsidRDefault="00FC7595" w:rsidP="006562DE">
      <w:pPr>
        <w:pStyle w:val="ListParagraph"/>
        <w:keepNext/>
        <w:numPr>
          <w:ilvl w:val="0"/>
          <w:numId w:val="4"/>
        </w:numPr>
        <w:tabs>
          <w:tab w:val="left" w:pos="426"/>
        </w:tabs>
        <w:ind w:left="0" w:firstLine="0"/>
        <w:jc w:val="both"/>
        <w:rPr>
          <w:rFonts w:cs="Times New Roman"/>
        </w:rPr>
      </w:pPr>
      <w:r w:rsidRPr="00145512">
        <w:rPr>
          <w:rFonts w:cs="Times New Roman"/>
        </w:rPr>
        <w:t>The Committee discussed, in consultation with the Executive Director and Deputy Executive Director, the overarching themes for AAC advisory discussion</w:t>
      </w:r>
      <w:r w:rsidR="00505AC0">
        <w:rPr>
          <w:rFonts w:cs="Times New Roman"/>
        </w:rPr>
        <w:t>s</w:t>
      </w:r>
      <w:r w:rsidRPr="00145512">
        <w:rPr>
          <w:rFonts w:cs="Times New Roman"/>
        </w:rPr>
        <w:t xml:space="preserve"> b</w:t>
      </w:r>
      <w:r w:rsidR="00621047" w:rsidRPr="00145512">
        <w:rPr>
          <w:rFonts w:cs="Times New Roman"/>
        </w:rPr>
        <w:t xml:space="preserve">ased on the </w:t>
      </w:r>
      <w:r w:rsidR="00EB0E5B" w:rsidRPr="00145512">
        <w:rPr>
          <w:rFonts w:cs="Times New Roman"/>
        </w:rPr>
        <w:t>AAC’s Terms of Reference</w:t>
      </w:r>
      <w:r w:rsidR="00211C0C" w:rsidRPr="00145512">
        <w:rPr>
          <w:rFonts w:cs="Times New Roman"/>
        </w:rPr>
        <w:t>.</w:t>
      </w:r>
      <w:r w:rsidR="00951CC9" w:rsidRPr="00145512">
        <w:rPr>
          <w:rFonts w:cs="Times New Roman"/>
        </w:rPr>
        <w:t xml:space="preserve"> </w:t>
      </w:r>
      <w:r w:rsidR="00640973" w:rsidRPr="00145512">
        <w:rPr>
          <w:rFonts w:cs="Times New Roman"/>
        </w:rPr>
        <w:t xml:space="preserve">It was noted that </w:t>
      </w:r>
      <w:r w:rsidR="00072A4A" w:rsidRPr="00145512">
        <w:rPr>
          <w:rFonts w:cs="Times New Roman"/>
        </w:rPr>
        <w:t xml:space="preserve">the UNOPS </w:t>
      </w:r>
      <w:r w:rsidR="00640973" w:rsidRPr="00145512">
        <w:rPr>
          <w:rFonts w:cs="Times New Roman"/>
        </w:rPr>
        <w:t>e</w:t>
      </w:r>
      <w:r w:rsidR="00621047" w:rsidRPr="00145512">
        <w:rPr>
          <w:rFonts w:cs="Times New Roman"/>
        </w:rPr>
        <w:t>xternal and internal audit, including collabor</w:t>
      </w:r>
      <w:r w:rsidR="00640973" w:rsidRPr="00145512">
        <w:rPr>
          <w:rFonts w:cs="Times New Roman"/>
        </w:rPr>
        <w:t>ation between the two functions and</w:t>
      </w:r>
      <w:r w:rsidR="00621047" w:rsidRPr="00145512">
        <w:rPr>
          <w:rFonts w:cs="Times New Roman"/>
        </w:rPr>
        <w:t xml:space="preserve"> the AAC</w:t>
      </w:r>
      <w:r w:rsidR="001E4234" w:rsidRPr="00145512">
        <w:rPr>
          <w:rFonts w:cs="Times New Roman"/>
        </w:rPr>
        <w:t xml:space="preserve">, will be an important </w:t>
      </w:r>
      <w:r w:rsidR="00EC74E4" w:rsidRPr="00145512">
        <w:rPr>
          <w:rFonts w:cs="Times New Roman"/>
        </w:rPr>
        <w:t>feature</w:t>
      </w:r>
      <w:r w:rsidR="001E4234" w:rsidRPr="00145512">
        <w:rPr>
          <w:rFonts w:cs="Times New Roman"/>
        </w:rPr>
        <w:t xml:space="preserve"> o</w:t>
      </w:r>
      <w:r w:rsidR="000F2AD4" w:rsidRPr="00145512">
        <w:rPr>
          <w:rFonts w:cs="Times New Roman"/>
        </w:rPr>
        <w:t>f the continuing advisory discussions</w:t>
      </w:r>
      <w:r w:rsidR="001E4234" w:rsidRPr="00145512">
        <w:rPr>
          <w:rFonts w:cs="Times New Roman"/>
        </w:rPr>
        <w:t xml:space="preserve"> of the Committee</w:t>
      </w:r>
      <w:r w:rsidR="00467D98" w:rsidRPr="00145512">
        <w:rPr>
          <w:rFonts w:cs="Times New Roman"/>
        </w:rPr>
        <w:t xml:space="preserve">. </w:t>
      </w:r>
    </w:p>
    <w:p w:rsidR="00CB477E" w:rsidRPr="00145512" w:rsidRDefault="00CB477E" w:rsidP="00132800">
      <w:pPr>
        <w:pStyle w:val="ListParagraph"/>
        <w:ind w:left="0"/>
        <w:jc w:val="both"/>
        <w:rPr>
          <w:rFonts w:cs="Times New Roman"/>
        </w:rPr>
      </w:pPr>
    </w:p>
    <w:p w:rsidR="009A28A4" w:rsidRDefault="00EC74E4" w:rsidP="006C1D02">
      <w:pPr>
        <w:pStyle w:val="ListParagraph"/>
        <w:numPr>
          <w:ilvl w:val="0"/>
          <w:numId w:val="4"/>
        </w:numPr>
        <w:tabs>
          <w:tab w:val="left" w:pos="426"/>
        </w:tabs>
        <w:ind w:left="0" w:firstLine="0"/>
        <w:jc w:val="both"/>
        <w:rPr>
          <w:rFonts w:cs="Times New Roman"/>
        </w:rPr>
      </w:pPr>
      <w:r w:rsidRPr="00145512">
        <w:rPr>
          <w:rFonts w:cs="Times New Roman"/>
        </w:rPr>
        <w:t xml:space="preserve">The Committee </w:t>
      </w:r>
      <w:r w:rsidR="00467D98" w:rsidRPr="00145512">
        <w:rPr>
          <w:rFonts w:cs="Times New Roman"/>
        </w:rPr>
        <w:t>noted that t</w:t>
      </w:r>
      <w:r w:rsidR="00621047" w:rsidRPr="00145512">
        <w:rPr>
          <w:rFonts w:cs="Times New Roman"/>
        </w:rPr>
        <w:t xml:space="preserve">he </w:t>
      </w:r>
      <w:r w:rsidRPr="00145512">
        <w:rPr>
          <w:rFonts w:cs="Times New Roman"/>
        </w:rPr>
        <w:t xml:space="preserve">UNOPS </w:t>
      </w:r>
      <w:r w:rsidR="00621047" w:rsidRPr="00145512">
        <w:rPr>
          <w:rFonts w:cs="Times New Roman"/>
        </w:rPr>
        <w:t>managemen</w:t>
      </w:r>
      <w:r w:rsidR="00467D98" w:rsidRPr="00145512">
        <w:rPr>
          <w:rFonts w:cs="Times New Roman"/>
        </w:rPr>
        <w:t>t team with a view to leverage</w:t>
      </w:r>
      <w:r w:rsidR="00621047" w:rsidRPr="00145512">
        <w:rPr>
          <w:rFonts w:cs="Times New Roman"/>
        </w:rPr>
        <w:t xml:space="preserve"> </w:t>
      </w:r>
      <w:r w:rsidR="00467D98" w:rsidRPr="00145512">
        <w:rPr>
          <w:rFonts w:cs="Times New Roman"/>
        </w:rPr>
        <w:t>expertise</w:t>
      </w:r>
      <w:r w:rsidR="008F0AEC" w:rsidRPr="00145512">
        <w:rPr>
          <w:rFonts w:cs="Times New Roman"/>
        </w:rPr>
        <w:t>,</w:t>
      </w:r>
      <w:r w:rsidR="00621047" w:rsidRPr="00145512">
        <w:rPr>
          <w:rFonts w:cs="Times New Roman"/>
        </w:rPr>
        <w:t xml:space="preserve"> enhance the organization’s loop-learning</w:t>
      </w:r>
      <w:r w:rsidR="008F0AEC" w:rsidRPr="00145512">
        <w:rPr>
          <w:rFonts w:cs="Times New Roman"/>
        </w:rPr>
        <w:t>,</w:t>
      </w:r>
      <w:r w:rsidR="00621047" w:rsidRPr="00145512">
        <w:rPr>
          <w:rFonts w:cs="Times New Roman"/>
        </w:rPr>
        <w:t xml:space="preserve"> and </w:t>
      </w:r>
      <w:r w:rsidR="008F0AEC" w:rsidRPr="00145512">
        <w:rPr>
          <w:rFonts w:cs="Times New Roman"/>
        </w:rPr>
        <w:t>add strategic value</w:t>
      </w:r>
      <w:r w:rsidR="00621047" w:rsidRPr="00145512">
        <w:rPr>
          <w:rFonts w:cs="Times New Roman"/>
        </w:rPr>
        <w:t xml:space="preserve"> of the aud</w:t>
      </w:r>
      <w:r w:rsidR="001E4234" w:rsidRPr="00145512">
        <w:rPr>
          <w:rFonts w:cs="Times New Roman"/>
        </w:rPr>
        <w:t>it function to UNOPS operations</w:t>
      </w:r>
      <w:r w:rsidRPr="00145512">
        <w:rPr>
          <w:rFonts w:cs="Times New Roman"/>
        </w:rPr>
        <w:t>,</w:t>
      </w:r>
      <w:r w:rsidR="001E4234" w:rsidRPr="00145512">
        <w:rPr>
          <w:rFonts w:cs="Times New Roman"/>
        </w:rPr>
        <w:t xml:space="preserve"> will</w:t>
      </w:r>
      <w:r w:rsidRPr="00145512">
        <w:rPr>
          <w:rFonts w:cs="Times New Roman"/>
        </w:rPr>
        <w:t xml:space="preserve"> also</w:t>
      </w:r>
      <w:r w:rsidR="001E4234" w:rsidRPr="00145512">
        <w:rPr>
          <w:rFonts w:cs="Times New Roman"/>
        </w:rPr>
        <w:t xml:space="preserve"> </w:t>
      </w:r>
      <w:r w:rsidRPr="00145512">
        <w:rPr>
          <w:rFonts w:cs="Times New Roman"/>
        </w:rPr>
        <w:t xml:space="preserve">constitute a central aspect to the AAC advisory discussions moving forward. </w:t>
      </w:r>
      <w:r w:rsidR="00E22E26" w:rsidRPr="00145512">
        <w:rPr>
          <w:rFonts w:cs="Times New Roman"/>
        </w:rPr>
        <w:t>Additionally, t</w:t>
      </w:r>
      <w:r w:rsidR="00621047" w:rsidRPr="00145512">
        <w:rPr>
          <w:rFonts w:cs="Times New Roman"/>
        </w:rPr>
        <w:t>he importance of cross-fertilization between the AAC and the S</w:t>
      </w:r>
      <w:r w:rsidR="00531CCB">
        <w:rPr>
          <w:rFonts w:cs="Times New Roman"/>
        </w:rPr>
        <w:t xml:space="preserve">trategic </w:t>
      </w:r>
      <w:r w:rsidR="00621047" w:rsidRPr="00145512">
        <w:rPr>
          <w:rFonts w:cs="Times New Roman"/>
        </w:rPr>
        <w:t>A</w:t>
      </w:r>
      <w:r w:rsidR="00531CCB">
        <w:rPr>
          <w:rFonts w:cs="Times New Roman"/>
        </w:rPr>
        <w:t xml:space="preserve">dvisory </w:t>
      </w:r>
      <w:r w:rsidR="00621047" w:rsidRPr="00145512">
        <w:rPr>
          <w:rFonts w:cs="Times New Roman"/>
        </w:rPr>
        <w:t>G</w:t>
      </w:r>
      <w:r w:rsidR="00531CCB">
        <w:rPr>
          <w:rFonts w:cs="Times New Roman"/>
        </w:rPr>
        <w:t xml:space="preserve">roup of </w:t>
      </w:r>
      <w:r w:rsidR="00621047" w:rsidRPr="00145512">
        <w:rPr>
          <w:rFonts w:cs="Times New Roman"/>
        </w:rPr>
        <w:t>E</w:t>
      </w:r>
      <w:r w:rsidR="00531CCB">
        <w:rPr>
          <w:rFonts w:cs="Times New Roman"/>
        </w:rPr>
        <w:t>xperts</w:t>
      </w:r>
      <w:r w:rsidR="00621047" w:rsidRPr="00145512">
        <w:rPr>
          <w:rFonts w:cs="Times New Roman"/>
        </w:rPr>
        <w:t xml:space="preserve"> </w:t>
      </w:r>
      <w:r w:rsidR="00E22E26" w:rsidRPr="00145512">
        <w:rPr>
          <w:rFonts w:cs="Times New Roman"/>
        </w:rPr>
        <w:t xml:space="preserve">was highlighted. </w:t>
      </w:r>
    </w:p>
    <w:p w:rsidR="009A28A4" w:rsidRPr="009A28A4" w:rsidRDefault="009A28A4" w:rsidP="009A28A4">
      <w:pPr>
        <w:pStyle w:val="ListParagraph"/>
        <w:rPr>
          <w:rFonts w:cs="Times New Roman"/>
        </w:rPr>
      </w:pPr>
    </w:p>
    <w:p w:rsidR="009A28A4" w:rsidRPr="009A28A4" w:rsidRDefault="009A28A4" w:rsidP="006C1D02">
      <w:pPr>
        <w:pStyle w:val="ListParagraph"/>
        <w:numPr>
          <w:ilvl w:val="0"/>
          <w:numId w:val="4"/>
        </w:numPr>
        <w:tabs>
          <w:tab w:val="left" w:pos="426"/>
        </w:tabs>
        <w:ind w:left="0" w:firstLine="0"/>
        <w:jc w:val="both"/>
        <w:rPr>
          <w:rFonts w:cs="Times New Roman"/>
        </w:rPr>
      </w:pPr>
      <w:r w:rsidRPr="009A28A4">
        <w:rPr>
          <w:rFonts w:cs="Times New Roman"/>
        </w:rPr>
        <w:t xml:space="preserve">In 2016, the </w:t>
      </w:r>
      <w:r>
        <w:rPr>
          <w:rFonts w:cs="Times New Roman"/>
        </w:rPr>
        <w:t xml:space="preserve">AAC chair was </w:t>
      </w:r>
      <w:r w:rsidRPr="009A28A4">
        <w:rPr>
          <w:rFonts w:cs="Times New Roman"/>
        </w:rPr>
        <w:t>invited for the first meeting of UN System Oversight Committees on 28 November in NYC. It was highlighted that one key issue to be addressed in the meeting would be to compare the structuring of Audit Advisory Committees in the UN system, including their appointments and mandates.</w:t>
      </w:r>
    </w:p>
    <w:p w:rsidR="001F29CE" w:rsidRDefault="000D3758" w:rsidP="006C1D02">
      <w:pPr>
        <w:pStyle w:val="Heading1"/>
        <w:numPr>
          <w:ilvl w:val="0"/>
          <w:numId w:val="5"/>
        </w:numPr>
        <w:ind w:left="426" w:hanging="426"/>
      </w:pPr>
      <w:bookmarkStart w:id="12" w:name="_Toc478983770"/>
      <w:r w:rsidRPr="00A35233">
        <w:t>Conclusions</w:t>
      </w:r>
      <w:bookmarkEnd w:id="12"/>
    </w:p>
    <w:p w:rsidR="00685541" w:rsidRPr="00685541" w:rsidRDefault="00685541" w:rsidP="00685541"/>
    <w:p w:rsidR="001F29CE" w:rsidRPr="001F29CE" w:rsidRDefault="00123080" w:rsidP="006C1D02">
      <w:pPr>
        <w:pStyle w:val="ListParagraph"/>
        <w:numPr>
          <w:ilvl w:val="0"/>
          <w:numId w:val="4"/>
        </w:numPr>
        <w:tabs>
          <w:tab w:val="left" w:pos="426"/>
        </w:tabs>
        <w:ind w:left="0" w:firstLine="0"/>
        <w:jc w:val="both"/>
      </w:pPr>
      <w:r>
        <w:rPr>
          <w:rFonts w:cs="Times New Roman"/>
          <w:color w:val="000000"/>
          <w:lang w:val="en-GB"/>
        </w:rPr>
        <w:t>Throughout 2016</w:t>
      </w:r>
      <w:r w:rsidR="001F29CE" w:rsidRPr="007D5263">
        <w:rPr>
          <w:rFonts w:cs="Times New Roman"/>
          <w:color w:val="000000"/>
          <w:lang w:val="en-GB"/>
        </w:rPr>
        <w:t xml:space="preserve">, UNOPS has identified opportunities to further optimise its contributions and value-add to the UN System and beyond. At the same time UNOPS has kept focus on enhancing the management systems, guarding against risks that may affect the long-term sustainability of its unique </w:t>
      </w:r>
      <w:r w:rsidR="009975FC">
        <w:rPr>
          <w:rFonts w:cs="Times New Roman"/>
          <w:color w:val="000000"/>
          <w:lang w:val="en-GB"/>
        </w:rPr>
        <w:t>self-financing business model. In its advisory capacity, t</w:t>
      </w:r>
      <w:r w:rsidR="001F29CE" w:rsidRPr="007D5263">
        <w:rPr>
          <w:rFonts w:cs="Times New Roman"/>
          <w:color w:val="000000"/>
          <w:lang w:val="en-GB"/>
        </w:rPr>
        <w:t xml:space="preserve">he Committee has kept in </w:t>
      </w:r>
      <w:r w:rsidR="009975FC">
        <w:rPr>
          <w:rFonts w:cs="Times New Roman"/>
          <w:color w:val="000000"/>
          <w:lang w:val="en-GB"/>
        </w:rPr>
        <w:t xml:space="preserve">focus </w:t>
      </w:r>
      <w:r w:rsidR="00E565C4">
        <w:rPr>
          <w:rFonts w:cs="Times New Roman"/>
          <w:color w:val="000000"/>
          <w:lang w:val="en-GB"/>
        </w:rPr>
        <w:t>the o</w:t>
      </w:r>
      <w:r w:rsidR="001F29CE" w:rsidRPr="007D5263">
        <w:rPr>
          <w:rFonts w:cs="Times New Roman"/>
          <w:color w:val="000000"/>
          <w:lang w:val="en-GB"/>
        </w:rPr>
        <w:t>rganization’s alignment with the direction</w:t>
      </w:r>
      <w:r w:rsidR="00E565C4">
        <w:rPr>
          <w:rFonts w:cs="Times New Roman"/>
          <w:color w:val="000000"/>
          <w:lang w:val="en-GB"/>
        </w:rPr>
        <w:t xml:space="preserve"> and decisions</w:t>
      </w:r>
      <w:r w:rsidR="001F29CE" w:rsidRPr="007D5263">
        <w:rPr>
          <w:rFonts w:cs="Times New Roman"/>
          <w:color w:val="000000"/>
          <w:lang w:val="en-GB"/>
        </w:rPr>
        <w:t xml:space="preserve"> of the General Assembly and Executive Board</w:t>
      </w:r>
      <w:r w:rsidR="00E565C4">
        <w:rPr>
          <w:rFonts w:cs="Times New Roman"/>
          <w:color w:val="000000"/>
          <w:lang w:val="en-GB"/>
        </w:rPr>
        <w:t xml:space="preserve">. </w:t>
      </w:r>
    </w:p>
    <w:p w:rsidR="00F465A1" w:rsidRDefault="00F465A1" w:rsidP="005967E3">
      <w:pPr>
        <w:pStyle w:val="ListParagraph"/>
        <w:ind w:left="0"/>
        <w:jc w:val="both"/>
        <w:rPr>
          <w:rFonts w:cs="Times New Roman"/>
        </w:rPr>
      </w:pPr>
    </w:p>
    <w:p w:rsidR="00AD3B96" w:rsidRDefault="00E7614F" w:rsidP="006C1D02">
      <w:pPr>
        <w:pStyle w:val="ListParagraph"/>
        <w:numPr>
          <w:ilvl w:val="0"/>
          <w:numId w:val="4"/>
        </w:numPr>
        <w:tabs>
          <w:tab w:val="left" w:pos="426"/>
        </w:tabs>
        <w:ind w:left="0" w:firstLine="0"/>
        <w:jc w:val="both"/>
        <w:rPr>
          <w:rFonts w:cs="Times New Roman"/>
        </w:rPr>
      </w:pPr>
      <w:r w:rsidRPr="006955B2">
        <w:rPr>
          <w:rFonts w:cs="Times New Roman"/>
        </w:rPr>
        <w:t>The Committe</w:t>
      </w:r>
      <w:r>
        <w:rPr>
          <w:rFonts w:cs="Times New Roman"/>
        </w:rPr>
        <w:t xml:space="preserve">e notes UNOPS continued solid financial performance and improvements in data analytics supporting financial projections and focused business planning. </w:t>
      </w:r>
      <w:r w:rsidR="00966005">
        <w:rPr>
          <w:rFonts w:cs="Times New Roman"/>
        </w:rPr>
        <w:t>The Committee appreciates the</w:t>
      </w:r>
      <w:r>
        <w:rPr>
          <w:rFonts w:cs="Times New Roman"/>
        </w:rPr>
        <w:t xml:space="preserve"> overall</w:t>
      </w:r>
      <w:r w:rsidR="00AD3B96" w:rsidRPr="00434047">
        <w:rPr>
          <w:rFonts w:cs="Times New Roman"/>
        </w:rPr>
        <w:t xml:space="preserve"> </w:t>
      </w:r>
      <w:r w:rsidR="005E796F">
        <w:rPr>
          <w:rFonts w:cs="Times New Roman"/>
        </w:rPr>
        <w:t>UNOPS maturity progress regarding f</w:t>
      </w:r>
      <w:r w:rsidR="00A77005">
        <w:rPr>
          <w:rFonts w:cs="Times New Roman"/>
        </w:rPr>
        <w:t>inancial matters, as evidenced by</w:t>
      </w:r>
      <w:r w:rsidR="005E796F">
        <w:rPr>
          <w:rFonts w:cs="Times New Roman"/>
        </w:rPr>
        <w:t xml:space="preserve"> </w:t>
      </w:r>
      <w:r w:rsidR="00946072">
        <w:rPr>
          <w:rFonts w:cs="Times New Roman"/>
        </w:rPr>
        <w:t xml:space="preserve">the </w:t>
      </w:r>
      <w:r w:rsidR="002F1B7E">
        <w:rPr>
          <w:rFonts w:cs="Times New Roman"/>
        </w:rPr>
        <w:t>2015 report of the UNBOA</w:t>
      </w:r>
      <w:r w:rsidR="00A77005">
        <w:rPr>
          <w:rFonts w:cs="Times New Roman"/>
        </w:rPr>
        <w:t xml:space="preserve">. </w:t>
      </w:r>
      <w:r w:rsidR="00AD3B96">
        <w:rPr>
          <w:rFonts w:cs="Times New Roman"/>
        </w:rPr>
        <w:t xml:space="preserve">As the UK team’s </w:t>
      </w:r>
      <w:r w:rsidR="00946072">
        <w:rPr>
          <w:rFonts w:cs="Times New Roman"/>
        </w:rPr>
        <w:t>mandate as external auditors came</w:t>
      </w:r>
      <w:r w:rsidR="00EC21A7">
        <w:rPr>
          <w:rFonts w:cs="Times New Roman"/>
        </w:rPr>
        <w:t xml:space="preserve"> to an end</w:t>
      </w:r>
      <w:r w:rsidR="00AD3B96">
        <w:rPr>
          <w:rFonts w:cs="Times New Roman"/>
        </w:rPr>
        <w:t xml:space="preserve"> in 2016, the</w:t>
      </w:r>
      <w:r w:rsidR="00335FB7">
        <w:rPr>
          <w:rFonts w:cs="Times New Roman"/>
        </w:rPr>
        <w:t xml:space="preserve"> Committee thanked the </w:t>
      </w:r>
      <w:r w:rsidR="00AD3B96">
        <w:rPr>
          <w:rFonts w:cs="Times New Roman"/>
        </w:rPr>
        <w:t xml:space="preserve">team for its continued support and collaboration in the past two years, and </w:t>
      </w:r>
      <w:r w:rsidR="00946072">
        <w:rPr>
          <w:rFonts w:cs="Times New Roman"/>
        </w:rPr>
        <w:t xml:space="preserve">welcomed the new India team as external auditors </w:t>
      </w:r>
      <w:r w:rsidR="00FE20E9">
        <w:rPr>
          <w:rFonts w:cs="Times New Roman"/>
        </w:rPr>
        <w:t>for UNOPS.</w:t>
      </w:r>
    </w:p>
    <w:p w:rsidR="00AD3B96" w:rsidRDefault="00AD3B96" w:rsidP="005967E3">
      <w:pPr>
        <w:pStyle w:val="ListParagraph"/>
        <w:ind w:left="0"/>
        <w:jc w:val="both"/>
        <w:rPr>
          <w:rFonts w:cs="Times New Roman"/>
        </w:rPr>
      </w:pPr>
    </w:p>
    <w:p w:rsidR="00AB3489" w:rsidRDefault="009A4CDE" w:rsidP="006C1D02">
      <w:pPr>
        <w:pStyle w:val="ListParagraph"/>
        <w:numPr>
          <w:ilvl w:val="0"/>
          <w:numId w:val="4"/>
        </w:numPr>
        <w:tabs>
          <w:tab w:val="left" w:pos="426"/>
        </w:tabs>
        <w:ind w:left="0" w:firstLine="0"/>
        <w:jc w:val="both"/>
        <w:rPr>
          <w:rFonts w:cs="Times New Roman"/>
        </w:rPr>
      </w:pPr>
      <w:r>
        <w:rPr>
          <w:rFonts w:cs="Times New Roman"/>
        </w:rPr>
        <w:t>The Committee commends</w:t>
      </w:r>
      <w:r w:rsidR="00AB3489">
        <w:rPr>
          <w:rFonts w:cs="Times New Roman"/>
        </w:rPr>
        <w:t xml:space="preserve"> UNOPS for </w:t>
      </w:r>
      <w:r w:rsidR="00993411">
        <w:rPr>
          <w:rFonts w:cs="Times New Roman"/>
        </w:rPr>
        <w:t xml:space="preserve">its continued commitment to excellence and transparency in its business - and operational approach. The </w:t>
      </w:r>
      <w:r w:rsidR="00905E1B">
        <w:rPr>
          <w:rFonts w:cs="Times New Roman"/>
        </w:rPr>
        <w:t xml:space="preserve">continued </w:t>
      </w:r>
      <w:r w:rsidR="00AB3489">
        <w:rPr>
          <w:rFonts w:cs="Times New Roman"/>
        </w:rPr>
        <w:t>focus on implementation o</w:t>
      </w:r>
      <w:r w:rsidR="00E46EBC">
        <w:rPr>
          <w:rFonts w:cs="Times New Roman"/>
        </w:rPr>
        <w:t>f audit recommendations</w:t>
      </w:r>
      <w:r w:rsidR="00905E1B">
        <w:rPr>
          <w:rFonts w:cs="Times New Roman"/>
        </w:rPr>
        <w:t xml:space="preserve"> and introduction of</w:t>
      </w:r>
      <w:r w:rsidR="00EB3545">
        <w:rPr>
          <w:rFonts w:cs="Times New Roman"/>
        </w:rPr>
        <w:t xml:space="preserve"> </w:t>
      </w:r>
      <w:r w:rsidR="009814EA">
        <w:rPr>
          <w:rFonts w:cs="Times New Roman"/>
        </w:rPr>
        <w:t>quarterly benchmarking</w:t>
      </w:r>
      <w:r w:rsidR="00905E1B" w:rsidRPr="00905E1B">
        <w:rPr>
          <w:rFonts w:cs="Times New Roman"/>
        </w:rPr>
        <w:t xml:space="preserve"> among the senior leadership </w:t>
      </w:r>
      <w:r w:rsidR="00905E1B">
        <w:rPr>
          <w:rFonts w:cs="Times New Roman"/>
        </w:rPr>
        <w:t>demonstrate</w:t>
      </w:r>
      <w:r w:rsidR="00AB3489">
        <w:rPr>
          <w:rFonts w:cs="Times New Roman"/>
        </w:rPr>
        <w:t xml:space="preserve"> the extensive coordination a</w:t>
      </w:r>
      <w:r w:rsidR="00303440">
        <w:rPr>
          <w:rFonts w:cs="Times New Roman"/>
        </w:rPr>
        <w:t>nd technical support provided</w:t>
      </w:r>
      <w:r w:rsidR="00AB3489">
        <w:rPr>
          <w:rFonts w:cs="Times New Roman"/>
        </w:rPr>
        <w:t xml:space="preserve"> to resolve </w:t>
      </w:r>
      <w:r w:rsidR="00622453">
        <w:rPr>
          <w:rFonts w:cs="Times New Roman"/>
        </w:rPr>
        <w:t xml:space="preserve">audit </w:t>
      </w:r>
      <w:r w:rsidR="00E46EBC">
        <w:rPr>
          <w:rFonts w:cs="Times New Roman"/>
        </w:rPr>
        <w:t xml:space="preserve">issues. These efforts have </w:t>
      </w:r>
      <w:r w:rsidR="004E76A3">
        <w:rPr>
          <w:rFonts w:cs="Times New Roman"/>
        </w:rPr>
        <w:t>resulted</w:t>
      </w:r>
      <w:r w:rsidR="00EB3545">
        <w:rPr>
          <w:rFonts w:cs="Times New Roman"/>
        </w:rPr>
        <w:t xml:space="preserve"> in</w:t>
      </w:r>
      <w:r w:rsidR="00F763C7">
        <w:rPr>
          <w:rFonts w:cs="Times New Roman"/>
        </w:rPr>
        <w:t xml:space="preserve"> a</w:t>
      </w:r>
      <w:r w:rsidR="00EB3545">
        <w:rPr>
          <w:rFonts w:cs="Times New Roman"/>
        </w:rPr>
        <w:t xml:space="preserve"> continuously high</w:t>
      </w:r>
      <w:r w:rsidR="00AB3489">
        <w:rPr>
          <w:rFonts w:cs="Times New Roman"/>
        </w:rPr>
        <w:t xml:space="preserve"> implementation rate in the past years for </w:t>
      </w:r>
      <w:r w:rsidR="00EB3545">
        <w:rPr>
          <w:rFonts w:cs="Times New Roman"/>
        </w:rPr>
        <w:t xml:space="preserve">internal </w:t>
      </w:r>
      <w:r w:rsidR="00AB3489">
        <w:rPr>
          <w:rFonts w:cs="Times New Roman"/>
        </w:rPr>
        <w:t>audit recommendations</w:t>
      </w:r>
      <w:r w:rsidR="00E959F6">
        <w:rPr>
          <w:rFonts w:cs="Times New Roman"/>
        </w:rPr>
        <w:t xml:space="preserve">. In addition, the Committee noted with appreciation </w:t>
      </w:r>
      <w:r w:rsidR="00890631">
        <w:rPr>
          <w:rFonts w:cs="Times New Roman"/>
        </w:rPr>
        <w:t xml:space="preserve">the lowest number ever </w:t>
      </w:r>
      <w:r w:rsidR="007547B1">
        <w:rPr>
          <w:rFonts w:cs="Times New Roman"/>
        </w:rPr>
        <w:t>of internal audit recommendations open for more than 18 months</w:t>
      </w:r>
      <w:r w:rsidR="009975FC">
        <w:rPr>
          <w:rFonts w:cs="Times New Roman"/>
        </w:rPr>
        <w:t>,</w:t>
      </w:r>
      <w:r w:rsidR="007366D3">
        <w:rPr>
          <w:rFonts w:cs="Times New Roman"/>
        </w:rPr>
        <w:t xml:space="preserve"> as presented in the </w:t>
      </w:r>
      <w:r w:rsidR="00C72E93" w:rsidRPr="00BC283D">
        <w:rPr>
          <w:rFonts w:cs="Times New Roman"/>
        </w:rPr>
        <w:t>IAIG Activity Repor</w:t>
      </w:r>
      <w:r w:rsidR="00867128">
        <w:rPr>
          <w:rFonts w:cs="Times New Roman"/>
        </w:rPr>
        <w:t>t for 2016 (DP/OPS/</w:t>
      </w:r>
      <w:r w:rsidR="00867128" w:rsidRPr="00867128">
        <w:rPr>
          <w:rFonts w:cs="Times New Roman"/>
        </w:rPr>
        <w:t>2017</w:t>
      </w:r>
      <w:r w:rsidR="00C72E93" w:rsidRPr="00867128">
        <w:rPr>
          <w:rFonts w:cs="Times New Roman"/>
        </w:rPr>
        <w:t>/</w:t>
      </w:r>
      <w:r w:rsidR="00867128" w:rsidRPr="00867128">
        <w:rPr>
          <w:rFonts w:cs="Times New Roman"/>
        </w:rPr>
        <w:t>3</w:t>
      </w:r>
      <w:r w:rsidR="0011708A" w:rsidRPr="00BC283D">
        <w:rPr>
          <w:rFonts w:cs="Times New Roman"/>
        </w:rPr>
        <w:t>)</w:t>
      </w:r>
      <w:r w:rsidR="00AB3489" w:rsidRPr="00BC283D">
        <w:rPr>
          <w:rFonts w:cs="Times New Roman"/>
        </w:rPr>
        <w:t>.</w:t>
      </w:r>
      <w:r w:rsidR="00AB3489">
        <w:rPr>
          <w:rFonts w:cs="Times New Roman"/>
        </w:rPr>
        <w:t xml:space="preserve"> </w:t>
      </w:r>
    </w:p>
    <w:p w:rsidR="00E0492A" w:rsidRPr="00E0492A" w:rsidRDefault="00E0492A" w:rsidP="005967E3">
      <w:pPr>
        <w:pStyle w:val="ListParagraph"/>
        <w:jc w:val="both"/>
        <w:rPr>
          <w:rFonts w:cs="Times New Roman"/>
        </w:rPr>
      </w:pPr>
    </w:p>
    <w:p w:rsidR="00E07073" w:rsidRPr="00B773D5" w:rsidRDefault="00E07073" w:rsidP="006C1D02">
      <w:pPr>
        <w:pStyle w:val="ListParagraph"/>
        <w:numPr>
          <w:ilvl w:val="0"/>
          <w:numId w:val="4"/>
        </w:numPr>
        <w:tabs>
          <w:tab w:val="left" w:pos="426"/>
        </w:tabs>
        <w:ind w:left="0" w:firstLine="0"/>
        <w:jc w:val="both"/>
        <w:rPr>
          <w:rFonts w:cs="Times New Roman"/>
        </w:rPr>
      </w:pPr>
      <w:r w:rsidRPr="00E0492A">
        <w:rPr>
          <w:rFonts w:cs="Times New Roman"/>
        </w:rPr>
        <w:t>T</w:t>
      </w:r>
      <w:r w:rsidR="00872A37">
        <w:rPr>
          <w:rFonts w:cs="Times New Roman"/>
        </w:rPr>
        <w:t>he year 2016</w:t>
      </w:r>
      <w:r w:rsidRPr="00E0492A">
        <w:rPr>
          <w:rFonts w:cs="Times New Roman"/>
        </w:rPr>
        <w:t xml:space="preserve"> was an exceptionally active year for UNOPS in </w:t>
      </w:r>
      <w:r w:rsidR="00B773D5">
        <w:rPr>
          <w:rFonts w:cs="Times New Roman"/>
        </w:rPr>
        <w:t>continuing to strengthen</w:t>
      </w:r>
      <w:r w:rsidRPr="00E0492A">
        <w:rPr>
          <w:rFonts w:cs="Times New Roman"/>
        </w:rPr>
        <w:t xml:space="preserve"> the organization’s risk management syst</w:t>
      </w:r>
      <w:r w:rsidR="00B773D5">
        <w:rPr>
          <w:rFonts w:cs="Times New Roman"/>
        </w:rPr>
        <w:t>ems. Actions included the enhancement</w:t>
      </w:r>
      <w:r w:rsidRPr="00E0492A">
        <w:rPr>
          <w:rFonts w:cs="Times New Roman"/>
        </w:rPr>
        <w:t xml:space="preserve"> of the UNOPS </w:t>
      </w:r>
      <w:r w:rsidR="00B773D5">
        <w:rPr>
          <w:rFonts w:cs="Times New Roman"/>
        </w:rPr>
        <w:t xml:space="preserve">legislative framework and </w:t>
      </w:r>
      <w:r w:rsidR="00254AB4">
        <w:rPr>
          <w:rFonts w:cs="Times New Roman"/>
        </w:rPr>
        <w:t>utilization of</w:t>
      </w:r>
      <w:r w:rsidR="00B773D5">
        <w:rPr>
          <w:rFonts w:cs="Times New Roman"/>
        </w:rPr>
        <w:t xml:space="preserve"> the new ERP system to enhance </w:t>
      </w:r>
      <w:r w:rsidR="00254AB4">
        <w:rPr>
          <w:rFonts w:cs="Times New Roman"/>
        </w:rPr>
        <w:t>risk-based decision-making</w:t>
      </w:r>
      <w:r w:rsidR="003C5FF6">
        <w:rPr>
          <w:rFonts w:cs="Times New Roman"/>
        </w:rPr>
        <w:t xml:space="preserve">, as part of the </w:t>
      </w:r>
      <w:r w:rsidR="00B7749D">
        <w:rPr>
          <w:rFonts w:cs="Times New Roman"/>
        </w:rPr>
        <w:t>implementation process</w:t>
      </w:r>
      <w:r w:rsidR="003C5FF6">
        <w:rPr>
          <w:rFonts w:cs="Times New Roman"/>
        </w:rPr>
        <w:t xml:space="preserve"> of the GRC principled performance framework</w:t>
      </w:r>
      <w:r w:rsidR="00254AB4">
        <w:rPr>
          <w:rFonts w:cs="Times New Roman"/>
        </w:rPr>
        <w:t xml:space="preserve">. </w:t>
      </w:r>
      <w:r w:rsidR="008A4B95" w:rsidRPr="00E0492A">
        <w:rPr>
          <w:rFonts w:cs="Times New Roman"/>
        </w:rPr>
        <w:t>The Committee supports UNOPS approach to enhance its risk management systems gradually and its ongoing efforts to further enhance organizational efficiency and effectiveness, manageme</w:t>
      </w:r>
      <w:r w:rsidR="00E7614F">
        <w:rPr>
          <w:rFonts w:cs="Times New Roman"/>
        </w:rPr>
        <w:t xml:space="preserve">nt and operational performance. </w:t>
      </w:r>
      <w:r w:rsidR="00E7614F" w:rsidRPr="00E7614F">
        <w:rPr>
          <w:rFonts w:cs="Times New Roman"/>
          <w:bCs/>
        </w:rPr>
        <w:lastRenderedPageBreak/>
        <w:t>Furthermore, the Committee noted the significant potential offered through a combination of these approaches and digital solutions.</w:t>
      </w:r>
    </w:p>
    <w:p w:rsidR="00B773D5" w:rsidRDefault="00B773D5" w:rsidP="005967E3">
      <w:pPr>
        <w:pStyle w:val="ListParagraph"/>
        <w:ind w:left="0"/>
        <w:jc w:val="both"/>
        <w:rPr>
          <w:rFonts w:eastAsia="Calibri" w:cs="Times New Roman"/>
          <w:szCs w:val="20"/>
        </w:rPr>
      </w:pPr>
    </w:p>
    <w:p w:rsidR="00637235" w:rsidRPr="00637235" w:rsidRDefault="00DB16FA" w:rsidP="006C1D02">
      <w:pPr>
        <w:pStyle w:val="ListParagraph"/>
        <w:numPr>
          <w:ilvl w:val="0"/>
          <w:numId w:val="4"/>
        </w:numPr>
        <w:tabs>
          <w:tab w:val="left" w:pos="426"/>
        </w:tabs>
        <w:ind w:left="0" w:firstLine="0"/>
        <w:jc w:val="both"/>
        <w:rPr>
          <w:rFonts w:cs="Times New Roman"/>
        </w:rPr>
      </w:pPr>
      <w:r>
        <w:rPr>
          <w:rFonts w:eastAsia="Calibri" w:cs="Times New Roman"/>
          <w:szCs w:val="20"/>
        </w:rPr>
        <w:t xml:space="preserve">Throughout the year, the Committee </w:t>
      </w:r>
      <w:r w:rsidR="00166C81">
        <w:rPr>
          <w:rFonts w:eastAsia="Calibri" w:cs="Times New Roman"/>
          <w:szCs w:val="20"/>
        </w:rPr>
        <w:t>follo</w:t>
      </w:r>
      <w:r w:rsidR="00A8246E">
        <w:rPr>
          <w:rFonts w:eastAsia="Calibri" w:cs="Times New Roman"/>
          <w:szCs w:val="20"/>
        </w:rPr>
        <w:t xml:space="preserve">wed closely the </w:t>
      </w:r>
      <w:r>
        <w:rPr>
          <w:rFonts w:eastAsia="Calibri" w:cs="Times New Roman"/>
          <w:szCs w:val="20"/>
        </w:rPr>
        <w:t>launch of the UNOPS ERP system, including key r</w:t>
      </w:r>
      <w:r w:rsidR="0024658D">
        <w:rPr>
          <w:rFonts w:eastAsia="Calibri" w:cs="Times New Roman"/>
          <w:szCs w:val="20"/>
        </w:rPr>
        <w:t xml:space="preserve">isks and collaboration between the Business </w:t>
      </w:r>
      <w:r>
        <w:rPr>
          <w:rFonts w:eastAsia="Calibri" w:cs="Times New Roman"/>
          <w:szCs w:val="20"/>
        </w:rPr>
        <w:t>I</w:t>
      </w:r>
      <w:r w:rsidR="0024658D">
        <w:rPr>
          <w:rFonts w:eastAsia="Calibri" w:cs="Times New Roman"/>
          <w:szCs w:val="20"/>
        </w:rPr>
        <w:t xml:space="preserve">nnovation and </w:t>
      </w:r>
      <w:r>
        <w:rPr>
          <w:rFonts w:eastAsia="Calibri" w:cs="Times New Roman"/>
          <w:szCs w:val="20"/>
        </w:rPr>
        <w:t>I</w:t>
      </w:r>
      <w:r w:rsidR="0024658D">
        <w:rPr>
          <w:rFonts w:eastAsia="Calibri" w:cs="Times New Roman"/>
          <w:szCs w:val="20"/>
        </w:rPr>
        <w:t xml:space="preserve">mprovement </w:t>
      </w:r>
      <w:r>
        <w:rPr>
          <w:rFonts w:eastAsia="Calibri" w:cs="Times New Roman"/>
          <w:szCs w:val="20"/>
        </w:rPr>
        <w:t>P</w:t>
      </w:r>
      <w:r w:rsidR="0024658D">
        <w:rPr>
          <w:rFonts w:eastAsia="Calibri" w:cs="Times New Roman"/>
          <w:szCs w:val="20"/>
        </w:rPr>
        <w:t>rogram</w:t>
      </w:r>
      <w:r>
        <w:rPr>
          <w:rFonts w:eastAsia="Calibri" w:cs="Times New Roman"/>
          <w:szCs w:val="20"/>
        </w:rPr>
        <w:t>, functional practices and operations in order to achieve successful implementation of the ERP. Actions were taken accordingly by the organization and the B</w:t>
      </w:r>
      <w:r w:rsidR="0024658D">
        <w:rPr>
          <w:rFonts w:eastAsia="Calibri" w:cs="Times New Roman"/>
          <w:szCs w:val="20"/>
        </w:rPr>
        <w:t xml:space="preserve">usiness </w:t>
      </w:r>
      <w:r>
        <w:rPr>
          <w:rFonts w:eastAsia="Calibri" w:cs="Times New Roman"/>
          <w:szCs w:val="20"/>
        </w:rPr>
        <w:t>I</w:t>
      </w:r>
      <w:r w:rsidR="0024658D">
        <w:rPr>
          <w:rFonts w:eastAsia="Calibri" w:cs="Times New Roman"/>
          <w:szCs w:val="20"/>
        </w:rPr>
        <w:t xml:space="preserve">nnovation and </w:t>
      </w:r>
      <w:r>
        <w:rPr>
          <w:rFonts w:eastAsia="Calibri" w:cs="Times New Roman"/>
          <w:szCs w:val="20"/>
        </w:rPr>
        <w:t>I</w:t>
      </w:r>
      <w:r w:rsidR="0024658D">
        <w:rPr>
          <w:rFonts w:eastAsia="Calibri" w:cs="Times New Roman"/>
          <w:szCs w:val="20"/>
        </w:rPr>
        <w:t xml:space="preserve">mprovement </w:t>
      </w:r>
      <w:r>
        <w:rPr>
          <w:rFonts w:eastAsia="Calibri" w:cs="Times New Roman"/>
          <w:szCs w:val="20"/>
        </w:rPr>
        <w:t>P</w:t>
      </w:r>
      <w:r w:rsidR="0024658D">
        <w:rPr>
          <w:rFonts w:eastAsia="Calibri" w:cs="Times New Roman"/>
          <w:szCs w:val="20"/>
        </w:rPr>
        <w:t xml:space="preserve">rogram </w:t>
      </w:r>
      <w:r w:rsidR="000E715C">
        <w:rPr>
          <w:rFonts w:eastAsia="Calibri" w:cs="Times New Roman"/>
          <w:szCs w:val="20"/>
        </w:rPr>
        <w:t>and the Committee commended UNOPS for the successful la</w:t>
      </w:r>
      <w:r w:rsidR="004E17C0">
        <w:rPr>
          <w:rFonts w:eastAsia="Calibri" w:cs="Times New Roman"/>
          <w:szCs w:val="20"/>
        </w:rPr>
        <w:t>unch of O</w:t>
      </w:r>
      <w:r w:rsidR="000E715C">
        <w:rPr>
          <w:rFonts w:eastAsia="Calibri" w:cs="Times New Roman"/>
          <w:szCs w:val="20"/>
        </w:rPr>
        <w:t>neUNOPS</w:t>
      </w:r>
      <w:r>
        <w:rPr>
          <w:rFonts w:eastAsia="Calibri" w:cs="Times New Roman"/>
          <w:szCs w:val="20"/>
        </w:rPr>
        <w:t>.</w:t>
      </w:r>
      <w:r w:rsidR="00524F0A">
        <w:rPr>
          <w:rFonts w:eastAsia="Calibri" w:cs="Times New Roman"/>
          <w:szCs w:val="20"/>
        </w:rPr>
        <w:t xml:space="preserve"> Moving forward, the potential of OneUNOPS as an essential platform for the continued development of the UNOPS risk management systems</w:t>
      </w:r>
      <w:r w:rsidR="00044181">
        <w:rPr>
          <w:rFonts w:eastAsia="Calibri" w:cs="Times New Roman"/>
          <w:szCs w:val="20"/>
        </w:rPr>
        <w:t>,</w:t>
      </w:r>
      <w:r w:rsidR="00044181" w:rsidRPr="00044181">
        <w:rPr>
          <w:rFonts w:eastAsia="Calibri" w:cs="Times New Roman"/>
          <w:szCs w:val="20"/>
        </w:rPr>
        <w:t xml:space="preserve"> </w:t>
      </w:r>
      <w:r w:rsidR="00044181" w:rsidRPr="00AB3489">
        <w:rPr>
          <w:rFonts w:eastAsia="Calibri" w:cs="Times New Roman"/>
          <w:szCs w:val="20"/>
        </w:rPr>
        <w:t xml:space="preserve">particularly in relation to internal controls </w:t>
      </w:r>
      <w:r w:rsidR="00044181">
        <w:rPr>
          <w:rFonts w:eastAsia="Calibri" w:cs="Times New Roman"/>
          <w:szCs w:val="20"/>
        </w:rPr>
        <w:t>in the UNOPS business processes,</w:t>
      </w:r>
      <w:r w:rsidR="006B37B4">
        <w:rPr>
          <w:rFonts w:eastAsia="Calibri" w:cs="Times New Roman"/>
          <w:szCs w:val="20"/>
        </w:rPr>
        <w:t xml:space="preserve"> was</w:t>
      </w:r>
      <w:r w:rsidR="00524F0A">
        <w:rPr>
          <w:rFonts w:eastAsia="Calibri" w:cs="Times New Roman"/>
          <w:szCs w:val="20"/>
        </w:rPr>
        <w:t xml:space="preserve"> highlighted. </w:t>
      </w:r>
      <w:r w:rsidR="00A8246E">
        <w:rPr>
          <w:rFonts w:eastAsia="Calibri" w:cs="Times New Roman"/>
          <w:szCs w:val="20"/>
        </w:rPr>
        <w:t>The Committee moreover noted and appreciated the deve</w:t>
      </w:r>
      <w:r w:rsidR="00090C18">
        <w:rPr>
          <w:rFonts w:eastAsia="Calibri" w:cs="Times New Roman"/>
          <w:szCs w:val="20"/>
        </w:rPr>
        <w:t xml:space="preserve">lopment of the new ICT strategy </w:t>
      </w:r>
      <w:r w:rsidR="00A8246E">
        <w:rPr>
          <w:rFonts w:eastAsia="Calibri" w:cs="Times New Roman"/>
          <w:szCs w:val="20"/>
        </w:rPr>
        <w:t>which would be followed up on in 2017.</w:t>
      </w:r>
    </w:p>
    <w:p w:rsidR="00637235" w:rsidRPr="00637235" w:rsidRDefault="00637235" w:rsidP="00637235">
      <w:pPr>
        <w:pStyle w:val="ListParagraph"/>
        <w:rPr>
          <w:rFonts w:eastAsia="Calibri" w:cs="Times New Roman"/>
          <w:szCs w:val="20"/>
        </w:rPr>
      </w:pPr>
    </w:p>
    <w:p w:rsidR="00A65735" w:rsidRPr="00637235" w:rsidRDefault="00637235" w:rsidP="006C1D02">
      <w:pPr>
        <w:tabs>
          <w:tab w:val="left" w:pos="426"/>
        </w:tabs>
        <w:jc w:val="both"/>
        <w:rPr>
          <w:rFonts w:cs="Times New Roman"/>
        </w:rPr>
      </w:pPr>
      <w:r w:rsidRPr="00637235">
        <w:rPr>
          <w:rFonts w:cs="Times New Roman"/>
        </w:rPr>
        <w:t>44.</w:t>
      </w:r>
      <w:r w:rsidRPr="00637235">
        <w:rPr>
          <w:rFonts w:cs="Times New Roman"/>
        </w:rPr>
        <w:tab/>
      </w:r>
      <w:r w:rsidR="001F29CE" w:rsidRPr="00637235">
        <w:rPr>
          <w:rFonts w:cs="Times New Roman"/>
        </w:rPr>
        <w:t>The Committee notes the enhanced strategic focus of UNOPS man</w:t>
      </w:r>
      <w:r w:rsidR="00A65735" w:rsidRPr="00637235">
        <w:rPr>
          <w:rFonts w:cs="Times New Roman"/>
        </w:rPr>
        <w:t xml:space="preserve">date as articulated in relevant </w:t>
      </w:r>
      <w:r w:rsidR="001F29CE" w:rsidRPr="00637235">
        <w:rPr>
          <w:rFonts w:cs="Times New Roman"/>
        </w:rPr>
        <w:t>Executive Board decisions</w:t>
      </w:r>
      <w:r w:rsidR="00A76071" w:rsidRPr="00637235">
        <w:rPr>
          <w:rFonts w:cs="Times New Roman"/>
        </w:rPr>
        <w:t xml:space="preserve">. It notes the contributions UNOPS can make to the 2030 Agenda through: (a) </w:t>
      </w:r>
      <w:r w:rsidR="00A65735" w:rsidRPr="00637235">
        <w:rPr>
          <w:rFonts w:cs="Times New Roman"/>
        </w:rPr>
        <w:t xml:space="preserve">effective </w:t>
      </w:r>
      <w:r w:rsidR="00A76071" w:rsidRPr="00637235">
        <w:rPr>
          <w:rFonts w:cs="Times New Roman"/>
        </w:rPr>
        <w:t xml:space="preserve">specialized </w:t>
      </w:r>
      <w:r w:rsidR="00A65735" w:rsidRPr="00637235">
        <w:rPr>
          <w:rFonts w:cs="Times New Roman"/>
        </w:rPr>
        <w:t>technical expertise</w:t>
      </w:r>
      <w:r w:rsidR="00A76071" w:rsidRPr="00637235">
        <w:rPr>
          <w:rFonts w:cs="Times New Roman"/>
        </w:rPr>
        <w:t xml:space="preserve"> in infrastructure, procurement, and project management</w:t>
      </w:r>
      <w:r>
        <w:rPr>
          <w:rFonts w:cs="Times New Roman"/>
        </w:rPr>
        <w:t>;</w:t>
      </w:r>
      <w:r w:rsidR="00A65735" w:rsidRPr="00637235">
        <w:rPr>
          <w:rFonts w:cs="Times New Roman"/>
        </w:rPr>
        <w:t xml:space="preserve"> </w:t>
      </w:r>
      <w:r w:rsidR="00A76071" w:rsidRPr="00637235">
        <w:rPr>
          <w:rFonts w:cs="Times New Roman"/>
        </w:rPr>
        <w:t>(b) provision of efficient management support services</w:t>
      </w:r>
      <w:r>
        <w:rPr>
          <w:rFonts w:cs="Times New Roman"/>
        </w:rPr>
        <w:t>;</w:t>
      </w:r>
      <w:r w:rsidR="00A76071" w:rsidRPr="00637235">
        <w:rPr>
          <w:rFonts w:cs="Times New Roman"/>
        </w:rPr>
        <w:t xml:space="preserve"> </w:t>
      </w:r>
      <w:r w:rsidR="00A65735" w:rsidRPr="00637235">
        <w:rPr>
          <w:rFonts w:cs="Times New Roman"/>
        </w:rPr>
        <w:t>and</w:t>
      </w:r>
      <w:r w:rsidR="00A76071" w:rsidRPr="00637235">
        <w:rPr>
          <w:rFonts w:cs="Times New Roman"/>
        </w:rPr>
        <w:t xml:space="preserve"> (c) support to expand the overall pool of resources available for </w:t>
      </w:r>
      <w:r w:rsidRPr="00637235">
        <w:rPr>
          <w:rFonts w:cs="Times New Roman"/>
        </w:rPr>
        <w:t>resilience</w:t>
      </w:r>
      <w:r w:rsidR="00A76071" w:rsidRPr="00637235">
        <w:rPr>
          <w:rFonts w:cs="Times New Roman"/>
        </w:rPr>
        <w:t xml:space="preserve"> and sustainable development across</w:t>
      </w:r>
      <w:r w:rsidRPr="00637235">
        <w:rPr>
          <w:rFonts w:cs="Times New Roman"/>
        </w:rPr>
        <w:t xml:space="preserve"> development, peace and security and humanitarian efforts.</w:t>
      </w:r>
    </w:p>
    <w:p w:rsidR="005829A9" w:rsidRPr="00637235" w:rsidRDefault="005829A9" w:rsidP="005829A9">
      <w:pPr>
        <w:pStyle w:val="ListParagraph"/>
        <w:ind w:left="0"/>
        <w:jc w:val="both"/>
        <w:rPr>
          <w:rFonts w:cs="Times New Roman"/>
        </w:rPr>
      </w:pPr>
    </w:p>
    <w:p w:rsidR="00417AE9" w:rsidRPr="00E35E3A" w:rsidRDefault="000F71FC" w:rsidP="006C1D02">
      <w:pPr>
        <w:pStyle w:val="ListParagraph"/>
        <w:numPr>
          <w:ilvl w:val="0"/>
          <w:numId w:val="4"/>
        </w:numPr>
        <w:tabs>
          <w:tab w:val="left" w:pos="426"/>
        </w:tabs>
        <w:ind w:left="0" w:firstLine="0"/>
        <w:jc w:val="both"/>
        <w:rPr>
          <w:rFonts w:cs="Times New Roman"/>
        </w:rPr>
      </w:pPr>
      <w:r w:rsidRPr="00E35E3A">
        <w:rPr>
          <w:rFonts w:cs="Times New Roman"/>
        </w:rPr>
        <w:t>In addition to the areas outlined in the A</w:t>
      </w:r>
      <w:r w:rsidR="00A47B24" w:rsidRPr="00E35E3A">
        <w:rPr>
          <w:rFonts w:cs="Times New Roman"/>
        </w:rPr>
        <w:t xml:space="preserve">udit </w:t>
      </w:r>
      <w:r w:rsidRPr="00E35E3A">
        <w:rPr>
          <w:rFonts w:cs="Times New Roman"/>
        </w:rPr>
        <w:t>A</w:t>
      </w:r>
      <w:r w:rsidR="00A47B24" w:rsidRPr="00E35E3A">
        <w:rPr>
          <w:rFonts w:cs="Times New Roman"/>
        </w:rPr>
        <w:t xml:space="preserve">dvisory </w:t>
      </w:r>
      <w:r w:rsidRPr="00E35E3A">
        <w:rPr>
          <w:rFonts w:cs="Times New Roman"/>
        </w:rPr>
        <w:t>C</w:t>
      </w:r>
      <w:r w:rsidR="00A47B24" w:rsidRPr="00E35E3A">
        <w:rPr>
          <w:rFonts w:cs="Times New Roman"/>
        </w:rPr>
        <w:t>ommittee’s</w:t>
      </w:r>
      <w:r w:rsidRPr="00E35E3A">
        <w:rPr>
          <w:rFonts w:cs="Times New Roman"/>
        </w:rPr>
        <w:t xml:space="preserve"> ToR, areas for specific</w:t>
      </w:r>
      <w:r w:rsidR="006D300B">
        <w:rPr>
          <w:rFonts w:cs="Times New Roman"/>
        </w:rPr>
        <w:t xml:space="preserve"> Committee focus in 2017</w:t>
      </w:r>
      <w:r w:rsidRPr="00E35E3A">
        <w:rPr>
          <w:rFonts w:cs="Times New Roman"/>
        </w:rPr>
        <w:t xml:space="preserve"> may</w:t>
      </w:r>
      <w:r w:rsidR="00465A23" w:rsidRPr="00E35E3A">
        <w:rPr>
          <w:rFonts w:cs="Times New Roman"/>
        </w:rPr>
        <w:t xml:space="preserve"> </w:t>
      </w:r>
      <w:r w:rsidR="00417AE9" w:rsidRPr="00E35E3A">
        <w:rPr>
          <w:rFonts w:cs="Times New Roman"/>
        </w:rPr>
        <w:t>include</w:t>
      </w:r>
      <w:r w:rsidR="00465A23" w:rsidRPr="00E35E3A">
        <w:rPr>
          <w:rFonts w:cs="Times New Roman"/>
        </w:rPr>
        <w:t xml:space="preserve">, </w:t>
      </w:r>
      <w:r w:rsidR="00465A23" w:rsidRPr="00E35E3A">
        <w:rPr>
          <w:rFonts w:cs="Times New Roman"/>
          <w:i/>
        </w:rPr>
        <w:t>inter alia</w:t>
      </w:r>
      <w:r w:rsidR="00417AE9" w:rsidRPr="00E35E3A">
        <w:rPr>
          <w:rFonts w:cs="Times New Roman"/>
        </w:rPr>
        <w:t>:</w:t>
      </w:r>
    </w:p>
    <w:p w:rsidR="00EF74B4" w:rsidRPr="00E35E3A" w:rsidRDefault="00EF74B4" w:rsidP="005967E3">
      <w:pPr>
        <w:pStyle w:val="ListParagraph"/>
        <w:ind w:left="0"/>
        <w:jc w:val="both"/>
        <w:rPr>
          <w:rFonts w:cs="Times New Roman"/>
        </w:rPr>
      </w:pPr>
    </w:p>
    <w:p w:rsidR="00C9238D" w:rsidRPr="004D7FCB" w:rsidRDefault="009D5A76" w:rsidP="00701ECF">
      <w:pPr>
        <w:pStyle w:val="ListParagraph"/>
        <w:numPr>
          <w:ilvl w:val="1"/>
          <w:numId w:val="1"/>
        </w:numPr>
        <w:ind w:left="1134" w:right="713"/>
        <w:jc w:val="both"/>
        <w:rPr>
          <w:rFonts w:cs="Times New Roman"/>
        </w:rPr>
      </w:pPr>
      <w:r w:rsidRPr="004D7FCB">
        <w:rPr>
          <w:rFonts w:cs="Times New Roman"/>
        </w:rPr>
        <w:t>Implementation and value-added of the Governance, Risk and Compliance principled performance</w:t>
      </w:r>
      <w:r w:rsidR="003E5B25" w:rsidRPr="004D7FCB">
        <w:rPr>
          <w:rFonts w:cs="Times New Roman"/>
        </w:rPr>
        <w:t xml:space="preserve"> framework</w:t>
      </w:r>
      <w:r w:rsidR="00117FF3" w:rsidRPr="004D7FCB">
        <w:rPr>
          <w:rFonts w:cs="Times New Roman"/>
        </w:rPr>
        <w:t>;</w:t>
      </w:r>
    </w:p>
    <w:p w:rsidR="006935AD" w:rsidRPr="004D7FCB" w:rsidRDefault="006935AD" w:rsidP="00701ECF">
      <w:pPr>
        <w:pStyle w:val="ListParagraph"/>
        <w:numPr>
          <w:ilvl w:val="1"/>
          <w:numId w:val="1"/>
        </w:numPr>
        <w:ind w:left="1134" w:right="713"/>
        <w:jc w:val="both"/>
        <w:rPr>
          <w:rFonts w:cs="Times New Roman"/>
        </w:rPr>
      </w:pPr>
      <w:r w:rsidRPr="004D7FCB">
        <w:rPr>
          <w:rFonts w:cs="Times New Roman"/>
        </w:rPr>
        <w:t xml:space="preserve">Value-added of </w:t>
      </w:r>
      <w:proofErr w:type="spellStart"/>
      <w:r w:rsidRPr="004D7FCB">
        <w:rPr>
          <w:rFonts w:cs="Times New Roman"/>
        </w:rPr>
        <w:t>OneU</w:t>
      </w:r>
      <w:r w:rsidR="00E35E3A" w:rsidRPr="004D7FCB">
        <w:rPr>
          <w:rFonts w:cs="Times New Roman"/>
        </w:rPr>
        <w:t>NOPS</w:t>
      </w:r>
      <w:proofErr w:type="spellEnd"/>
      <w:r w:rsidRPr="004D7FCB">
        <w:rPr>
          <w:rFonts w:cs="Times New Roman"/>
        </w:rPr>
        <w:t>, incl. impact on the internal control environment</w:t>
      </w:r>
      <w:r w:rsidR="00111B22" w:rsidRPr="004D7FCB">
        <w:rPr>
          <w:rFonts w:cs="Times New Roman"/>
        </w:rPr>
        <w:t>,</w:t>
      </w:r>
      <w:r w:rsidR="005D6668" w:rsidRPr="004D7FCB">
        <w:rPr>
          <w:rFonts w:cs="Times New Roman"/>
        </w:rPr>
        <w:t xml:space="preserve"> management </w:t>
      </w:r>
      <w:r w:rsidR="00111B22" w:rsidRPr="004D7FCB">
        <w:rPr>
          <w:rFonts w:cs="Times New Roman"/>
        </w:rPr>
        <w:t xml:space="preserve">and governance </w:t>
      </w:r>
      <w:r w:rsidR="005D6668" w:rsidRPr="004D7FCB">
        <w:rPr>
          <w:rFonts w:cs="Times New Roman"/>
        </w:rPr>
        <w:t>reporting</w:t>
      </w:r>
      <w:r w:rsidR="00117FF3" w:rsidRPr="004D7FCB">
        <w:rPr>
          <w:rFonts w:cs="Times New Roman"/>
        </w:rPr>
        <w:t>;</w:t>
      </w:r>
    </w:p>
    <w:p w:rsidR="006935AD" w:rsidRPr="004D7FCB" w:rsidRDefault="006935AD" w:rsidP="00701ECF">
      <w:pPr>
        <w:pStyle w:val="ListParagraph"/>
        <w:numPr>
          <w:ilvl w:val="1"/>
          <w:numId w:val="1"/>
        </w:numPr>
        <w:ind w:left="1134" w:right="713"/>
        <w:jc w:val="both"/>
        <w:rPr>
          <w:rFonts w:cs="Times New Roman"/>
        </w:rPr>
      </w:pPr>
      <w:r w:rsidRPr="004D7FCB">
        <w:rPr>
          <w:rFonts w:cs="Times New Roman"/>
        </w:rPr>
        <w:t xml:space="preserve">Data universe, incl. data quality, </w:t>
      </w:r>
      <w:r w:rsidR="00BC15B2" w:rsidRPr="004D7FCB">
        <w:rPr>
          <w:rFonts w:cs="Times New Roman"/>
        </w:rPr>
        <w:t xml:space="preserve">analytical </w:t>
      </w:r>
      <w:r w:rsidRPr="004D7FCB">
        <w:rPr>
          <w:rFonts w:cs="Times New Roman"/>
        </w:rPr>
        <w:t>intelligence and value-added to UNOPS</w:t>
      </w:r>
      <w:r w:rsidR="003E5B25" w:rsidRPr="004D7FCB">
        <w:rPr>
          <w:rFonts w:cs="Times New Roman"/>
        </w:rPr>
        <w:t>’</w:t>
      </w:r>
      <w:r w:rsidRPr="004D7FCB">
        <w:rPr>
          <w:rFonts w:cs="Times New Roman"/>
        </w:rPr>
        <w:t xml:space="preserve"> business model</w:t>
      </w:r>
      <w:r w:rsidR="00117FF3" w:rsidRPr="004D7FCB">
        <w:rPr>
          <w:rFonts w:cs="Times New Roman"/>
        </w:rPr>
        <w:t>;</w:t>
      </w:r>
    </w:p>
    <w:p w:rsidR="00BC15B2" w:rsidRPr="004D7FCB" w:rsidRDefault="00BC15B2" w:rsidP="00701ECF">
      <w:pPr>
        <w:pStyle w:val="ListParagraph"/>
        <w:numPr>
          <w:ilvl w:val="1"/>
          <w:numId w:val="1"/>
        </w:numPr>
        <w:ind w:left="1134" w:right="713"/>
        <w:jc w:val="both"/>
        <w:rPr>
          <w:rFonts w:cs="Times New Roman"/>
        </w:rPr>
      </w:pPr>
      <w:r w:rsidRPr="004D7FCB">
        <w:rPr>
          <w:rFonts w:cs="Times New Roman"/>
        </w:rPr>
        <w:t>Treasury function, i.e. UNOPS’s transition to assuming responsibility for its own function</w:t>
      </w:r>
      <w:r w:rsidR="00117FF3" w:rsidRPr="004D7FCB">
        <w:rPr>
          <w:rFonts w:cs="Times New Roman"/>
        </w:rPr>
        <w:t>;</w:t>
      </w:r>
    </w:p>
    <w:p w:rsidR="005D6668" w:rsidRPr="004D7FCB" w:rsidRDefault="00F93AA7" w:rsidP="00701ECF">
      <w:pPr>
        <w:pStyle w:val="ListParagraph"/>
        <w:numPr>
          <w:ilvl w:val="1"/>
          <w:numId w:val="1"/>
        </w:numPr>
        <w:ind w:left="1134" w:right="713"/>
        <w:jc w:val="both"/>
        <w:rPr>
          <w:rFonts w:cs="Times New Roman"/>
        </w:rPr>
      </w:pPr>
      <w:r w:rsidRPr="004D7FCB">
        <w:rPr>
          <w:rFonts w:cs="Times New Roman"/>
        </w:rPr>
        <w:t xml:space="preserve">Exposure and </w:t>
      </w:r>
      <w:r w:rsidR="00E35E3A" w:rsidRPr="004D7FCB">
        <w:rPr>
          <w:rFonts w:cs="Times New Roman"/>
        </w:rPr>
        <w:t xml:space="preserve">mitigation measures in specific </w:t>
      </w:r>
      <w:r w:rsidRPr="004D7FCB">
        <w:rPr>
          <w:rFonts w:cs="Times New Roman"/>
        </w:rPr>
        <w:t xml:space="preserve">risk </w:t>
      </w:r>
      <w:r w:rsidR="00E35E3A" w:rsidRPr="004D7FCB">
        <w:rPr>
          <w:rFonts w:cs="Times New Roman"/>
        </w:rPr>
        <w:t xml:space="preserve">areas, e.g. </w:t>
      </w:r>
      <w:r w:rsidR="006935AD" w:rsidRPr="004D7FCB">
        <w:rPr>
          <w:rFonts w:cs="Times New Roman"/>
        </w:rPr>
        <w:t>Engagement Acceptance</w:t>
      </w:r>
      <w:r w:rsidR="00E35E3A" w:rsidRPr="004D7FCB">
        <w:rPr>
          <w:rFonts w:cs="Times New Roman"/>
        </w:rPr>
        <w:t>; fraud, corruption and money laundering, and cyber security</w:t>
      </w:r>
      <w:r w:rsidR="00117FF3" w:rsidRPr="004D7FCB">
        <w:rPr>
          <w:rFonts w:cs="Times New Roman"/>
        </w:rPr>
        <w:t>;</w:t>
      </w:r>
    </w:p>
    <w:p w:rsidR="006D6CD3" w:rsidRPr="004D7FCB" w:rsidRDefault="009830B4" w:rsidP="00701ECF">
      <w:pPr>
        <w:pStyle w:val="ListParagraph"/>
        <w:numPr>
          <w:ilvl w:val="1"/>
          <w:numId w:val="1"/>
        </w:numPr>
        <w:ind w:left="1134" w:right="713"/>
        <w:jc w:val="both"/>
        <w:rPr>
          <w:rFonts w:cs="Times New Roman"/>
        </w:rPr>
      </w:pPr>
      <w:r w:rsidRPr="004D7FCB">
        <w:rPr>
          <w:rFonts w:cs="Times New Roman"/>
        </w:rPr>
        <w:t xml:space="preserve">Arrangements for working </w:t>
      </w:r>
      <w:r w:rsidR="00A0691B" w:rsidRPr="004D7FCB">
        <w:rPr>
          <w:rFonts w:cs="Times New Roman"/>
        </w:rPr>
        <w:t xml:space="preserve">and partnering </w:t>
      </w:r>
      <w:r w:rsidRPr="004D7FCB">
        <w:rPr>
          <w:rFonts w:cs="Times New Roman"/>
        </w:rPr>
        <w:t>with other UN entities, and the public and private sector</w:t>
      </w:r>
      <w:r w:rsidR="00117FF3" w:rsidRPr="004D7FCB">
        <w:rPr>
          <w:rFonts w:cs="Times New Roman"/>
        </w:rPr>
        <w:t>;</w:t>
      </w:r>
    </w:p>
    <w:p w:rsidR="003E5B25" w:rsidRPr="004D7FCB" w:rsidRDefault="003E5B25" w:rsidP="00701ECF">
      <w:pPr>
        <w:pStyle w:val="ListParagraph"/>
        <w:numPr>
          <w:ilvl w:val="1"/>
          <w:numId w:val="1"/>
        </w:numPr>
        <w:ind w:left="1134" w:right="713"/>
        <w:jc w:val="both"/>
        <w:rPr>
          <w:rFonts w:cs="Times New Roman"/>
        </w:rPr>
      </w:pPr>
      <w:r w:rsidRPr="004D7FCB">
        <w:rPr>
          <w:rFonts w:cs="Times New Roman"/>
        </w:rPr>
        <w:t xml:space="preserve">Compliance in HR </w:t>
      </w:r>
      <w:r w:rsidR="00BC15B2" w:rsidRPr="004D7FCB">
        <w:rPr>
          <w:rFonts w:cs="Times New Roman"/>
        </w:rPr>
        <w:t>area</w:t>
      </w:r>
      <w:r w:rsidRPr="004D7FCB">
        <w:rPr>
          <w:rFonts w:cs="Times New Roman"/>
        </w:rPr>
        <w:t>, incl. recruitment processes and employee policies and procedures</w:t>
      </w:r>
      <w:r w:rsidR="00117FF3" w:rsidRPr="004D7FCB">
        <w:rPr>
          <w:rFonts w:cs="Times New Roman"/>
        </w:rPr>
        <w:t>;</w:t>
      </w:r>
    </w:p>
    <w:p w:rsidR="006935AD" w:rsidRPr="004D7FCB" w:rsidRDefault="00F949E5" w:rsidP="00701ECF">
      <w:pPr>
        <w:pStyle w:val="ListParagraph"/>
        <w:numPr>
          <w:ilvl w:val="1"/>
          <w:numId w:val="1"/>
        </w:numPr>
        <w:ind w:left="1134" w:right="713"/>
        <w:jc w:val="both"/>
        <w:rPr>
          <w:rFonts w:cs="Times New Roman"/>
        </w:rPr>
      </w:pPr>
      <w:r w:rsidRPr="004D7FCB">
        <w:rPr>
          <w:rFonts w:cs="Times New Roman"/>
        </w:rPr>
        <w:t>Continued successful collaboration with new team of external auditors in 2017;</w:t>
      </w:r>
    </w:p>
    <w:p w:rsidR="006D6CD3" w:rsidRPr="004D7FCB" w:rsidRDefault="003E5B25" w:rsidP="00701ECF">
      <w:pPr>
        <w:pStyle w:val="ListParagraph"/>
        <w:numPr>
          <w:ilvl w:val="1"/>
          <w:numId w:val="1"/>
        </w:numPr>
        <w:ind w:left="1134" w:right="713"/>
        <w:jc w:val="both"/>
        <w:rPr>
          <w:rFonts w:cs="Times New Roman"/>
        </w:rPr>
      </w:pPr>
      <w:r w:rsidRPr="004D7FCB">
        <w:rPr>
          <w:rFonts w:cs="Times New Roman"/>
        </w:rPr>
        <w:t xml:space="preserve">Continue the development of the AAC’s working methods, incl. the collaboration with key stakeholders (external audit, internal audit etc.) in its support and rendering advice to the Executive Director </w:t>
      </w:r>
      <w:proofErr w:type="gramStart"/>
      <w:r w:rsidRPr="004D7FCB">
        <w:rPr>
          <w:rFonts w:cs="Times New Roman"/>
        </w:rPr>
        <w:t>etc</w:t>
      </w:r>
      <w:proofErr w:type="gramEnd"/>
      <w:r w:rsidRPr="004D7FCB">
        <w:rPr>
          <w:rFonts w:cs="Times New Roman"/>
        </w:rPr>
        <w:t>. adding value to UNOPS on strategic, tactical and operational level.</w:t>
      </w:r>
    </w:p>
    <w:p w:rsidR="006D6CD3" w:rsidRPr="00C220E0" w:rsidRDefault="006D6CD3" w:rsidP="00701ECF">
      <w:pPr>
        <w:ind w:left="1276" w:right="713" w:hanging="502"/>
        <w:jc w:val="both"/>
        <w:rPr>
          <w:rFonts w:cs="Times New Roman"/>
        </w:rPr>
      </w:pPr>
    </w:p>
    <w:p w:rsidR="00C220E0" w:rsidRPr="00C220E0" w:rsidRDefault="00C220E0" w:rsidP="005967E3">
      <w:pPr>
        <w:jc w:val="both"/>
        <w:rPr>
          <w:rFonts w:cs="Times New Roman"/>
        </w:rPr>
      </w:pPr>
    </w:p>
    <w:p w:rsidR="00C220E0" w:rsidRPr="00C220E0" w:rsidRDefault="00C220E0" w:rsidP="005967E3">
      <w:pPr>
        <w:jc w:val="both"/>
        <w:rPr>
          <w:rFonts w:cs="Times New Roman"/>
        </w:rPr>
      </w:pPr>
    </w:p>
    <w:p w:rsidR="00C220E0" w:rsidRPr="00C220E0" w:rsidRDefault="00C220E0" w:rsidP="005967E3">
      <w:pPr>
        <w:jc w:val="both"/>
        <w:rPr>
          <w:rFonts w:cs="Times New Roman"/>
        </w:rPr>
      </w:pPr>
    </w:p>
    <w:p w:rsidR="00C220E0" w:rsidRPr="00C220E0" w:rsidRDefault="00C220E0" w:rsidP="00C220E0">
      <w:pPr>
        <w:tabs>
          <w:tab w:val="left" w:pos="426"/>
        </w:tabs>
        <w:autoSpaceDE w:val="0"/>
        <w:autoSpaceDN w:val="0"/>
        <w:adjustRightInd w:val="0"/>
        <w:jc w:val="center"/>
        <w:rPr>
          <w:rFonts w:eastAsia="Times New Roman" w:cs="Times New Roman"/>
          <w:lang w:val="en-GB" w:eastAsia="en-GB"/>
        </w:rPr>
      </w:pPr>
      <w:r w:rsidRPr="00C220E0">
        <w:rPr>
          <w:rFonts w:eastAsia="Times New Roman" w:cs="Times New Roman"/>
          <w:lang w:val="en-GB" w:eastAsia="en-GB"/>
        </w:rPr>
        <w:t>________________________</w:t>
      </w:r>
    </w:p>
    <w:p w:rsidR="00C220E0" w:rsidRPr="00C220E0" w:rsidRDefault="00C220E0" w:rsidP="00C220E0">
      <w:pPr>
        <w:tabs>
          <w:tab w:val="left" w:pos="426"/>
        </w:tabs>
        <w:autoSpaceDE w:val="0"/>
        <w:autoSpaceDN w:val="0"/>
        <w:adjustRightInd w:val="0"/>
        <w:jc w:val="center"/>
        <w:rPr>
          <w:rFonts w:eastAsia="Times New Roman" w:cs="Times New Roman"/>
          <w:lang w:val="en-GB" w:eastAsia="en-GB"/>
        </w:rPr>
      </w:pPr>
      <w:r w:rsidRPr="00C220E0">
        <w:rPr>
          <w:rFonts w:eastAsia="Times New Roman" w:cs="Times New Roman"/>
          <w:lang w:val="en-GB" w:eastAsia="en-GB"/>
        </w:rPr>
        <w:t>Anni Haraszuk</w:t>
      </w:r>
    </w:p>
    <w:p w:rsidR="00C220E0" w:rsidRPr="00C220E0" w:rsidRDefault="00C220E0" w:rsidP="00C220E0">
      <w:pPr>
        <w:tabs>
          <w:tab w:val="left" w:pos="426"/>
        </w:tabs>
        <w:autoSpaceDE w:val="0"/>
        <w:autoSpaceDN w:val="0"/>
        <w:adjustRightInd w:val="0"/>
        <w:jc w:val="center"/>
        <w:rPr>
          <w:rFonts w:eastAsia="Times New Roman" w:cs="Times New Roman"/>
          <w:lang w:val="en-GB" w:eastAsia="en-GB"/>
        </w:rPr>
      </w:pPr>
      <w:r w:rsidRPr="00C220E0">
        <w:rPr>
          <w:rFonts w:eastAsia="Times New Roman" w:cs="Times New Roman"/>
          <w:lang w:val="en-GB" w:eastAsia="en-GB"/>
        </w:rPr>
        <w:t>Chair, UNOPS Audit Advisory Committee</w:t>
      </w:r>
    </w:p>
    <w:p w:rsidR="00DF547F" w:rsidRPr="00C220E0" w:rsidRDefault="00C220E0" w:rsidP="009830B4">
      <w:pPr>
        <w:tabs>
          <w:tab w:val="left" w:pos="426"/>
        </w:tabs>
        <w:autoSpaceDE w:val="0"/>
        <w:autoSpaceDN w:val="0"/>
        <w:adjustRightInd w:val="0"/>
        <w:jc w:val="center"/>
        <w:rPr>
          <w:rFonts w:cs="Times New Roman"/>
        </w:rPr>
      </w:pPr>
      <w:r w:rsidRPr="00C220E0">
        <w:rPr>
          <w:rFonts w:eastAsia="Times New Roman" w:cs="Times New Roman"/>
          <w:lang w:val="en-GB" w:eastAsia="en-GB"/>
        </w:rPr>
        <w:t xml:space="preserve">Copenhagen, </w:t>
      </w:r>
      <w:r w:rsidR="006562DE">
        <w:rPr>
          <w:rFonts w:eastAsia="Times New Roman" w:cs="Times New Roman"/>
          <w:lang w:val="en-GB" w:eastAsia="en-GB"/>
        </w:rPr>
        <w:t>March</w:t>
      </w:r>
      <w:r w:rsidRPr="00C220E0">
        <w:rPr>
          <w:rFonts w:eastAsia="Times New Roman" w:cs="Times New Roman"/>
          <w:lang w:val="en-GB" w:eastAsia="en-GB"/>
        </w:rPr>
        <w:t xml:space="preserve"> 201</w:t>
      </w:r>
      <w:r w:rsidR="006562DE">
        <w:rPr>
          <w:rFonts w:eastAsia="Times New Roman" w:cs="Times New Roman"/>
          <w:lang w:val="en-GB" w:eastAsia="en-GB"/>
        </w:rPr>
        <w:t>7</w:t>
      </w:r>
    </w:p>
    <w:sectPr w:rsidR="00DF547F" w:rsidRPr="00C220E0" w:rsidSect="006C1D02">
      <w:headerReference w:type="default" r:id="rId8"/>
      <w:footerReference w:type="default" r:id="rId9"/>
      <w:pgSz w:w="12240" w:h="15840" w:code="1"/>
      <w:pgMar w:top="1276" w:right="1440" w:bottom="1361" w:left="144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C16" w:rsidRDefault="00657C16" w:rsidP="00BC2114">
      <w:r>
        <w:separator/>
      </w:r>
    </w:p>
  </w:endnote>
  <w:endnote w:type="continuationSeparator" w:id="0">
    <w:p w:rsidR="00657C16" w:rsidRDefault="00657C16" w:rsidP="00BC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928702"/>
      <w:docPartObj>
        <w:docPartGallery w:val="Page Numbers (Bottom of Page)"/>
        <w:docPartUnique/>
      </w:docPartObj>
    </w:sdtPr>
    <w:sdtEndPr>
      <w:rPr>
        <w:rFonts w:cs="Times New Roman"/>
        <w:noProof/>
        <w:sz w:val="18"/>
      </w:rPr>
    </w:sdtEndPr>
    <w:sdtContent>
      <w:p w:rsidR="000850DE" w:rsidRPr="000850DE" w:rsidRDefault="000850DE" w:rsidP="00F74730">
        <w:pPr>
          <w:pStyle w:val="Footer"/>
          <w:jc w:val="right"/>
          <w:rPr>
            <w:rFonts w:cs="Times New Roman"/>
            <w:noProof/>
            <w:sz w:val="18"/>
          </w:rPr>
        </w:pPr>
        <w:r w:rsidRPr="000850DE">
          <w:rPr>
            <w:rFonts w:cs="Times New Roman"/>
            <w:sz w:val="18"/>
          </w:rPr>
          <w:t xml:space="preserve">Page </w:t>
        </w:r>
        <w:r w:rsidRPr="000850DE">
          <w:rPr>
            <w:rFonts w:cs="Times New Roman"/>
            <w:sz w:val="18"/>
          </w:rPr>
          <w:fldChar w:fldCharType="begin"/>
        </w:r>
        <w:r w:rsidRPr="000850DE">
          <w:rPr>
            <w:rFonts w:cs="Times New Roman"/>
            <w:sz w:val="18"/>
          </w:rPr>
          <w:instrText xml:space="preserve"> PAGE   \* MERGEFORMAT </w:instrText>
        </w:r>
        <w:r w:rsidRPr="000850DE">
          <w:rPr>
            <w:rFonts w:cs="Times New Roman"/>
            <w:sz w:val="18"/>
          </w:rPr>
          <w:fldChar w:fldCharType="separate"/>
        </w:r>
        <w:r w:rsidR="008C6EEE">
          <w:rPr>
            <w:rFonts w:cs="Times New Roman"/>
            <w:noProof/>
            <w:sz w:val="18"/>
          </w:rPr>
          <w:t>1</w:t>
        </w:r>
        <w:r w:rsidRPr="000850DE">
          <w:rPr>
            <w:rFonts w:cs="Times New Roman"/>
            <w:noProof/>
            <w:sz w:val="18"/>
          </w:rPr>
          <w:fldChar w:fldCharType="end"/>
        </w:r>
        <w:r w:rsidR="00F74730">
          <w:rPr>
            <w:rFonts w:cs="Times New Roman"/>
            <w:noProof/>
            <w:sz w:val="18"/>
          </w:rPr>
          <w:t xml:space="preserve"> of 8</w:t>
        </w:r>
      </w:p>
    </w:sdtContent>
  </w:sdt>
  <w:p w:rsidR="000850DE" w:rsidRDefault="00085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C16" w:rsidRDefault="00657C16" w:rsidP="00BC2114">
      <w:r>
        <w:separator/>
      </w:r>
    </w:p>
  </w:footnote>
  <w:footnote w:type="continuationSeparator" w:id="0">
    <w:p w:rsidR="00657C16" w:rsidRDefault="00657C16" w:rsidP="00BC2114">
      <w:r>
        <w:continuationSeparator/>
      </w:r>
    </w:p>
  </w:footnote>
  <w:footnote w:id="1">
    <w:p w:rsidR="00D17FD6" w:rsidRPr="00D17FD6" w:rsidRDefault="00D17FD6" w:rsidP="00D17FD6">
      <w:pPr>
        <w:pStyle w:val="FootnoteText"/>
        <w:rPr>
          <w:rFonts w:cs="Times New Roman"/>
          <w:lang w:val="en-GB"/>
        </w:rPr>
      </w:pPr>
      <w:r w:rsidRPr="00317448">
        <w:rPr>
          <w:rStyle w:val="FootnoteReference"/>
          <w:rFonts w:cs="Times New Roman"/>
        </w:rPr>
        <w:footnoteRef/>
      </w:r>
      <w:r w:rsidRPr="00317448">
        <w:rPr>
          <w:rFonts w:cs="Times New Roman"/>
        </w:rPr>
        <w:t xml:space="preserve"> </w:t>
      </w:r>
      <w:r w:rsidRPr="00317448">
        <w:rPr>
          <w:rFonts w:cs="Times New Roman"/>
          <w:lang w:val="en-GB"/>
        </w:rPr>
        <w:t>In the period 2007-2014, the UNOPS Strategy and Audit Advisory Committee (SAAC) fulfilled these functions and responsibilities in accordance with its Term</w:t>
      </w:r>
      <w:r w:rsidR="00F5185B" w:rsidRPr="00317448">
        <w:rPr>
          <w:rFonts w:cs="Times New Roman"/>
          <w:lang w:val="en-GB"/>
        </w:rPr>
        <w:t>s</w:t>
      </w:r>
      <w:r w:rsidRPr="00317448">
        <w:rPr>
          <w:rFonts w:cs="Times New Roman"/>
          <w:lang w:val="en-GB"/>
        </w:rPr>
        <w:t xml:space="preserve"> of Reference.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E75" w:rsidRDefault="00BE2E75" w:rsidP="00A0691B">
    <w:pPr>
      <w:autoSpaceDE w:val="0"/>
      <w:autoSpaceDN w:val="0"/>
      <w:adjustRightInd w:val="0"/>
      <w:jc w:val="center"/>
    </w:pPr>
    <w:r>
      <w:rPr>
        <w:rFonts w:eastAsia="Times New Roman" w:cs="Times New Roman"/>
        <w:bCs/>
        <w:sz w:val="18"/>
        <w:szCs w:val="18"/>
        <w:lang w:val="en-GB" w:eastAsia="en-GB"/>
      </w:rPr>
      <w:t xml:space="preserve">UNOPS </w:t>
    </w:r>
    <w:r w:rsidRPr="004B7B20">
      <w:rPr>
        <w:rFonts w:eastAsia="Times New Roman" w:cs="Times New Roman"/>
        <w:bCs/>
        <w:sz w:val="18"/>
        <w:szCs w:val="18"/>
        <w:lang w:val="en-GB" w:eastAsia="en-GB"/>
      </w:rPr>
      <w:t>Audit Advisory Committee - Annual Report 201</w:t>
    </w:r>
    <w:r w:rsidR="00396850">
      <w:rPr>
        <w:rFonts w:eastAsia="Times New Roman" w:cs="Times New Roman"/>
        <w:bCs/>
        <w:sz w:val="18"/>
        <w:szCs w:val="18"/>
        <w:lang w:val="en-GB" w:eastAsia="en-GB"/>
      </w:rPr>
      <w:t>6</w:t>
    </w:r>
    <w:r w:rsidRPr="004B7B20">
      <w:rPr>
        <w:rFonts w:eastAsia="Times New Roman" w:cs="Times New Roman"/>
        <w:bCs/>
        <w:sz w:val="18"/>
        <w:szCs w:val="18"/>
        <w:lang w:val="en-GB" w:eastAsia="en-GB"/>
      </w:rPr>
      <w:t xml:space="preserve"> (DP/OPS/</w:t>
    </w:r>
    <w:r w:rsidRPr="00D17FD6">
      <w:rPr>
        <w:rFonts w:eastAsia="Times New Roman" w:cs="Times New Roman"/>
        <w:bCs/>
        <w:sz w:val="18"/>
        <w:szCs w:val="18"/>
        <w:lang w:val="en-GB" w:eastAsia="en-GB"/>
      </w:rPr>
      <w:t>201</w:t>
    </w:r>
    <w:r w:rsidR="00F637D3" w:rsidRPr="00D17FD6">
      <w:rPr>
        <w:rFonts w:eastAsia="Times New Roman" w:cs="Times New Roman"/>
        <w:bCs/>
        <w:sz w:val="18"/>
        <w:szCs w:val="18"/>
        <w:lang w:val="en-GB" w:eastAsia="en-GB"/>
      </w:rPr>
      <w:t>7</w:t>
    </w:r>
    <w:r w:rsidRPr="00D17FD6">
      <w:rPr>
        <w:rFonts w:eastAsia="Times New Roman" w:cs="Times New Roman"/>
        <w:bCs/>
        <w:sz w:val="18"/>
        <w:szCs w:val="18"/>
        <w:lang w:val="en-GB" w:eastAsia="en-GB"/>
      </w:rPr>
      <w:t>/</w:t>
    </w:r>
    <w:r w:rsidR="00D17FD6" w:rsidRPr="00D17FD6">
      <w:rPr>
        <w:rFonts w:eastAsia="Times New Roman" w:cs="Times New Roman"/>
        <w:bCs/>
        <w:sz w:val="18"/>
        <w:szCs w:val="18"/>
        <w:lang w:val="en-GB" w:eastAsia="en-GB"/>
      </w:rPr>
      <w:t>3</w:t>
    </w:r>
    <w:r w:rsidR="00F637D3" w:rsidRPr="00D17FD6">
      <w:rPr>
        <w:rFonts w:eastAsia="Times New Roman" w:cs="Times New Roman"/>
        <w:bCs/>
        <w:sz w:val="18"/>
        <w:szCs w:val="18"/>
        <w:lang w:val="en-GB" w:eastAsia="en-GB"/>
      </w:rPr>
      <w:t xml:space="preserve"> – Annex </w:t>
    </w:r>
    <w:r w:rsidR="00D17FD6" w:rsidRPr="00D17FD6">
      <w:rPr>
        <w:rFonts w:eastAsia="Times New Roman" w:cs="Times New Roman"/>
        <w:bCs/>
        <w:sz w:val="18"/>
        <w:szCs w:val="18"/>
        <w:lang w:val="en-GB" w:eastAsia="en-GB"/>
      </w:rPr>
      <w:t>3</w:t>
    </w:r>
    <w:r w:rsidRPr="00D17FD6">
      <w:rPr>
        <w:rFonts w:eastAsia="Times New Roman" w:cs="Times New Roman"/>
        <w:bCs/>
        <w:sz w:val="18"/>
        <w:szCs w:val="18"/>
        <w:lang w:val="en-GB" w:eastAsia="en-G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3DE5"/>
    <w:multiLevelType w:val="hybridMultilevel"/>
    <w:tmpl w:val="94202BD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49A6F37"/>
    <w:multiLevelType w:val="hybridMultilevel"/>
    <w:tmpl w:val="028E75C2"/>
    <w:lvl w:ilvl="0" w:tplc="FE186CF0">
      <w:start w:val="1"/>
      <w:numFmt w:val="lowerLetter"/>
      <w:lvlText w:val="%1."/>
      <w:lvlJc w:val="left"/>
      <w:pPr>
        <w:ind w:left="1080" w:hanging="360"/>
      </w:pPr>
      <w:rPr>
        <w:rFonts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1B50DA"/>
    <w:multiLevelType w:val="hybridMultilevel"/>
    <w:tmpl w:val="7F2C303A"/>
    <w:lvl w:ilvl="0" w:tplc="6A00ED6C">
      <w:start w:val="1"/>
      <w:numFmt w:val="upperLetter"/>
      <w:pStyle w:val="Heading1"/>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457CB5"/>
    <w:multiLevelType w:val="hybridMultilevel"/>
    <w:tmpl w:val="6C9622D0"/>
    <w:lvl w:ilvl="0" w:tplc="08090015">
      <w:start w:val="10"/>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0614E9"/>
    <w:multiLevelType w:val="hybridMultilevel"/>
    <w:tmpl w:val="A6382022"/>
    <w:lvl w:ilvl="0" w:tplc="CC6AAF5E">
      <w:start w:val="1"/>
      <w:numFmt w:val="decimal"/>
      <w:lvlText w:val="%1."/>
      <w:lvlJc w:val="left"/>
      <w:pPr>
        <w:ind w:left="1440" w:hanging="360"/>
      </w:pPr>
      <w:rPr>
        <w:rFonts w:ascii="Times New Roman" w:hAnsi="Times New Roman" w:cs="Times New Roman"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055B14"/>
    <w:multiLevelType w:val="hybridMultilevel"/>
    <w:tmpl w:val="A64AD0E0"/>
    <w:lvl w:ilvl="0" w:tplc="08090019">
      <w:start w:val="1"/>
      <w:numFmt w:val="lowerLetter"/>
      <w:lvlText w:val="%1."/>
      <w:lvlJc w:val="left"/>
      <w:pPr>
        <w:ind w:left="360" w:hanging="360"/>
      </w:pPr>
      <w:rPr>
        <w:rFonts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BF03B4"/>
    <w:multiLevelType w:val="hybridMultilevel"/>
    <w:tmpl w:val="6FB4C1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1E40D19"/>
    <w:multiLevelType w:val="hybridMultilevel"/>
    <w:tmpl w:val="0ECE441E"/>
    <w:lvl w:ilvl="0" w:tplc="7D7EB24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3522BE"/>
    <w:multiLevelType w:val="hybridMultilevel"/>
    <w:tmpl w:val="80E65B10"/>
    <w:lvl w:ilvl="0" w:tplc="06DC7D5E">
      <w:start w:val="3"/>
      <w:numFmt w:val="upperLetter"/>
      <w:lvlText w:val="%1."/>
      <w:lvlJc w:val="left"/>
      <w:pPr>
        <w:ind w:left="360" w:hanging="360"/>
      </w:pPr>
      <w:rPr>
        <w:rFonts w:ascii="Times New Roman" w:hAnsi="Times New Roman" w:cs="Times New Roman"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7077A7"/>
    <w:multiLevelType w:val="hybridMultilevel"/>
    <w:tmpl w:val="110EA3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E1B778C"/>
    <w:multiLevelType w:val="hybridMultilevel"/>
    <w:tmpl w:val="68840F48"/>
    <w:lvl w:ilvl="0" w:tplc="9354A7A0">
      <w:start w:val="1"/>
      <w:numFmt w:val="decimal"/>
      <w:lvlText w:val="%1."/>
      <w:lvlJc w:val="left"/>
      <w:pPr>
        <w:ind w:left="45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363ED"/>
    <w:multiLevelType w:val="hybridMultilevel"/>
    <w:tmpl w:val="8C88E236"/>
    <w:lvl w:ilvl="0" w:tplc="E110A7E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0A1489"/>
    <w:multiLevelType w:val="hybridMultilevel"/>
    <w:tmpl w:val="3D5AF350"/>
    <w:lvl w:ilvl="0" w:tplc="CC6AAF5E">
      <w:start w:val="1"/>
      <w:numFmt w:val="decimal"/>
      <w:lvlText w:val="%1."/>
      <w:lvlJc w:val="left"/>
      <w:pPr>
        <w:ind w:left="311" w:hanging="311"/>
      </w:pPr>
      <w:rPr>
        <w:rFonts w:ascii="Times New Roman" w:hAnsi="Times New Roman" w:cs="Times New Roman" w:hint="default"/>
        <w:b w:val="0"/>
        <w:color w:val="auto"/>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7"/>
  </w:num>
  <w:num w:numId="2">
    <w:abstractNumId w:val="11"/>
  </w:num>
  <w:num w:numId="3">
    <w:abstractNumId w:val="1"/>
  </w:num>
  <w:num w:numId="4">
    <w:abstractNumId w:val="12"/>
  </w:num>
  <w:num w:numId="5">
    <w:abstractNumId w:val="3"/>
  </w:num>
  <w:num w:numId="6">
    <w:abstractNumId w:val="2"/>
  </w:num>
  <w:num w:numId="7">
    <w:abstractNumId w:val="8"/>
  </w:num>
  <w:num w:numId="8">
    <w:abstractNumId w:val="10"/>
  </w:num>
  <w:num w:numId="9">
    <w:abstractNumId w:val="9"/>
  </w:num>
  <w:num w:numId="10">
    <w:abstractNumId w:val="0"/>
  </w:num>
  <w:num w:numId="11">
    <w:abstractNumId w:val="6"/>
  </w:num>
  <w:num w:numId="12">
    <w:abstractNumId w:val="5"/>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1F"/>
    <w:rsid w:val="00000A47"/>
    <w:rsid w:val="00001021"/>
    <w:rsid w:val="000019BC"/>
    <w:rsid w:val="0000260D"/>
    <w:rsid w:val="00004177"/>
    <w:rsid w:val="0000455F"/>
    <w:rsid w:val="00006FE9"/>
    <w:rsid w:val="000113D2"/>
    <w:rsid w:val="000113F0"/>
    <w:rsid w:val="00015635"/>
    <w:rsid w:val="00016C1E"/>
    <w:rsid w:val="0002149E"/>
    <w:rsid w:val="00021687"/>
    <w:rsid w:val="000224BA"/>
    <w:rsid w:val="00022686"/>
    <w:rsid w:val="0002699C"/>
    <w:rsid w:val="00032190"/>
    <w:rsid w:val="00032A93"/>
    <w:rsid w:val="00034058"/>
    <w:rsid w:val="000370EF"/>
    <w:rsid w:val="0003754D"/>
    <w:rsid w:val="00040173"/>
    <w:rsid w:val="00041102"/>
    <w:rsid w:val="00042C7A"/>
    <w:rsid w:val="00044181"/>
    <w:rsid w:val="000446B9"/>
    <w:rsid w:val="00046D42"/>
    <w:rsid w:val="00046E42"/>
    <w:rsid w:val="00053837"/>
    <w:rsid w:val="00053FAF"/>
    <w:rsid w:val="0005464C"/>
    <w:rsid w:val="000564F4"/>
    <w:rsid w:val="00056FF6"/>
    <w:rsid w:val="00066A7C"/>
    <w:rsid w:val="00072A4A"/>
    <w:rsid w:val="00080203"/>
    <w:rsid w:val="00081162"/>
    <w:rsid w:val="00082032"/>
    <w:rsid w:val="00082BCF"/>
    <w:rsid w:val="00083EDC"/>
    <w:rsid w:val="000850DE"/>
    <w:rsid w:val="00090C18"/>
    <w:rsid w:val="00092925"/>
    <w:rsid w:val="000935DB"/>
    <w:rsid w:val="00095964"/>
    <w:rsid w:val="0009689D"/>
    <w:rsid w:val="00096B07"/>
    <w:rsid w:val="000A1B14"/>
    <w:rsid w:val="000A2C03"/>
    <w:rsid w:val="000A4246"/>
    <w:rsid w:val="000A5676"/>
    <w:rsid w:val="000A605D"/>
    <w:rsid w:val="000A6899"/>
    <w:rsid w:val="000A724D"/>
    <w:rsid w:val="000B1E4A"/>
    <w:rsid w:val="000B3603"/>
    <w:rsid w:val="000B41D4"/>
    <w:rsid w:val="000B6F23"/>
    <w:rsid w:val="000B7D75"/>
    <w:rsid w:val="000C0694"/>
    <w:rsid w:val="000C1938"/>
    <w:rsid w:val="000C19F0"/>
    <w:rsid w:val="000C2817"/>
    <w:rsid w:val="000C600D"/>
    <w:rsid w:val="000C6F0C"/>
    <w:rsid w:val="000D277C"/>
    <w:rsid w:val="000D2D2C"/>
    <w:rsid w:val="000D34B7"/>
    <w:rsid w:val="000D3758"/>
    <w:rsid w:val="000D66BD"/>
    <w:rsid w:val="000E290B"/>
    <w:rsid w:val="000E2CD0"/>
    <w:rsid w:val="000E2D35"/>
    <w:rsid w:val="000E715C"/>
    <w:rsid w:val="000E7CA6"/>
    <w:rsid w:val="000F1624"/>
    <w:rsid w:val="000F28E5"/>
    <w:rsid w:val="000F2AD4"/>
    <w:rsid w:val="000F71FC"/>
    <w:rsid w:val="00103C17"/>
    <w:rsid w:val="001048F2"/>
    <w:rsid w:val="00107B24"/>
    <w:rsid w:val="00111B22"/>
    <w:rsid w:val="001129DE"/>
    <w:rsid w:val="00112F4C"/>
    <w:rsid w:val="001134F9"/>
    <w:rsid w:val="0011661C"/>
    <w:rsid w:val="0011708A"/>
    <w:rsid w:val="00117FF3"/>
    <w:rsid w:val="00120317"/>
    <w:rsid w:val="001205FF"/>
    <w:rsid w:val="0012253E"/>
    <w:rsid w:val="00123080"/>
    <w:rsid w:val="00123089"/>
    <w:rsid w:val="00123DB4"/>
    <w:rsid w:val="00125455"/>
    <w:rsid w:val="00125C64"/>
    <w:rsid w:val="00132800"/>
    <w:rsid w:val="00133E2A"/>
    <w:rsid w:val="00134E41"/>
    <w:rsid w:val="00135854"/>
    <w:rsid w:val="001410EC"/>
    <w:rsid w:val="00141F50"/>
    <w:rsid w:val="001432F7"/>
    <w:rsid w:val="00144F91"/>
    <w:rsid w:val="00144FA0"/>
    <w:rsid w:val="00145512"/>
    <w:rsid w:val="001470FD"/>
    <w:rsid w:val="0014746E"/>
    <w:rsid w:val="00147E16"/>
    <w:rsid w:val="0015105F"/>
    <w:rsid w:val="00152FEE"/>
    <w:rsid w:val="0015600F"/>
    <w:rsid w:val="0015766C"/>
    <w:rsid w:val="001606E4"/>
    <w:rsid w:val="00162E33"/>
    <w:rsid w:val="00166BBE"/>
    <w:rsid w:val="00166C81"/>
    <w:rsid w:val="00171F6A"/>
    <w:rsid w:val="0017473C"/>
    <w:rsid w:val="001747F4"/>
    <w:rsid w:val="001759B1"/>
    <w:rsid w:val="00175D46"/>
    <w:rsid w:val="00175FE4"/>
    <w:rsid w:val="00181339"/>
    <w:rsid w:val="00182E2B"/>
    <w:rsid w:val="00183D38"/>
    <w:rsid w:val="00183EA3"/>
    <w:rsid w:val="0018527E"/>
    <w:rsid w:val="0018531E"/>
    <w:rsid w:val="00187176"/>
    <w:rsid w:val="00187247"/>
    <w:rsid w:val="00190B16"/>
    <w:rsid w:val="001928F2"/>
    <w:rsid w:val="00195EBD"/>
    <w:rsid w:val="001A0535"/>
    <w:rsid w:val="001A0577"/>
    <w:rsid w:val="001A0D3F"/>
    <w:rsid w:val="001A1300"/>
    <w:rsid w:val="001A1F8E"/>
    <w:rsid w:val="001A2FF9"/>
    <w:rsid w:val="001A41F9"/>
    <w:rsid w:val="001A5726"/>
    <w:rsid w:val="001A58FF"/>
    <w:rsid w:val="001B163A"/>
    <w:rsid w:val="001B4268"/>
    <w:rsid w:val="001B5087"/>
    <w:rsid w:val="001B5EB9"/>
    <w:rsid w:val="001B607F"/>
    <w:rsid w:val="001B6119"/>
    <w:rsid w:val="001B703A"/>
    <w:rsid w:val="001B7B5F"/>
    <w:rsid w:val="001C2E9C"/>
    <w:rsid w:val="001C4CF0"/>
    <w:rsid w:val="001C64C3"/>
    <w:rsid w:val="001C77B9"/>
    <w:rsid w:val="001C7802"/>
    <w:rsid w:val="001D05AE"/>
    <w:rsid w:val="001D100B"/>
    <w:rsid w:val="001D285D"/>
    <w:rsid w:val="001D2FCE"/>
    <w:rsid w:val="001D7243"/>
    <w:rsid w:val="001E236E"/>
    <w:rsid w:val="001E3FFF"/>
    <w:rsid w:val="001E4234"/>
    <w:rsid w:val="001E7A04"/>
    <w:rsid w:val="001F25DA"/>
    <w:rsid w:val="001F29CE"/>
    <w:rsid w:val="001F43DF"/>
    <w:rsid w:val="001F4F1D"/>
    <w:rsid w:val="00200C0B"/>
    <w:rsid w:val="0020203B"/>
    <w:rsid w:val="00202511"/>
    <w:rsid w:val="00202643"/>
    <w:rsid w:val="002027CA"/>
    <w:rsid w:val="00204470"/>
    <w:rsid w:val="00204D55"/>
    <w:rsid w:val="00206811"/>
    <w:rsid w:val="00211C0C"/>
    <w:rsid w:val="00211C4B"/>
    <w:rsid w:val="00213530"/>
    <w:rsid w:val="00213756"/>
    <w:rsid w:val="00217B91"/>
    <w:rsid w:val="00217B9C"/>
    <w:rsid w:val="00225856"/>
    <w:rsid w:val="002263B1"/>
    <w:rsid w:val="00226547"/>
    <w:rsid w:val="002274FD"/>
    <w:rsid w:val="00232098"/>
    <w:rsid w:val="00232427"/>
    <w:rsid w:val="00234E64"/>
    <w:rsid w:val="002352B3"/>
    <w:rsid w:val="00235405"/>
    <w:rsid w:val="002355B4"/>
    <w:rsid w:val="00235DD4"/>
    <w:rsid w:val="00235E75"/>
    <w:rsid w:val="00236666"/>
    <w:rsid w:val="00237D21"/>
    <w:rsid w:val="00243619"/>
    <w:rsid w:val="00243C20"/>
    <w:rsid w:val="0024658D"/>
    <w:rsid w:val="00247105"/>
    <w:rsid w:val="0025220B"/>
    <w:rsid w:val="00252DCC"/>
    <w:rsid w:val="00254AB4"/>
    <w:rsid w:val="0025625C"/>
    <w:rsid w:val="00261AEA"/>
    <w:rsid w:val="002666CF"/>
    <w:rsid w:val="00267E1A"/>
    <w:rsid w:val="00267F9F"/>
    <w:rsid w:val="00271122"/>
    <w:rsid w:val="002714F8"/>
    <w:rsid w:val="00272BC6"/>
    <w:rsid w:val="00274525"/>
    <w:rsid w:val="0028339B"/>
    <w:rsid w:val="002833E2"/>
    <w:rsid w:val="00283E0F"/>
    <w:rsid w:val="00287A3F"/>
    <w:rsid w:val="00291214"/>
    <w:rsid w:val="0029122E"/>
    <w:rsid w:val="002A3A3F"/>
    <w:rsid w:val="002A42A1"/>
    <w:rsid w:val="002A45A2"/>
    <w:rsid w:val="002B22BE"/>
    <w:rsid w:val="002B446E"/>
    <w:rsid w:val="002B4AB0"/>
    <w:rsid w:val="002B4FC4"/>
    <w:rsid w:val="002B50D7"/>
    <w:rsid w:val="002C0711"/>
    <w:rsid w:val="002C19D8"/>
    <w:rsid w:val="002C1C24"/>
    <w:rsid w:val="002C1FB1"/>
    <w:rsid w:val="002C2094"/>
    <w:rsid w:val="002C24A9"/>
    <w:rsid w:val="002C7139"/>
    <w:rsid w:val="002D0C0D"/>
    <w:rsid w:val="002D495A"/>
    <w:rsid w:val="002D5671"/>
    <w:rsid w:val="002D796C"/>
    <w:rsid w:val="002F07B4"/>
    <w:rsid w:val="002F1B7E"/>
    <w:rsid w:val="002F406F"/>
    <w:rsid w:val="00301A6B"/>
    <w:rsid w:val="00303440"/>
    <w:rsid w:val="003037A5"/>
    <w:rsid w:val="00306611"/>
    <w:rsid w:val="003106FD"/>
    <w:rsid w:val="00310B3D"/>
    <w:rsid w:val="00316879"/>
    <w:rsid w:val="00317448"/>
    <w:rsid w:val="00320865"/>
    <w:rsid w:val="003218B7"/>
    <w:rsid w:val="0032296D"/>
    <w:rsid w:val="00323D20"/>
    <w:rsid w:val="003316A1"/>
    <w:rsid w:val="00335FB7"/>
    <w:rsid w:val="0033670C"/>
    <w:rsid w:val="00337A3D"/>
    <w:rsid w:val="003415A5"/>
    <w:rsid w:val="00342B82"/>
    <w:rsid w:val="00347526"/>
    <w:rsid w:val="0035071E"/>
    <w:rsid w:val="00352E27"/>
    <w:rsid w:val="00356EA4"/>
    <w:rsid w:val="00360352"/>
    <w:rsid w:val="00363FB1"/>
    <w:rsid w:val="00364E28"/>
    <w:rsid w:val="00366E44"/>
    <w:rsid w:val="00366F8D"/>
    <w:rsid w:val="00372C98"/>
    <w:rsid w:val="00373B2F"/>
    <w:rsid w:val="003759C3"/>
    <w:rsid w:val="00375FD5"/>
    <w:rsid w:val="00376EC5"/>
    <w:rsid w:val="003770FA"/>
    <w:rsid w:val="00377A1B"/>
    <w:rsid w:val="00380434"/>
    <w:rsid w:val="00380605"/>
    <w:rsid w:val="00380FD8"/>
    <w:rsid w:val="00381D1E"/>
    <w:rsid w:val="0038237C"/>
    <w:rsid w:val="00383611"/>
    <w:rsid w:val="003869A1"/>
    <w:rsid w:val="00391CA7"/>
    <w:rsid w:val="0039355D"/>
    <w:rsid w:val="003954BB"/>
    <w:rsid w:val="00396850"/>
    <w:rsid w:val="0039730A"/>
    <w:rsid w:val="00397DBD"/>
    <w:rsid w:val="003A1906"/>
    <w:rsid w:val="003A209E"/>
    <w:rsid w:val="003A2FA5"/>
    <w:rsid w:val="003A30DF"/>
    <w:rsid w:val="003A4903"/>
    <w:rsid w:val="003A7B89"/>
    <w:rsid w:val="003B1A25"/>
    <w:rsid w:val="003B2814"/>
    <w:rsid w:val="003B3418"/>
    <w:rsid w:val="003B5F52"/>
    <w:rsid w:val="003B6CD2"/>
    <w:rsid w:val="003C2B12"/>
    <w:rsid w:val="003C5B28"/>
    <w:rsid w:val="003C5FF6"/>
    <w:rsid w:val="003D0912"/>
    <w:rsid w:val="003E41CC"/>
    <w:rsid w:val="003E43B4"/>
    <w:rsid w:val="003E5ABE"/>
    <w:rsid w:val="003E5B25"/>
    <w:rsid w:val="003E69BB"/>
    <w:rsid w:val="003E7E0A"/>
    <w:rsid w:val="003F5CC8"/>
    <w:rsid w:val="00400D1C"/>
    <w:rsid w:val="00400E8F"/>
    <w:rsid w:val="004013C6"/>
    <w:rsid w:val="00401B7E"/>
    <w:rsid w:val="00403752"/>
    <w:rsid w:val="004039FC"/>
    <w:rsid w:val="00404E76"/>
    <w:rsid w:val="004079BD"/>
    <w:rsid w:val="00411735"/>
    <w:rsid w:val="0041219C"/>
    <w:rsid w:val="0041464D"/>
    <w:rsid w:val="00415CC4"/>
    <w:rsid w:val="00417AE9"/>
    <w:rsid w:val="004238D2"/>
    <w:rsid w:val="00423EBA"/>
    <w:rsid w:val="00423F6E"/>
    <w:rsid w:val="0042651A"/>
    <w:rsid w:val="0042746E"/>
    <w:rsid w:val="00432D95"/>
    <w:rsid w:val="004339BF"/>
    <w:rsid w:val="00434047"/>
    <w:rsid w:val="004349CB"/>
    <w:rsid w:val="0043649A"/>
    <w:rsid w:val="0044045D"/>
    <w:rsid w:val="00441F96"/>
    <w:rsid w:val="00444A93"/>
    <w:rsid w:val="00452220"/>
    <w:rsid w:val="00452826"/>
    <w:rsid w:val="0045288E"/>
    <w:rsid w:val="00454CF7"/>
    <w:rsid w:val="004551FD"/>
    <w:rsid w:val="004561BF"/>
    <w:rsid w:val="00457E5D"/>
    <w:rsid w:val="00461592"/>
    <w:rsid w:val="004639E4"/>
    <w:rsid w:val="00465A23"/>
    <w:rsid w:val="00467319"/>
    <w:rsid w:val="00467D98"/>
    <w:rsid w:val="004754B6"/>
    <w:rsid w:val="004776CD"/>
    <w:rsid w:val="00481F8A"/>
    <w:rsid w:val="00481F98"/>
    <w:rsid w:val="00484F76"/>
    <w:rsid w:val="004926C9"/>
    <w:rsid w:val="00492B2E"/>
    <w:rsid w:val="004947B1"/>
    <w:rsid w:val="00495FDB"/>
    <w:rsid w:val="004A3EFD"/>
    <w:rsid w:val="004A548E"/>
    <w:rsid w:val="004A5EC4"/>
    <w:rsid w:val="004A7DC7"/>
    <w:rsid w:val="004B066B"/>
    <w:rsid w:val="004B1D7D"/>
    <w:rsid w:val="004B2011"/>
    <w:rsid w:val="004B5771"/>
    <w:rsid w:val="004B6D26"/>
    <w:rsid w:val="004C1C88"/>
    <w:rsid w:val="004C7C5D"/>
    <w:rsid w:val="004D1B90"/>
    <w:rsid w:val="004D2FD1"/>
    <w:rsid w:val="004D5006"/>
    <w:rsid w:val="004D52DA"/>
    <w:rsid w:val="004D7FCB"/>
    <w:rsid w:val="004E0AFA"/>
    <w:rsid w:val="004E17C0"/>
    <w:rsid w:val="004E18FA"/>
    <w:rsid w:val="004E480F"/>
    <w:rsid w:val="004E76A3"/>
    <w:rsid w:val="004F19F9"/>
    <w:rsid w:val="004F201D"/>
    <w:rsid w:val="004F3B95"/>
    <w:rsid w:val="004F58AA"/>
    <w:rsid w:val="00500305"/>
    <w:rsid w:val="00501AC3"/>
    <w:rsid w:val="00502527"/>
    <w:rsid w:val="005028E9"/>
    <w:rsid w:val="00503629"/>
    <w:rsid w:val="00503877"/>
    <w:rsid w:val="00505AC0"/>
    <w:rsid w:val="005135AA"/>
    <w:rsid w:val="005143A4"/>
    <w:rsid w:val="00516A47"/>
    <w:rsid w:val="00516CB2"/>
    <w:rsid w:val="00516ED6"/>
    <w:rsid w:val="0051714B"/>
    <w:rsid w:val="00520098"/>
    <w:rsid w:val="00521189"/>
    <w:rsid w:val="005218E7"/>
    <w:rsid w:val="00524F0A"/>
    <w:rsid w:val="00531CCB"/>
    <w:rsid w:val="00535956"/>
    <w:rsid w:val="00536781"/>
    <w:rsid w:val="005368A4"/>
    <w:rsid w:val="00541A1B"/>
    <w:rsid w:val="0054233D"/>
    <w:rsid w:val="00544418"/>
    <w:rsid w:val="005473F9"/>
    <w:rsid w:val="00550000"/>
    <w:rsid w:val="00550484"/>
    <w:rsid w:val="00550FAC"/>
    <w:rsid w:val="00551FB0"/>
    <w:rsid w:val="00553A57"/>
    <w:rsid w:val="00556A44"/>
    <w:rsid w:val="00560D27"/>
    <w:rsid w:val="00563DB1"/>
    <w:rsid w:val="00565D83"/>
    <w:rsid w:val="00571E6A"/>
    <w:rsid w:val="00574F7F"/>
    <w:rsid w:val="00575B8C"/>
    <w:rsid w:val="00577C08"/>
    <w:rsid w:val="00580FD8"/>
    <w:rsid w:val="0058144C"/>
    <w:rsid w:val="005829A9"/>
    <w:rsid w:val="005905BC"/>
    <w:rsid w:val="00590F20"/>
    <w:rsid w:val="00592A73"/>
    <w:rsid w:val="00592C3D"/>
    <w:rsid w:val="00592F56"/>
    <w:rsid w:val="005964DB"/>
    <w:rsid w:val="005967E3"/>
    <w:rsid w:val="005A0C93"/>
    <w:rsid w:val="005A1906"/>
    <w:rsid w:val="005A34A3"/>
    <w:rsid w:val="005A4CF8"/>
    <w:rsid w:val="005A551A"/>
    <w:rsid w:val="005B2AA7"/>
    <w:rsid w:val="005B6CD9"/>
    <w:rsid w:val="005C005A"/>
    <w:rsid w:val="005C2103"/>
    <w:rsid w:val="005C45D6"/>
    <w:rsid w:val="005D0E45"/>
    <w:rsid w:val="005D2BB7"/>
    <w:rsid w:val="005D3DBD"/>
    <w:rsid w:val="005D5AA3"/>
    <w:rsid w:val="005D60DC"/>
    <w:rsid w:val="005D6668"/>
    <w:rsid w:val="005D6A34"/>
    <w:rsid w:val="005D6C22"/>
    <w:rsid w:val="005D77F4"/>
    <w:rsid w:val="005E0692"/>
    <w:rsid w:val="005E761D"/>
    <w:rsid w:val="005E796F"/>
    <w:rsid w:val="005F0309"/>
    <w:rsid w:val="005F103A"/>
    <w:rsid w:val="005F5CE3"/>
    <w:rsid w:val="00600554"/>
    <w:rsid w:val="00601D6A"/>
    <w:rsid w:val="00602D63"/>
    <w:rsid w:val="006042BE"/>
    <w:rsid w:val="006057A3"/>
    <w:rsid w:val="00606B2D"/>
    <w:rsid w:val="00607701"/>
    <w:rsid w:val="00612615"/>
    <w:rsid w:val="006152F7"/>
    <w:rsid w:val="00620901"/>
    <w:rsid w:val="00621047"/>
    <w:rsid w:val="00622453"/>
    <w:rsid w:val="0062250B"/>
    <w:rsid w:val="00625C14"/>
    <w:rsid w:val="00630D1B"/>
    <w:rsid w:val="00631B3C"/>
    <w:rsid w:val="00632A00"/>
    <w:rsid w:val="00634074"/>
    <w:rsid w:val="00636CC7"/>
    <w:rsid w:val="00637235"/>
    <w:rsid w:val="00640973"/>
    <w:rsid w:val="0064184B"/>
    <w:rsid w:val="00642BA1"/>
    <w:rsid w:val="00644543"/>
    <w:rsid w:val="006465A6"/>
    <w:rsid w:val="00646D00"/>
    <w:rsid w:val="00650020"/>
    <w:rsid w:val="00651575"/>
    <w:rsid w:val="00653245"/>
    <w:rsid w:val="006539E0"/>
    <w:rsid w:val="00654E37"/>
    <w:rsid w:val="00655CC5"/>
    <w:rsid w:val="006562DE"/>
    <w:rsid w:val="00657C16"/>
    <w:rsid w:val="00657D6E"/>
    <w:rsid w:val="00657E0D"/>
    <w:rsid w:val="006609AC"/>
    <w:rsid w:val="00661CE5"/>
    <w:rsid w:val="00661F48"/>
    <w:rsid w:val="00662C69"/>
    <w:rsid w:val="00664C46"/>
    <w:rsid w:val="00664DFB"/>
    <w:rsid w:val="006650B9"/>
    <w:rsid w:val="00667DD8"/>
    <w:rsid w:val="00670AE0"/>
    <w:rsid w:val="0067627C"/>
    <w:rsid w:val="00681475"/>
    <w:rsid w:val="00683161"/>
    <w:rsid w:val="006833A5"/>
    <w:rsid w:val="00685541"/>
    <w:rsid w:val="00686D6A"/>
    <w:rsid w:val="006921A1"/>
    <w:rsid w:val="006935AD"/>
    <w:rsid w:val="006955B2"/>
    <w:rsid w:val="006957DB"/>
    <w:rsid w:val="006968C1"/>
    <w:rsid w:val="006A3733"/>
    <w:rsid w:val="006A54F5"/>
    <w:rsid w:val="006A6D3A"/>
    <w:rsid w:val="006B1009"/>
    <w:rsid w:val="006B1693"/>
    <w:rsid w:val="006B274C"/>
    <w:rsid w:val="006B37B4"/>
    <w:rsid w:val="006C1D02"/>
    <w:rsid w:val="006C1E55"/>
    <w:rsid w:val="006C2F37"/>
    <w:rsid w:val="006C3632"/>
    <w:rsid w:val="006C3FB6"/>
    <w:rsid w:val="006C409E"/>
    <w:rsid w:val="006C40A3"/>
    <w:rsid w:val="006C7C74"/>
    <w:rsid w:val="006D300B"/>
    <w:rsid w:val="006D4995"/>
    <w:rsid w:val="006D52C3"/>
    <w:rsid w:val="006D5868"/>
    <w:rsid w:val="006D629D"/>
    <w:rsid w:val="006D6CD3"/>
    <w:rsid w:val="006E0D22"/>
    <w:rsid w:val="006E0D7A"/>
    <w:rsid w:val="006E2508"/>
    <w:rsid w:val="006E3129"/>
    <w:rsid w:val="006E3701"/>
    <w:rsid w:val="006E408E"/>
    <w:rsid w:val="006F4639"/>
    <w:rsid w:val="006F525E"/>
    <w:rsid w:val="00701596"/>
    <w:rsid w:val="00701ECF"/>
    <w:rsid w:val="0070470E"/>
    <w:rsid w:val="007064A5"/>
    <w:rsid w:val="00706571"/>
    <w:rsid w:val="00706E4B"/>
    <w:rsid w:val="0070719B"/>
    <w:rsid w:val="00711A31"/>
    <w:rsid w:val="0071254F"/>
    <w:rsid w:val="00712605"/>
    <w:rsid w:val="007174C5"/>
    <w:rsid w:val="00717B59"/>
    <w:rsid w:val="00720BA5"/>
    <w:rsid w:val="0072153B"/>
    <w:rsid w:val="007215EB"/>
    <w:rsid w:val="00721A27"/>
    <w:rsid w:val="00722595"/>
    <w:rsid w:val="007235D3"/>
    <w:rsid w:val="00724485"/>
    <w:rsid w:val="00724E7A"/>
    <w:rsid w:val="007274D7"/>
    <w:rsid w:val="00732FF5"/>
    <w:rsid w:val="007331B5"/>
    <w:rsid w:val="007366D3"/>
    <w:rsid w:val="00736CD3"/>
    <w:rsid w:val="007541B6"/>
    <w:rsid w:val="007547B1"/>
    <w:rsid w:val="0075482B"/>
    <w:rsid w:val="00754880"/>
    <w:rsid w:val="007548F1"/>
    <w:rsid w:val="00754E31"/>
    <w:rsid w:val="007552C6"/>
    <w:rsid w:val="007605D1"/>
    <w:rsid w:val="007616F2"/>
    <w:rsid w:val="00761D2D"/>
    <w:rsid w:val="007677E9"/>
    <w:rsid w:val="00771018"/>
    <w:rsid w:val="00773489"/>
    <w:rsid w:val="007737BD"/>
    <w:rsid w:val="007750A2"/>
    <w:rsid w:val="007759FF"/>
    <w:rsid w:val="00780938"/>
    <w:rsid w:val="007833F3"/>
    <w:rsid w:val="00783CF0"/>
    <w:rsid w:val="00784704"/>
    <w:rsid w:val="00784C4A"/>
    <w:rsid w:val="00785364"/>
    <w:rsid w:val="00790381"/>
    <w:rsid w:val="007933FE"/>
    <w:rsid w:val="0079575B"/>
    <w:rsid w:val="007965F7"/>
    <w:rsid w:val="00796E62"/>
    <w:rsid w:val="007A001F"/>
    <w:rsid w:val="007A0F0C"/>
    <w:rsid w:val="007A6286"/>
    <w:rsid w:val="007A65CF"/>
    <w:rsid w:val="007A6AA6"/>
    <w:rsid w:val="007B0CAB"/>
    <w:rsid w:val="007B0F31"/>
    <w:rsid w:val="007B101B"/>
    <w:rsid w:val="007B2E47"/>
    <w:rsid w:val="007B2F7E"/>
    <w:rsid w:val="007B3072"/>
    <w:rsid w:val="007B3E6E"/>
    <w:rsid w:val="007C1716"/>
    <w:rsid w:val="007C1D4B"/>
    <w:rsid w:val="007C35C7"/>
    <w:rsid w:val="007C7745"/>
    <w:rsid w:val="007C7D8A"/>
    <w:rsid w:val="007D5263"/>
    <w:rsid w:val="007D73AC"/>
    <w:rsid w:val="007E19EF"/>
    <w:rsid w:val="007E4203"/>
    <w:rsid w:val="007E556A"/>
    <w:rsid w:val="007E66EC"/>
    <w:rsid w:val="007F0D23"/>
    <w:rsid w:val="007F189F"/>
    <w:rsid w:val="007F1A87"/>
    <w:rsid w:val="007F1BAC"/>
    <w:rsid w:val="007F45B8"/>
    <w:rsid w:val="007F57EB"/>
    <w:rsid w:val="007F67BB"/>
    <w:rsid w:val="00810FBE"/>
    <w:rsid w:val="00811BDE"/>
    <w:rsid w:val="00812A16"/>
    <w:rsid w:val="00812ED0"/>
    <w:rsid w:val="00816B74"/>
    <w:rsid w:val="0081715D"/>
    <w:rsid w:val="00821285"/>
    <w:rsid w:val="00821AC9"/>
    <w:rsid w:val="00824971"/>
    <w:rsid w:val="0082707C"/>
    <w:rsid w:val="0083121B"/>
    <w:rsid w:val="00833938"/>
    <w:rsid w:val="0083561F"/>
    <w:rsid w:val="00835CB2"/>
    <w:rsid w:val="00837FCA"/>
    <w:rsid w:val="00844497"/>
    <w:rsid w:val="00844938"/>
    <w:rsid w:val="008455B6"/>
    <w:rsid w:val="00852385"/>
    <w:rsid w:val="008527E4"/>
    <w:rsid w:val="00853B62"/>
    <w:rsid w:val="008545E4"/>
    <w:rsid w:val="00855550"/>
    <w:rsid w:val="00857104"/>
    <w:rsid w:val="00857D5E"/>
    <w:rsid w:val="00861445"/>
    <w:rsid w:val="00867128"/>
    <w:rsid w:val="00867F77"/>
    <w:rsid w:val="0087018E"/>
    <w:rsid w:val="00870D77"/>
    <w:rsid w:val="00872A37"/>
    <w:rsid w:val="00881FB3"/>
    <w:rsid w:val="0088269C"/>
    <w:rsid w:val="00882BE3"/>
    <w:rsid w:val="00884524"/>
    <w:rsid w:val="00890631"/>
    <w:rsid w:val="00891B80"/>
    <w:rsid w:val="00891CCC"/>
    <w:rsid w:val="00891E17"/>
    <w:rsid w:val="008931C7"/>
    <w:rsid w:val="008948EF"/>
    <w:rsid w:val="00896EF6"/>
    <w:rsid w:val="00897733"/>
    <w:rsid w:val="008A1C95"/>
    <w:rsid w:val="008A2C30"/>
    <w:rsid w:val="008A4143"/>
    <w:rsid w:val="008A4B95"/>
    <w:rsid w:val="008A5795"/>
    <w:rsid w:val="008A7871"/>
    <w:rsid w:val="008B11BC"/>
    <w:rsid w:val="008B66E7"/>
    <w:rsid w:val="008B7173"/>
    <w:rsid w:val="008B7708"/>
    <w:rsid w:val="008C075E"/>
    <w:rsid w:val="008C0A30"/>
    <w:rsid w:val="008C223A"/>
    <w:rsid w:val="008C3FD6"/>
    <w:rsid w:val="008C480A"/>
    <w:rsid w:val="008C4841"/>
    <w:rsid w:val="008C5D16"/>
    <w:rsid w:val="008C6EEE"/>
    <w:rsid w:val="008D2B71"/>
    <w:rsid w:val="008E1201"/>
    <w:rsid w:val="008E30D1"/>
    <w:rsid w:val="008E318F"/>
    <w:rsid w:val="008E7012"/>
    <w:rsid w:val="008F0652"/>
    <w:rsid w:val="008F0AEC"/>
    <w:rsid w:val="008F17F7"/>
    <w:rsid w:val="008F3AF4"/>
    <w:rsid w:val="008F5FCE"/>
    <w:rsid w:val="008F675F"/>
    <w:rsid w:val="008F710B"/>
    <w:rsid w:val="0090006F"/>
    <w:rsid w:val="0090041D"/>
    <w:rsid w:val="00900D32"/>
    <w:rsid w:val="00902103"/>
    <w:rsid w:val="00905E1B"/>
    <w:rsid w:val="00906841"/>
    <w:rsid w:val="009105A4"/>
    <w:rsid w:val="00914117"/>
    <w:rsid w:val="0092048D"/>
    <w:rsid w:val="009208D7"/>
    <w:rsid w:val="00921100"/>
    <w:rsid w:val="00925497"/>
    <w:rsid w:val="00925AF1"/>
    <w:rsid w:val="00927693"/>
    <w:rsid w:val="009309D6"/>
    <w:rsid w:val="009328A7"/>
    <w:rsid w:val="00934079"/>
    <w:rsid w:val="00936AEE"/>
    <w:rsid w:val="00940265"/>
    <w:rsid w:val="009402AE"/>
    <w:rsid w:val="009457AB"/>
    <w:rsid w:val="00946072"/>
    <w:rsid w:val="00950A97"/>
    <w:rsid w:val="00951CC9"/>
    <w:rsid w:val="00952123"/>
    <w:rsid w:val="009558F9"/>
    <w:rsid w:val="00955978"/>
    <w:rsid w:val="00957940"/>
    <w:rsid w:val="0096032A"/>
    <w:rsid w:val="00960FAB"/>
    <w:rsid w:val="00966005"/>
    <w:rsid w:val="0096713E"/>
    <w:rsid w:val="0097266A"/>
    <w:rsid w:val="00977FCC"/>
    <w:rsid w:val="009814A4"/>
    <w:rsid w:val="009814EA"/>
    <w:rsid w:val="009830B4"/>
    <w:rsid w:val="0098554F"/>
    <w:rsid w:val="0098567C"/>
    <w:rsid w:val="00986EC4"/>
    <w:rsid w:val="009874DC"/>
    <w:rsid w:val="00987FF1"/>
    <w:rsid w:val="00990975"/>
    <w:rsid w:val="00991CC7"/>
    <w:rsid w:val="00993068"/>
    <w:rsid w:val="009932B6"/>
    <w:rsid w:val="00993411"/>
    <w:rsid w:val="009975FC"/>
    <w:rsid w:val="009A2528"/>
    <w:rsid w:val="009A28A4"/>
    <w:rsid w:val="009A4CDE"/>
    <w:rsid w:val="009A54E6"/>
    <w:rsid w:val="009A6845"/>
    <w:rsid w:val="009B278B"/>
    <w:rsid w:val="009B430C"/>
    <w:rsid w:val="009B50BF"/>
    <w:rsid w:val="009B6904"/>
    <w:rsid w:val="009B7C42"/>
    <w:rsid w:val="009C0685"/>
    <w:rsid w:val="009D4136"/>
    <w:rsid w:val="009D5A76"/>
    <w:rsid w:val="009E1399"/>
    <w:rsid w:val="009E29F3"/>
    <w:rsid w:val="009E6F2B"/>
    <w:rsid w:val="009E77A4"/>
    <w:rsid w:val="009F1A17"/>
    <w:rsid w:val="009F4E89"/>
    <w:rsid w:val="009F5242"/>
    <w:rsid w:val="009F5A60"/>
    <w:rsid w:val="009F70A4"/>
    <w:rsid w:val="009F75D2"/>
    <w:rsid w:val="00A0691B"/>
    <w:rsid w:val="00A0727C"/>
    <w:rsid w:val="00A078FB"/>
    <w:rsid w:val="00A128C2"/>
    <w:rsid w:val="00A12EAF"/>
    <w:rsid w:val="00A20C83"/>
    <w:rsid w:val="00A254A6"/>
    <w:rsid w:val="00A27547"/>
    <w:rsid w:val="00A32E7D"/>
    <w:rsid w:val="00A332D9"/>
    <w:rsid w:val="00A35233"/>
    <w:rsid w:val="00A362BF"/>
    <w:rsid w:val="00A370F2"/>
    <w:rsid w:val="00A37354"/>
    <w:rsid w:val="00A37454"/>
    <w:rsid w:val="00A40E5F"/>
    <w:rsid w:val="00A435F7"/>
    <w:rsid w:val="00A43F3D"/>
    <w:rsid w:val="00A45A17"/>
    <w:rsid w:val="00A47B24"/>
    <w:rsid w:val="00A519FE"/>
    <w:rsid w:val="00A52D3E"/>
    <w:rsid w:val="00A551ED"/>
    <w:rsid w:val="00A56269"/>
    <w:rsid w:val="00A6145E"/>
    <w:rsid w:val="00A62D1E"/>
    <w:rsid w:val="00A64839"/>
    <w:rsid w:val="00A65735"/>
    <w:rsid w:val="00A73EC5"/>
    <w:rsid w:val="00A7594F"/>
    <w:rsid w:val="00A75E43"/>
    <w:rsid w:val="00A76071"/>
    <w:rsid w:val="00A77005"/>
    <w:rsid w:val="00A808BC"/>
    <w:rsid w:val="00A81C54"/>
    <w:rsid w:val="00A8246E"/>
    <w:rsid w:val="00A826EF"/>
    <w:rsid w:val="00A84C8E"/>
    <w:rsid w:val="00A85684"/>
    <w:rsid w:val="00A926C2"/>
    <w:rsid w:val="00A94155"/>
    <w:rsid w:val="00A9642E"/>
    <w:rsid w:val="00AA026A"/>
    <w:rsid w:val="00AA0FBF"/>
    <w:rsid w:val="00AA183F"/>
    <w:rsid w:val="00AA6BA3"/>
    <w:rsid w:val="00AB174D"/>
    <w:rsid w:val="00AB3489"/>
    <w:rsid w:val="00AB4245"/>
    <w:rsid w:val="00AB5525"/>
    <w:rsid w:val="00AB5584"/>
    <w:rsid w:val="00AB5D40"/>
    <w:rsid w:val="00AC072A"/>
    <w:rsid w:val="00AC09B5"/>
    <w:rsid w:val="00AC2AF6"/>
    <w:rsid w:val="00AC698F"/>
    <w:rsid w:val="00AD2E20"/>
    <w:rsid w:val="00AD3B96"/>
    <w:rsid w:val="00AD42CC"/>
    <w:rsid w:val="00AD6014"/>
    <w:rsid w:val="00AD7A70"/>
    <w:rsid w:val="00AE244E"/>
    <w:rsid w:val="00AE39AF"/>
    <w:rsid w:val="00AE4554"/>
    <w:rsid w:val="00AF5E36"/>
    <w:rsid w:val="00AF6064"/>
    <w:rsid w:val="00B0052E"/>
    <w:rsid w:val="00B0177E"/>
    <w:rsid w:val="00B01D74"/>
    <w:rsid w:val="00B020D7"/>
    <w:rsid w:val="00B03DB8"/>
    <w:rsid w:val="00B048A2"/>
    <w:rsid w:val="00B06E97"/>
    <w:rsid w:val="00B1279A"/>
    <w:rsid w:val="00B16A39"/>
    <w:rsid w:val="00B23F13"/>
    <w:rsid w:val="00B27441"/>
    <w:rsid w:val="00B31D4C"/>
    <w:rsid w:val="00B3721F"/>
    <w:rsid w:val="00B40CA1"/>
    <w:rsid w:val="00B41DAA"/>
    <w:rsid w:val="00B426FC"/>
    <w:rsid w:val="00B42865"/>
    <w:rsid w:val="00B43A4F"/>
    <w:rsid w:val="00B4623E"/>
    <w:rsid w:val="00B463AD"/>
    <w:rsid w:val="00B475DC"/>
    <w:rsid w:val="00B47C10"/>
    <w:rsid w:val="00B51AEB"/>
    <w:rsid w:val="00B51CE7"/>
    <w:rsid w:val="00B5232B"/>
    <w:rsid w:val="00B52AEA"/>
    <w:rsid w:val="00B55078"/>
    <w:rsid w:val="00B564B7"/>
    <w:rsid w:val="00B56704"/>
    <w:rsid w:val="00B617AE"/>
    <w:rsid w:val="00B62BDC"/>
    <w:rsid w:val="00B62C8C"/>
    <w:rsid w:val="00B62D1F"/>
    <w:rsid w:val="00B637FF"/>
    <w:rsid w:val="00B71187"/>
    <w:rsid w:val="00B7237C"/>
    <w:rsid w:val="00B72828"/>
    <w:rsid w:val="00B73B40"/>
    <w:rsid w:val="00B7664B"/>
    <w:rsid w:val="00B773D5"/>
    <w:rsid w:val="00B7749D"/>
    <w:rsid w:val="00B80C2E"/>
    <w:rsid w:val="00B83C5F"/>
    <w:rsid w:val="00B843E5"/>
    <w:rsid w:val="00B84554"/>
    <w:rsid w:val="00B84E88"/>
    <w:rsid w:val="00B865AB"/>
    <w:rsid w:val="00B9026D"/>
    <w:rsid w:val="00B90941"/>
    <w:rsid w:val="00B920E7"/>
    <w:rsid w:val="00B94D26"/>
    <w:rsid w:val="00B953C6"/>
    <w:rsid w:val="00B95DFF"/>
    <w:rsid w:val="00B96275"/>
    <w:rsid w:val="00BA0B5E"/>
    <w:rsid w:val="00BA261D"/>
    <w:rsid w:val="00BA7767"/>
    <w:rsid w:val="00BB0030"/>
    <w:rsid w:val="00BB1BAA"/>
    <w:rsid w:val="00BB3483"/>
    <w:rsid w:val="00BB5A47"/>
    <w:rsid w:val="00BB7DF4"/>
    <w:rsid w:val="00BC096E"/>
    <w:rsid w:val="00BC15B2"/>
    <w:rsid w:val="00BC2114"/>
    <w:rsid w:val="00BC280C"/>
    <w:rsid w:val="00BC283D"/>
    <w:rsid w:val="00BC47B5"/>
    <w:rsid w:val="00BC6F44"/>
    <w:rsid w:val="00BC7DD4"/>
    <w:rsid w:val="00BD1CCE"/>
    <w:rsid w:val="00BD2849"/>
    <w:rsid w:val="00BD31FD"/>
    <w:rsid w:val="00BD3971"/>
    <w:rsid w:val="00BD51DF"/>
    <w:rsid w:val="00BE2E75"/>
    <w:rsid w:val="00BF49BB"/>
    <w:rsid w:val="00BF4E6E"/>
    <w:rsid w:val="00BF6446"/>
    <w:rsid w:val="00C07A4F"/>
    <w:rsid w:val="00C07E1D"/>
    <w:rsid w:val="00C10520"/>
    <w:rsid w:val="00C1312D"/>
    <w:rsid w:val="00C15485"/>
    <w:rsid w:val="00C16872"/>
    <w:rsid w:val="00C205C1"/>
    <w:rsid w:val="00C20A3B"/>
    <w:rsid w:val="00C220E0"/>
    <w:rsid w:val="00C22F2F"/>
    <w:rsid w:val="00C26996"/>
    <w:rsid w:val="00C2722A"/>
    <w:rsid w:val="00C30096"/>
    <w:rsid w:val="00C32779"/>
    <w:rsid w:val="00C45910"/>
    <w:rsid w:val="00C61B60"/>
    <w:rsid w:val="00C64327"/>
    <w:rsid w:val="00C72E93"/>
    <w:rsid w:val="00C8071C"/>
    <w:rsid w:val="00C825C9"/>
    <w:rsid w:val="00C85EC0"/>
    <w:rsid w:val="00C86124"/>
    <w:rsid w:val="00C870E4"/>
    <w:rsid w:val="00C9238D"/>
    <w:rsid w:val="00C9511E"/>
    <w:rsid w:val="00C96666"/>
    <w:rsid w:val="00CA1DCE"/>
    <w:rsid w:val="00CA27FB"/>
    <w:rsid w:val="00CA4FA3"/>
    <w:rsid w:val="00CA5459"/>
    <w:rsid w:val="00CB0B4C"/>
    <w:rsid w:val="00CB1D16"/>
    <w:rsid w:val="00CB477E"/>
    <w:rsid w:val="00CB5959"/>
    <w:rsid w:val="00CB599F"/>
    <w:rsid w:val="00CB6CB9"/>
    <w:rsid w:val="00CC00DF"/>
    <w:rsid w:val="00CC46D7"/>
    <w:rsid w:val="00CC543E"/>
    <w:rsid w:val="00CC681A"/>
    <w:rsid w:val="00CC6970"/>
    <w:rsid w:val="00CC6EE9"/>
    <w:rsid w:val="00CC789D"/>
    <w:rsid w:val="00CD2214"/>
    <w:rsid w:val="00CD2C02"/>
    <w:rsid w:val="00CD39B1"/>
    <w:rsid w:val="00CD4843"/>
    <w:rsid w:val="00CD5420"/>
    <w:rsid w:val="00CE0B16"/>
    <w:rsid w:val="00CE26E6"/>
    <w:rsid w:val="00CE28C4"/>
    <w:rsid w:val="00CE71C2"/>
    <w:rsid w:val="00CF008A"/>
    <w:rsid w:val="00CF02FB"/>
    <w:rsid w:val="00CF5BE2"/>
    <w:rsid w:val="00CF5EB1"/>
    <w:rsid w:val="00D00747"/>
    <w:rsid w:val="00D05DAA"/>
    <w:rsid w:val="00D06EB4"/>
    <w:rsid w:val="00D07880"/>
    <w:rsid w:val="00D11662"/>
    <w:rsid w:val="00D11DE1"/>
    <w:rsid w:val="00D11E74"/>
    <w:rsid w:val="00D14C52"/>
    <w:rsid w:val="00D160C1"/>
    <w:rsid w:val="00D168F3"/>
    <w:rsid w:val="00D17512"/>
    <w:rsid w:val="00D17FD6"/>
    <w:rsid w:val="00D22E26"/>
    <w:rsid w:val="00D23491"/>
    <w:rsid w:val="00D27C3E"/>
    <w:rsid w:val="00D300E9"/>
    <w:rsid w:val="00D31AC3"/>
    <w:rsid w:val="00D326E5"/>
    <w:rsid w:val="00D336BC"/>
    <w:rsid w:val="00D34670"/>
    <w:rsid w:val="00D358CC"/>
    <w:rsid w:val="00D35D66"/>
    <w:rsid w:val="00D36F81"/>
    <w:rsid w:val="00D4016B"/>
    <w:rsid w:val="00D429B1"/>
    <w:rsid w:val="00D45D14"/>
    <w:rsid w:val="00D4790E"/>
    <w:rsid w:val="00D50FFE"/>
    <w:rsid w:val="00D521DA"/>
    <w:rsid w:val="00D56850"/>
    <w:rsid w:val="00D57598"/>
    <w:rsid w:val="00D631FD"/>
    <w:rsid w:val="00D64B13"/>
    <w:rsid w:val="00D667DA"/>
    <w:rsid w:val="00D719CB"/>
    <w:rsid w:val="00D7257A"/>
    <w:rsid w:val="00D77E4A"/>
    <w:rsid w:val="00D77F90"/>
    <w:rsid w:val="00D820F6"/>
    <w:rsid w:val="00D82187"/>
    <w:rsid w:val="00D83FEC"/>
    <w:rsid w:val="00D9048F"/>
    <w:rsid w:val="00D905A7"/>
    <w:rsid w:val="00D906DA"/>
    <w:rsid w:val="00D90F73"/>
    <w:rsid w:val="00D910D1"/>
    <w:rsid w:val="00D92933"/>
    <w:rsid w:val="00DA129E"/>
    <w:rsid w:val="00DA27F5"/>
    <w:rsid w:val="00DA4F52"/>
    <w:rsid w:val="00DA6C35"/>
    <w:rsid w:val="00DB15A2"/>
    <w:rsid w:val="00DB16FA"/>
    <w:rsid w:val="00DB2961"/>
    <w:rsid w:val="00DC1067"/>
    <w:rsid w:val="00DC1C73"/>
    <w:rsid w:val="00DC2D05"/>
    <w:rsid w:val="00DC3646"/>
    <w:rsid w:val="00DC5764"/>
    <w:rsid w:val="00DC6C86"/>
    <w:rsid w:val="00DD5ADE"/>
    <w:rsid w:val="00DD69B2"/>
    <w:rsid w:val="00DD7431"/>
    <w:rsid w:val="00DE1179"/>
    <w:rsid w:val="00DE5067"/>
    <w:rsid w:val="00DF0451"/>
    <w:rsid w:val="00DF2809"/>
    <w:rsid w:val="00DF3728"/>
    <w:rsid w:val="00DF4CF9"/>
    <w:rsid w:val="00DF4F43"/>
    <w:rsid w:val="00DF509E"/>
    <w:rsid w:val="00DF547F"/>
    <w:rsid w:val="00DF62EB"/>
    <w:rsid w:val="00DF6728"/>
    <w:rsid w:val="00DF7795"/>
    <w:rsid w:val="00E00563"/>
    <w:rsid w:val="00E0342A"/>
    <w:rsid w:val="00E0492A"/>
    <w:rsid w:val="00E04A25"/>
    <w:rsid w:val="00E05589"/>
    <w:rsid w:val="00E05D29"/>
    <w:rsid w:val="00E07073"/>
    <w:rsid w:val="00E074F0"/>
    <w:rsid w:val="00E105D9"/>
    <w:rsid w:val="00E10B62"/>
    <w:rsid w:val="00E14E68"/>
    <w:rsid w:val="00E17728"/>
    <w:rsid w:val="00E17921"/>
    <w:rsid w:val="00E2047B"/>
    <w:rsid w:val="00E22C98"/>
    <w:rsid w:val="00E22E26"/>
    <w:rsid w:val="00E35D81"/>
    <w:rsid w:val="00E35E3A"/>
    <w:rsid w:val="00E4067D"/>
    <w:rsid w:val="00E41555"/>
    <w:rsid w:val="00E43128"/>
    <w:rsid w:val="00E43705"/>
    <w:rsid w:val="00E444B7"/>
    <w:rsid w:val="00E44822"/>
    <w:rsid w:val="00E45696"/>
    <w:rsid w:val="00E46EBC"/>
    <w:rsid w:val="00E47300"/>
    <w:rsid w:val="00E5368D"/>
    <w:rsid w:val="00E565C4"/>
    <w:rsid w:val="00E64CCD"/>
    <w:rsid w:val="00E7430A"/>
    <w:rsid w:val="00E7614F"/>
    <w:rsid w:val="00E77243"/>
    <w:rsid w:val="00E8196E"/>
    <w:rsid w:val="00E87DA5"/>
    <w:rsid w:val="00E90D16"/>
    <w:rsid w:val="00E93EC9"/>
    <w:rsid w:val="00E947F7"/>
    <w:rsid w:val="00E95149"/>
    <w:rsid w:val="00E959F6"/>
    <w:rsid w:val="00E974A3"/>
    <w:rsid w:val="00EA039E"/>
    <w:rsid w:val="00EA169A"/>
    <w:rsid w:val="00EA2C9D"/>
    <w:rsid w:val="00EA5112"/>
    <w:rsid w:val="00EA5D48"/>
    <w:rsid w:val="00EB075B"/>
    <w:rsid w:val="00EB0E5B"/>
    <w:rsid w:val="00EB109F"/>
    <w:rsid w:val="00EB233A"/>
    <w:rsid w:val="00EB301D"/>
    <w:rsid w:val="00EB3545"/>
    <w:rsid w:val="00EC13C6"/>
    <w:rsid w:val="00EC21A7"/>
    <w:rsid w:val="00EC65AE"/>
    <w:rsid w:val="00EC74BC"/>
    <w:rsid w:val="00EC74E4"/>
    <w:rsid w:val="00ED1CA8"/>
    <w:rsid w:val="00ED2E2B"/>
    <w:rsid w:val="00EF0A0A"/>
    <w:rsid w:val="00EF74B4"/>
    <w:rsid w:val="00F029EC"/>
    <w:rsid w:val="00F03874"/>
    <w:rsid w:val="00F03D70"/>
    <w:rsid w:val="00F05FF7"/>
    <w:rsid w:val="00F06142"/>
    <w:rsid w:val="00F11593"/>
    <w:rsid w:val="00F12DD7"/>
    <w:rsid w:val="00F14E0B"/>
    <w:rsid w:val="00F15514"/>
    <w:rsid w:val="00F17A8C"/>
    <w:rsid w:val="00F17F98"/>
    <w:rsid w:val="00F232C7"/>
    <w:rsid w:val="00F24569"/>
    <w:rsid w:val="00F26419"/>
    <w:rsid w:val="00F26DF4"/>
    <w:rsid w:val="00F275E2"/>
    <w:rsid w:val="00F27E20"/>
    <w:rsid w:val="00F3310A"/>
    <w:rsid w:val="00F35827"/>
    <w:rsid w:val="00F37512"/>
    <w:rsid w:val="00F44F22"/>
    <w:rsid w:val="00F465A1"/>
    <w:rsid w:val="00F51715"/>
    <w:rsid w:val="00F5185B"/>
    <w:rsid w:val="00F52D6D"/>
    <w:rsid w:val="00F531AA"/>
    <w:rsid w:val="00F55840"/>
    <w:rsid w:val="00F61921"/>
    <w:rsid w:val="00F6240A"/>
    <w:rsid w:val="00F637D3"/>
    <w:rsid w:val="00F649EB"/>
    <w:rsid w:val="00F728BB"/>
    <w:rsid w:val="00F73414"/>
    <w:rsid w:val="00F73D03"/>
    <w:rsid w:val="00F74730"/>
    <w:rsid w:val="00F763C7"/>
    <w:rsid w:val="00F76A91"/>
    <w:rsid w:val="00F86F79"/>
    <w:rsid w:val="00F91BF3"/>
    <w:rsid w:val="00F933DE"/>
    <w:rsid w:val="00F938DE"/>
    <w:rsid w:val="00F93AA7"/>
    <w:rsid w:val="00F94517"/>
    <w:rsid w:val="00F949E5"/>
    <w:rsid w:val="00F957B7"/>
    <w:rsid w:val="00FA0987"/>
    <w:rsid w:val="00FA25D9"/>
    <w:rsid w:val="00FA2E07"/>
    <w:rsid w:val="00FA665A"/>
    <w:rsid w:val="00FB2A98"/>
    <w:rsid w:val="00FB35D8"/>
    <w:rsid w:val="00FB488F"/>
    <w:rsid w:val="00FB749A"/>
    <w:rsid w:val="00FC02E2"/>
    <w:rsid w:val="00FC0491"/>
    <w:rsid w:val="00FC0503"/>
    <w:rsid w:val="00FC30BB"/>
    <w:rsid w:val="00FC30D4"/>
    <w:rsid w:val="00FC34DA"/>
    <w:rsid w:val="00FC3E69"/>
    <w:rsid w:val="00FC5435"/>
    <w:rsid w:val="00FC54BD"/>
    <w:rsid w:val="00FC57D8"/>
    <w:rsid w:val="00FC5B6B"/>
    <w:rsid w:val="00FC7553"/>
    <w:rsid w:val="00FC7595"/>
    <w:rsid w:val="00FD21C8"/>
    <w:rsid w:val="00FD347D"/>
    <w:rsid w:val="00FD3699"/>
    <w:rsid w:val="00FD3BE2"/>
    <w:rsid w:val="00FD7DD4"/>
    <w:rsid w:val="00FE19FF"/>
    <w:rsid w:val="00FE20E9"/>
    <w:rsid w:val="00FE336F"/>
    <w:rsid w:val="00FE597A"/>
    <w:rsid w:val="00FF1632"/>
    <w:rsid w:val="00FF3946"/>
    <w:rsid w:val="00FF3EA5"/>
    <w:rsid w:val="00FF4FAA"/>
    <w:rsid w:val="00FF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01462-BB70-43BF-9A6C-8347CEFC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541"/>
    <w:pPr>
      <w:spacing w:after="0" w:line="240" w:lineRule="auto"/>
    </w:pPr>
    <w:rPr>
      <w:rFonts w:ascii="Times New Roman" w:hAnsi="Times New Roman"/>
    </w:rPr>
  </w:style>
  <w:style w:type="paragraph" w:styleId="Heading1">
    <w:name w:val="heading 1"/>
    <w:basedOn w:val="Normal"/>
    <w:next w:val="Normal"/>
    <w:link w:val="Heading1Char"/>
    <w:autoRedefine/>
    <w:uiPriority w:val="9"/>
    <w:qFormat/>
    <w:rsid w:val="00396850"/>
    <w:pPr>
      <w:keepNext/>
      <w:keepLines/>
      <w:numPr>
        <w:numId w:val="6"/>
      </w:numPr>
      <w:tabs>
        <w:tab w:val="left" w:pos="426"/>
      </w:tabs>
      <w:spacing w:before="240"/>
      <w:ind w:left="0" w:firstLine="0"/>
      <w:jc w:val="both"/>
      <w:outlineLvl w:val="0"/>
    </w:pPr>
    <w:rPr>
      <w:rFonts w:eastAsia="Calibri" w:cs="Times New Roman"/>
      <w:b/>
      <w:bCs/>
      <w:szCs w:val="24"/>
    </w:rPr>
  </w:style>
  <w:style w:type="paragraph" w:styleId="Heading2">
    <w:name w:val="heading 2"/>
    <w:basedOn w:val="Normal"/>
    <w:next w:val="Normal"/>
    <w:link w:val="Heading2Char"/>
    <w:uiPriority w:val="9"/>
    <w:unhideWhenUsed/>
    <w:qFormat/>
    <w:rsid w:val="00AB5D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666"/>
    <w:pPr>
      <w:ind w:left="1440"/>
      <w:contextualSpacing/>
    </w:pPr>
  </w:style>
  <w:style w:type="paragraph" w:styleId="TOC1">
    <w:name w:val="toc 1"/>
    <w:basedOn w:val="Normal"/>
    <w:next w:val="Normal"/>
    <w:autoRedefine/>
    <w:uiPriority w:val="39"/>
    <w:unhideWhenUsed/>
    <w:qFormat/>
    <w:rsid w:val="009328A7"/>
    <w:pPr>
      <w:tabs>
        <w:tab w:val="left" w:pos="440"/>
        <w:tab w:val="right" w:leader="dot" w:pos="9350"/>
      </w:tabs>
      <w:spacing w:before="120" w:after="120"/>
    </w:pPr>
    <w:rPr>
      <w:rFonts w:cs="Times New Roman"/>
      <w:noProof/>
      <w:color w:val="FF0000"/>
    </w:rPr>
  </w:style>
  <w:style w:type="character" w:styleId="Hyperlink">
    <w:name w:val="Hyperlink"/>
    <w:basedOn w:val="DefaultParagraphFont"/>
    <w:uiPriority w:val="99"/>
    <w:unhideWhenUsed/>
    <w:rsid w:val="004079BD"/>
    <w:rPr>
      <w:color w:val="0000FF" w:themeColor="hyperlink"/>
      <w:u w:val="single"/>
    </w:rPr>
  </w:style>
  <w:style w:type="paragraph" w:styleId="TOC2">
    <w:name w:val="toc 2"/>
    <w:basedOn w:val="Normal"/>
    <w:next w:val="Normal"/>
    <w:autoRedefine/>
    <w:uiPriority w:val="39"/>
    <w:unhideWhenUsed/>
    <w:qFormat/>
    <w:rsid w:val="00274525"/>
    <w:pPr>
      <w:tabs>
        <w:tab w:val="right" w:leader="dot" w:pos="9350"/>
      </w:tabs>
      <w:ind w:left="567"/>
    </w:pPr>
    <w:rPr>
      <w:rFonts w:cs="Times New Roman"/>
      <w:i/>
      <w:noProof/>
      <w:color w:val="FF0000"/>
    </w:rPr>
  </w:style>
  <w:style w:type="paragraph" w:styleId="BalloonText">
    <w:name w:val="Balloon Text"/>
    <w:basedOn w:val="Normal"/>
    <w:link w:val="BalloonTextChar"/>
    <w:uiPriority w:val="99"/>
    <w:semiHidden/>
    <w:unhideWhenUsed/>
    <w:rsid w:val="004079BD"/>
    <w:rPr>
      <w:rFonts w:ascii="Tahoma" w:hAnsi="Tahoma" w:cs="Tahoma"/>
      <w:sz w:val="16"/>
      <w:szCs w:val="16"/>
    </w:rPr>
  </w:style>
  <w:style w:type="character" w:customStyle="1" w:styleId="BalloonTextChar">
    <w:name w:val="Balloon Text Char"/>
    <w:basedOn w:val="DefaultParagraphFont"/>
    <w:link w:val="BalloonText"/>
    <w:uiPriority w:val="99"/>
    <w:semiHidden/>
    <w:rsid w:val="004079BD"/>
    <w:rPr>
      <w:rFonts w:ascii="Tahoma" w:hAnsi="Tahoma" w:cs="Tahoma"/>
      <w:sz w:val="16"/>
      <w:szCs w:val="16"/>
    </w:rPr>
  </w:style>
  <w:style w:type="character" w:customStyle="1" w:styleId="Heading2Char">
    <w:name w:val="Heading 2 Char"/>
    <w:basedOn w:val="DefaultParagraphFont"/>
    <w:link w:val="Heading2"/>
    <w:uiPriority w:val="9"/>
    <w:rsid w:val="00AB5D40"/>
    <w:rPr>
      <w:rFonts w:asciiTheme="majorHAnsi" w:eastAsiaTheme="majorEastAsia" w:hAnsiTheme="majorHAnsi" w:cstheme="majorBidi"/>
      <w:b/>
      <w:bCs/>
      <w:color w:val="4F81BD" w:themeColor="accent1"/>
      <w:sz w:val="26"/>
      <w:szCs w:val="26"/>
    </w:rPr>
  </w:style>
  <w:style w:type="paragraph" w:customStyle="1" w:styleId="Default">
    <w:name w:val="Default"/>
    <w:rsid w:val="004F201D"/>
    <w:pPr>
      <w:autoSpaceDE w:val="0"/>
      <w:autoSpaceDN w:val="0"/>
      <w:adjustRightInd w:val="0"/>
      <w:spacing w:after="0" w:line="240" w:lineRule="auto"/>
    </w:pPr>
    <w:rPr>
      <w:rFonts w:ascii="Calibri" w:hAnsi="Calibri" w:cs="Calibri"/>
      <w:color w:val="000000"/>
      <w:sz w:val="24"/>
      <w:szCs w:val="24"/>
      <w:lang w:val="en-GB"/>
    </w:rPr>
  </w:style>
  <w:style w:type="character" w:styleId="FootnoteReference">
    <w:name w:val="footnote reference"/>
    <w:basedOn w:val="DefaultParagraphFont"/>
    <w:uiPriority w:val="99"/>
    <w:semiHidden/>
    <w:unhideWhenUsed/>
    <w:rsid w:val="00BC2114"/>
    <w:rPr>
      <w:spacing w:val="-5"/>
      <w:position w:val="-4"/>
      <w:vertAlign w:val="superscript"/>
    </w:rPr>
  </w:style>
  <w:style w:type="character" w:customStyle="1" w:styleId="st1">
    <w:name w:val="st1"/>
    <w:basedOn w:val="DefaultParagraphFont"/>
    <w:rsid w:val="00F51715"/>
  </w:style>
  <w:style w:type="character" w:customStyle="1" w:styleId="Heading1Char">
    <w:name w:val="Heading 1 Char"/>
    <w:basedOn w:val="DefaultParagraphFont"/>
    <w:link w:val="Heading1"/>
    <w:uiPriority w:val="9"/>
    <w:rsid w:val="00396850"/>
    <w:rPr>
      <w:rFonts w:ascii="Times New Roman" w:eastAsia="Calibri" w:hAnsi="Times New Roman" w:cs="Times New Roman"/>
      <w:b/>
      <w:bCs/>
      <w:szCs w:val="24"/>
    </w:rPr>
  </w:style>
  <w:style w:type="paragraph" w:styleId="TOCHeading">
    <w:name w:val="TOC Heading"/>
    <w:basedOn w:val="Heading1"/>
    <w:next w:val="Normal"/>
    <w:uiPriority w:val="39"/>
    <w:unhideWhenUsed/>
    <w:qFormat/>
    <w:rsid w:val="00452826"/>
    <w:pPr>
      <w:outlineLvl w:val="9"/>
    </w:pPr>
    <w:rPr>
      <w:lang w:eastAsia="ja-JP"/>
    </w:rPr>
  </w:style>
  <w:style w:type="paragraph" w:styleId="TOC3">
    <w:name w:val="toc 3"/>
    <w:basedOn w:val="Normal"/>
    <w:next w:val="Normal"/>
    <w:autoRedefine/>
    <w:uiPriority w:val="39"/>
    <w:semiHidden/>
    <w:unhideWhenUsed/>
    <w:qFormat/>
    <w:rsid w:val="00452826"/>
    <w:pPr>
      <w:spacing w:after="100"/>
      <w:ind w:left="440"/>
    </w:pPr>
    <w:rPr>
      <w:rFonts w:eastAsiaTheme="minorEastAsia"/>
      <w:lang w:eastAsia="ja-JP"/>
    </w:rPr>
  </w:style>
  <w:style w:type="paragraph" w:styleId="FootnoteText">
    <w:name w:val="footnote text"/>
    <w:basedOn w:val="Normal"/>
    <w:link w:val="FootnoteTextChar"/>
    <w:uiPriority w:val="99"/>
    <w:semiHidden/>
    <w:unhideWhenUsed/>
    <w:rsid w:val="006E3701"/>
    <w:rPr>
      <w:sz w:val="20"/>
      <w:szCs w:val="20"/>
    </w:rPr>
  </w:style>
  <w:style w:type="character" w:customStyle="1" w:styleId="FootnoteTextChar">
    <w:name w:val="Footnote Text Char"/>
    <w:basedOn w:val="DefaultParagraphFont"/>
    <w:link w:val="FootnoteText"/>
    <w:uiPriority w:val="99"/>
    <w:semiHidden/>
    <w:rsid w:val="006E3701"/>
    <w:rPr>
      <w:sz w:val="20"/>
      <w:szCs w:val="20"/>
    </w:rPr>
  </w:style>
  <w:style w:type="paragraph" w:styleId="Header">
    <w:name w:val="header"/>
    <w:basedOn w:val="Normal"/>
    <w:link w:val="HeaderChar"/>
    <w:uiPriority w:val="99"/>
    <w:unhideWhenUsed/>
    <w:rsid w:val="000850DE"/>
    <w:pPr>
      <w:tabs>
        <w:tab w:val="center" w:pos="4513"/>
        <w:tab w:val="right" w:pos="9026"/>
      </w:tabs>
    </w:pPr>
  </w:style>
  <w:style w:type="character" w:customStyle="1" w:styleId="HeaderChar">
    <w:name w:val="Header Char"/>
    <w:basedOn w:val="DefaultParagraphFont"/>
    <w:link w:val="Header"/>
    <w:uiPriority w:val="99"/>
    <w:rsid w:val="000850DE"/>
  </w:style>
  <w:style w:type="paragraph" w:styleId="Footer">
    <w:name w:val="footer"/>
    <w:basedOn w:val="Normal"/>
    <w:link w:val="FooterChar"/>
    <w:uiPriority w:val="99"/>
    <w:unhideWhenUsed/>
    <w:rsid w:val="000850DE"/>
    <w:pPr>
      <w:tabs>
        <w:tab w:val="center" w:pos="4513"/>
        <w:tab w:val="right" w:pos="9026"/>
      </w:tabs>
    </w:pPr>
  </w:style>
  <w:style w:type="character" w:customStyle="1" w:styleId="FooterChar">
    <w:name w:val="Footer Char"/>
    <w:basedOn w:val="DefaultParagraphFont"/>
    <w:link w:val="Footer"/>
    <w:uiPriority w:val="99"/>
    <w:rsid w:val="000850DE"/>
  </w:style>
  <w:style w:type="character" w:styleId="CommentReference">
    <w:name w:val="annotation reference"/>
    <w:basedOn w:val="DefaultParagraphFont"/>
    <w:uiPriority w:val="99"/>
    <w:semiHidden/>
    <w:unhideWhenUsed/>
    <w:rsid w:val="00E35E3A"/>
    <w:rPr>
      <w:sz w:val="16"/>
      <w:szCs w:val="16"/>
    </w:rPr>
  </w:style>
  <w:style w:type="paragraph" w:styleId="CommentText">
    <w:name w:val="annotation text"/>
    <w:basedOn w:val="Normal"/>
    <w:link w:val="CommentTextChar"/>
    <w:uiPriority w:val="99"/>
    <w:semiHidden/>
    <w:unhideWhenUsed/>
    <w:rsid w:val="00E35E3A"/>
    <w:rPr>
      <w:sz w:val="20"/>
      <w:szCs w:val="20"/>
    </w:rPr>
  </w:style>
  <w:style w:type="character" w:customStyle="1" w:styleId="CommentTextChar">
    <w:name w:val="Comment Text Char"/>
    <w:basedOn w:val="DefaultParagraphFont"/>
    <w:link w:val="CommentText"/>
    <w:uiPriority w:val="99"/>
    <w:semiHidden/>
    <w:rsid w:val="00E35E3A"/>
    <w:rPr>
      <w:sz w:val="20"/>
      <w:szCs w:val="20"/>
    </w:rPr>
  </w:style>
  <w:style w:type="paragraph" w:styleId="CommentSubject">
    <w:name w:val="annotation subject"/>
    <w:basedOn w:val="CommentText"/>
    <w:next w:val="CommentText"/>
    <w:link w:val="CommentSubjectChar"/>
    <w:uiPriority w:val="99"/>
    <w:semiHidden/>
    <w:unhideWhenUsed/>
    <w:rsid w:val="00E35E3A"/>
    <w:rPr>
      <w:b/>
      <w:bCs/>
    </w:rPr>
  </w:style>
  <w:style w:type="character" w:customStyle="1" w:styleId="CommentSubjectChar">
    <w:name w:val="Comment Subject Char"/>
    <w:basedOn w:val="CommentTextChar"/>
    <w:link w:val="CommentSubject"/>
    <w:uiPriority w:val="99"/>
    <w:semiHidden/>
    <w:rsid w:val="00E35E3A"/>
    <w:rPr>
      <w:b/>
      <w:bCs/>
      <w:sz w:val="20"/>
      <w:szCs w:val="20"/>
    </w:rPr>
  </w:style>
  <w:style w:type="paragraph" w:styleId="NoSpacing">
    <w:name w:val="No Spacing"/>
    <w:uiPriority w:val="1"/>
    <w:qFormat/>
    <w:rsid w:val="00E95149"/>
    <w:pPr>
      <w:spacing w:after="0" w:line="240" w:lineRule="auto"/>
    </w:pPr>
  </w:style>
  <w:style w:type="character" w:styleId="BookTitle">
    <w:name w:val="Book Title"/>
    <w:basedOn w:val="DefaultParagraphFont"/>
    <w:uiPriority w:val="33"/>
    <w:qFormat/>
    <w:rsid w:val="00DC576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4DFDA-3D3D-44AE-BBDA-BCC3BCBD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3499</Words>
  <Characters>19947</Characters>
  <Application>Microsoft Office Word</Application>
  <DocSecurity>0</DocSecurity>
  <Lines>166</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UNOPS</Company>
  <LinksUpToDate>false</LinksUpToDate>
  <CharactersWithSpaces>23400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MALMSTROM</dc:creator>
  <cp:lastModifiedBy>Svetlana Iazykova</cp:lastModifiedBy>
  <cp:revision>2</cp:revision>
  <cp:lastPrinted>2017-02-06T14:36:00Z</cp:lastPrinted>
  <dcterms:created xsi:type="dcterms:W3CDTF">2017-04-17T15:43:00Z</dcterms:created>
  <dcterms:modified xsi:type="dcterms:W3CDTF">2017-04-17T15:43:00Z</dcterms:modified>
</cp:coreProperties>
</file>