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AC" w:rsidRPr="008E2FB0" w:rsidRDefault="000A2492" w:rsidP="00A012AC">
      <w:pPr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ANNEX</w:t>
      </w:r>
      <w:bookmarkStart w:id="0" w:name="_GoBack"/>
      <w:bookmarkEnd w:id="0"/>
      <w:r w:rsidR="00A012AC" w:rsidRPr="008E2FB0">
        <w:rPr>
          <w:color w:val="000000"/>
          <w:sz w:val="16"/>
          <w:szCs w:val="16"/>
        </w:rPr>
        <w:t xml:space="preserve">. </w:t>
      </w:r>
      <w:r w:rsidR="00A012AC" w:rsidRPr="008E2FB0">
        <w:rPr>
          <w:b/>
          <w:bCs/>
          <w:color w:val="000000"/>
          <w:sz w:val="16"/>
          <w:szCs w:val="16"/>
        </w:rPr>
        <w:t>FULLY-COSTED EVALUATION PLAN (2018 – 2022)</w:t>
      </w:r>
    </w:p>
    <w:tbl>
      <w:tblPr>
        <w:tblpPr w:leftFromText="180" w:rightFromText="180" w:vertAnchor="text" w:horzAnchor="margin" w:tblpXSpec="center" w:tblpY="143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702"/>
        <w:gridCol w:w="1595"/>
        <w:gridCol w:w="2069"/>
        <w:gridCol w:w="1229"/>
        <w:gridCol w:w="1006"/>
        <w:gridCol w:w="1089"/>
        <w:gridCol w:w="1100"/>
        <w:gridCol w:w="1126"/>
      </w:tblGrid>
      <w:tr w:rsidR="00A012AC" w:rsidRPr="008E2FB0" w:rsidTr="0093603B">
        <w:trPr>
          <w:trHeight w:val="845"/>
        </w:trPr>
        <w:tc>
          <w:tcPr>
            <w:tcW w:w="480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UNDAF (or equivalent)</w:t>
            </w:r>
          </w:p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1295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58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24" w:type="pct"/>
            <w:shd w:val="clear" w:color="auto" w:fill="DEEAF6" w:themeFill="accent1" w:themeFillTint="33"/>
            <w:vAlign w:val="center"/>
          </w:tcPr>
          <w:p w:rsidR="00A012AC" w:rsidRPr="008E2FB0" w:rsidDel="00BA628C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30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352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381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385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:rsidR="00A012AC" w:rsidRPr="008E2FB0" w:rsidRDefault="00A012AC" w:rsidP="0093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8E2FB0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012AC" w:rsidRPr="008E2FB0" w:rsidTr="0093603B">
        <w:trPr>
          <w:trHeight w:val="845"/>
        </w:trPr>
        <w:tc>
          <w:tcPr>
            <w:tcW w:w="480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1295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558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CPD</w:t>
            </w:r>
          </w:p>
        </w:tc>
        <w:tc>
          <w:tcPr>
            <w:tcW w:w="724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Ministry of Budget and National Planning, </w:t>
            </w:r>
            <w:r w:rsidRPr="008E2FB0">
              <w:t>National</w:t>
            </w:r>
            <w:r w:rsidRPr="008E2FB0">
              <w:rPr>
                <w:sz w:val="16"/>
                <w:szCs w:val="16"/>
              </w:rPr>
              <w:t xml:space="preserve"> Bureau of Statistics</w:t>
            </w:r>
          </w:p>
        </w:tc>
        <w:tc>
          <w:tcPr>
            <w:tcW w:w="430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Programme evaluation</w:t>
            </w:r>
          </w:p>
        </w:tc>
        <w:tc>
          <w:tcPr>
            <w:tcW w:w="381" w:type="pct"/>
            <w:shd w:val="clear" w:color="auto" w:fill="auto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May 2020</w:t>
            </w:r>
          </w:p>
        </w:tc>
        <w:tc>
          <w:tcPr>
            <w:tcW w:w="385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50,000</w:t>
            </w:r>
          </w:p>
        </w:tc>
        <w:tc>
          <w:tcPr>
            <w:tcW w:w="394" w:type="pct"/>
            <w:shd w:val="clear" w:color="auto" w:fill="auto"/>
          </w:tcPr>
          <w:p w:rsidR="00A012AC" w:rsidRPr="008E2FB0" w:rsidRDefault="00A012AC" w:rsidP="0093603B">
            <w:r w:rsidRPr="008E2FB0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A012AC" w:rsidRPr="008E2FB0" w:rsidTr="0093603B">
        <w:trPr>
          <w:trHeight w:val="845"/>
        </w:trPr>
        <w:tc>
          <w:tcPr>
            <w:tcW w:w="480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1295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All</w:t>
            </w:r>
          </w:p>
        </w:tc>
        <w:tc>
          <w:tcPr>
            <w:tcW w:w="558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UNDAF Mid Term Review</w:t>
            </w:r>
          </w:p>
        </w:tc>
        <w:tc>
          <w:tcPr>
            <w:tcW w:w="724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Ministry of Budget and National Planning, </w:t>
            </w:r>
            <w:r w:rsidRPr="008E2FB0">
              <w:t>National</w:t>
            </w:r>
            <w:r w:rsidRPr="008E2FB0">
              <w:rPr>
                <w:sz w:val="16"/>
                <w:szCs w:val="16"/>
              </w:rPr>
              <w:t xml:space="preserve"> Bureau of Statistics</w:t>
            </w:r>
          </w:p>
        </w:tc>
        <w:tc>
          <w:tcPr>
            <w:tcW w:w="430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1" w:type="pct"/>
            <w:shd w:val="clear" w:color="auto" w:fill="auto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Sept 2019</w:t>
            </w:r>
          </w:p>
        </w:tc>
        <w:tc>
          <w:tcPr>
            <w:tcW w:w="385" w:type="pct"/>
            <w:shd w:val="clear" w:color="auto" w:fill="auto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50,000</w:t>
            </w:r>
          </w:p>
        </w:tc>
        <w:tc>
          <w:tcPr>
            <w:tcW w:w="394" w:type="pct"/>
            <w:shd w:val="clear" w:color="auto" w:fill="auto"/>
          </w:tcPr>
          <w:p w:rsidR="00A012AC" w:rsidRPr="008E2F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A012AC" w:rsidRPr="008E2FB0" w:rsidTr="0093603B">
        <w:trPr>
          <w:trHeight w:val="410"/>
        </w:trPr>
        <w:tc>
          <w:tcPr>
            <w:tcW w:w="480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UNDAF Outcome 1</w:t>
            </w:r>
          </w:p>
        </w:tc>
        <w:tc>
          <w:tcPr>
            <w:tcW w:w="129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1: By 2022, Governments at all levels apply principles of good governance and rule of law in public service delivery and equal citizen engagement.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Governance and Rule of Law outcome</w:t>
            </w: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Ministry of Budget and National Planning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Feb 2020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25,000</w:t>
            </w:r>
          </w:p>
        </w:tc>
        <w:tc>
          <w:tcPr>
            <w:tcW w:w="394" w:type="pct"/>
          </w:tcPr>
          <w:p w:rsidR="00A012AC" w:rsidRPr="008E2F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A012AC" w:rsidRPr="008E2FB0" w:rsidTr="0093603B">
        <w:trPr>
          <w:trHeight w:val="410"/>
        </w:trPr>
        <w:tc>
          <w:tcPr>
            <w:tcW w:w="480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UNDAF Outcome 1</w:t>
            </w:r>
          </w:p>
        </w:tc>
        <w:tc>
          <w:tcPr>
            <w:tcW w:w="129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1: By 2022, Governments at all levels apply principles of good governance and rule of law in public service delivery and equal citizen engagement.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Support to North East programme</w:t>
            </w: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Ministry of Budget and National Planning, NEMA, Embassy of Japanese, Norway, USAID, Borno, Adamawa &amp; Yobe State Govts</w:t>
            </w:r>
            <w:r w:rsidRPr="008E2FB0">
              <w:t xml:space="preserve"> 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June 2020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25,000</w:t>
            </w:r>
          </w:p>
        </w:tc>
        <w:tc>
          <w:tcPr>
            <w:tcW w:w="394" w:type="pct"/>
          </w:tcPr>
          <w:p w:rsidR="00A012AC" w:rsidRPr="008E2F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A012AC" w:rsidRPr="008E2FB0" w:rsidTr="0093603B">
        <w:trPr>
          <w:trHeight w:val="490"/>
        </w:trPr>
        <w:tc>
          <w:tcPr>
            <w:tcW w:w="480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UNDAF Outcome 1</w:t>
            </w:r>
          </w:p>
        </w:tc>
        <w:tc>
          <w:tcPr>
            <w:tcW w:w="129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1: By 2022, Governments at all levels apply principles of good governance and rule of law in public service delivery and equal citizen engagement.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Evaluation of Nigerian Democratic Empowerment Project (NDEP) </w:t>
            </w:r>
            <w:r w:rsidRPr="008E2FB0">
              <w:rPr>
                <w:i/>
                <w:sz w:val="16"/>
                <w:szCs w:val="16"/>
              </w:rPr>
              <w:t>– Support to elections</w:t>
            </w: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Independent National Electoral Commission (INEC)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Project Evaluation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Oct 2019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20,000</w:t>
            </w:r>
          </w:p>
        </w:tc>
        <w:tc>
          <w:tcPr>
            <w:tcW w:w="394" w:type="pct"/>
          </w:tcPr>
          <w:p w:rsidR="00A012AC" w:rsidRPr="008E2FB0" w:rsidRDefault="00A012AC" w:rsidP="0093603B">
            <w:r w:rsidRPr="008E2FB0">
              <w:rPr>
                <w:rStyle w:val="CommentReference"/>
                <w:sz w:val="16"/>
                <w:szCs w:val="16"/>
                <w:lang w:eastAsia="uk-UA"/>
              </w:rPr>
              <w:t>TRAC/others</w:t>
            </w:r>
          </w:p>
        </w:tc>
      </w:tr>
      <w:tr w:rsidR="00A012AC" w:rsidRPr="008E2FB0" w:rsidTr="0093603B">
        <w:trPr>
          <w:trHeight w:val="490"/>
        </w:trPr>
        <w:tc>
          <w:tcPr>
            <w:tcW w:w="480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UNDAF Outcome 1</w:t>
            </w:r>
          </w:p>
        </w:tc>
        <w:tc>
          <w:tcPr>
            <w:tcW w:w="129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1: By 2022, Governments at all levels apply principles of good governance and rule of law in public service delivery and equal citizen engagement.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ECOWAS/EU Small Arms Project (SALW)</w:t>
            </w: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PRESCOM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Project Evaluation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Oct 2018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25,700.00</w:t>
            </w:r>
          </w:p>
        </w:tc>
        <w:tc>
          <w:tcPr>
            <w:tcW w:w="394" w:type="pct"/>
          </w:tcPr>
          <w:p w:rsidR="00A012AC" w:rsidRPr="008E2FB0" w:rsidRDefault="00A012AC" w:rsidP="0093603B">
            <w:r w:rsidRPr="008E2FB0">
              <w:rPr>
                <w:rStyle w:val="CommentReference"/>
                <w:sz w:val="16"/>
                <w:szCs w:val="16"/>
                <w:lang w:eastAsia="uk-UA"/>
              </w:rPr>
              <w:t>TRAC/others</w:t>
            </w:r>
          </w:p>
        </w:tc>
      </w:tr>
      <w:tr w:rsidR="00A012AC" w:rsidRPr="008E2FB0" w:rsidTr="0093603B">
        <w:trPr>
          <w:trHeight w:val="490"/>
        </w:trPr>
        <w:tc>
          <w:tcPr>
            <w:tcW w:w="48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UNDAF Outcome 7</w:t>
            </w:r>
          </w:p>
        </w:tc>
        <w:tc>
          <w:tcPr>
            <w:tcW w:w="129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Outcome 2: By 2022, Nigeria’s natural resources are protected from environmental degradation and harmful agricultural, industrial and human practices, and communities are deriving commensurate environmental, economic and social benefits from their sustainable use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bCs/>
                <w:color w:val="000000"/>
                <w:sz w:val="16"/>
                <w:szCs w:val="16"/>
                <w:lang w:val="en-GB"/>
              </w:rPr>
              <w:t>Mid-term evaluation of Diversified Economic Growth Outcome</w:t>
            </w: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Ministry of Budget and National Planning, </w:t>
            </w:r>
            <w:r w:rsidRPr="008E2FB0">
              <w:t>National</w:t>
            </w:r>
            <w:r w:rsidRPr="008E2FB0">
              <w:rPr>
                <w:sz w:val="16"/>
                <w:szCs w:val="16"/>
              </w:rPr>
              <w:t xml:space="preserve"> Bureau of Statistics and OSSAP-SDGs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Outcome Evaluation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Feb 2020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25,000</w:t>
            </w:r>
          </w:p>
        </w:tc>
        <w:tc>
          <w:tcPr>
            <w:tcW w:w="394" w:type="pct"/>
          </w:tcPr>
          <w:p w:rsidR="00A012AC" w:rsidRPr="008E2F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TRAC</w:t>
            </w:r>
          </w:p>
        </w:tc>
      </w:tr>
      <w:tr w:rsidR="00A012AC" w:rsidRPr="008E2FB0" w:rsidTr="0093603B">
        <w:trPr>
          <w:trHeight w:val="490"/>
        </w:trPr>
        <w:tc>
          <w:tcPr>
            <w:tcW w:w="48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UNDAF Outcome 9</w:t>
            </w:r>
          </w:p>
        </w:tc>
        <w:tc>
          <w:tcPr>
            <w:tcW w:w="1295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Outcome 2: By 2022, Nigeria’s natural resources are protected from environmental degradation and harmful agricultural, industrial and human practices, and communities are deriving commensurate environmental, economic and social benefits from their sustainable use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Sound Management of PCBs in Nigeria Project</w:t>
            </w:r>
          </w:p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Min of Environment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April 2020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20,000</w:t>
            </w:r>
          </w:p>
        </w:tc>
        <w:tc>
          <w:tcPr>
            <w:tcW w:w="394" w:type="pct"/>
          </w:tcPr>
          <w:p w:rsidR="00A012AC" w:rsidRPr="008E2F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  <w:tr w:rsidR="00A012AC" w:rsidRPr="003C26C1" w:rsidTr="0093603B">
        <w:trPr>
          <w:trHeight w:val="490"/>
        </w:trPr>
        <w:tc>
          <w:tcPr>
            <w:tcW w:w="48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UNDAF Outcome 9</w:t>
            </w:r>
          </w:p>
        </w:tc>
        <w:tc>
          <w:tcPr>
            <w:tcW w:w="1295" w:type="pct"/>
          </w:tcPr>
          <w:p w:rsidR="00A012AC" w:rsidRPr="008E2FB0" w:rsidRDefault="00A012AC" w:rsidP="0093603B">
            <w:r w:rsidRPr="008E2FB0">
              <w:rPr>
                <w:sz w:val="16"/>
                <w:szCs w:val="16"/>
              </w:rPr>
              <w:t>Outcome 2: By 2022, Nigeria’s natural resources are protected from environmental degradation and harmful agricultural, industrial and human practices, and communities are deriving commensurate environmental, economic and social benefits from their sustainable use</w:t>
            </w:r>
          </w:p>
        </w:tc>
        <w:tc>
          <w:tcPr>
            <w:tcW w:w="558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Mid-term evaluation of Sustainable Fuel Wood Management in Nigeria Project</w:t>
            </w:r>
          </w:p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Min of Environment</w:t>
            </w:r>
          </w:p>
        </w:tc>
        <w:tc>
          <w:tcPr>
            <w:tcW w:w="430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 xml:space="preserve">Project Evaluation </w:t>
            </w:r>
          </w:p>
        </w:tc>
        <w:tc>
          <w:tcPr>
            <w:tcW w:w="381" w:type="pct"/>
          </w:tcPr>
          <w:p w:rsidR="00A012AC" w:rsidRPr="008E2FB0" w:rsidRDefault="00A012AC" w:rsidP="0093603B">
            <w:pPr>
              <w:spacing w:before="40" w:after="40"/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June 2019</w:t>
            </w:r>
          </w:p>
        </w:tc>
        <w:tc>
          <w:tcPr>
            <w:tcW w:w="385" w:type="pct"/>
          </w:tcPr>
          <w:p w:rsidR="00A012AC" w:rsidRPr="008E2FB0" w:rsidRDefault="00A012AC" w:rsidP="0093603B">
            <w:pPr>
              <w:rPr>
                <w:sz w:val="16"/>
                <w:szCs w:val="16"/>
              </w:rPr>
            </w:pPr>
            <w:r w:rsidRPr="008E2FB0">
              <w:rPr>
                <w:sz w:val="16"/>
                <w:szCs w:val="16"/>
              </w:rPr>
              <w:t>USD 20,000</w:t>
            </w:r>
          </w:p>
        </w:tc>
        <w:tc>
          <w:tcPr>
            <w:tcW w:w="394" w:type="pct"/>
          </w:tcPr>
          <w:p w:rsidR="00A012AC" w:rsidRPr="005619B0" w:rsidRDefault="00A012AC" w:rsidP="0093603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8E2FB0">
              <w:rPr>
                <w:rStyle w:val="CommentReference"/>
                <w:sz w:val="16"/>
                <w:szCs w:val="16"/>
                <w:lang w:eastAsia="uk-UA"/>
              </w:rPr>
              <w:t>GEF</w:t>
            </w:r>
          </w:p>
        </w:tc>
      </w:tr>
    </w:tbl>
    <w:p w:rsidR="007944E3" w:rsidRDefault="007944E3" w:rsidP="00A012AC"/>
    <w:sectPr w:rsidR="007944E3" w:rsidSect="00A012AC">
      <w:headerReference w:type="even" r:id="rId6"/>
      <w:pgSz w:w="15840" w:h="12240" w:orient="landscape"/>
      <w:pgMar w:top="72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6A" w:rsidRDefault="0012166A">
      <w:r>
        <w:separator/>
      </w:r>
    </w:p>
  </w:endnote>
  <w:endnote w:type="continuationSeparator" w:id="0">
    <w:p w:rsidR="0012166A" w:rsidRDefault="0012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6A" w:rsidRDefault="0012166A">
      <w:r>
        <w:separator/>
      </w:r>
    </w:p>
  </w:footnote>
  <w:footnote w:type="continuationSeparator" w:id="0">
    <w:p w:rsidR="0012166A" w:rsidRDefault="0012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74" w:rsidRDefault="00A012A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A90C02" wp14:editId="1B3E7215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BD1274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D1274" w:rsidRPr="007C6F85" w:rsidRDefault="00A012AC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D1274" w:rsidRPr="007C6F85" w:rsidRDefault="0012166A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BD1274" w:rsidRDefault="0012166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90C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BD1274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D1274" w:rsidRPr="007C6F85" w:rsidRDefault="00A012AC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D1274" w:rsidRPr="007C6F85" w:rsidRDefault="00A012AC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BD1274" w:rsidRDefault="00A012A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C"/>
    <w:rsid w:val="000A2492"/>
    <w:rsid w:val="0012166A"/>
    <w:rsid w:val="00211BAA"/>
    <w:rsid w:val="004858B3"/>
    <w:rsid w:val="007944E3"/>
    <w:rsid w:val="0093227E"/>
    <w:rsid w:val="00A012AC"/>
    <w:rsid w:val="00D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90E64-020C-4007-89D1-63EE219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2AC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2AC"/>
    <w:rPr>
      <w:rFonts w:ascii="Courier" w:eastAsia="Times New Roman" w:hAnsi="Courier" w:cs="Times New Roman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012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012AC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semiHidden/>
    <w:rsid w:val="00A012AC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2819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Svetlana Iazykova</cp:lastModifiedBy>
  <cp:revision>2</cp:revision>
  <dcterms:created xsi:type="dcterms:W3CDTF">2017-05-25T16:10:00Z</dcterms:created>
  <dcterms:modified xsi:type="dcterms:W3CDTF">2017-05-25T16:10:00Z</dcterms:modified>
</cp:coreProperties>
</file>