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37" w:rsidRDefault="00401237">
      <w:pPr>
        <w:rPr>
          <w:spacing w:val="4"/>
          <w:w w:val="103"/>
          <w:kern w:val="14"/>
          <w:lang w:val="en-GB"/>
        </w:rPr>
      </w:pPr>
    </w:p>
    <w:p w:rsidR="00401237" w:rsidRPr="00932DEF" w:rsidRDefault="00401237" w:rsidP="00401237">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0" w:right="1080"/>
        <w:jc w:val="left"/>
        <w:rPr>
          <w:b/>
          <w:sz w:val="24"/>
          <w:szCs w:val="24"/>
        </w:rPr>
      </w:pPr>
      <w:r w:rsidRPr="00932DEF">
        <w:rPr>
          <w:b/>
          <w:sz w:val="24"/>
          <w:szCs w:val="24"/>
        </w:rPr>
        <w:t>A</w:t>
      </w:r>
      <w:r w:rsidR="00AD3EB9" w:rsidRPr="00932DEF">
        <w:rPr>
          <w:b/>
          <w:sz w:val="24"/>
          <w:szCs w:val="24"/>
        </w:rPr>
        <w:t>nnex</w:t>
      </w:r>
      <w:r w:rsidR="000878CB">
        <w:rPr>
          <w:b/>
          <w:sz w:val="24"/>
          <w:szCs w:val="24"/>
        </w:rPr>
        <w:t xml:space="preserve"> 2</w:t>
      </w:r>
      <w:r w:rsidR="00932DEF">
        <w:rPr>
          <w:b/>
          <w:sz w:val="24"/>
          <w:szCs w:val="24"/>
        </w:rPr>
        <w:t>.</w:t>
      </w:r>
    </w:p>
    <w:p w:rsidR="00401237" w:rsidRPr="00AD3EB9" w:rsidRDefault="00F55518" w:rsidP="00401237">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080"/>
        <w:jc w:val="center"/>
        <w:rPr>
          <w:b/>
          <w:u w:val="single"/>
        </w:rPr>
      </w:pPr>
      <w:r>
        <w:rPr>
          <w:b/>
          <w:u w:val="single"/>
        </w:rPr>
        <w:t>2016</w:t>
      </w:r>
      <w:r w:rsidR="00401237" w:rsidRPr="00AD3EB9">
        <w:rPr>
          <w:b/>
          <w:u w:val="single"/>
        </w:rPr>
        <w:t xml:space="preserve"> UNDP BOARD RECOMMENDATIONS AND PRIOR YEAR RECOMMENDATIONS THAT ARE UNDER IMPLEMENATION</w:t>
      </w:r>
    </w:p>
    <w:p w:rsidR="00401237" w:rsidRPr="00657CBC" w:rsidRDefault="00401237" w:rsidP="00401237">
      <w:pPr>
        <w:pStyle w:val="HCh"/>
        <w:keepNext w:val="0"/>
        <w:keepLines w:val="0"/>
        <w:widowControl w:val="0"/>
        <w:numPr>
          <w:ilvl w:val="1"/>
          <w:numId w:val="8"/>
        </w:numPr>
        <w:tabs>
          <w:tab w:val="clear" w:pos="1440"/>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216" w:right="29" w:firstLine="0"/>
        <w:rPr>
          <w:sz w:val="20"/>
        </w:rPr>
      </w:pPr>
      <w:r w:rsidRPr="00657CBC">
        <w:rPr>
          <w:sz w:val="20"/>
        </w:rPr>
        <w:t>UNDP Recommendations contained in the report o</w:t>
      </w:r>
      <w:r w:rsidR="00F55518" w:rsidRPr="00657CBC">
        <w:rPr>
          <w:sz w:val="20"/>
        </w:rPr>
        <w:t>f the Board of Auditors for 2016</w:t>
      </w:r>
      <w:r w:rsidRPr="00657CBC">
        <w:rPr>
          <w:sz w:val="20"/>
        </w:rPr>
        <w:t>.</w:t>
      </w:r>
    </w:p>
    <w:p w:rsidR="00F55518" w:rsidRPr="00657CBC" w:rsidRDefault="00F55518" w:rsidP="00F55518">
      <w:pPr>
        <w:rPr>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In paragraph 20, UNDP agrees with the Board’s recommendation to review aged prepayments and indicators of IPSAS dashboard with a view to reconfigure the IPSAS dashboard in order to accommodate the prepayments from contracts whose delivery period exceed 180 days without “red rating” them. Thus, the IPSAS dashboard could only “red rate” the prepayments which exceeded the delivery due dates indicated in their contracts instead of using 180 days as “red rating” cut off for all types of prepayments.</w:t>
      </w:r>
      <w:bookmarkStart w:id="0" w:name="_GoBack"/>
      <w:bookmarkEnd w:id="0"/>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is working on a revision of the prepayment indicator in the IPSAS dashboard to modify the reference point for ageing outstanding prepayments to take into account the delivery date specified in the purchase order. Business specifications for the modified indicator have been submitted to OIMT and the new indicator will be rolled-out once the configuration is completed.</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Office of Financial Resources Management (OFRM), Of</w:t>
      </w:r>
      <w:r w:rsidR="00E005C7" w:rsidRPr="00657CBC">
        <w:rPr>
          <w:spacing w:val="4"/>
          <w:w w:val="103"/>
          <w:kern w:val="14"/>
          <w:sz w:val="20"/>
          <w:szCs w:val="20"/>
          <w:lang w:val="en-GB"/>
        </w:rPr>
        <w:t>fice of Information Management and</w:t>
      </w:r>
      <w:r w:rsidRPr="00657CBC">
        <w:rPr>
          <w:spacing w:val="4"/>
          <w:w w:val="103"/>
          <w:kern w:val="14"/>
          <w:sz w:val="20"/>
          <w:szCs w:val="20"/>
          <w:lang w:val="en-GB"/>
        </w:rPr>
        <w:t xml:space="preserve"> Technology (OIMT), and Regional Bureaus (RBX)</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High</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1</w:t>
      </w:r>
      <w:r w:rsidRPr="00657CBC">
        <w:rPr>
          <w:spacing w:val="4"/>
          <w:w w:val="103"/>
          <w:kern w:val="14"/>
          <w:sz w:val="20"/>
          <w:szCs w:val="20"/>
          <w:vertAlign w:val="superscript"/>
          <w:lang w:val="en-GB"/>
        </w:rPr>
        <w:t>st</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spacing w:val="4"/>
          <w:w w:val="103"/>
          <w:kern w:val="14"/>
          <w:sz w:val="20"/>
          <w:szCs w:val="20"/>
          <w:lang w:val="en-GB"/>
        </w:rPr>
        <w:t xml:space="preserve"> </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In paragraph 24, UNDP agreed with the Board’s recommendation to (a) enhance monitoring of trust funds and review their respective projects status in order to determine inactive trust funds, and (b) close in a timely manner all identified inactive trust funds.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continue its effort through working with Regional and Central Bureaus to monitor and close inactive trust funds.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Regional Bureaus (RBX) and Central Bureaus (CBX)</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In paragraph 29, the Board recommends that UNDP, in consultation with the actuary, (a) determine the threshold for significant change in population of ASHI enrolment records which would require performance of full census of staff for valuation of ASHI liability at the year-end; and (b) include in the actuarial report the estimated change in population as part of key information.</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(a) propose to the UN system through the IPSAS task force to the Finance and Budget Network that a management decision regarding what would be considered a significant change, taking into account both quantitative and qualitative components, be collectively documented; and will (b) request that the actuary include in the actuarial report the estimated change in population as part of the key information.</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Office of Financial Resources Management (OFRM)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High</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1</w:t>
      </w:r>
      <w:r w:rsidRPr="00657CBC">
        <w:rPr>
          <w:spacing w:val="4"/>
          <w:w w:val="103"/>
          <w:kern w:val="14"/>
          <w:sz w:val="20"/>
          <w:szCs w:val="20"/>
          <w:vertAlign w:val="superscript"/>
          <w:lang w:val="en-GB"/>
        </w:rPr>
        <w:t>st</w:t>
      </w:r>
      <w:r w:rsidRPr="00657CBC">
        <w:rPr>
          <w:spacing w:val="4"/>
          <w:w w:val="103"/>
          <w:kern w:val="14"/>
          <w:sz w:val="20"/>
          <w:szCs w:val="20"/>
          <w:lang w:val="en-GB"/>
        </w:rPr>
        <w:t xml:space="preserve"> Quarter, 2018</w:t>
      </w:r>
    </w:p>
    <w:p w:rsidR="00F55518"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657CBC" w:rsidRPr="00657CBC" w:rsidRDefault="00657CBC"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lastRenderedPageBreak/>
        <w:t>In paragraph 30, the Board also recommends that in the future UNDP obtain confirmation from UN on ASHI retiree enrolment records as part of year end certifications and reconcile the differences (if noted) with records in Atlas, the actuarial valuation report and respective ASHI liability in the financial statements.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validate the ASHI retiree enrolment numbers during the years in which the figures are provided to the Actuaries.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Office of Financial Resources Management (OFRM)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High</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1</w:t>
      </w:r>
      <w:r w:rsidRPr="00657CBC">
        <w:rPr>
          <w:spacing w:val="4"/>
          <w:w w:val="103"/>
          <w:kern w:val="14"/>
          <w:sz w:val="20"/>
          <w:szCs w:val="20"/>
          <w:vertAlign w:val="superscript"/>
          <w:lang w:val="en-GB"/>
        </w:rPr>
        <w:t>st</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In paragraph 34, UNDP agreed with the Board’s recommendation to (a) verify and transfer the noted liabilities of MAIP premiums and medical insurance premiums to proper accounts codes, and (b) clear these long outstanding liabilities on time.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has started the process of verifying and clearing these balances.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Office of Financial Resources Management (OFRM) and Office of Human Resources (OHR)</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In paragraph 39, the Board recommends that UNDP ensure Honduras and Bangladesh Country Offices (a) continue to liaise with the implementing partners counterparts so that they fully own the UNDAF process in order to facilitate timely UNDAF implementation, annual reviews and progress reviews, and (b) consider having strategies such that the annual reviews and progress reports of UNDAF in the next programme cycle are done on time.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Bangladesh and Honduras Country Offices will (a) continue liaising with government counterparts to ensure full engagement and ownership of the UNDAF processes; and (b) follow up with UNCT and the RCs office to enable timely UNDAF annual reviews in the next programme cycle.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Regional Bureau for Asia Pacific (RBAP) and Regional Bureau for Latin America and the Caribbean (RBLAC)</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High</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1</w:t>
      </w:r>
      <w:r w:rsidRPr="00657CBC">
        <w:rPr>
          <w:spacing w:val="4"/>
          <w:w w:val="103"/>
          <w:kern w:val="14"/>
          <w:sz w:val="20"/>
          <w:szCs w:val="20"/>
          <w:vertAlign w:val="superscript"/>
          <w:lang w:val="en-GB"/>
        </w:rPr>
        <w:t>st</w:t>
      </w:r>
      <w:r w:rsidRPr="00657CBC">
        <w:rPr>
          <w:spacing w:val="4"/>
          <w:w w:val="103"/>
          <w:kern w:val="14"/>
          <w:sz w:val="20"/>
          <w:szCs w:val="20"/>
          <w:lang w:val="en-GB"/>
        </w:rPr>
        <w:t xml:space="preserve"> Quarter, 2018</w:t>
      </w: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In paragraph 44, the Board recommends that UNDP (a) introduce a clause in the co-operation agreements for communication obligations of all parties involved in program implementation including measures to motivate implementation of those obligations, and (b) increase follow-ups with counterparts to ensure appropriate measures are taken to address the recurring deficiency of delayed certification of CDRs by both UNDP and implementing partners.</w:t>
      </w:r>
    </w:p>
    <w:p w:rsidR="00F55518" w:rsidRPr="00657CBC" w:rsidRDefault="00F55518" w:rsidP="00F55518">
      <w:pPr>
        <w:ind w:left="360"/>
        <w:contextualSpacing/>
        <w:rPr>
          <w:b/>
          <w:sz w:val="20"/>
          <w:szCs w:val="20"/>
        </w:rPr>
      </w:pPr>
    </w:p>
    <w:p w:rsidR="00F55518" w:rsidRPr="00657CBC" w:rsidRDefault="00F55518" w:rsidP="00F55518">
      <w:pPr>
        <w:ind w:left="360"/>
        <w:contextualSpacing/>
        <w:rPr>
          <w:sz w:val="20"/>
          <w:szCs w:val="20"/>
        </w:rPr>
      </w:pPr>
      <w:r w:rsidRPr="00657CBC">
        <w:rPr>
          <w:sz w:val="20"/>
          <w:szCs w:val="20"/>
        </w:rPr>
        <w:t>Management comments: UNDP has (a) updated the policy and guidance on CDRs, and (b) Regional and Central Bureaus will increase follow-ups with counterparts to ensure appropriate measures are taken to address delayed certifications.</w:t>
      </w:r>
    </w:p>
    <w:p w:rsidR="00F55518" w:rsidRPr="00657CBC" w:rsidRDefault="00F55518" w:rsidP="00F55518">
      <w:pPr>
        <w:ind w:left="360"/>
        <w:contextualSpacing/>
        <w:rPr>
          <w:sz w:val="20"/>
          <w:szCs w:val="20"/>
        </w:rPr>
      </w:pPr>
    </w:p>
    <w:p w:rsidR="00F55518" w:rsidRPr="00657CBC" w:rsidRDefault="00F55518" w:rsidP="00F55518">
      <w:pPr>
        <w:ind w:left="360"/>
        <w:contextualSpacing/>
        <w:rPr>
          <w:i/>
          <w:sz w:val="20"/>
          <w:szCs w:val="20"/>
        </w:rPr>
      </w:pPr>
      <w:r w:rsidRPr="00657CBC">
        <w:rPr>
          <w:i/>
          <w:sz w:val="20"/>
          <w:szCs w:val="20"/>
        </w:rPr>
        <w:t xml:space="preserve">Department responsible: </w:t>
      </w:r>
      <w:r w:rsidRPr="00657CBC">
        <w:rPr>
          <w:sz w:val="20"/>
          <w:szCs w:val="20"/>
        </w:rPr>
        <w:t>(a) Office of Financial Resources Management (OFRM) and (b) Regional Bureaus (RBX)</w:t>
      </w:r>
    </w:p>
    <w:p w:rsidR="00F55518" w:rsidRPr="00657CBC" w:rsidRDefault="00F55518" w:rsidP="00F55518">
      <w:pPr>
        <w:ind w:left="360"/>
        <w:contextualSpacing/>
        <w:rPr>
          <w:sz w:val="20"/>
          <w:szCs w:val="20"/>
        </w:rPr>
      </w:pPr>
      <w:r w:rsidRPr="00657CBC">
        <w:rPr>
          <w:i/>
          <w:sz w:val="20"/>
          <w:szCs w:val="20"/>
        </w:rPr>
        <w:t>Status</w:t>
      </w:r>
      <w:r w:rsidRPr="00657CBC">
        <w:rPr>
          <w:sz w:val="20"/>
          <w:szCs w:val="20"/>
        </w:rPr>
        <w:t>: In progress</w:t>
      </w:r>
    </w:p>
    <w:p w:rsidR="00F55518" w:rsidRPr="00657CBC" w:rsidRDefault="00F55518" w:rsidP="00F55518">
      <w:pPr>
        <w:ind w:left="360"/>
        <w:contextualSpacing/>
        <w:rPr>
          <w:sz w:val="20"/>
          <w:szCs w:val="20"/>
        </w:rPr>
      </w:pPr>
      <w:r w:rsidRPr="00657CBC">
        <w:rPr>
          <w:i/>
          <w:sz w:val="20"/>
          <w:szCs w:val="20"/>
        </w:rPr>
        <w:t>Priority</w:t>
      </w:r>
      <w:r w:rsidRPr="00657CBC">
        <w:rPr>
          <w:sz w:val="20"/>
          <w:szCs w:val="20"/>
        </w:rPr>
        <w:t>: High</w:t>
      </w:r>
    </w:p>
    <w:p w:rsidR="00F55518" w:rsidRPr="00657CBC" w:rsidRDefault="00F55518" w:rsidP="00F55518">
      <w:pPr>
        <w:ind w:left="360"/>
        <w:contextualSpacing/>
        <w:rPr>
          <w:sz w:val="20"/>
          <w:szCs w:val="20"/>
        </w:rPr>
      </w:pPr>
      <w:r w:rsidRPr="00657CBC">
        <w:rPr>
          <w:i/>
          <w:sz w:val="20"/>
          <w:szCs w:val="20"/>
        </w:rPr>
        <w:t>Target date</w:t>
      </w:r>
      <w:r w:rsidRPr="00657CBC">
        <w:rPr>
          <w:sz w:val="20"/>
          <w:szCs w:val="20"/>
        </w:rPr>
        <w:t>: 1</w:t>
      </w:r>
      <w:r w:rsidRPr="00657CBC">
        <w:rPr>
          <w:sz w:val="20"/>
          <w:szCs w:val="20"/>
          <w:vertAlign w:val="superscript"/>
        </w:rPr>
        <w:t>st</w:t>
      </w:r>
      <w:r w:rsidRPr="00657CBC">
        <w:rPr>
          <w:sz w:val="20"/>
          <w:szCs w:val="20"/>
        </w:rPr>
        <w:t xml:space="preserve"> Quarter, 2018</w:t>
      </w:r>
    </w:p>
    <w:p w:rsidR="00F55518" w:rsidRPr="00657CBC" w:rsidRDefault="00F55518" w:rsidP="00F55518">
      <w:pPr>
        <w:ind w:left="360"/>
        <w:contextualSpacing/>
        <w:rPr>
          <w:b/>
          <w:sz w:val="20"/>
          <w:szCs w:val="20"/>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lastRenderedPageBreak/>
        <w:t>In paragraph 51, the Board recommends that UNDP ensure (a) timely review and updating of the projects risks, issues and monitoring logs and document the same in Atlas as the primary source of projects information, and (b) project boards conduct regular meetings to continuously monitor projects implementation.</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update POPP to provide clarity on which platform should be officially used to record project monitoring activities by both UNDP and project boards.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Bureau for Policy and Programme Support (BPPS) and Regional Bureaus (RBX)</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High</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1</w:t>
      </w:r>
      <w:r w:rsidRPr="00657CBC">
        <w:rPr>
          <w:spacing w:val="4"/>
          <w:w w:val="103"/>
          <w:kern w:val="14"/>
          <w:sz w:val="20"/>
          <w:szCs w:val="20"/>
          <w:vertAlign w:val="superscript"/>
          <w:lang w:val="en-GB"/>
        </w:rPr>
        <w:t>st</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267" w:right="27"/>
        <w:jc w:val="both"/>
        <w:rPr>
          <w:b/>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In paragraph 56, the Board recommends that (a) the Moldova Country Office update information in the Evaluation Resource Centre in a timely manner, and (b) Headquarters consider establishing the timeframe for Country Offices to update key actions in the Evaluation Resource Centre.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 xml:space="preserve">Management comments: The Moldova Country Office will (a) take action to ensure that information is updated timely in the Evaluation Resource Centre; and (b) ensure all evaluations have management responses that include time bound key actions and that the status of implementation will be regularly updated into the Evaluation Resource Center. </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Regional Bureau for Europe and CIS (RBEC)</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62, UNDP agreed with the Board’s recommendation to ensure that UNDP review the project documents for the two projects to accommodate the delayed period and ensure that the projects are completed within the scheduled time.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UNDP’s Bangladesh Country Office has taken measures to accommodate the delayed period within the project cycles of the two projects and Technical Project Proposals (TPPs) have already been approved for both projects.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Regional Bureau for Asia Pacific (RBAP)</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69, UNDP agreed with the Board’s recommendation to (a) take proactive measures to ensure that all operationally closed projects are financially closed within 12 months in accordance with POPP by obtaining in a timely manner the donors’ approvals on refunds or reprogramming of unspent amounts; thoroughly review and effect all transactions related to projects before they are financially closed; and (b) ensure that all asset balances are cleared before projects are financially closed.</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(a) obtain donor approvals in line with standard donor agreement stipulations on refunds and reprogramming of unspent balances; and will (b) continue ensure that asset balances are cleared before projects are financially closed.</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Department responsible:</w:t>
      </w:r>
      <w:r w:rsidRPr="00657CBC">
        <w:rPr>
          <w:spacing w:val="4"/>
          <w:w w:val="103"/>
          <w:kern w:val="14"/>
          <w:sz w:val="20"/>
          <w:szCs w:val="20"/>
          <w:lang w:val="en-GB"/>
        </w:rPr>
        <w:t xml:space="preserve"> Regional Bureau for Asia Pacific (RBAP) and Regional Bureau for Latin America and the Caribbean (RBLAC)</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High</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1</w:t>
      </w:r>
      <w:r w:rsidRPr="00657CBC">
        <w:rPr>
          <w:spacing w:val="4"/>
          <w:w w:val="103"/>
          <w:kern w:val="14"/>
          <w:sz w:val="20"/>
          <w:szCs w:val="20"/>
          <w:vertAlign w:val="superscript"/>
          <w:lang w:val="en-GB"/>
        </w:rPr>
        <w:t>st</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spacing w:val="4"/>
          <w:w w:val="103"/>
          <w:kern w:val="14"/>
          <w:sz w:val="20"/>
          <w:szCs w:val="20"/>
          <w:lang w:val="en-GB"/>
        </w:rPr>
        <w:lastRenderedPageBreak/>
        <w:t xml:space="preserve"> </w:t>
      </w: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74, the Board recommends UNDP (a) ensure inactive projects in Bangladesh and all Country Offices are closed in-line with the Programme and Operations Policies and Procedures, and (b) obtain, in a timely manner, donors’ endorsement on final reports; approvals on refunds or receipt of the last tranche or reprogramming of unspent amounts in order to ensure that all projects are closed on time.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UNDP’s Bangladesh CO will (a) monitor the timely closure of inactive projects in line with POPP and (b) ensure adequate follow up on donor approvals on refunds or reprogramming of unspent amounts.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Regional Bureau for Asia Pacific (RBAP)</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77, UNDP agrees with the Board’s recommendation to, (a) review the basis/criteria and guidelines used for determining the percent of administrative agent fees apportioned to central services; and (b) review the MPTFO policy (on administrative agent fee income) and justification and basis/criteria for apportioning the administrative agent fees between MPTFO and UNDP Country Offices that have received delegation of authority from the MPTFO Executive Coordinator.</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(a) review the AA fee guidelines and (b) MPTFO policy.</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Executive Office (EXO)</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82, the Board recommends that the Bangladesh, Honduras and Uruguay Country Offices (a) liaise with other UN Agencies using HACT to resolve the noted challenges and prepare the Joint HACT Assurance Plans for shared IPs; and (b) ensure the Joint HACT Assurance Plans are endorsed by the Country Representatives and are implemented.</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 xml:space="preserve">Management comments: The three Country Offices, through the Joint HACT Committee meeting, will (a) accelerate preparation of 2017 joint HACT assurance plans in line with POPP, and these will (b) be endorsed by the country representatives of relevant agencies.  </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Regional Bureau for Asia Pacific (RBAP) and Regional Bureau for Latin America and the Caribbean (RBLAC)</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High</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1</w:t>
      </w:r>
      <w:r w:rsidRPr="00657CBC">
        <w:rPr>
          <w:spacing w:val="4"/>
          <w:w w:val="103"/>
          <w:kern w:val="14"/>
          <w:sz w:val="20"/>
          <w:szCs w:val="20"/>
          <w:vertAlign w:val="superscript"/>
          <w:lang w:val="en-GB"/>
        </w:rPr>
        <w:t>st</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87, the Board recommends UNDP ensure that for the next programmatic cycle, the HACT assurance plan for the Honduras Country Office is (a) prepared at the beginning of the programme cycle, approved by Country Director or Resident Representative and updated annually, and (b) includes all required details such as IP risk ratings, and cash transfer modalities.</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The Country Office will (a) prepare the HACT assurance plan, ensure it is approved and update it annually for the next cycle 2017-2021 (b) in compliance with the HACT requirements.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Regional Bureau for Latin America and the Caribbean (RBLAC)</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92, the Board recommends that UNDP (a) perform regular vendor data checks to maintain accurate and up to date data including removing duplicate active vendors, (b) ensure regular review and correction of vendors’ bank information to avoid existence of vendors with same bank account numbers, and (c) review transactions processed through accounts shared by multiple vendors to ensure that no inappropriate transactions are included.</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send a communication to Country Offices and HQ Units through the Regional and Central Bureaus to (a) and (b) monitor and address the inconsistencies in vendor data and vendor bank information by using existing queries, and (c) ensure due diligence review is carried out on accounts shared by multiple vendors.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Procurement Services Unit (PSU) and Regional Bureaus (RBX)</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jc w:val="both"/>
        <w:rPr>
          <w:b/>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97, the Board recommends that UNDP (a) review on time anomalies in the procurement dashboard and update for more accuracy, completeness and reliability of its information, (b) input reasonable delivery due dates during requisition; and (c) enhance follow-up with vendors to ensure that goods or services are delivered within scheduled period and appropriate measures are taken against non performing vendors including enforcing penalties under the contracts.</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(a) review the feasibility of addressing the anomalies which arise from the dashboard by only selecting one out of several lines through a system solution; UNDP is (b) exploring the feasibility of a system solution to have the delivery data updated to more realistic contractual terms at the point of preparing the purchase order; and UNDP will (c)  request Regional Bureaus to follow up with offices that reflect significant delays in delivery to take appropriate measures with vendors in line with contractual terms.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Procurement Services Unit (PSU) and Regional Bureaus (RBX)</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High</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1</w:t>
      </w:r>
      <w:r w:rsidRPr="00657CBC">
        <w:rPr>
          <w:spacing w:val="4"/>
          <w:w w:val="103"/>
          <w:kern w:val="14"/>
          <w:sz w:val="20"/>
          <w:szCs w:val="20"/>
          <w:vertAlign w:val="superscript"/>
          <w:lang w:val="en-GB"/>
        </w:rPr>
        <w:t>st</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101, the Board recommends UNDP to strengthen reviews and monitoring of the POs and APs to ensure that, (a) expenses recorded in the general ledger, commitment control and projects are accurate, complete and recorded in the correct accounting period; and (b) pending transactions (i.e. POs, Vouchers and GLJEs with an accounting date on or before the last day of the month being closed) are cleared in accordance with year-end closure instructions.</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(a) and (b) continue to strengthen its review and monitoring of exceptions via dashboard and other corporate tools.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Procurement Services Unit (PSU) and Regional Bureaus (RBX)</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657CBC" w:rsidRDefault="00657CBC"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657CBC" w:rsidRDefault="00657CBC"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657CBC" w:rsidRDefault="00657CBC"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657CBC" w:rsidRPr="00657CBC" w:rsidRDefault="00657CBC"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lastRenderedPageBreak/>
        <w:t xml:space="preserve"> In paragraph 107, the Board recommends UNDP ensure that future service contract evaluations are completed on time, ideally one month prior to contracts’ expiration as per policy, so as to give reasonable time for the office to make timely decisions.</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remind offices to complete the service evaluation one month prior to the expiry of the contract.</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Office of Human Resources (OHR), Central Bureaus (CBX) and Regional Bureaus (RBX)</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111, the Board recommends that UNDP consider updating and enforcing the Human Resource policy to restrict the number of years which a person can serve under service contracts, after which a function should be established and filled by a person on fixed term appointment.</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look into the matter of restricting service under service contracts and the effects it will have on delivery and make a decision on restricting service if warranted.</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Office of Human Resources (OHR)</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High</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1</w:t>
      </w:r>
      <w:r w:rsidRPr="00657CBC">
        <w:rPr>
          <w:spacing w:val="4"/>
          <w:w w:val="103"/>
          <w:kern w:val="14"/>
          <w:sz w:val="20"/>
          <w:szCs w:val="20"/>
          <w:vertAlign w:val="superscript"/>
          <w:lang w:val="en-GB"/>
        </w:rPr>
        <w:t>st</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116, the Board recommends UNDP ensure that all staff members complete mandatory training courses on time.</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will develop an automatic quarterly reporting tool to allow HQ and Regional Bureaus to monitor mandatory courses completion.</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Office of Human Resources (OHR)</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120, UNDP agreed with the Board’s recommendation to introduce a schedule that will ensure easy reconciliation of individual asset additions between the financial statements note for property plant and equipment and the In Service Report (ISR).</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 xml:space="preserve">Management comments: UNDP will introduce a schedule to tie individual lines in the </w:t>
      </w:r>
      <w:r w:rsidR="00E005C7" w:rsidRPr="00657CBC">
        <w:rPr>
          <w:spacing w:val="4"/>
          <w:w w:val="103"/>
          <w:kern w:val="14"/>
          <w:sz w:val="20"/>
          <w:szCs w:val="20"/>
          <w:lang w:val="en-GB"/>
        </w:rPr>
        <w:t>Property Plant and Equipment note to the in service r</w:t>
      </w:r>
      <w:r w:rsidRPr="00657CBC">
        <w:rPr>
          <w:spacing w:val="4"/>
          <w:w w:val="103"/>
          <w:kern w:val="14"/>
          <w:sz w:val="20"/>
          <w:szCs w:val="20"/>
          <w:lang w:val="en-GB"/>
        </w:rPr>
        <w:t>eport in</w:t>
      </w:r>
      <w:r w:rsidR="00E005C7" w:rsidRPr="00657CBC">
        <w:rPr>
          <w:spacing w:val="4"/>
          <w:w w:val="103"/>
          <w:kern w:val="14"/>
          <w:sz w:val="20"/>
          <w:szCs w:val="20"/>
          <w:lang w:val="en-GB"/>
        </w:rPr>
        <w:t xml:space="preserve"> the next preparation of the </w:t>
      </w:r>
      <w:r w:rsidRPr="00657CBC">
        <w:rPr>
          <w:spacing w:val="4"/>
          <w:w w:val="103"/>
          <w:kern w:val="14"/>
          <w:sz w:val="20"/>
          <w:szCs w:val="20"/>
          <w:lang w:val="en-GB"/>
        </w:rPr>
        <w:t>note.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Office of Sourcing and Operations (OSO) and Office of Informa</w:t>
      </w:r>
      <w:r w:rsidR="00E005C7" w:rsidRPr="00657CBC">
        <w:rPr>
          <w:spacing w:val="4"/>
          <w:w w:val="103"/>
          <w:kern w:val="14"/>
          <w:sz w:val="20"/>
          <w:szCs w:val="20"/>
          <w:lang w:val="en-GB"/>
        </w:rPr>
        <w:t>tion Management and</w:t>
      </w:r>
      <w:r w:rsidRPr="00657CBC">
        <w:rPr>
          <w:spacing w:val="4"/>
          <w:w w:val="103"/>
          <w:kern w:val="14"/>
          <w:sz w:val="20"/>
          <w:szCs w:val="20"/>
          <w:lang w:val="en-GB"/>
        </w:rPr>
        <w:t xml:space="preserve"> Technology (OIMT)</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657CBC" w:rsidRDefault="00657CBC"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657CBC" w:rsidRDefault="00657CBC"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657CBC" w:rsidRDefault="00657CBC"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657CBC" w:rsidRDefault="00657CBC"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657CBC" w:rsidRPr="00657CBC" w:rsidRDefault="00657CBC"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lastRenderedPageBreak/>
        <w:t xml:space="preserve"> In paragraph 133, the Board recommends that Bangladesh Country Office (a) use the existing head of unit group as an ICT governance group to approve the ICT plan and budget, monitor budget implementation and vendor performance, as well as ensure compliance with information security policy; and (b) establish formal documented procedures for access control, change control, media handling and monitoring of information systems as per UNDP information security policy.</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The Senior Management of UNDP’s Bangladesh Country Office will (a) prioritize and approve the ICT plan and budget and monitor implementation and performance; and (b) document access control, change control, media handling and monitoring, etc.in the form of an elaborate standard operating procedure.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Regional Bureau for Asia Pacific (RBAP)</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137, the Board recommends that the Bangladesh and Montenegro Country Offices improve the ICT monitoring mechanism to ensure that third-party service providers of ICT related services maintain security plans.</w:t>
      </w:r>
    </w:p>
    <w:p w:rsidR="00F55518" w:rsidRPr="00657CBC" w:rsidRDefault="00F55518" w:rsidP="00F55518">
      <w:pPr>
        <w:tabs>
          <w:tab w:val="left" w:pos="209"/>
          <w:tab w:val="left" w:pos="836"/>
        </w:tabs>
        <w:ind w:right="27"/>
        <w:contextualSpacing/>
        <w:rPr>
          <w:sz w:val="20"/>
          <w:szCs w:val="20"/>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 xml:space="preserve">Management comments: UNDP’s Bangladesh and Montenegro Country Offices have signed agreements with ICT service providers where the existence of security plans and implementation/testing is mandatory.  </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Regional Bureau for Asia Pacific (RBAP) and Regional Bureau for Europe and CIS (RBEC)</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140, the Board recommends the [Moldova] Country Office consider conducting periodic maintenance of ICT equipment in use even if they are aged.</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The Moldova CO will continue periodic maintenance on the aged ICT equipment and document such maintenance.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Regional Bureau for Europe and CIS (RBEC)</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143, the Board recommends Bangladesh Country Office (a) conduct a full DRP test which involves all contact persons, communication procedures and document test results; (b) consider identifying a recovery site in a location which is not subjected to the same natural disaster as the data centre; and (c) install a fire suppression system and smoke detectors in the recovery site.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On (a) a full DRP test will be conducted by the 3rd quarter of 2017 involving all relevant persons and procedures and the result be well documented.  The Country Office will (b) make an effort to find out if an offshore backup solution is feasible; and (c) installation of fire suppression and smoke detection system is under way. Security persons remain on duty at the site all seven days of the week, night and day.</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Regional Bureau for Asia Pacific (RBAP)</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lastRenderedPageBreak/>
        <w:t xml:space="preserve"> In paragraph 158, UNDP agrees with the Board’s recommendation to conduct orientation training for business continuity plan focal points.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plans to hold trainings in September 2017 for the BCP Focal Points on Business Continuity Planning and Business Impact analysis.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Of</w:t>
      </w:r>
      <w:r w:rsidR="00406990" w:rsidRPr="00657CBC">
        <w:rPr>
          <w:spacing w:val="4"/>
          <w:w w:val="103"/>
          <w:kern w:val="14"/>
          <w:sz w:val="20"/>
          <w:szCs w:val="20"/>
          <w:lang w:val="en-GB"/>
        </w:rPr>
        <w:t>fice of Information Management and</w:t>
      </w:r>
      <w:r w:rsidRPr="00657CBC">
        <w:rPr>
          <w:spacing w:val="4"/>
          <w:w w:val="103"/>
          <w:kern w:val="14"/>
          <w:sz w:val="20"/>
          <w:szCs w:val="20"/>
          <w:lang w:val="en-GB"/>
        </w:rPr>
        <w:t xml:space="preserve"> Technology (OIMT)</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657CBC" w:rsidRPr="00657CBC" w:rsidRDefault="00657CBC"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406990" w:rsidRDefault="00406990"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Pr="00657CBC" w:rsidRDefault="00F55518" w:rsidP="00657CBC">
      <w:pPr>
        <w:widowControl w:val="0"/>
        <w:numPr>
          <w:ilvl w:val="1"/>
          <w:numId w:val="8"/>
        </w:numPr>
        <w:tabs>
          <w:tab w:val="left" w:pos="836"/>
          <w:tab w:val="left" w:pos="1742"/>
          <w:tab w:val="left" w:pos="2218"/>
          <w:tab w:val="left" w:pos="2693"/>
          <w:tab w:val="left" w:pos="3182"/>
          <w:tab w:val="left" w:pos="3658"/>
          <w:tab w:val="left" w:pos="4133"/>
          <w:tab w:val="left" w:pos="4622"/>
          <w:tab w:val="left" w:pos="5098"/>
          <w:tab w:val="left" w:pos="5573"/>
          <w:tab w:val="left" w:pos="6048"/>
        </w:tabs>
        <w:ind w:right="29"/>
        <w:outlineLvl w:val="0"/>
        <w:rPr>
          <w:b/>
          <w:spacing w:val="-2"/>
          <w:w w:val="103"/>
          <w:kern w:val="14"/>
          <w:sz w:val="20"/>
          <w:szCs w:val="20"/>
          <w:lang w:val="en-GB"/>
        </w:rPr>
      </w:pPr>
      <w:r w:rsidRPr="00657CBC">
        <w:rPr>
          <w:b/>
          <w:spacing w:val="-2"/>
          <w:w w:val="103"/>
          <w:kern w:val="14"/>
          <w:sz w:val="20"/>
          <w:szCs w:val="20"/>
          <w:lang w:val="en-GB"/>
        </w:rPr>
        <w:t>UNDP Recommendations contained in the report of the Board of Auditors for prior financial periods that are under implementation.</w:t>
      </w:r>
    </w:p>
    <w:p w:rsidR="00F55518" w:rsidRPr="00657CBC" w:rsidRDefault="00F55518" w:rsidP="00F55518">
      <w:pPr>
        <w:rPr>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bCs/>
          <w:spacing w:val="4"/>
          <w:w w:val="103"/>
          <w:kern w:val="14"/>
          <w:sz w:val="20"/>
          <w:szCs w:val="20"/>
          <w:u w:val="single"/>
          <w:lang w:val="en-GB"/>
        </w:rPr>
      </w:pPr>
      <w:r w:rsidRPr="00657CBC">
        <w:rPr>
          <w:b/>
          <w:bCs/>
          <w:spacing w:val="4"/>
          <w:w w:val="103"/>
          <w:kern w:val="14"/>
          <w:sz w:val="20"/>
          <w:szCs w:val="20"/>
          <w:u w:val="single"/>
          <w:lang w:val="en-GB"/>
        </w:rPr>
        <w:t>Report of the Board for the financial period ended 31 December 2015</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jc w:val="both"/>
        <w:rPr>
          <w:b/>
          <w:bCs/>
          <w:spacing w:val="4"/>
          <w:w w:val="103"/>
          <w:kern w:val="14"/>
          <w:sz w:val="20"/>
          <w:szCs w:val="20"/>
          <w:u w:val="single"/>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In paragraph 72, UNDP agreed with the Board’s recommendations (a) to enhance and document the follow-up mechanisms including feedback from all delayed participating organizations for future improvements, (b) to introduce measures to accelerate operational and financial closure of all overdue projects, and  (c)  as the largest UN fund administration service provider, to propose the idea of common policies and procedures around inter-agency pooled funding mechanisms to harmonize practices so as to enhance accuracy in reporting and timing of issuing reports.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450" w:right="27"/>
        <w:jc w:val="both"/>
        <w:rPr>
          <w:spacing w:val="4"/>
          <w:w w:val="103"/>
          <w:kern w:val="14"/>
          <w:sz w:val="20"/>
          <w:szCs w:val="20"/>
          <w:lang w:val="en-GB"/>
        </w:rPr>
      </w:pPr>
      <w:r w:rsidRPr="00657CBC">
        <w:rPr>
          <w:spacing w:val="4"/>
          <w:w w:val="103"/>
          <w:kern w:val="14"/>
          <w:sz w:val="20"/>
          <w:szCs w:val="20"/>
          <w:lang w:val="en-GB"/>
        </w:rPr>
        <w:t>Management comments: MPTFO has on (a) and (b) invested a substantial amount of resources in improving project and fund closure rates with a large degree of success. MPTFO was able to close 279 projects in 2016 and an additional 37 through the first Quarter of 2017. MPTFO has (c) provided a detailed presentation on financial closure issues, including proposing the idea of addressing common reporting issues to the FMOG in December 2016.</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005"/>
          <w:tab w:val="left" w:pos="4622"/>
          <w:tab w:val="left" w:pos="5098"/>
          <w:tab w:val="left" w:pos="5573"/>
          <w:tab w:val="left" w:pos="6048"/>
        </w:tabs>
        <w:suppressAutoHyphens/>
        <w:ind w:left="720" w:right="27"/>
        <w:rPr>
          <w:spacing w:val="4"/>
          <w:w w:val="103"/>
          <w:kern w:val="14"/>
          <w:sz w:val="20"/>
          <w:szCs w:val="20"/>
          <w:lang w:val="en-GB"/>
        </w:rPr>
      </w:pPr>
      <w:r w:rsidRPr="00657CBC">
        <w:rPr>
          <w:i/>
          <w:spacing w:val="4"/>
          <w:w w:val="103"/>
          <w:kern w:val="14"/>
          <w:sz w:val="20"/>
          <w:szCs w:val="20"/>
          <w:lang w:val="en-GB"/>
        </w:rPr>
        <w:t>Department responsible</w:t>
      </w:r>
      <w:r w:rsidRPr="00657CBC">
        <w:rPr>
          <w:spacing w:val="4"/>
          <w:w w:val="103"/>
          <w:kern w:val="14"/>
          <w:sz w:val="20"/>
          <w:szCs w:val="20"/>
          <w:lang w:val="en-GB"/>
        </w:rPr>
        <w:t>: Multi-Partner Trust Fund Office (MPTFO)</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720"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r w:rsidRPr="00657CBC">
        <w:rPr>
          <w:spacing w:val="4"/>
          <w:w w:val="103"/>
          <w:kern w:val="14"/>
          <w:sz w:val="20"/>
          <w:szCs w:val="20"/>
          <w:lang w:val="en-GB"/>
        </w:rPr>
        <w:br/>
      </w:r>
      <w:r w:rsidRPr="00657CBC">
        <w:rPr>
          <w:i/>
          <w:spacing w:val="4"/>
          <w:w w:val="103"/>
          <w:kern w:val="14"/>
          <w:sz w:val="20"/>
          <w:szCs w:val="20"/>
          <w:lang w:val="en-GB"/>
        </w:rPr>
        <w:t>Priority</w:t>
      </w:r>
      <w:r w:rsidRPr="00657CBC">
        <w:rPr>
          <w:spacing w:val="4"/>
          <w:w w:val="103"/>
          <w:kern w:val="14"/>
          <w:sz w:val="20"/>
          <w:szCs w:val="20"/>
          <w:lang w:val="en-GB"/>
        </w:rPr>
        <w:t>: Medium</w:t>
      </w:r>
      <w:r w:rsidRPr="00657CBC">
        <w:rPr>
          <w:spacing w:val="4"/>
          <w:w w:val="103"/>
          <w:kern w:val="14"/>
          <w:sz w:val="20"/>
          <w:szCs w:val="20"/>
          <w:lang w:val="en-GB"/>
        </w:rPr>
        <w:br/>
      </w:r>
      <w:r w:rsidRPr="00657CBC">
        <w:rPr>
          <w:i/>
          <w:spacing w:val="4"/>
          <w:w w:val="103"/>
          <w:kern w:val="14"/>
          <w:sz w:val="20"/>
          <w:szCs w:val="20"/>
          <w:lang w:val="en-GB"/>
        </w:rPr>
        <w:t xml:space="preserve">Target date: </w:t>
      </w:r>
      <w:r w:rsidRPr="00657CBC">
        <w:rPr>
          <w:spacing w:val="4"/>
          <w:w w:val="103"/>
          <w:kern w:val="14"/>
          <w:sz w:val="20"/>
          <w:szCs w:val="20"/>
          <w:lang w:val="en-GB"/>
        </w:rPr>
        <w:t>4</w:t>
      </w:r>
      <w:r w:rsidRPr="00657CBC">
        <w:rPr>
          <w:spacing w:val="4"/>
          <w:w w:val="103"/>
          <w:kern w:val="14"/>
          <w:sz w:val="20"/>
          <w:szCs w:val="20"/>
          <w:vertAlign w:val="superscript"/>
          <w:lang w:val="en-GB"/>
        </w:rPr>
        <w:t>th</w:t>
      </w:r>
      <w:r w:rsidRPr="00657CBC">
        <w:rPr>
          <w:spacing w:val="4"/>
          <w:w w:val="103"/>
          <w:kern w:val="14"/>
          <w:sz w:val="20"/>
          <w:szCs w:val="20"/>
          <w:lang w:val="en-GB"/>
        </w:rPr>
        <w:t xml:space="preserve"> Quarter, 2017</w:t>
      </w:r>
    </w:p>
    <w:p w:rsidR="00F55518" w:rsidRPr="00657CBC" w:rsidRDefault="00F55518" w:rsidP="00F55518">
      <w:pPr>
        <w:tabs>
          <w:tab w:val="left" w:pos="209"/>
          <w:tab w:val="left" w:pos="836"/>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209" w:right="27"/>
        <w:jc w:val="both"/>
        <w:rPr>
          <w:spacing w:val="4"/>
          <w:w w:val="103"/>
          <w:kern w:val="14"/>
          <w:sz w:val="20"/>
          <w:szCs w:val="20"/>
          <w:lang w:val="en-GB"/>
        </w:rPr>
      </w:pPr>
      <w:r w:rsidRPr="00657CBC">
        <w:rPr>
          <w:b/>
          <w:spacing w:val="4"/>
          <w:w w:val="103"/>
          <w:kern w:val="14"/>
          <w:sz w:val="20"/>
          <w:szCs w:val="20"/>
          <w:lang w:val="en-GB"/>
        </w:rPr>
        <w:tab/>
      </w: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 In paragraph 82, UNDP also agreed with the Board’s recommendation that the Resident Coordinator ensure that (a) Uganda Country Office liaise with other UN Agencies and initiate the process of conducting macro assessments at least once during the Country Office programme cycle, and (b) Uganda and Sierra Leone Country Offices incorporate the macro assessment where available in the UNDAF reviews.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rPr>
          <w:b/>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jc w:val="both"/>
        <w:rPr>
          <w:spacing w:val="4"/>
          <w:w w:val="103"/>
          <w:kern w:val="14"/>
          <w:sz w:val="20"/>
          <w:szCs w:val="20"/>
          <w:lang w:val="en-GB"/>
        </w:rPr>
      </w:pPr>
      <w:r w:rsidRPr="00657CBC">
        <w:rPr>
          <w:spacing w:val="4"/>
          <w:w w:val="103"/>
          <w:kern w:val="14"/>
          <w:sz w:val="20"/>
          <w:szCs w:val="20"/>
          <w:lang w:val="en-GB"/>
        </w:rPr>
        <w:t>Management comments: (a) Macro assessments have been carried out for Uganda and Sierra Leone Country Offices; and (b) the current UNDAF reports have incorporated elements of the macro assessments. Management is requesting closure on this recommendation and is awaiting UNBOA’s assessment.</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rPr>
          <w:b/>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005"/>
          <w:tab w:val="left" w:pos="4622"/>
          <w:tab w:val="left" w:pos="5098"/>
          <w:tab w:val="left" w:pos="5573"/>
          <w:tab w:val="left" w:pos="6048"/>
        </w:tabs>
        <w:suppressAutoHyphens/>
        <w:ind w:left="3075" w:right="27" w:hanging="2866"/>
        <w:rPr>
          <w:spacing w:val="4"/>
          <w:w w:val="103"/>
          <w:kern w:val="14"/>
          <w:sz w:val="20"/>
          <w:szCs w:val="20"/>
          <w:lang w:val="en-GB"/>
        </w:rPr>
      </w:pPr>
      <w:r w:rsidRPr="00657CBC">
        <w:rPr>
          <w:i/>
          <w:spacing w:val="4"/>
          <w:w w:val="103"/>
          <w:kern w:val="14"/>
          <w:sz w:val="20"/>
          <w:szCs w:val="20"/>
          <w:lang w:val="en-GB"/>
        </w:rPr>
        <w:tab/>
        <w:t>Department responsible</w:t>
      </w:r>
      <w:r w:rsidRPr="00657CBC">
        <w:rPr>
          <w:spacing w:val="4"/>
          <w:w w:val="103"/>
          <w:kern w:val="14"/>
          <w:sz w:val="20"/>
          <w:szCs w:val="20"/>
          <w:lang w:val="en-GB"/>
        </w:rPr>
        <w:t>: Regional Bureau for Africa (RBA)</w:t>
      </w:r>
    </w:p>
    <w:p w:rsidR="00F55518"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836"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Closure requested</w:t>
      </w:r>
      <w:r w:rsidRPr="00657CBC">
        <w:rPr>
          <w:spacing w:val="4"/>
          <w:w w:val="103"/>
          <w:kern w:val="14"/>
          <w:sz w:val="20"/>
          <w:szCs w:val="20"/>
          <w:lang w:val="en-GB"/>
        </w:rPr>
        <w:br/>
      </w:r>
      <w:r w:rsidRPr="00657CBC">
        <w:rPr>
          <w:i/>
          <w:spacing w:val="4"/>
          <w:w w:val="103"/>
          <w:kern w:val="14"/>
          <w:sz w:val="20"/>
          <w:szCs w:val="20"/>
          <w:lang w:val="en-GB"/>
        </w:rPr>
        <w:t>Priority</w:t>
      </w:r>
      <w:r w:rsidRPr="00657CBC">
        <w:rPr>
          <w:spacing w:val="4"/>
          <w:w w:val="103"/>
          <w:kern w:val="14"/>
          <w:sz w:val="20"/>
          <w:szCs w:val="20"/>
          <w:lang w:val="en-GB"/>
        </w:rPr>
        <w:t>: Medium</w:t>
      </w:r>
      <w:r w:rsidRPr="00657CBC">
        <w:rPr>
          <w:spacing w:val="4"/>
          <w:w w:val="103"/>
          <w:kern w:val="14"/>
          <w:sz w:val="20"/>
          <w:szCs w:val="20"/>
          <w:lang w:val="en-GB"/>
        </w:rPr>
        <w:br/>
      </w:r>
      <w:r w:rsidRPr="00657CBC">
        <w:rPr>
          <w:i/>
          <w:spacing w:val="4"/>
          <w:w w:val="103"/>
          <w:kern w:val="14"/>
          <w:sz w:val="20"/>
          <w:szCs w:val="20"/>
          <w:lang w:val="en-GB"/>
        </w:rPr>
        <w:t xml:space="preserve">Target date: </w:t>
      </w:r>
      <w:r w:rsidRPr="00657CBC">
        <w:rPr>
          <w:spacing w:val="4"/>
          <w:w w:val="103"/>
          <w:kern w:val="14"/>
          <w:sz w:val="20"/>
          <w:szCs w:val="20"/>
          <w:lang w:val="en-GB"/>
        </w:rPr>
        <w:t>4</w:t>
      </w:r>
      <w:r w:rsidRPr="00657CBC">
        <w:rPr>
          <w:spacing w:val="4"/>
          <w:w w:val="103"/>
          <w:kern w:val="14"/>
          <w:sz w:val="20"/>
          <w:szCs w:val="20"/>
          <w:vertAlign w:val="superscript"/>
          <w:lang w:val="en-GB"/>
        </w:rPr>
        <w:t>th</w:t>
      </w:r>
      <w:r w:rsidRPr="00657CBC">
        <w:rPr>
          <w:spacing w:val="4"/>
          <w:w w:val="103"/>
          <w:kern w:val="14"/>
          <w:sz w:val="20"/>
          <w:szCs w:val="20"/>
          <w:lang w:val="en-GB"/>
        </w:rPr>
        <w:t xml:space="preserve"> Quarter, 2017</w:t>
      </w: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836" w:right="27"/>
        <w:rPr>
          <w:spacing w:val="4"/>
          <w:w w:val="103"/>
          <w:kern w:val="14"/>
          <w:sz w:val="20"/>
          <w:szCs w:val="20"/>
          <w:lang w:val="en-GB"/>
        </w:rPr>
      </w:pP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836" w:right="27"/>
        <w:rPr>
          <w:spacing w:val="4"/>
          <w:w w:val="103"/>
          <w:kern w:val="14"/>
          <w:sz w:val="20"/>
          <w:szCs w:val="20"/>
          <w:lang w:val="en-GB"/>
        </w:rPr>
      </w:pP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836" w:right="27"/>
        <w:rPr>
          <w:spacing w:val="4"/>
          <w:w w:val="103"/>
          <w:kern w:val="14"/>
          <w:sz w:val="20"/>
          <w:szCs w:val="20"/>
          <w:lang w:val="en-GB"/>
        </w:rPr>
      </w:pP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836" w:right="27"/>
        <w:rPr>
          <w:spacing w:val="4"/>
          <w:w w:val="103"/>
          <w:kern w:val="14"/>
          <w:sz w:val="20"/>
          <w:szCs w:val="20"/>
          <w:lang w:val="en-GB"/>
        </w:rPr>
      </w:pPr>
    </w:p>
    <w:p w:rsidR="00FB34FD" w:rsidRPr="00657CBC"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836" w:right="27"/>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lastRenderedPageBreak/>
        <w:t xml:space="preserve"> In paragraph 173, UNDP agreed with the Board’s recommendation that it: (a) implement a backup plan for internet access for its three offices using the service of the data centre, (b) clear unused items in the data centre, label and keep cables in order, (c) use dry pipe fire suppression system in the data centre, and (d) review physical access rights to the data centre in each quarter and report to the Information Security Management Meetings.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b/>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UNDP has (a) achieved fully redundant communication with the UNDP offices in the Daily News Building via a cooperative agreement with UN Women to provide redundant network connectivity in that location. Plans for the other buildings (DC1 and FF) are in progress. OIMT has submitted technical requirements to the Central Procurement Unit to issue ITB for Internet access in FF and DC1 buildings. (b) The Data Center Footprint Reduction project was successfully completed. OIMT is (c) aggressively reducing HQ dependency on the FF data center by migrating more critical applications from the data center to external hosting facilities. OIMT (d) produces a quarterly physical access list and shared in quarterly Information Security Management Meetings. In addition, OIMT has purchased and installed 4 Nestcam video surveillance cameras and is performing quarterly access audits.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005"/>
          <w:tab w:val="left" w:pos="4622"/>
          <w:tab w:val="left" w:pos="5098"/>
          <w:tab w:val="left" w:pos="5573"/>
          <w:tab w:val="left" w:pos="6048"/>
        </w:tabs>
        <w:suppressAutoHyphens/>
        <w:ind w:left="2866" w:right="27" w:hanging="2866"/>
        <w:rPr>
          <w:spacing w:val="4"/>
          <w:w w:val="103"/>
          <w:kern w:val="14"/>
          <w:sz w:val="20"/>
          <w:szCs w:val="20"/>
          <w:lang w:val="en-GB"/>
        </w:rPr>
      </w:pPr>
      <w:r w:rsidRPr="00657CBC">
        <w:rPr>
          <w:i/>
          <w:spacing w:val="4"/>
          <w:w w:val="103"/>
          <w:kern w:val="14"/>
          <w:sz w:val="20"/>
          <w:szCs w:val="20"/>
          <w:lang w:val="en-GB"/>
        </w:rPr>
        <w:tab/>
        <w:t>Department responsible</w:t>
      </w:r>
      <w:r w:rsidRPr="00657CBC">
        <w:rPr>
          <w:spacing w:val="4"/>
          <w:w w:val="103"/>
          <w:kern w:val="14"/>
          <w:sz w:val="20"/>
          <w:szCs w:val="20"/>
          <w:lang w:val="en-GB"/>
        </w:rPr>
        <w:t>: Of</w:t>
      </w:r>
      <w:r w:rsidR="00406990" w:rsidRPr="00657CBC">
        <w:rPr>
          <w:spacing w:val="4"/>
          <w:w w:val="103"/>
          <w:kern w:val="14"/>
          <w:sz w:val="20"/>
          <w:szCs w:val="20"/>
          <w:lang w:val="en-GB"/>
        </w:rPr>
        <w:t>fice of Information Management and</w:t>
      </w:r>
      <w:r w:rsidRPr="00657CBC">
        <w:rPr>
          <w:spacing w:val="4"/>
          <w:w w:val="103"/>
          <w:kern w:val="14"/>
          <w:sz w:val="20"/>
          <w:szCs w:val="20"/>
          <w:lang w:val="en-GB"/>
        </w:rPr>
        <w:t xml:space="preserve"> Technology (OIMT)</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627"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r w:rsidRPr="00657CBC">
        <w:rPr>
          <w:spacing w:val="4"/>
          <w:w w:val="103"/>
          <w:kern w:val="14"/>
          <w:sz w:val="20"/>
          <w:szCs w:val="20"/>
          <w:lang w:val="en-GB"/>
        </w:rPr>
        <w:br/>
      </w:r>
      <w:r w:rsidRPr="00657CBC">
        <w:rPr>
          <w:i/>
          <w:spacing w:val="4"/>
          <w:w w:val="103"/>
          <w:kern w:val="14"/>
          <w:sz w:val="20"/>
          <w:szCs w:val="20"/>
          <w:lang w:val="en-GB"/>
        </w:rPr>
        <w:t>Priority</w:t>
      </w:r>
      <w:r w:rsidRPr="00657CBC">
        <w:rPr>
          <w:spacing w:val="4"/>
          <w:w w:val="103"/>
          <w:kern w:val="14"/>
          <w:sz w:val="20"/>
          <w:szCs w:val="20"/>
          <w:lang w:val="en-GB"/>
        </w:rPr>
        <w:t>: Medium</w:t>
      </w:r>
      <w:r w:rsidRPr="00657CBC">
        <w:rPr>
          <w:spacing w:val="4"/>
          <w:w w:val="103"/>
          <w:kern w:val="14"/>
          <w:sz w:val="20"/>
          <w:szCs w:val="20"/>
          <w:lang w:val="en-GB"/>
        </w:rPr>
        <w:br/>
      </w:r>
      <w:r w:rsidRPr="00657CBC">
        <w:rPr>
          <w:i/>
          <w:spacing w:val="4"/>
          <w:w w:val="103"/>
          <w:kern w:val="14"/>
          <w:sz w:val="20"/>
          <w:szCs w:val="20"/>
          <w:lang w:val="en-GB"/>
        </w:rPr>
        <w:t xml:space="preserve">Target date: </w:t>
      </w:r>
      <w:r w:rsidRPr="00657CBC">
        <w:rPr>
          <w:spacing w:val="4"/>
          <w:w w:val="103"/>
          <w:kern w:val="14"/>
          <w:sz w:val="20"/>
          <w:szCs w:val="20"/>
          <w:lang w:val="en-GB"/>
        </w:rPr>
        <w:t>4th Quarter, 2017</w:t>
      </w:r>
    </w:p>
    <w:p w:rsidR="00245995" w:rsidRPr="00657CBC" w:rsidRDefault="00245995"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627" w:right="27"/>
        <w:rPr>
          <w:spacing w:val="4"/>
          <w:w w:val="103"/>
          <w:kern w:val="14"/>
          <w:sz w:val="20"/>
          <w:szCs w:val="20"/>
          <w:lang w:val="en-GB"/>
        </w:rPr>
      </w:pPr>
    </w:p>
    <w:p w:rsidR="00657CBC" w:rsidRDefault="00657CBC"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B34FD" w:rsidRDefault="00FB34FD" w:rsidP="00F55518">
      <w:pPr>
        <w:tabs>
          <w:tab w:val="left" w:pos="5098"/>
        </w:tabs>
        <w:suppressAutoHyphens/>
        <w:spacing w:after="240"/>
        <w:ind w:left="576" w:right="1080"/>
        <w:rPr>
          <w:b/>
          <w:spacing w:val="4"/>
          <w:w w:val="103"/>
          <w:kern w:val="14"/>
          <w:sz w:val="20"/>
          <w:szCs w:val="20"/>
          <w:u w:val="single"/>
          <w:lang w:val="en-GB"/>
        </w:rPr>
      </w:pPr>
    </w:p>
    <w:p w:rsidR="00F55518" w:rsidRPr="00657CBC" w:rsidRDefault="00FB34FD" w:rsidP="00F55518">
      <w:pPr>
        <w:tabs>
          <w:tab w:val="left" w:pos="5098"/>
        </w:tabs>
        <w:suppressAutoHyphens/>
        <w:spacing w:after="240"/>
        <w:ind w:left="576" w:right="1080"/>
        <w:rPr>
          <w:b/>
          <w:spacing w:val="4"/>
          <w:w w:val="103"/>
          <w:kern w:val="14"/>
          <w:sz w:val="20"/>
          <w:szCs w:val="20"/>
          <w:u w:val="single"/>
          <w:lang w:val="en-GB"/>
        </w:rPr>
      </w:pPr>
      <w:r>
        <w:rPr>
          <w:b/>
          <w:spacing w:val="4"/>
          <w:w w:val="103"/>
          <w:kern w:val="14"/>
          <w:sz w:val="20"/>
          <w:szCs w:val="20"/>
          <w:u w:val="single"/>
          <w:lang w:val="en-GB"/>
        </w:rPr>
        <w:lastRenderedPageBreak/>
        <w:t>A</w:t>
      </w:r>
      <w:r w:rsidR="00F673C6">
        <w:rPr>
          <w:b/>
          <w:spacing w:val="4"/>
          <w:w w:val="103"/>
          <w:kern w:val="14"/>
          <w:sz w:val="20"/>
          <w:szCs w:val="20"/>
          <w:u w:val="single"/>
          <w:lang w:val="en-GB"/>
        </w:rPr>
        <w:t>nnex 3.</w:t>
      </w:r>
    </w:p>
    <w:p w:rsidR="00F55518" w:rsidRPr="00657CBC" w:rsidRDefault="000E30CD" w:rsidP="00F55518">
      <w:pPr>
        <w:tabs>
          <w:tab w:val="left" w:pos="5098"/>
        </w:tabs>
        <w:suppressAutoHyphens/>
        <w:spacing w:after="240"/>
        <w:ind w:left="504" w:right="1080"/>
        <w:jc w:val="center"/>
        <w:rPr>
          <w:b/>
          <w:spacing w:val="4"/>
          <w:w w:val="103"/>
          <w:kern w:val="14"/>
          <w:sz w:val="20"/>
          <w:szCs w:val="20"/>
          <w:u w:val="single"/>
          <w:lang w:val="en-GB"/>
        </w:rPr>
      </w:pPr>
      <w:r>
        <w:rPr>
          <w:b/>
          <w:spacing w:val="4"/>
          <w:w w:val="103"/>
          <w:kern w:val="14"/>
          <w:sz w:val="20"/>
          <w:szCs w:val="20"/>
          <w:u w:val="single"/>
          <w:lang w:val="en-GB"/>
        </w:rPr>
        <w:t>2016</w:t>
      </w:r>
      <w:r w:rsidR="00F55518" w:rsidRPr="00657CBC">
        <w:rPr>
          <w:b/>
          <w:spacing w:val="4"/>
          <w:w w:val="103"/>
          <w:kern w:val="14"/>
          <w:sz w:val="20"/>
          <w:szCs w:val="20"/>
          <w:u w:val="single"/>
          <w:lang w:val="en-GB"/>
        </w:rPr>
        <w:t xml:space="preserve"> UNCDF BOARD RECOMMENDATIONS AND PRIOR YEAR RECOMMENDATIONS THAT ARE UNDER IMPLEMENTATION</w:t>
      </w:r>
    </w:p>
    <w:p w:rsidR="00F55518" w:rsidRPr="00657CBC" w:rsidRDefault="00F55518" w:rsidP="00F55518">
      <w:pPr>
        <w:widowControl w:val="0"/>
        <w:numPr>
          <w:ilvl w:val="0"/>
          <w:numId w:val="31"/>
        </w:numPr>
        <w:tabs>
          <w:tab w:val="left" w:pos="836"/>
          <w:tab w:val="left" w:pos="1742"/>
          <w:tab w:val="left" w:pos="2218"/>
          <w:tab w:val="left" w:pos="2693"/>
          <w:tab w:val="left" w:pos="3182"/>
          <w:tab w:val="left" w:pos="3658"/>
          <w:tab w:val="left" w:pos="4133"/>
          <w:tab w:val="left" w:pos="4622"/>
          <w:tab w:val="left" w:pos="5098"/>
          <w:tab w:val="left" w:pos="5573"/>
          <w:tab w:val="left" w:pos="6048"/>
        </w:tabs>
        <w:ind w:right="29"/>
        <w:outlineLvl w:val="0"/>
        <w:rPr>
          <w:b/>
          <w:spacing w:val="-2"/>
          <w:w w:val="103"/>
          <w:kern w:val="14"/>
          <w:sz w:val="20"/>
          <w:szCs w:val="20"/>
          <w:lang w:val="en-GB"/>
        </w:rPr>
      </w:pPr>
      <w:r w:rsidRPr="00657CBC">
        <w:rPr>
          <w:b/>
          <w:spacing w:val="-2"/>
          <w:w w:val="103"/>
          <w:kern w:val="14"/>
          <w:sz w:val="20"/>
          <w:szCs w:val="20"/>
          <w:lang w:val="en-GB"/>
        </w:rPr>
        <w:t>UNCDF Recommendations contained in the report of the Board of Auditors for 2016.</w:t>
      </w:r>
    </w:p>
    <w:p w:rsidR="00F55518" w:rsidRPr="00657CBC" w:rsidRDefault="00F55518" w:rsidP="00F55518">
      <w:pPr>
        <w:widowControl w:val="0"/>
        <w:tabs>
          <w:tab w:val="left" w:pos="836"/>
          <w:tab w:val="left" w:pos="1742"/>
          <w:tab w:val="left" w:pos="2218"/>
          <w:tab w:val="left" w:pos="2693"/>
          <w:tab w:val="left" w:pos="3182"/>
          <w:tab w:val="left" w:pos="3658"/>
          <w:tab w:val="left" w:pos="4133"/>
          <w:tab w:val="left" w:pos="4622"/>
          <w:tab w:val="left" w:pos="5098"/>
          <w:tab w:val="left" w:pos="5573"/>
          <w:tab w:val="left" w:pos="6048"/>
        </w:tabs>
        <w:ind w:left="1440" w:right="29"/>
        <w:outlineLvl w:val="0"/>
        <w:rPr>
          <w:b/>
          <w:spacing w:val="-2"/>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In paragraph 24, UNCDF agreed with Board’s recommendation to ensure that an annual work plan is prepared and approved in a timely manner to Support the Development and Implementation of Value Chains Programme in Rwanda. </w:t>
      </w:r>
    </w:p>
    <w:p w:rsidR="00F55518" w:rsidRPr="00657CBC" w:rsidRDefault="00F55518" w:rsidP="00F55518">
      <w:pPr>
        <w:tabs>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p>
    <w:p w:rsidR="00F55518" w:rsidRPr="00657CBC" w:rsidRDefault="00F55518" w:rsidP="00F5551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27"/>
        <w:jc w:val="both"/>
        <w:rPr>
          <w:spacing w:val="4"/>
          <w:w w:val="103"/>
          <w:kern w:val="14"/>
          <w:sz w:val="20"/>
          <w:szCs w:val="20"/>
          <w:lang w:val="en-GB"/>
        </w:rPr>
      </w:pPr>
      <w:r w:rsidRPr="00657CBC">
        <w:rPr>
          <w:spacing w:val="4"/>
          <w:w w:val="103"/>
          <w:kern w:val="14"/>
          <w:sz w:val="20"/>
          <w:szCs w:val="20"/>
          <w:lang w:val="en-GB"/>
        </w:rPr>
        <w:t>Management comments: UNCDF notes the recommendation for the Rwanda Support to the Development and Implementation of Value Chains Programme and will ensure annual work plans are prepared and approved in a timely manner.</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Local Development Practice Area (LDPA)</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High</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1</w:t>
      </w:r>
      <w:r w:rsidRPr="00657CBC">
        <w:rPr>
          <w:spacing w:val="4"/>
          <w:w w:val="103"/>
          <w:kern w:val="14"/>
          <w:sz w:val="20"/>
          <w:szCs w:val="20"/>
          <w:vertAlign w:val="superscript"/>
          <w:lang w:val="en-GB"/>
        </w:rPr>
        <w:t>st</w:t>
      </w:r>
      <w:r w:rsidRPr="00657CBC">
        <w:rPr>
          <w:spacing w:val="4"/>
          <w:w w:val="103"/>
          <w:kern w:val="14"/>
          <w:sz w:val="20"/>
          <w:szCs w:val="20"/>
          <w:lang w:val="en-GB"/>
        </w:rPr>
        <w:t xml:space="preserve">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406990" w:rsidRPr="00657CBC" w:rsidRDefault="00406990"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In paragraph 28, the Board recommends UNCDF ensure that Rwanda Country Office expedite the finalization of Rwanda Financial Inclusion Programme (R-FIP) document and put it to use so that more resources are mobilized and projects implemented as expected. </w:t>
      </w:r>
    </w:p>
    <w:p w:rsidR="00F55518" w:rsidRPr="00657CBC" w:rsidRDefault="00F55518" w:rsidP="00F55518">
      <w:pPr>
        <w:tabs>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p>
    <w:p w:rsidR="00F55518" w:rsidRPr="00657CBC" w:rsidRDefault="00F55518" w:rsidP="00F55518">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right="27"/>
        <w:jc w:val="both"/>
        <w:rPr>
          <w:spacing w:val="4"/>
          <w:w w:val="103"/>
          <w:kern w:val="14"/>
          <w:sz w:val="20"/>
          <w:szCs w:val="20"/>
        </w:rPr>
      </w:pPr>
      <w:r w:rsidRPr="00657CBC">
        <w:rPr>
          <w:spacing w:val="4"/>
          <w:w w:val="103"/>
          <w:kern w:val="14"/>
          <w:sz w:val="20"/>
          <w:szCs w:val="20"/>
          <w:lang w:val="en-GB"/>
        </w:rPr>
        <w:t>Management comments: UNCDF Rwanda is working to finalize the Rwanda Financial Inclusion Programme (R-FIP) document which will reflect a realistic resource mobilization target based on the best judgement of resource mobilization prospects at the current time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Financial Inclusion Practice Area (FIPA)</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2nd Quarter, 2018</w:t>
      </w:r>
    </w:p>
    <w:p w:rsidR="00E005C7" w:rsidRPr="00657CBC" w:rsidRDefault="00E005C7"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In paragraph 33, UNCDF agreed with the Board recommendation to ensure that the risk, issues and monitoring logs for all projects in the Rwanda and Bangladesh Country Offices are activated in Atlas in a timely manner as the primary source of project information.</w:t>
      </w:r>
    </w:p>
    <w:p w:rsidR="00F55518" w:rsidRPr="00657CBC" w:rsidRDefault="00F55518" w:rsidP="00F55518">
      <w:pPr>
        <w:tabs>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p>
    <w:p w:rsidR="00F55518" w:rsidRPr="00657CBC" w:rsidRDefault="00F55518" w:rsidP="00F55518">
      <w:pPr>
        <w:tabs>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UNCDF will ensure compliance in updating the referenced information in Atlas.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Local Development Practice Area (LDPA)/ Financial Inclusion Practice Area (FIPA) / Programme Management Support Unit (PMSU)</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E005C7" w:rsidRDefault="00E005C7"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B34FD"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B34FD" w:rsidRPr="00657CBC" w:rsidRDefault="00FB34F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lastRenderedPageBreak/>
        <w:t xml:space="preserve">In paragraph 43, the Board recommends that UNCDF (a) update the loan policy to remove reference to Pamira Banker as the entity’s loan management system, and (b) document a system requirement specification with consideration of integration with Atlas to be used as a baseline for acquiring the new loan management system. </w:t>
      </w:r>
    </w:p>
    <w:p w:rsidR="000E30CD" w:rsidRPr="00657CBC" w:rsidRDefault="000E30CD" w:rsidP="000E30CD">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360" w:right="27"/>
        <w:jc w:val="both"/>
        <w:rPr>
          <w:b/>
          <w:spacing w:val="4"/>
          <w:w w:val="103"/>
          <w:kern w:val="14"/>
          <w:sz w:val="20"/>
          <w:szCs w:val="20"/>
          <w:lang w:val="en-GB"/>
        </w:rPr>
      </w:pPr>
    </w:p>
    <w:p w:rsidR="00F55518" w:rsidRPr="00657CBC" w:rsidRDefault="00F55518" w:rsidP="00F55518">
      <w:pPr>
        <w:tabs>
          <w:tab w:val="left" w:pos="1267"/>
          <w:tab w:val="left" w:pos="1350"/>
          <w:tab w:val="left" w:pos="2218"/>
          <w:tab w:val="left" w:pos="2693"/>
          <w:tab w:val="left" w:pos="3182"/>
          <w:tab w:val="left" w:pos="3658"/>
          <w:tab w:val="left" w:pos="4133"/>
          <w:tab w:val="left" w:pos="4622"/>
          <w:tab w:val="left" w:pos="5098"/>
          <w:tab w:val="left" w:pos="5573"/>
          <w:tab w:val="left" w:pos="6048"/>
        </w:tabs>
        <w:suppressAutoHyphens/>
        <w:spacing w:line="240" w:lineRule="exact"/>
        <w:ind w:right="27"/>
        <w:jc w:val="both"/>
        <w:rPr>
          <w:bCs/>
          <w:spacing w:val="4"/>
          <w:w w:val="103"/>
          <w:kern w:val="14"/>
          <w:sz w:val="20"/>
          <w:szCs w:val="20"/>
          <w:lang w:val="en-GB"/>
        </w:rPr>
      </w:pPr>
      <w:r w:rsidRPr="00657CBC">
        <w:rPr>
          <w:spacing w:val="4"/>
          <w:w w:val="103"/>
          <w:kern w:val="14"/>
          <w:sz w:val="20"/>
          <w:szCs w:val="20"/>
          <w:lang w:val="en-GB"/>
        </w:rPr>
        <w:t xml:space="preserve">Management comments: </w:t>
      </w:r>
    </w:p>
    <w:p w:rsidR="00F55518" w:rsidRPr="00657CBC" w:rsidRDefault="00F55518" w:rsidP="00F55518">
      <w:pPr>
        <w:shd w:val="clear" w:color="auto" w:fill="FFFFFF"/>
        <w:spacing w:before="240" w:after="240"/>
        <w:jc w:val="both"/>
        <w:rPr>
          <w:bCs/>
          <w:sz w:val="20"/>
          <w:szCs w:val="20"/>
        </w:rPr>
      </w:pPr>
      <w:r w:rsidRPr="00657CBC">
        <w:rPr>
          <w:bCs/>
          <w:sz w:val="20"/>
          <w:szCs w:val="20"/>
        </w:rPr>
        <w:t>a)</w:t>
      </w:r>
      <w:r w:rsidRPr="00657CBC">
        <w:rPr>
          <w:bCs/>
          <w:sz w:val="20"/>
          <w:szCs w:val="20"/>
        </w:rPr>
        <w:tab/>
        <w:t xml:space="preserve">UNCDF will update the loan management system to reflect the changes. </w:t>
      </w:r>
    </w:p>
    <w:p w:rsidR="00F55518" w:rsidRPr="00657CBC" w:rsidRDefault="00F55518" w:rsidP="00F55518">
      <w:pPr>
        <w:shd w:val="clear" w:color="auto" w:fill="FFFFFF"/>
        <w:spacing w:before="240" w:after="240"/>
        <w:jc w:val="both"/>
        <w:rPr>
          <w:sz w:val="20"/>
          <w:szCs w:val="20"/>
        </w:rPr>
      </w:pPr>
      <w:r w:rsidRPr="00657CBC">
        <w:rPr>
          <w:bCs/>
          <w:sz w:val="20"/>
          <w:szCs w:val="20"/>
        </w:rPr>
        <w:t>b)</w:t>
      </w:r>
      <w:r w:rsidRPr="00657CBC">
        <w:rPr>
          <w:bCs/>
          <w:sz w:val="20"/>
          <w:szCs w:val="20"/>
        </w:rPr>
        <w:tab/>
        <w:t xml:space="preserve">UNCDF management is now working towards management of loan and guarantee instruments through the establishment of a dedicated lending facility. UNCDF believes that documentation of a system requirement specification at this stage is premature; however, the audit recommendation will be fully followed once UNCDF is ready with the development of a new loans management system in 2018. </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Financial Inclusion Practice Area (FIPA)/ Directorate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w:t>
      </w:r>
      <w:r w:rsidRPr="00657CBC">
        <w:rPr>
          <w:spacing w:val="4"/>
          <w:w w:val="103"/>
          <w:kern w:val="14"/>
          <w:sz w:val="20"/>
          <w:szCs w:val="20"/>
          <w:vertAlign w:val="superscript"/>
          <w:lang w:val="en-GB"/>
        </w:rPr>
        <w:t>nd</w:t>
      </w:r>
      <w:r w:rsidRPr="00657CBC">
        <w:rPr>
          <w:spacing w:val="4"/>
          <w:w w:val="103"/>
          <w:kern w:val="14"/>
          <w:sz w:val="20"/>
          <w:szCs w:val="20"/>
          <w:lang w:val="en-GB"/>
        </w:rPr>
        <w:t xml:space="preserve"> Quarter, 2018</w:t>
      </w:r>
    </w:p>
    <w:p w:rsidR="000E30CD" w:rsidRPr="00657CBC" w:rsidRDefault="000E30CD"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 xml:space="preserve">In paragraph 48, the Board recommends that UNCDF develop the leave plans and amend them periodically to reflect changes; as well as identify and address reasons for increasing number of untaken leave days to ensure proper management of staff in line with POPP requirements on staff leave. </w:t>
      </w:r>
    </w:p>
    <w:p w:rsidR="00F55518" w:rsidRPr="00657CBC" w:rsidRDefault="00F55518" w:rsidP="00F55518">
      <w:pPr>
        <w:tabs>
          <w:tab w:val="left" w:pos="1267"/>
          <w:tab w:val="left" w:pos="1350"/>
          <w:tab w:val="left" w:pos="2218"/>
          <w:tab w:val="left" w:pos="2693"/>
          <w:tab w:val="left" w:pos="3182"/>
          <w:tab w:val="left" w:pos="3658"/>
          <w:tab w:val="left" w:pos="4133"/>
          <w:tab w:val="left" w:pos="4622"/>
          <w:tab w:val="left" w:pos="5098"/>
          <w:tab w:val="left" w:pos="5573"/>
          <w:tab w:val="left" w:pos="6048"/>
        </w:tabs>
        <w:suppressAutoHyphens/>
        <w:spacing w:line="240" w:lineRule="exact"/>
        <w:ind w:left="720" w:right="27"/>
        <w:jc w:val="both"/>
        <w:rPr>
          <w:b/>
          <w:spacing w:val="4"/>
          <w:w w:val="103"/>
          <w:kern w:val="14"/>
          <w:sz w:val="20"/>
          <w:szCs w:val="20"/>
        </w:rPr>
      </w:pPr>
    </w:p>
    <w:p w:rsidR="00F55518" w:rsidRPr="00657CBC" w:rsidRDefault="00F55518" w:rsidP="00F55518">
      <w:pPr>
        <w:tabs>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r w:rsidRPr="00657CBC">
        <w:rPr>
          <w:spacing w:val="4"/>
          <w:w w:val="103"/>
          <w:kern w:val="14"/>
          <w:sz w:val="20"/>
          <w:szCs w:val="20"/>
          <w:lang w:val="en-GB"/>
        </w:rPr>
        <w:t>Management comments: UNCDF management will continue to encourage staff to exercise their leaves within the period in which it is earned and that leave plans at the unit level are in place.</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i/>
          <w:spacing w:val="4"/>
          <w:w w:val="103"/>
          <w:kern w:val="14"/>
          <w:sz w:val="20"/>
          <w:szCs w:val="20"/>
          <w:lang w:val="en-GB"/>
        </w:rPr>
      </w:pPr>
      <w:r w:rsidRPr="00657CBC">
        <w:rPr>
          <w:i/>
          <w:spacing w:val="4"/>
          <w:w w:val="103"/>
          <w:kern w:val="14"/>
          <w:sz w:val="20"/>
          <w:szCs w:val="20"/>
          <w:lang w:val="en-GB"/>
        </w:rPr>
        <w:t xml:space="preserve">Department responsible: </w:t>
      </w:r>
      <w:r w:rsidRPr="00657CBC">
        <w:rPr>
          <w:spacing w:val="4"/>
          <w:w w:val="103"/>
          <w:kern w:val="14"/>
          <w:sz w:val="20"/>
          <w:szCs w:val="20"/>
          <w:lang w:val="en-GB"/>
        </w:rPr>
        <w:t>Management Support Unit (MSU)</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Priority</w:t>
      </w:r>
      <w:r w:rsidRPr="00657CBC">
        <w:rPr>
          <w:spacing w:val="4"/>
          <w:w w:val="103"/>
          <w:kern w:val="14"/>
          <w:sz w:val="20"/>
          <w:szCs w:val="20"/>
          <w:lang w:val="en-GB"/>
        </w:rPr>
        <w:t>: Medium</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209" w:right="27"/>
        <w:rPr>
          <w:spacing w:val="4"/>
          <w:w w:val="103"/>
          <w:kern w:val="14"/>
          <w:sz w:val="20"/>
          <w:szCs w:val="20"/>
          <w:lang w:val="en-GB"/>
        </w:rPr>
      </w:pPr>
      <w:r w:rsidRPr="00657CBC">
        <w:rPr>
          <w:i/>
          <w:spacing w:val="4"/>
          <w:w w:val="103"/>
          <w:kern w:val="14"/>
          <w:sz w:val="20"/>
          <w:szCs w:val="20"/>
          <w:lang w:val="en-GB"/>
        </w:rPr>
        <w:t>Target date</w:t>
      </w:r>
      <w:r w:rsidRPr="00657CBC">
        <w:rPr>
          <w:spacing w:val="4"/>
          <w:w w:val="103"/>
          <w:kern w:val="14"/>
          <w:sz w:val="20"/>
          <w:szCs w:val="20"/>
          <w:lang w:val="en-GB"/>
        </w:rPr>
        <w:t>: 2nd Quarter, 2018</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E005C7" w:rsidRPr="00657CBC" w:rsidRDefault="00E005C7" w:rsidP="00F55518">
      <w:pPr>
        <w:rPr>
          <w:sz w:val="20"/>
          <w:szCs w:val="20"/>
          <w:lang w:val="en-GB"/>
        </w:rPr>
      </w:pPr>
    </w:p>
    <w:p w:rsidR="00F55518" w:rsidRPr="00657CBC" w:rsidRDefault="00F55518" w:rsidP="00F7415C">
      <w:pPr>
        <w:widowControl w:val="0"/>
        <w:numPr>
          <w:ilvl w:val="0"/>
          <w:numId w:val="31"/>
        </w:numPr>
        <w:tabs>
          <w:tab w:val="left" w:pos="836"/>
          <w:tab w:val="left" w:pos="1742"/>
          <w:tab w:val="left" w:pos="2218"/>
          <w:tab w:val="left" w:pos="2693"/>
          <w:tab w:val="left" w:pos="3182"/>
          <w:tab w:val="left" w:pos="3658"/>
          <w:tab w:val="left" w:pos="4133"/>
          <w:tab w:val="left" w:pos="4622"/>
          <w:tab w:val="left" w:pos="5098"/>
          <w:tab w:val="left" w:pos="5573"/>
          <w:tab w:val="left" w:pos="6048"/>
        </w:tabs>
        <w:ind w:right="29"/>
        <w:outlineLvl w:val="0"/>
        <w:rPr>
          <w:b/>
          <w:spacing w:val="-2"/>
          <w:w w:val="103"/>
          <w:kern w:val="14"/>
          <w:sz w:val="20"/>
          <w:szCs w:val="20"/>
          <w:lang w:val="en-GB"/>
        </w:rPr>
      </w:pPr>
      <w:r w:rsidRPr="00657CBC">
        <w:rPr>
          <w:b/>
          <w:spacing w:val="-2"/>
          <w:w w:val="103"/>
          <w:kern w:val="14"/>
          <w:sz w:val="20"/>
          <w:szCs w:val="20"/>
          <w:lang w:val="en-GB"/>
        </w:rPr>
        <w:t>UNCDF Recommendations contained in the report of the Board of Auditors for prior financial periods that are under implementation.</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1440" w:right="27"/>
        <w:jc w:val="both"/>
        <w:rPr>
          <w:b/>
          <w:bCs/>
          <w:spacing w:val="4"/>
          <w:w w:val="103"/>
          <w:kern w:val="14"/>
          <w:sz w:val="20"/>
          <w:szCs w:val="20"/>
          <w:u w:val="single"/>
          <w:lang w:val="en-GB"/>
        </w:rPr>
      </w:pPr>
      <w:r w:rsidRPr="00657CBC">
        <w:rPr>
          <w:b/>
          <w:bCs/>
          <w:spacing w:val="4"/>
          <w:w w:val="103"/>
          <w:kern w:val="14"/>
          <w:sz w:val="20"/>
          <w:szCs w:val="20"/>
          <w:u w:val="single"/>
          <w:lang w:val="en-GB"/>
        </w:rPr>
        <w:t>Report of the Board for the financial period ended 31 December 2015</w:t>
      </w:r>
    </w:p>
    <w:p w:rsidR="00F55518" w:rsidRPr="00657CBC" w:rsidRDefault="00F55518" w:rsidP="00F55518">
      <w:pPr>
        <w:rPr>
          <w:sz w:val="20"/>
          <w:szCs w:val="20"/>
          <w:lang w:val="en-GB"/>
        </w:rPr>
      </w:pPr>
    </w:p>
    <w:p w:rsidR="00F55518" w:rsidRPr="00657CBC" w:rsidRDefault="00F55518" w:rsidP="00F55518">
      <w:pPr>
        <w:numPr>
          <w:ilvl w:val="0"/>
          <w:numId w:val="9"/>
        </w:num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b/>
          <w:spacing w:val="4"/>
          <w:w w:val="103"/>
          <w:kern w:val="14"/>
          <w:sz w:val="20"/>
          <w:szCs w:val="20"/>
          <w:lang w:val="en-GB"/>
        </w:rPr>
      </w:pPr>
      <w:r w:rsidRPr="00657CBC">
        <w:rPr>
          <w:b/>
          <w:spacing w:val="4"/>
          <w:w w:val="103"/>
          <w:kern w:val="14"/>
          <w:sz w:val="20"/>
          <w:szCs w:val="20"/>
          <w:lang w:val="en-GB"/>
        </w:rPr>
        <w:t>In paragraph 49, UNCDF agreed with the Board’s recommendation to (a) conduct due diligence of long-outstanding loans and maintain proper evidence to support action taken on the loans including the write-off of the loans whose recoverability is uncertain; and (b) ensure that impairment allowance for the loans is reviewed every year to ascertain its relevance and is supported by proper evidence of the approach used.</w:t>
      </w:r>
    </w:p>
    <w:p w:rsidR="00F55518" w:rsidRPr="00657CBC" w:rsidRDefault="00F55518" w:rsidP="00F55518">
      <w:pPr>
        <w:spacing w:before="100" w:beforeAutospacing="1" w:after="225"/>
        <w:ind w:left="90"/>
        <w:jc w:val="both"/>
        <w:rPr>
          <w:rFonts w:eastAsia="Arial Unicode MS"/>
          <w:color w:val="000000"/>
          <w:spacing w:val="4"/>
          <w:w w:val="103"/>
          <w:kern w:val="14"/>
          <w:sz w:val="20"/>
          <w:szCs w:val="20"/>
        </w:rPr>
      </w:pPr>
      <w:r w:rsidRPr="00657CBC">
        <w:rPr>
          <w:rFonts w:eastAsia="Arial Unicode MS"/>
          <w:color w:val="000000"/>
          <w:sz w:val="20"/>
          <w:szCs w:val="20"/>
        </w:rPr>
        <w:t>Management comments: UNCDF will (a) carry out and document a review of loan recoverability and provide for impairment where necessary and (b) carry out a due diligence and a write off process, should there be adequate evidence that the possibility of recovery is remote.</w:t>
      </w:r>
    </w:p>
    <w:p w:rsidR="00F55518" w:rsidRPr="00657CBC" w:rsidRDefault="00F55518" w:rsidP="00F55518">
      <w:pPr>
        <w:tabs>
          <w:tab w:val="left" w:pos="209"/>
          <w:tab w:val="left" w:pos="836"/>
          <w:tab w:val="left" w:pos="1742"/>
          <w:tab w:val="left" w:pos="2218"/>
          <w:tab w:val="left" w:pos="2693"/>
          <w:tab w:val="left" w:pos="3182"/>
          <w:tab w:val="left" w:pos="3658"/>
          <w:tab w:val="left" w:pos="4005"/>
          <w:tab w:val="left" w:pos="4622"/>
          <w:tab w:val="left" w:pos="5098"/>
          <w:tab w:val="left" w:pos="5573"/>
          <w:tab w:val="left" w:pos="6048"/>
        </w:tabs>
        <w:suppressAutoHyphens/>
        <w:ind w:left="3075" w:right="27" w:hanging="2866"/>
        <w:rPr>
          <w:spacing w:val="4"/>
          <w:w w:val="103"/>
          <w:kern w:val="14"/>
          <w:sz w:val="20"/>
          <w:szCs w:val="20"/>
          <w:lang w:val="en-GB"/>
        </w:rPr>
      </w:pPr>
      <w:r w:rsidRPr="00657CBC">
        <w:rPr>
          <w:i/>
          <w:spacing w:val="4"/>
          <w:w w:val="103"/>
          <w:kern w:val="14"/>
          <w:sz w:val="20"/>
          <w:szCs w:val="20"/>
          <w:lang w:val="en-GB"/>
        </w:rPr>
        <w:t xml:space="preserve">    Department responsible</w:t>
      </w:r>
      <w:r w:rsidRPr="00657CBC">
        <w:rPr>
          <w:spacing w:val="4"/>
          <w:w w:val="103"/>
          <w:kern w:val="14"/>
          <w:sz w:val="20"/>
          <w:szCs w:val="20"/>
          <w:lang w:val="en-GB"/>
        </w:rPr>
        <w:t>: Financial Inclusion Practice Area (FIPA)</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left="475" w:right="27"/>
        <w:rPr>
          <w:spacing w:val="4"/>
          <w:w w:val="103"/>
          <w:kern w:val="14"/>
          <w:sz w:val="20"/>
          <w:szCs w:val="20"/>
          <w:lang w:val="en-GB"/>
        </w:rPr>
      </w:pPr>
      <w:r w:rsidRPr="00657CBC">
        <w:rPr>
          <w:i/>
          <w:spacing w:val="4"/>
          <w:w w:val="103"/>
          <w:kern w:val="14"/>
          <w:sz w:val="20"/>
          <w:szCs w:val="20"/>
          <w:lang w:val="en-GB"/>
        </w:rPr>
        <w:t>Status</w:t>
      </w:r>
      <w:r w:rsidRPr="00657CBC">
        <w:rPr>
          <w:spacing w:val="4"/>
          <w:w w:val="103"/>
          <w:kern w:val="14"/>
          <w:sz w:val="20"/>
          <w:szCs w:val="20"/>
          <w:lang w:val="en-GB"/>
        </w:rPr>
        <w:t>: In progress</w:t>
      </w:r>
      <w:r w:rsidRPr="00657CBC">
        <w:rPr>
          <w:spacing w:val="4"/>
          <w:w w:val="103"/>
          <w:kern w:val="14"/>
          <w:sz w:val="20"/>
          <w:szCs w:val="20"/>
          <w:lang w:val="en-GB"/>
        </w:rPr>
        <w:tab/>
      </w:r>
      <w:r w:rsidRPr="00657CBC">
        <w:rPr>
          <w:spacing w:val="4"/>
          <w:w w:val="103"/>
          <w:kern w:val="14"/>
          <w:sz w:val="20"/>
          <w:szCs w:val="20"/>
          <w:lang w:val="en-GB"/>
        </w:rPr>
        <w:br/>
      </w:r>
      <w:r w:rsidRPr="00657CBC">
        <w:rPr>
          <w:i/>
          <w:spacing w:val="4"/>
          <w:w w:val="103"/>
          <w:kern w:val="14"/>
          <w:sz w:val="20"/>
          <w:szCs w:val="20"/>
          <w:lang w:val="en-GB"/>
        </w:rPr>
        <w:t>Priority</w:t>
      </w:r>
      <w:r w:rsidRPr="00657CBC">
        <w:rPr>
          <w:spacing w:val="4"/>
          <w:w w:val="103"/>
          <w:kern w:val="14"/>
          <w:sz w:val="20"/>
          <w:szCs w:val="20"/>
          <w:lang w:val="en-GB"/>
        </w:rPr>
        <w:t>: High</w:t>
      </w:r>
      <w:r w:rsidRPr="00657CBC">
        <w:rPr>
          <w:spacing w:val="4"/>
          <w:w w:val="103"/>
          <w:kern w:val="14"/>
          <w:sz w:val="20"/>
          <w:szCs w:val="20"/>
          <w:lang w:val="en-GB"/>
        </w:rPr>
        <w:br/>
      </w:r>
      <w:r w:rsidRPr="00657CBC">
        <w:rPr>
          <w:i/>
          <w:spacing w:val="4"/>
          <w:w w:val="103"/>
          <w:kern w:val="14"/>
          <w:sz w:val="20"/>
          <w:szCs w:val="20"/>
          <w:lang w:val="en-GB"/>
        </w:rPr>
        <w:t xml:space="preserve">Target date: </w:t>
      </w:r>
      <w:r w:rsidRPr="00657CBC">
        <w:rPr>
          <w:spacing w:val="4"/>
          <w:w w:val="103"/>
          <w:kern w:val="14"/>
          <w:sz w:val="20"/>
          <w:szCs w:val="20"/>
          <w:lang w:val="en-GB"/>
        </w:rPr>
        <w:t>4</w:t>
      </w:r>
      <w:r w:rsidRPr="00657CBC">
        <w:rPr>
          <w:spacing w:val="4"/>
          <w:w w:val="103"/>
          <w:kern w:val="14"/>
          <w:sz w:val="20"/>
          <w:szCs w:val="20"/>
          <w:vertAlign w:val="superscript"/>
          <w:lang w:val="en-GB"/>
        </w:rPr>
        <w:t>th</w:t>
      </w:r>
      <w:r w:rsidRPr="00657CBC">
        <w:rPr>
          <w:spacing w:val="4"/>
          <w:w w:val="103"/>
          <w:kern w:val="14"/>
          <w:sz w:val="20"/>
          <w:szCs w:val="20"/>
          <w:lang w:val="en-GB"/>
        </w:rPr>
        <w:t xml:space="preserve"> Quarter, 2017</w:t>
      </w: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tabs>
          <w:tab w:val="left" w:pos="209"/>
          <w:tab w:val="left" w:pos="836"/>
          <w:tab w:val="left" w:pos="1742"/>
          <w:tab w:val="left" w:pos="2218"/>
          <w:tab w:val="left" w:pos="2693"/>
          <w:tab w:val="left" w:pos="3182"/>
          <w:tab w:val="left" w:pos="3658"/>
          <w:tab w:val="left" w:pos="4133"/>
          <w:tab w:val="left" w:pos="4622"/>
          <w:tab w:val="left" w:pos="5098"/>
          <w:tab w:val="left" w:pos="5573"/>
          <w:tab w:val="left" w:pos="6048"/>
        </w:tabs>
        <w:suppressAutoHyphens/>
        <w:ind w:right="27"/>
        <w:jc w:val="both"/>
        <w:rPr>
          <w:spacing w:val="4"/>
          <w:w w:val="103"/>
          <w:kern w:val="14"/>
          <w:sz w:val="20"/>
          <w:szCs w:val="20"/>
          <w:lang w:val="en-GB"/>
        </w:rPr>
      </w:pPr>
    </w:p>
    <w:p w:rsidR="00F55518" w:rsidRPr="00657CBC" w:rsidRDefault="00F55518" w:rsidP="00F55518">
      <w:pPr>
        <w:rPr>
          <w:sz w:val="20"/>
          <w:szCs w:val="20"/>
          <w:lang w:val="en-GB"/>
        </w:rPr>
      </w:pPr>
    </w:p>
    <w:sectPr w:rsidR="00F55518" w:rsidRPr="00657CBC" w:rsidSect="00F10A6D">
      <w:headerReference w:type="even" r:id="rId11"/>
      <w:headerReference w:type="default" r:id="rId12"/>
      <w:footerReference w:type="even" r:id="rId13"/>
      <w:footerReference w:type="default" r:id="rId14"/>
      <w:headerReference w:type="first" r:id="rId15"/>
      <w:type w:val="continuous"/>
      <w:pgSz w:w="12240" w:h="15840" w:code="1"/>
      <w:pgMar w:top="1526" w:right="864" w:bottom="1166" w:left="1890" w:header="576" w:footer="10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A65" w:rsidRDefault="007E6A65">
      <w:r>
        <w:separator/>
      </w:r>
    </w:p>
  </w:endnote>
  <w:endnote w:type="continuationSeparator" w:id="0">
    <w:p w:rsidR="007E6A65" w:rsidRDefault="007E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8" w:rsidRDefault="00F55518" w:rsidP="00F10A6D">
    <w:pPr>
      <w:pStyle w:val="Footer"/>
    </w:pPr>
    <w:r>
      <w:rPr>
        <w:noProof w:val="0"/>
      </w:rPr>
      <w:fldChar w:fldCharType="begin"/>
    </w:r>
    <w:r>
      <w:instrText xml:space="preserve"> PAGE   \* MERGEFORMAT </w:instrText>
    </w:r>
    <w:r>
      <w:rPr>
        <w:noProof w:val="0"/>
      </w:rPr>
      <w:fldChar w:fldCharType="separate"/>
    </w:r>
    <w:r w:rsidR="00995DC4">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8" w:rsidRPr="00AB0D7D" w:rsidRDefault="00F55518" w:rsidP="00AB0D7D">
    <w:pPr>
      <w:pStyle w:val="Footer"/>
      <w:jc w:val="right"/>
    </w:pPr>
    <w:r>
      <w:rPr>
        <w:rStyle w:val="PageNumber"/>
      </w:rPr>
      <w:fldChar w:fldCharType="begin"/>
    </w:r>
    <w:r>
      <w:rPr>
        <w:rStyle w:val="PageNumber"/>
      </w:rPr>
      <w:instrText xml:space="preserve"> PAGE </w:instrText>
    </w:r>
    <w:r>
      <w:rPr>
        <w:rStyle w:val="PageNumber"/>
      </w:rPr>
      <w:fldChar w:fldCharType="separate"/>
    </w:r>
    <w:r w:rsidR="00995DC4">
      <w:rPr>
        <w:rStyle w:val="PageNumber"/>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A65" w:rsidRDefault="007E6A65">
      <w:r>
        <w:separator/>
      </w:r>
    </w:p>
  </w:footnote>
  <w:footnote w:type="continuationSeparator" w:id="0">
    <w:p w:rsidR="007E6A65" w:rsidRDefault="007E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7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55518" w:rsidRPr="00F10A6D" w:rsidTr="00F10A6D">
      <w:trPr>
        <w:trHeight w:hRule="exact" w:val="864"/>
      </w:trPr>
      <w:tc>
        <w:tcPr>
          <w:tcW w:w="4838" w:type="dxa"/>
          <w:vAlign w:val="bottom"/>
        </w:tcPr>
        <w:p w:rsidR="00F55518" w:rsidRPr="00F10A6D" w:rsidRDefault="00F55518" w:rsidP="00F10A6D">
          <w:pPr>
            <w:tabs>
              <w:tab w:val="center" w:pos="4320"/>
              <w:tab w:val="right" w:pos="8640"/>
            </w:tabs>
            <w:spacing w:after="80"/>
            <w:rPr>
              <w:b/>
              <w:noProof/>
              <w:sz w:val="17"/>
              <w:szCs w:val="20"/>
            </w:rPr>
          </w:pPr>
          <w:r w:rsidRPr="00F10A6D">
            <w:rPr>
              <w:b/>
              <w:noProof/>
              <w:sz w:val="17"/>
              <w:szCs w:val="20"/>
            </w:rPr>
            <w:fldChar w:fldCharType="begin"/>
          </w:r>
          <w:r w:rsidRPr="00F10A6D">
            <w:rPr>
              <w:b/>
              <w:noProof/>
              <w:sz w:val="17"/>
              <w:szCs w:val="20"/>
            </w:rPr>
            <w:instrText xml:space="preserve"> DOCVARIABLE "Symbol1" \* MERGEFORMAT </w:instrText>
          </w:r>
          <w:r w:rsidRPr="00F10A6D">
            <w:rPr>
              <w:b/>
              <w:noProof/>
              <w:sz w:val="17"/>
              <w:szCs w:val="20"/>
            </w:rPr>
            <w:fldChar w:fldCharType="separate"/>
          </w:r>
          <w:r>
            <w:rPr>
              <w:b/>
              <w:noProof/>
              <w:sz w:val="17"/>
              <w:szCs w:val="20"/>
            </w:rPr>
            <w:t>Annexes to D</w:t>
          </w:r>
          <w:r w:rsidRPr="00F10A6D">
            <w:rPr>
              <w:b/>
              <w:noProof/>
              <w:sz w:val="17"/>
              <w:szCs w:val="20"/>
            </w:rPr>
            <w:t>P/201</w:t>
          </w:r>
          <w:r w:rsidR="005916BA">
            <w:rPr>
              <w:b/>
              <w:noProof/>
              <w:sz w:val="17"/>
              <w:szCs w:val="20"/>
            </w:rPr>
            <w:t>8</w:t>
          </w:r>
          <w:r w:rsidRPr="00F10A6D">
            <w:rPr>
              <w:b/>
              <w:noProof/>
              <w:sz w:val="17"/>
              <w:szCs w:val="20"/>
            </w:rPr>
            <w:t>/</w:t>
          </w:r>
          <w:r w:rsidRPr="00F10A6D">
            <w:rPr>
              <w:b/>
              <w:noProof/>
              <w:sz w:val="17"/>
              <w:szCs w:val="20"/>
            </w:rPr>
            <w:fldChar w:fldCharType="end"/>
          </w:r>
          <w:r w:rsidR="005916BA">
            <w:rPr>
              <w:b/>
              <w:noProof/>
              <w:sz w:val="17"/>
              <w:szCs w:val="20"/>
            </w:rPr>
            <w:t>7</w:t>
          </w:r>
        </w:p>
      </w:tc>
      <w:tc>
        <w:tcPr>
          <w:tcW w:w="5047" w:type="dxa"/>
          <w:vAlign w:val="bottom"/>
        </w:tcPr>
        <w:p w:rsidR="00F55518" w:rsidRPr="00F10A6D" w:rsidRDefault="00F55518" w:rsidP="00F10A6D">
          <w:pPr>
            <w:tabs>
              <w:tab w:val="center" w:pos="4972"/>
              <w:tab w:val="right" w:pos="8640"/>
            </w:tabs>
            <w:spacing w:after="80"/>
            <w:jc w:val="right"/>
            <w:rPr>
              <w:b/>
              <w:noProof/>
              <w:sz w:val="17"/>
              <w:szCs w:val="20"/>
            </w:rPr>
          </w:pPr>
        </w:p>
      </w:tc>
    </w:tr>
  </w:tbl>
  <w:p w:rsidR="00F55518" w:rsidRDefault="00F55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8" w:rsidRDefault="00F55518">
    <w:pPr>
      <w:pStyle w:val="Header"/>
    </w:pPr>
    <w: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-173355</wp:posOffset>
              </wp:positionV>
              <wp:extent cx="6400800" cy="640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55518">
                            <w:trPr>
                              <w:trHeight w:hRule="exact" w:val="864"/>
                            </w:trPr>
                            <w:tc>
                              <w:tcPr>
                                <w:tcW w:w="4838" w:type="dxa"/>
                                <w:vAlign w:val="bottom"/>
                              </w:tcPr>
                              <w:p w:rsidR="00F55518" w:rsidRDefault="00F55518">
                                <w:pPr>
                                  <w:pStyle w:val="Header"/>
                                  <w:spacing w:after="80"/>
                                  <w:rPr>
                                    <w:b/>
                                  </w:rPr>
                                </w:pPr>
                              </w:p>
                            </w:tc>
                            <w:tc>
                              <w:tcPr>
                                <w:tcW w:w="5047" w:type="dxa"/>
                                <w:vAlign w:val="bottom"/>
                              </w:tcPr>
                              <w:p w:rsidR="00F55518" w:rsidRDefault="00F55518" w:rsidP="00FA50CC">
                                <w:pPr>
                                  <w:pStyle w:val="Header"/>
                                  <w:spacing w:after="60"/>
                                  <w:jc w:val="right"/>
                                </w:pPr>
                                <w:r>
                                  <w:rPr>
                                    <w:b/>
                                  </w:rPr>
                                  <w:t xml:space="preserve">Annexes to </w:t>
                                </w:r>
                                <w:r w:rsidR="005916BA">
                                  <w:rPr>
                                    <w:b/>
                                  </w:rPr>
                                  <w:t>DP/2018</w:t>
                                </w:r>
                                <w:r>
                                  <w:rPr>
                                    <w:b/>
                                  </w:rPr>
                                  <w:t>/</w:t>
                                </w:r>
                                <w:r w:rsidR="005916BA">
                                  <w:rPr>
                                    <w:b/>
                                  </w:rPr>
                                  <w:t>7</w:t>
                                </w:r>
                              </w:p>
                            </w:tc>
                          </w:tr>
                        </w:tbl>
                        <w:p w:rsidR="00F55518" w:rsidRPr="00F10A6D" w:rsidRDefault="00F55518" w:rsidP="000C0910">
                          <w:pPr>
                            <w:rPr>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13.65pt;width:7in;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WSIQIAAB0EAAAOAAAAZHJzL2Uyb0RvYy54bWysU1+P2jAMf5+07xDlHVoQ42hFOR0gpkm3&#10;P9LdPkCaprRaG2dOoL1N++7npJSh7W1aHiI7tn+2f3bW933bsLNCW4PO+Gwac6a0hKLWx4x/fT5M&#10;VpxZJ3QhGtAq4y/K8vvN2zfrzqRqDhU0hUJGINqmncl45ZxJo8jKSrXCTsEoTcYSsBWOVDxGBYqO&#10;0NsmmsfxMuoAC4MglbX0uh+MfBPwy1JJ97ksrXKsyTjV5sKN4c79HW3WIj2iMFUtL2WIf6iiFbWm&#10;pFeovXCCnbD+C6qtJYKF0k0ltBGUZS1V6IG6mcV/dPNUCaNCL0SONVea7P+DlZ/OX5DVBc2OMy1a&#10;GtGz6h3bQs9mnp3O2JScngy5uZ6evafv1JpHkN8s07CrhD6qB0ToKiUKqi5ERjehA471IHn3EQpK&#10;I04OAlBfYusBiQxG6DSll+tkfCmSHpeLOF7FZJJkGxRfXCTSMdqgde8VtMwLGUeafEAX50frBtfR&#10;JVQPTV0c6qYJCh7zXYPsLGhLDuFc0O2tW6O9swYfNiAOL1Qk5fA2X26Y+s9kNl/E23kyOSxXd5NF&#10;uXg3Se7i1SSeJdtkGS+Sxf7w65JkjA+EeY4Gtlyf95cB5FC8EHUIw/7SfyOhAvzBWUe7m3H7/SRQ&#10;cdZ80ES/X/RRwFHIR0FoSaEZd5wN4s6FDzE090BjKevAmJ/fkJmY9grtYOD88l/8kt/qwev3r968&#10;AgAA//8DAFBLAwQUAAYACAAAACEAlQ/LaeAAAAAKAQAADwAAAGRycy9kb3ducmV2LnhtbEyPQU/D&#10;MAyF70j8h8hIXNCW0kEHpekEG9zgsDHtnDWmrWicKknX7t9jTnCz/Z6ev1esJtuJE/rQOlJwO09A&#10;IFXOtFQr2H++zR5AhKjJ6M4RKjhjgFV5eVHo3LiRtnjaxVpwCIVcK2hi7HMpQ9Wg1WHueiTWvpy3&#10;OvLqa2m8HjncdjJNkkxa3RJ/aHSP6war791gFWQbP4xbWt9s9q/v+qOv08PL+aDU9dX0/AQi4hT/&#10;zPCLz+hQMtPRDWSC6BTMsoy7RB7S5QIEOx7vUr4cFSwX9yDLQv6vUP4AAAD//wMAUEsBAi0AFAAG&#10;AAgAAAAhALaDOJL+AAAA4QEAABMAAAAAAAAAAAAAAAAAAAAAAFtDb250ZW50X1R5cGVzXS54bWxQ&#10;SwECLQAUAAYACAAAACEAOP0h/9YAAACUAQAACwAAAAAAAAAAAAAAAAAvAQAAX3JlbHMvLnJlbHNQ&#10;SwECLQAUAAYACAAAACEAKPKlkiECAAAdBAAADgAAAAAAAAAAAAAAAAAuAgAAZHJzL2Uyb0RvYy54&#10;bWxQSwECLQAUAAYACAAAACEAlQ/LaeAAAAAKAQAADwAAAAAAAAAAAAAAAAB7BAAAZHJzL2Rvd25y&#10;ZXYueG1sUEsFBgAAAAAEAAQA8wAAAIgFAAAAAA==&#10;"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55518">
                      <w:trPr>
                        <w:trHeight w:hRule="exact" w:val="864"/>
                      </w:trPr>
                      <w:tc>
                        <w:tcPr>
                          <w:tcW w:w="4838" w:type="dxa"/>
                          <w:vAlign w:val="bottom"/>
                        </w:tcPr>
                        <w:p w:rsidR="00F55518" w:rsidRDefault="00F55518">
                          <w:pPr>
                            <w:pStyle w:val="Header"/>
                            <w:spacing w:after="80"/>
                            <w:rPr>
                              <w:b/>
                            </w:rPr>
                          </w:pPr>
                        </w:p>
                      </w:tc>
                      <w:tc>
                        <w:tcPr>
                          <w:tcW w:w="5047" w:type="dxa"/>
                          <w:vAlign w:val="bottom"/>
                        </w:tcPr>
                        <w:p w:rsidR="00F55518" w:rsidRDefault="00F55518" w:rsidP="00FA50CC">
                          <w:pPr>
                            <w:pStyle w:val="Header"/>
                            <w:spacing w:after="60"/>
                            <w:jc w:val="right"/>
                          </w:pPr>
                          <w:r>
                            <w:rPr>
                              <w:b/>
                            </w:rPr>
                            <w:t xml:space="preserve">Annexes to </w:t>
                          </w:r>
                          <w:r w:rsidR="005916BA">
                            <w:rPr>
                              <w:b/>
                            </w:rPr>
                            <w:t>DP/2018</w:t>
                          </w:r>
                          <w:r>
                            <w:rPr>
                              <w:b/>
                            </w:rPr>
                            <w:t>/</w:t>
                          </w:r>
                          <w:r w:rsidR="005916BA">
                            <w:rPr>
                              <w:b/>
                            </w:rPr>
                            <w:t>7</w:t>
                          </w:r>
                        </w:p>
                      </w:tc>
                    </w:tr>
                  </w:tbl>
                  <w:p w:rsidR="00F55518" w:rsidRPr="00F10A6D" w:rsidRDefault="00F55518" w:rsidP="000C0910">
                    <w:pPr>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518" w:rsidRPr="00CB25BD" w:rsidRDefault="00F55518" w:rsidP="006806B7">
    <w:pPr>
      <w:pStyle w:val="Header"/>
      <w:rPr>
        <w:sz w:val="2"/>
        <w:szCs w:val="2"/>
      </w:rPr>
    </w:pPr>
    <w:r>
      <w:rPr>
        <w:sz w:val="2"/>
        <w:szCs w:val="2"/>
      </w:rPr>
      <w:t>AnneAnn</w:t>
    </w:r>
  </w:p>
  <w:tbl>
    <w:tblPr>
      <w:tblW w:w="0" w:type="auto"/>
      <w:tblInd w:w="-7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55518" w:rsidTr="00FA50CC">
      <w:trPr>
        <w:trHeight w:hRule="exact" w:val="864"/>
      </w:trPr>
      <w:tc>
        <w:tcPr>
          <w:tcW w:w="4838" w:type="dxa"/>
          <w:vAlign w:val="bottom"/>
        </w:tcPr>
        <w:p w:rsidR="00F55518" w:rsidRDefault="00F55518" w:rsidP="00FA50CC">
          <w:pPr>
            <w:pStyle w:val="Header"/>
            <w:spacing w:after="80"/>
            <w:rPr>
              <w:b/>
            </w:rPr>
          </w:pPr>
        </w:p>
      </w:tc>
      <w:tc>
        <w:tcPr>
          <w:tcW w:w="5047" w:type="dxa"/>
          <w:vAlign w:val="bottom"/>
        </w:tcPr>
        <w:p w:rsidR="00F55518" w:rsidRDefault="00F55518" w:rsidP="00FA50CC">
          <w:pPr>
            <w:pStyle w:val="Header"/>
            <w:spacing w:after="60"/>
            <w:jc w:val="right"/>
          </w:pPr>
          <w:r>
            <w:rPr>
              <w:b/>
            </w:rPr>
            <w:t>Annexes to DP/2018/7</w:t>
          </w:r>
        </w:p>
      </w:tc>
    </w:tr>
  </w:tbl>
  <w:p w:rsidR="00F55518" w:rsidRPr="00CB25BD" w:rsidRDefault="00F55518" w:rsidP="006806B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2E78"/>
    <w:multiLevelType w:val="hybridMultilevel"/>
    <w:tmpl w:val="70D87A2C"/>
    <w:lvl w:ilvl="0" w:tplc="8C3416AA">
      <w:start w:val="1"/>
      <w:numFmt w:val="lowerLetter"/>
      <w:lvlText w:val="(%1)"/>
      <w:lvlJc w:val="left"/>
      <w:pPr>
        <w:ind w:left="1627" w:hanging="360"/>
      </w:pPr>
      <w:rPr>
        <w:rFonts w:hint="default"/>
        <w:i w:val="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9D9724D"/>
    <w:multiLevelType w:val="hybridMultilevel"/>
    <w:tmpl w:val="9146C83C"/>
    <w:lvl w:ilvl="0" w:tplc="8B388768">
      <w:start w:val="48"/>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3035C"/>
    <w:multiLevelType w:val="hybridMultilevel"/>
    <w:tmpl w:val="002E214C"/>
    <w:lvl w:ilvl="0" w:tplc="C026280A">
      <w:start w:val="1"/>
      <w:numFmt w:val="lowerLetter"/>
      <w:lvlText w:val="%1."/>
      <w:lvlJc w:val="left"/>
      <w:pPr>
        <w:tabs>
          <w:tab w:val="num" w:pos="1440"/>
        </w:tabs>
        <w:ind w:left="1440" w:hanging="360"/>
      </w:pPr>
      <w:rPr>
        <w:cap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16693"/>
    <w:multiLevelType w:val="hybridMultilevel"/>
    <w:tmpl w:val="85EC2B7A"/>
    <w:lvl w:ilvl="0" w:tplc="73C24832">
      <w:start w:val="1"/>
      <w:numFmt w:val="decimal"/>
      <w:lvlText w:val="%1."/>
      <w:lvlJc w:val="left"/>
      <w:pPr>
        <w:ind w:left="360" w:hanging="360"/>
      </w:pPr>
      <w:rPr>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5267542"/>
    <w:multiLevelType w:val="hybridMultilevel"/>
    <w:tmpl w:val="DB26F9C0"/>
    <w:lvl w:ilvl="0" w:tplc="2B7A33C2">
      <w:start w:val="48"/>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6D925F3"/>
    <w:multiLevelType w:val="hybridMultilevel"/>
    <w:tmpl w:val="85EC2B7A"/>
    <w:lvl w:ilvl="0" w:tplc="73C24832">
      <w:start w:val="1"/>
      <w:numFmt w:val="decimal"/>
      <w:lvlText w:val="%1."/>
      <w:lvlJc w:val="left"/>
      <w:pPr>
        <w:ind w:left="360" w:hanging="360"/>
      </w:pPr>
      <w:rPr>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0B14FBA"/>
    <w:multiLevelType w:val="hybridMultilevel"/>
    <w:tmpl w:val="7C48387A"/>
    <w:lvl w:ilvl="0" w:tplc="02D63A52">
      <w:start w:val="1"/>
      <w:numFmt w:val="upperLetter"/>
      <w:lvlText w:val="%1."/>
      <w:lvlJc w:val="left"/>
      <w:pPr>
        <w:ind w:left="576" w:hanging="360"/>
      </w:pPr>
      <w:rPr>
        <w:rFonts w:eastAsia="Calibri" w:hint="default"/>
        <w:b/>
        <w:i w:val="0"/>
        <w:w w:val="103"/>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15:restartNumberingAfterBreak="0">
    <w:nsid w:val="22BA04E5"/>
    <w:multiLevelType w:val="hybridMultilevel"/>
    <w:tmpl w:val="67C69DDE"/>
    <w:lvl w:ilvl="0" w:tplc="29E8FB52">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47E3EF5"/>
    <w:multiLevelType w:val="hybridMultilevel"/>
    <w:tmpl w:val="EDF676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5BF593B"/>
    <w:multiLevelType w:val="hybridMultilevel"/>
    <w:tmpl w:val="E61E955A"/>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47B88"/>
    <w:multiLevelType w:val="hybridMultilevel"/>
    <w:tmpl w:val="FCC4AD68"/>
    <w:lvl w:ilvl="0" w:tplc="5B729740">
      <w:start w:val="1"/>
      <w:numFmt w:val="decimal"/>
      <w:suff w:val="space"/>
      <w:lvlText w:val="%1."/>
      <w:lvlJc w:val="left"/>
      <w:pPr>
        <w:ind w:left="504"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CD4D58"/>
    <w:multiLevelType w:val="hybridMultilevel"/>
    <w:tmpl w:val="4B601782"/>
    <w:lvl w:ilvl="0" w:tplc="011CEC0C">
      <w:start w:val="1"/>
      <w:numFmt w:val="upperLetter"/>
      <w:lvlText w:val="%1."/>
      <w:lvlJc w:val="left"/>
      <w:pPr>
        <w:ind w:left="5107" w:hanging="420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15:restartNumberingAfterBreak="0">
    <w:nsid w:val="39E4169F"/>
    <w:multiLevelType w:val="multilevel"/>
    <w:tmpl w:val="906E4D8A"/>
    <w:styleLink w:val="Style1"/>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ABD2E27"/>
    <w:multiLevelType w:val="hybridMultilevel"/>
    <w:tmpl w:val="B91AA10C"/>
    <w:name w:val="TOC4"/>
    <w:lvl w:ilvl="0" w:tplc="D8D85A34">
      <w:start w:val="1"/>
      <w:numFmt w:val="upperRoman"/>
      <w:lvlText w:val="%1."/>
      <w:lvlJc w:val="right"/>
      <w:pPr>
        <w:tabs>
          <w:tab w:val="num" w:pos="1440"/>
        </w:tabs>
        <w:ind w:left="1440" w:hanging="360"/>
      </w:pPr>
      <w:rPr>
        <w:rFonts w:hint="default"/>
      </w:rPr>
    </w:lvl>
    <w:lvl w:ilvl="1" w:tplc="38101D84">
      <w:start w:val="1"/>
      <w:numFmt w:val="decimal"/>
      <w:lvlText w:val="%2."/>
      <w:lvlJc w:val="left"/>
      <w:pPr>
        <w:tabs>
          <w:tab w:val="num" w:pos="720"/>
        </w:tabs>
        <w:ind w:left="0" w:firstLine="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B2242B0"/>
    <w:multiLevelType w:val="hybridMultilevel"/>
    <w:tmpl w:val="D9C84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90F82"/>
    <w:multiLevelType w:val="hybridMultilevel"/>
    <w:tmpl w:val="021C5AF6"/>
    <w:lvl w:ilvl="0" w:tplc="150A99EC">
      <w:start w:val="1"/>
      <w:numFmt w:val="lowerLetter"/>
      <w:lvlText w:val="(%1)"/>
      <w:lvlJc w:val="left"/>
      <w:pPr>
        <w:ind w:left="900" w:hanging="360"/>
      </w:pPr>
      <w:rPr>
        <w:rFonts w:ascii="Times New Roman" w:eastAsia="Times New Roman" w:hAnsi="Times New Roman" w:cs="Times New Roman"/>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FE74FAF"/>
    <w:multiLevelType w:val="hybridMultilevel"/>
    <w:tmpl w:val="E61E955A"/>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60DF8"/>
    <w:multiLevelType w:val="hybridMultilevel"/>
    <w:tmpl w:val="D898F808"/>
    <w:lvl w:ilvl="0" w:tplc="0409000F">
      <w:start w:val="1"/>
      <w:numFmt w:val="decimal"/>
      <w:lvlText w:val="%1."/>
      <w:lvlJc w:val="left"/>
      <w:pPr>
        <w:ind w:left="1080" w:hanging="360"/>
      </w:pPr>
    </w:lvl>
    <w:lvl w:ilvl="1" w:tplc="04090017">
      <w:start w:val="1"/>
      <w:numFmt w:val="lowerLetter"/>
      <w:lvlText w:val="%2)"/>
      <w:lvlJc w:val="left"/>
      <w:pPr>
        <w:ind w:left="1890" w:hanging="360"/>
      </w:pPr>
    </w:lvl>
    <w:lvl w:ilvl="2" w:tplc="0409001B">
      <w:start w:val="1"/>
      <w:numFmt w:val="lowerRoman"/>
      <w:lvlText w:val="%3."/>
      <w:lvlJc w:val="right"/>
      <w:pPr>
        <w:ind w:left="2610" w:hanging="180"/>
      </w:pPr>
    </w:lvl>
    <w:lvl w:ilvl="3" w:tplc="04090001">
      <w:start w:val="1"/>
      <w:numFmt w:val="bullet"/>
      <w:lvlText w:val=""/>
      <w:lvlJc w:val="left"/>
      <w:pPr>
        <w:ind w:left="3330" w:hanging="360"/>
      </w:pPr>
      <w:rPr>
        <w:rFonts w:ascii="Symbol" w:hAnsi="Symbol"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1C85B44"/>
    <w:multiLevelType w:val="hybridMultilevel"/>
    <w:tmpl w:val="B61A9B2E"/>
    <w:lvl w:ilvl="0" w:tplc="BC06AB66">
      <w:start w:val="1"/>
      <w:numFmt w:val="upperLetter"/>
      <w:lvlText w:val="%1."/>
      <w:lvlJc w:val="left"/>
      <w:pPr>
        <w:ind w:left="1260" w:hanging="360"/>
      </w:pPr>
      <w:rPr>
        <w:rFonts w:hint="default"/>
        <w:b/>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4C02E98"/>
    <w:multiLevelType w:val="hybridMultilevel"/>
    <w:tmpl w:val="F1A84A7A"/>
    <w:lvl w:ilvl="0" w:tplc="0409000F">
      <w:start w:val="1"/>
      <w:numFmt w:val="decimal"/>
      <w:lvlText w:val="%1."/>
      <w:lvlJc w:val="left"/>
      <w:pPr>
        <w:tabs>
          <w:tab w:val="num" w:pos="720"/>
        </w:tabs>
        <w:ind w:left="0" w:firstLine="0"/>
      </w:pPr>
      <w:rPr>
        <w:rFonts w:hint="default"/>
      </w:rPr>
    </w:lvl>
    <w:lvl w:ilvl="1" w:tplc="C026280A">
      <w:start w:val="1"/>
      <w:numFmt w:val="lowerLetter"/>
      <w:lvlText w:val="%2."/>
      <w:lvlJc w:val="left"/>
      <w:pPr>
        <w:tabs>
          <w:tab w:val="num" w:pos="1440"/>
        </w:tabs>
        <w:ind w:left="1440" w:hanging="360"/>
      </w:pPr>
      <w:rPr>
        <w:caps/>
      </w:rPr>
    </w:lvl>
    <w:lvl w:ilvl="2" w:tplc="B3F2BEA8">
      <w:start w:val="2"/>
      <w:numFmt w:val="upperLetter"/>
      <w:lvlText w:val="%3."/>
      <w:lvlJc w:val="left"/>
      <w:pPr>
        <w:ind w:left="45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A94292"/>
    <w:multiLevelType w:val="hybridMultilevel"/>
    <w:tmpl w:val="8252E7F8"/>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C3B47"/>
    <w:multiLevelType w:val="hybridMultilevel"/>
    <w:tmpl w:val="7B0029F2"/>
    <w:lvl w:ilvl="0" w:tplc="A3905BFE">
      <w:start w:val="5"/>
      <w:numFmt w:val="upperLetter"/>
      <w:lvlText w:val="%1."/>
      <w:lvlJc w:val="left"/>
      <w:pPr>
        <w:ind w:left="810" w:hanging="36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B1891"/>
    <w:multiLevelType w:val="hybridMultilevel"/>
    <w:tmpl w:val="0074AB70"/>
    <w:lvl w:ilvl="0" w:tplc="8AE603A4">
      <w:start w:val="1"/>
      <w:numFmt w:val="upperRoman"/>
      <w:lvlText w:val="%1."/>
      <w:lvlJc w:val="left"/>
      <w:pPr>
        <w:ind w:left="1627" w:hanging="7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15:restartNumberingAfterBreak="0">
    <w:nsid w:val="62DC590A"/>
    <w:multiLevelType w:val="hybridMultilevel"/>
    <w:tmpl w:val="0D885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51401B"/>
    <w:multiLevelType w:val="hybridMultilevel"/>
    <w:tmpl w:val="002E214C"/>
    <w:lvl w:ilvl="0" w:tplc="C026280A">
      <w:start w:val="1"/>
      <w:numFmt w:val="lowerLetter"/>
      <w:lvlText w:val="%1."/>
      <w:lvlJc w:val="left"/>
      <w:pPr>
        <w:tabs>
          <w:tab w:val="num" w:pos="1440"/>
        </w:tabs>
        <w:ind w:left="1440" w:hanging="360"/>
      </w:pPr>
      <w:rPr>
        <w:cap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D5484"/>
    <w:multiLevelType w:val="hybridMultilevel"/>
    <w:tmpl w:val="419A0B3E"/>
    <w:lvl w:ilvl="0" w:tplc="AC4A1B34">
      <w:start w:val="1"/>
      <w:numFmt w:val="decimal"/>
      <w:suff w:val="space"/>
      <w:lvlText w:val="%1."/>
      <w:lvlJc w:val="left"/>
      <w:pPr>
        <w:ind w:left="306" w:hanging="216"/>
      </w:pPr>
      <w:rPr>
        <w:rFonts w:hint="default"/>
        <w:b w:val="0"/>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D8A1BD4"/>
    <w:multiLevelType w:val="hybridMultilevel"/>
    <w:tmpl w:val="83A85A7E"/>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63737"/>
    <w:multiLevelType w:val="hybridMultilevel"/>
    <w:tmpl w:val="E61E955A"/>
    <w:lvl w:ilvl="0" w:tplc="07E0782E">
      <w:start w:val="1"/>
      <w:numFmt w:val="decimal"/>
      <w:lvlText w:val="%1."/>
      <w:lvlJc w:val="left"/>
      <w:pPr>
        <w:ind w:left="720" w:hanging="360"/>
      </w:pPr>
      <w:rPr>
        <w:rFonts w:ascii="Times New Roman" w:eastAsia="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F4C76"/>
    <w:multiLevelType w:val="hybridMultilevel"/>
    <w:tmpl w:val="75C4517A"/>
    <w:lvl w:ilvl="0" w:tplc="AC2EF48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15:restartNumberingAfterBreak="0">
    <w:nsid w:val="7D54666A"/>
    <w:multiLevelType w:val="hybridMultilevel"/>
    <w:tmpl w:val="D5A0D35A"/>
    <w:lvl w:ilvl="0" w:tplc="CA5A5876">
      <w:start w:val="1"/>
      <w:numFmt w:val="upperLetter"/>
      <w:lvlText w:val="%1."/>
      <w:lvlJc w:val="left"/>
      <w:pPr>
        <w:ind w:left="360" w:hanging="360"/>
      </w:pPr>
      <w:rPr>
        <w:rFonts w:ascii="Times New Roman" w:eastAsia="Times New Roman" w:hAnsi="Times New Roman" w:cs="Times New Roman"/>
        <w:b/>
        <w:i w:val="0"/>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B3676F"/>
    <w:multiLevelType w:val="hybridMultilevel"/>
    <w:tmpl w:val="32903E7E"/>
    <w:lvl w:ilvl="0" w:tplc="29E8FB52">
      <w:start w:val="1"/>
      <w:numFmt w:val="lowerLetter"/>
      <w:lvlText w:val="(%1)"/>
      <w:lvlJc w:val="left"/>
      <w:pPr>
        <w:ind w:left="1440" w:hanging="360"/>
      </w:pPr>
      <w:rPr>
        <w:rFonts w:hint="default"/>
      </w:r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25"/>
  </w:num>
  <w:num w:numId="3">
    <w:abstractNumId w:val="15"/>
  </w:num>
  <w:num w:numId="4">
    <w:abstractNumId w:val="29"/>
  </w:num>
  <w:num w:numId="5">
    <w:abstractNumId w:val="6"/>
  </w:num>
  <w:num w:numId="6">
    <w:abstractNumId w:val="21"/>
  </w:num>
  <w:num w:numId="7">
    <w:abstractNumId w:val="13"/>
  </w:num>
  <w:num w:numId="8">
    <w:abstractNumId w:val="19"/>
  </w:num>
  <w:num w:numId="9">
    <w:abstractNumId w:val="5"/>
  </w:num>
  <w:num w:numId="10">
    <w:abstractNumId w:val="3"/>
  </w:num>
  <w:num w:numId="11">
    <w:abstractNumId w:val="23"/>
  </w:num>
  <w:num w:numId="12">
    <w:abstractNumId w:val="2"/>
  </w:num>
  <w:num w:numId="13">
    <w:abstractNumId w:val="22"/>
  </w:num>
  <w:num w:numId="14">
    <w:abstractNumId w:val="22"/>
    <w:lvlOverride w:ilvl="0">
      <w:lvl w:ilvl="0" w:tplc="8AE603A4">
        <w:start w:val="1"/>
        <w:numFmt w:val="upperRoman"/>
        <w:suff w:val="space"/>
        <w:lvlText w:val="%1."/>
        <w:lvlJc w:val="left"/>
        <w:pPr>
          <w:ind w:left="504" w:firstLine="7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0"/>
  </w:num>
  <w:num w:numId="16">
    <w:abstractNumId w:val="4"/>
  </w:num>
  <w:num w:numId="17">
    <w:abstractNumId w:val="1"/>
  </w:num>
  <w:num w:numId="18">
    <w:abstractNumId w:val="20"/>
  </w:num>
  <w:num w:numId="19">
    <w:abstractNumId w:val="0"/>
  </w:num>
  <w:num w:numId="20">
    <w:abstractNumId w:val="8"/>
  </w:num>
  <w:num w:numId="21">
    <w:abstractNumId w:val="18"/>
  </w:num>
  <w:num w:numId="22">
    <w:abstractNumId w:val="28"/>
  </w:num>
  <w:num w:numId="23">
    <w:abstractNumId w:val="7"/>
  </w:num>
  <w:num w:numId="24">
    <w:abstractNumId w:val="17"/>
  </w:num>
  <w:num w:numId="25">
    <w:abstractNumId w:val="30"/>
  </w:num>
  <w:num w:numId="26">
    <w:abstractNumId w:val="26"/>
  </w:num>
  <w:num w:numId="27">
    <w:abstractNumId w:val="27"/>
  </w:num>
  <w:num w:numId="28">
    <w:abstractNumId w:val="16"/>
  </w:num>
  <w:num w:numId="29">
    <w:abstractNumId w:val="11"/>
  </w:num>
  <w:num w:numId="30">
    <w:abstractNumId w:val="14"/>
  </w:num>
  <w:num w:numId="31">
    <w:abstractNumId w:val="24"/>
  </w:num>
  <w:num w:numId="3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A87"/>
    <w:rsid w:val="00000405"/>
    <w:rsid w:val="00000783"/>
    <w:rsid w:val="000007C0"/>
    <w:rsid w:val="00003A42"/>
    <w:rsid w:val="00003A8E"/>
    <w:rsid w:val="00004001"/>
    <w:rsid w:val="00004184"/>
    <w:rsid w:val="00005129"/>
    <w:rsid w:val="00005144"/>
    <w:rsid w:val="0000579D"/>
    <w:rsid w:val="000057FA"/>
    <w:rsid w:val="000074C1"/>
    <w:rsid w:val="00007F8E"/>
    <w:rsid w:val="000129CC"/>
    <w:rsid w:val="00013E80"/>
    <w:rsid w:val="00014A91"/>
    <w:rsid w:val="00014C1F"/>
    <w:rsid w:val="00015BC1"/>
    <w:rsid w:val="0001620B"/>
    <w:rsid w:val="000168DA"/>
    <w:rsid w:val="00016DC4"/>
    <w:rsid w:val="00020512"/>
    <w:rsid w:val="0002119B"/>
    <w:rsid w:val="000224B0"/>
    <w:rsid w:val="00022780"/>
    <w:rsid w:val="00022884"/>
    <w:rsid w:val="00024441"/>
    <w:rsid w:val="00025578"/>
    <w:rsid w:val="00025E3F"/>
    <w:rsid w:val="00027CC0"/>
    <w:rsid w:val="00030C9A"/>
    <w:rsid w:val="00031179"/>
    <w:rsid w:val="00031AB2"/>
    <w:rsid w:val="00032F4F"/>
    <w:rsid w:val="00033141"/>
    <w:rsid w:val="000350D8"/>
    <w:rsid w:val="00035D89"/>
    <w:rsid w:val="000368AC"/>
    <w:rsid w:val="00036959"/>
    <w:rsid w:val="00040C9F"/>
    <w:rsid w:val="0004128B"/>
    <w:rsid w:val="00041AF7"/>
    <w:rsid w:val="00042FE6"/>
    <w:rsid w:val="00043332"/>
    <w:rsid w:val="00044146"/>
    <w:rsid w:val="00044EC2"/>
    <w:rsid w:val="00045022"/>
    <w:rsid w:val="00047768"/>
    <w:rsid w:val="0005194F"/>
    <w:rsid w:val="00052024"/>
    <w:rsid w:val="00053C86"/>
    <w:rsid w:val="000544A5"/>
    <w:rsid w:val="00054A41"/>
    <w:rsid w:val="000553E1"/>
    <w:rsid w:val="00057521"/>
    <w:rsid w:val="00057A99"/>
    <w:rsid w:val="00057FBE"/>
    <w:rsid w:val="00061DCD"/>
    <w:rsid w:val="000638E4"/>
    <w:rsid w:val="00064674"/>
    <w:rsid w:val="000646F1"/>
    <w:rsid w:val="00064A40"/>
    <w:rsid w:val="000657E5"/>
    <w:rsid w:val="00065B64"/>
    <w:rsid w:val="00067738"/>
    <w:rsid w:val="00067FA3"/>
    <w:rsid w:val="00071252"/>
    <w:rsid w:val="000719BA"/>
    <w:rsid w:val="00072197"/>
    <w:rsid w:val="00072319"/>
    <w:rsid w:val="00072FF0"/>
    <w:rsid w:val="000734B1"/>
    <w:rsid w:val="00073D29"/>
    <w:rsid w:val="00073EB8"/>
    <w:rsid w:val="00074D70"/>
    <w:rsid w:val="000759F3"/>
    <w:rsid w:val="00075A97"/>
    <w:rsid w:val="00076D9E"/>
    <w:rsid w:val="00080465"/>
    <w:rsid w:val="000806A2"/>
    <w:rsid w:val="000807F8"/>
    <w:rsid w:val="00080DDE"/>
    <w:rsid w:val="00081119"/>
    <w:rsid w:val="000818B4"/>
    <w:rsid w:val="000822CB"/>
    <w:rsid w:val="0008250F"/>
    <w:rsid w:val="00082ECC"/>
    <w:rsid w:val="000835F3"/>
    <w:rsid w:val="00084803"/>
    <w:rsid w:val="00084A0B"/>
    <w:rsid w:val="0008569E"/>
    <w:rsid w:val="00085C63"/>
    <w:rsid w:val="00086740"/>
    <w:rsid w:val="00086996"/>
    <w:rsid w:val="000872F9"/>
    <w:rsid w:val="000875AD"/>
    <w:rsid w:val="000878CB"/>
    <w:rsid w:val="00087CFB"/>
    <w:rsid w:val="00087D4E"/>
    <w:rsid w:val="00090B34"/>
    <w:rsid w:val="0009159C"/>
    <w:rsid w:val="0009282D"/>
    <w:rsid w:val="000942FA"/>
    <w:rsid w:val="000945CE"/>
    <w:rsid w:val="00095629"/>
    <w:rsid w:val="00096285"/>
    <w:rsid w:val="00096759"/>
    <w:rsid w:val="00096DAD"/>
    <w:rsid w:val="000975CC"/>
    <w:rsid w:val="00097B35"/>
    <w:rsid w:val="000A0A0E"/>
    <w:rsid w:val="000A0A7C"/>
    <w:rsid w:val="000A1CFB"/>
    <w:rsid w:val="000A1E74"/>
    <w:rsid w:val="000A207C"/>
    <w:rsid w:val="000A41DB"/>
    <w:rsid w:val="000A43E5"/>
    <w:rsid w:val="000A4CCA"/>
    <w:rsid w:val="000A5914"/>
    <w:rsid w:val="000A616C"/>
    <w:rsid w:val="000A61C9"/>
    <w:rsid w:val="000A73BA"/>
    <w:rsid w:val="000A74C5"/>
    <w:rsid w:val="000A7684"/>
    <w:rsid w:val="000B039D"/>
    <w:rsid w:val="000B0998"/>
    <w:rsid w:val="000B0EF4"/>
    <w:rsid w:val="000B11A7"/>
    <w:rsid w:val="000B1328"/>
    <w:rsid w:val="000B1773"/>
    <w:rsid w:val="000B20E7"/>
    <w:rsid w:val="000B30A7"/>
    <w:rsid w:val="000B466B"/>
    <w:rsid w:val="000B54AF"/>
    <w:rsid w:val="000B5A43"/>
    <w:rsid w:val="000B6214"/>
    <w:rsid w:val="000B74F9"/>
    <w:rsid w:val="000B7762"/>
    <w:rsid w:val="000B793B"/>
    <w:rsid w:val="000C080B"/>
    <w:rsid w:val="000C0910"/>
    <w:rsid w:val="000C0F66"/>
    <w:rsid w:val="000C1540"/>
    <w:rsid w:val="000C1D34"/>
    <w:rsid w:val="000C2143"/>
    <w:rsid w:val="000C3253"/>
    <w:rsid w:val="000C5BFB"/>
    <w:rsid w:val="000C655E"/>
    <w:rsid w:val="000C67D2"/>
    <w:rsid w:val="000C7FA8"/>
    <w:rsid w:val="000D475E"/>
    <w:rsid w:val="000D4CB5"/>
    <w:rsid w:val="000D5579"/>
    <w:rsid w:val="000D6C6A"/>
    <w:rsid w:val="000D7692"/>
    <w:rsid w:val="000E12E4"/>
    <w:rsid w:val="000E183E"/>
    <w:rsid w:val="000E1962"/>
    <w:rsid w:val="000E1B5E"/>
    <w:rsid w:val="000E251A"/>
    <w:rsid w:val="000E2F7C"/>
    <w:rsid w:val="000E30CD"/>
    <w:rsid w:val="000E34BD"/>
    <w:rsid w:val="000E36F3"/>
    <w:rsid w:val="000E3B9A"/>
    <w:rsid w:val="000E491D"/>
    <w:rsid w:val="000E6043"/>
    <w:rsid w:val="000E6465"/>
    <w:rsid w:val="000E6BB5"/>
    <w:rsid w:val="000F03A2"/>
    <w:rsid w:val="000F4D90"/>
    <w:rsid w:val="000F5096"/>
    <w:rsid w:val="000F56ED"/>
    <w:rsid w:val="000F6599"/>
    <w:rsid w:val="000F76AD"/>
    <w:rsid w:val="000F7DD3"/>
    <w:rsid w:val="00100328"/>
    <w:rsid w:val="0010132D"/>
    <w:rsid w:val="00103291"/>
    <w:rsid w:val="001050AD"/>
    <w:rsid w:val="00105B02"/>
    <w:rsid w:val="00106A5C"/>
    <w:rsid w:val="00110A65"/>
    <w:rsid w:val="00110BF3"/>
    <w:rsid w:val="00110F33"/>
    <w:rsid w:val="00111936"/>
    <w:rsid w:val="00112026"/>
    <w:rsid w:val="00112EEA"/>
    <w:rsid w:val="0011367B"/>
    <w:rsid w:val="0011414E"/>
    <w:rsid w:val="0011452B"/>
    <w:rsid w:val="001145AA"/>
    <w:rsid w:val="0011679A"/>
    <w:rsid w:val="00116E07"/>
    <w:rsid w:val="001170B8"/>
    <w:rsid w:val="00117ADD"/>
    <w:rsid w:val="00117EC2"/>
    <w:rsid w:val="00117FE1"/>
    <w:rsid w:val="001219D0"/>
    <w:rsid w:val="00122A3C"/>
    <w:rsid w:val="00122B5D"/>
    <w:rsid w:val="001243F5"/>
    <w:rsid w:val="001245CA"/>
    <w:rsid w:val="001248DE"/>
    <w:rsid w:val="00124A54"/>
    <w:rsid w:val="00124F6A"/>
    <w:rsid w:val="00126630"/>
    <w:rsid w:val="00126D9A"/>
    <w:rsid w:val="001275BC"/>
    <w:rsid w:val="001301B5"/>
    <w:rsid w:val="001309AF"/>
    <w:rsid w:val="00131670"/>
    <w:rsid w:val="001319FC"/>
    <w:rsid w:val="00131F1D"/>
    <w:rsid w:val="00132029"/>
    <w:rsid w:val="001327B5"/>
    <w:rsid w:val="001329C1"/>
    <w:rsid w:val="00133C11"/>
    <w:rsid w:val="00134B14"/>
    <w:rsid w:val="001351EF"/>
    <w:rsid w:val="0013528B"/>
    <w:rsid w:val="0013535B"/>
    <w:rsid w:val="00135946"/>
    <w:rsid w:val="001365F8"/>
    <w:rsid w:val="00137863"/>
    <w:rsid w:val="001400AE"/>
    <w:rsid w:val="001402A1"/>
    <w:rsid w:val="00141107"/>
    <w:rsid w:val="00141A60"/>
    <w:rsid w:val="00142694"/>
    <w:rsid w:val="00142CC0"/>
    <w:rsid w:val="001438BA"/>
    <w:rsid w:val="00143C27"/>
    <w:rsid w:val="00143CC6"/>
    <w:rsid w:val="00144636"/>
    <w:rsid w:val="00144656"/>
    <w:rsid w:val="001448EA"/>
    <w:rsid w:val="00144982"/>
    <w:rsid w:val="0014521C"/>
    <w:rsid w:val="00145408"/>
    <w:rsid w:val="00146CAC"/>
    <w:rsid w:val="00147D9E"/>
    <w:rsid w:val="00147EC7"/>
    <w:rsid w:val="00150763"/>
    <w:rsid w:val="001517A4"/>
    <w:rsid w:val="0015225E"/>
    <w:rsid w:val="001522D3"/>
    <w:rsid w:val="00153419"/>
    <w:rsid w:val="001539D6"/>
    <w:rsid w:val="001541B9"/>
    <w:rsid w:val="001548BD"/>
    <w:rsid w:val="00154A81"/>
    <w:rsid w:val="00154F25"/>
    <w:rsid w:val="0015509A"/>
    <w:rsid w:val="0015555F"/>
    <w:rsid w:val="00155B51"/>
    <w:rsid w:val="00156CD7"/>
    <w:rsid w:val="00156E45"/>
    <w:rsid w:val="00156F68"/>
    <w:rsid w:val="00157EC9"/>
    <w:rsid w:val="00160F34"/>
    <w:rsid w:val="001623A7"/>
    <w:rsid w:val="001624D1"/>
    <w:rsid w:val="00162A2A"/>
    <w:rsid w:val="00162D83"/>
    <w:rsid w:val="00162FE0"/>
    <w:rsid w:val="00164B21"/>
    <w:rsid w:val="00164E52"/>
    <w:rsid w:val="0016554C"/>
    <w:rsid w:val="00165567"/>
    <w:rsid w:val="00166171"/>
    <w:rsid w:val="00166523"/>
    <w:rsid w:val="00166B6A"/>
    <w:rsid w:val="001670C2"/>
    <w:rsid w:val="001672C5"/>
    <w:rsid w:val="00167B02"/>
    <w:rsid w:val="0017027E"/>
    <w:rsid w:val="0017097A"/>
    <w:rsid w:val="00170BAA"/>
    <w:rsid w:val="00170CFA"/>
    <w:rsid w:val="0017147E"/>
    <w:rsid w:val="0017176B"/>
    <w:rsid w:val="00171A35"/>
    <w:rsid w:val="00172EE6"/>
    <w:rsid w:val="00175192"/>
    <w:rsid w:val="00176CBB"/>
    <w:rsid w:val="00177066"/>
    <w:rsid w:val="00177236"/>
    <w:rsid w:val="00177444"/>
    <w:rsid w:val="001804F7"/>
    <w:rsid w:val="0018116E"/>
    <w:rsid w:val="001813F4"/>
    <w:rsid w:val="00181DFF"/>
    <w:rsid w:val="00182FA2"/>
    <w:rsid w:val="001830E0"/>
    <w:rsid w:val="001836E0"/>
    <w:rsid w:val="0018371C"/>
    <w:rsid w:val="00184214"/>
    <w:rsid w:val="00184D65"/>
    <w:rsid w:val="001859BD"/>
    <w:rsid w:val="00186119"/>
    <w:rsid w:val="00187232"/>
    <w:rsid w:val="0019129E"/>
    <w:rsid w:val="00191783"/>
    <w:rsid w:val="00191A43"/>
    <w:rsid w:val="00191B9C"/>
    <w:rsid w:val="00191DB5"/>
    <w:rsid w:val="001921B6"/>
    <w:rsid w:val="001939A3"/>
    <w:rsid w:val="00193EC6"/>
    <w:rsid w:val="001949C8"/>
    <w:rsid w:val="00194DA1"/>
    <w:rsid w:val="00195103"/>
    <w:rsid w:val="001951D7"/>
    <w:rsid w:val="001952F6"/>
    <w:rsid w:val="00195654"/>
    <w:rsid w:val="001959EB"/>
    <w:rsid w:val="0019607B"/>
    <w:rsid w:val="0019693C"/>
    <w:rsid w:val="00196A4A"/>
    <w:rsid w:val="001A01A6"/>
    <w:rsid w:val="001A0C76"/>
    <w:rsid w:val="001A106A"/>
    <w:rsid w:val="001A1547"/>
    <w:rsid w:val="001A1B8E"/>
    <w:rsid w:val="001A23DD"/>
    <w:rsid w:val="001A268A"/>
    <w:rsid w:val="001A276A"/>
    <w:rsid w:val="001A2919"/>
    <w:rsid w:val="001A4795"/>
    <w:rsid w:val="001A5659"/>
    <w:rsid w:val="001A7EE4"/>
    <w:rsid w:val="001A7F61"/>
    <w:rsid w:val="001B0B1A"/>
    <w:rsid w:val="001B0EA5"/>
    <w:rsid w:val="001B2099"/>
    <w:rsid w:val="001B24D8"/>
    <w:rsid w:val="001B2844"/>
    <w:rsid w:val="001B2DAE"/>
    <w:rsid w:val="001B5DE7"/>
    <w:rsid w:val="001B6452"/>
    <w:rsid w:val="001B667B"/>
    <w:rsid w:val="001B6742"/>
    <w:rsid w:val="001B6B22"/>
    <w:rsid w:val="001B6E1D"/>
    <w:rsid w:val="001B6FB8"/>
    <w:rsid w:val="001B70E9"/>
    <w:rsid w:val="001B71E9"/>
    <w:rsid w:val="001C064D"/>
    <w:rsid w:val="001C0893"/>
    <w:rsid w:val="001C0F92"/>
    <w:rsid w:val="001C1A4F"/>
    <w:rsid w:val="001C2969"/>
    <w:rsid w:val="001C307F"/>
    <w:rsid w:val="001C46B0"/>
    <w:rsid w:val="001C4CAE"/>
    <w:rsid w:val="001C509F"/>
    <w:rsid w:val="001C5D7D"/>
    <w:rsid w:val="001C5E99"/>
    <w:rsid w:val="001C6315"/>
    <w:rsid w:val="001C6A26"/>
    <w:rsid w:val="001C7C7F"/>
    <w:rsid w:val="001C7F54"/>
    <w:rsid w:val="001C7F64"/>
    <w:rsid w:val="001D0717"/>
    <w:rsid w:val="001D1048"/>
    <w:rsid w:val="001D1A83"/>
    <w:rsid w:val="001D1BF8"/>
    <w:rsid w:val="001D2C1B"/>
    <w:rsid w:val="001D3C08"/>
    <w:rsid w:val="001D44B6"/>
    <w:rsid w:val="001D456E"/>
    <w:rsid w:val="001D470B"/>
    <w:rsid w:val="001D4F85"/>
    <w:rsid w:val="001D567A"/>
    <w:rsid w:val="001D6400"/>
    <w:rsid w:val="001D6951"/>
    <w:rsid w:val="001D6E3A"/>
    <w:rsid w:val="001D7778"/>
    <w:rsid w:val="001D7F86"/>
    <w:rsid w:val="001E14C2"/>
    <w:rsid w:val="001E1B8B"/>
    <w:rsid w:val="001E1FFE"/>
    <w:rsid w:val="001E2248"/>
    <w:rsid w:val="001E25F9"/>
    <w:rsid w:val="001E267E"/>
    <w:rsid w:val="001E3491"/>
    <w:rsid w:val="001E3905"/>
    <w:rsid w:val="001E39A2"/>
    <w:rsid w:val="001E450C"/>
    <w:rsid w:val="001E46EE"/>
    <w:rsid w:val="001E4EAE"/>
    <w:rsid w:val="001E51D1"/>
    <w:rsid w:val="001E5236"/>
    <w:rsid w:val="001E5F1B"/>
    <w:rsid w:val="001E5FEA"/>
    <w:rsid w:val="001E6479"/>
    <w:rsid w:val="001E6DA9"/>
    <w:rsid w:val="001E71ED"/>
    <w:rsid w:val="001E725C"/>
    <w:rsid w:val="001E73F6"/>
    <w:rsid w:val="001E78AF"/>
    <w:rsid w:val="001F0FF3"/>
    <w:rsid w:val="001F12A8"/>
    <w:rsid w:val="001F1792"/>
    <w:rsid w:val="001F17B3"/>
    <w:rsid w:val="001F1B26"/>
    <w:rsid w:val="001F1B60"/>
    <w:rsid w:val="001F2C89"/>
    <w:rsid w:val="001F36D6"/>
    <w:rsid w:val="001F3DB2"/>
    <w:rsid w:val="001F49FA"/>
    <w:rsid w:val="001F4FD4"/>
    <w:rsid w:val="001F508A"/>
    <w:rsid w:val="001F605C"/>
    <w:rsid w:val="001F6AC2"/>
    <w:rsid w:val="001F72B1"/>
    <w:rsid w:val="001F76A9"/>
    <w:rsid w:val="001F7BB1"/>
    <w:rsid w:val="002006E3"/>
    <w:rsid w:val="00200E24"/>
    <w:rsid w:val="00201517"/>
    <w:rsid w:val="00201C62"/>
    <w:rsid w:val="00201D6E"/>
    <w:rsid w:val="00201ED8"/>
    <w:rsid w:val="0020297D"/>
    <w:rsid w:val="00203983"/>
    <w:rsid w:val="00204DAB"/>
    <w:rsid w:val="002065B0"/>
    <w:rsid w:val="00206E31"/>
    <w:rsid w:val="00206FEC"/>
    <w:rsid w:val="00207722"/>
    <w:rsid w:val="0020795D"/>
    <w:rsid w:val="00210782"/>
    <w:rsid w:val="00210B37"/>
    <w:rsid w:val="00211095"/>
    <w:rsid w:val="00211911"/>
    <w:rsid w:val="00212BC7"/>
    <w:rsid w:val="0021332B"/>
    <w:rsid w:val="00213E6C"/>
    <w:rsid w:val="002144C8"/>
    <w:rsid w:val="002155AD"/>
    <w:rsid w:val="00216CB2"/>
    <w:rsid w:val="00217FD6"/>
    <w:rsid w:val="002207E6"/>
    <w:rsid w:val="0022181A"/>
    <w:rsid w:val="00221A78"/>
    <w:rsid w:val="00222204"/>
    <w:rsid w:val="00222529"/>
    <w:rsid w:val="00222F22"/>
    <w:rsid w:val="00222F5E"/>
    <w:rsid w:val="00223115"/>
    <w:rsid w:val="002250D6"/>
    <w:rsid w:val="00225D8A"/>
    <w:rsid w:val="002262D9"/>
    <w:rsid w:val="00231E45"/>
    <w:rsid w:val="00232237"/>
    <w:rsid w:val="00232DE4"/>
    <w:rsid w:val="00232DF9"/>
    <w:rsid w:val="00233010"/>
    <w:rsid w:val="00233917"/>
    <w:rsid w:val="00234A22"/>
    <w:rsid w:val="00235053"/>
    <w:rsid w:val="00236022"/>
    <w:rsid w:val="00240C56"/>
    <w:rsid w:val="00240E4A"/>
    <w:rsid w:val="0024106D"/>
    <w:rsid w:val="00241B7D"/>
    <w:rsid w:val="00241DA7"/>
    <w:rsid w:val="00242086"/>
    <w:rsid w:val="00242742"/>
    <w:rsid w:val="002440DB"/>
    <w:rsid w:val="00244D5E"/>
    <w:rsid w:val="00245374"/>
    <w:rsid w:val="0024539D"/>
    <w:rsid w:val="00245995"/>
    <w:rsid w:val="00245CAB"/>
    <w:rsid w:val="00245F5F"/>
    <w:rsid w:val="00246466"/>
    <w:rsid w:val="00246859"/>
    <w:rsid w:val="00247900"/>
    <w:rsid w:val="00247B95"/>
    <w:rsid w:val="002502BC"/>
    <w:rsid w:val="00250C3B"/>
    <w:rsid w:val="00250C5A"/>
    <w:rsid w:val="00251285"/>
    <w:rsid w:val="00251B10"/>
    <w:rsid w:val="00251EE3"/>
    <w:rsid w:val="00253C7C"/>
    <w:rsid w:val="002540A9"/>
    <w:rsid w:val="0025662C"/>
    <w:rsid w:val="00257ED3"/>
    <w:rsid w:val="002600F1"/>
    <w:rsid w:val="0026022C"/>
    <w:rsid w:val="002606A0"/>
    <w:rsid w:val="00260708"/>
    <w:rsid w:val="00260B5C"/>
    <w:rsid w:val="00260C73"/>
    <w:rsid w:val="00260CFD"/>
    <w:rsid w:val="00260DF1"/>
    <w:rsid w:val="00262188"/>
    <w:rsid w:val="00262548"/>
    <w:rsid w:val="00262E07"/>
    <w:rsid w:val="0026387C"/>
    <w:rsid w:val="00263E26"/>
    <w:rsid w:val="002647AF"/>
    <w:rsid w:val="00264D0C"/>
    <w:rsid w:val="00266253"/>
    <w:rsid w:val="00266942"/>
    <w:rsid w:val="00267548"/>
    <w:rsid w:val="00267A27"/>
    <w:rsid w:val="002706DA"/>
    <w:rsid w:val="00270BE5"/>
    <w:rsid w:val="00271CAC"/>
    <w:rsid w:val="00272190"/>
    <w:rsid w:val="0027261F"/>
    <w:rsid w:val="00272DFD"/>
    <w:rsid w:val="00273778"/>
    <w:rsid w:val="0027430C"/>
    <w:rsid w:val="00274629"/>
    <w:rsid w:val="00274B41"/>
    <w:rsid w:val="0027533A"/>
    <w:rsid w:val="00276947"/>
    <w:rsid w:val="0027740C"/>
    <w:rsid w:val="00280851"/>
    <w:rsid w:val="00280D90"/>
    <w:rsid w:val="0028392D"/>
    <w:rsid w:val="00283C71"/>
    <w:rsid w:val="00283F2D"/>
    <w:rsid w:val="0028405E"/>
    <w:rsid w:val="00284719"/>
    <w:rsid w:val="002852AB"/>
    <w:rsid w:val="00285AF1"/>
    <w:rsid w:val="002902F5"/>
    <w:rsid w:val="00290352"/>
    <w:rsid w:val="00290688"/>
    <w:rsid w:val="00292CB2"/>
    <w:rsid w:val="00293119"/>
    <w:rsid w:val="002931D8"/>
    <w:rsid w:val="002936A7"/>
    <w:rsid w:val="00293948"/>
    <w:rsid w:val="00294469"/>
    <w:rsid w:val="00297AFE"/>
    <w:rsid w:val="002A0943"/>
    <w:rsid w:val="002A0B65"/>
    <w:rsid w:val="002A0B6C"/>
    <w:rsid w:val="002A0D4B"/>
    <w:rsid w:val="002A17C2"/>
    <w:rsid w:val="002A2B0F"/>
    <w:rsid w:val="002A32EC"/>
    <w:rsid w:val="002A3DDB"/>
    <w:rsid w:val="002A3F73"/>
    <w:rsid w:val="002A5379"/>
    <w:rsid w:val="002A542A"/>
    <w:rsid w:val="002A63D0"/>
    <w:rsid w:val="002A6640"/>
    <w:rsid w:val="002A66D1"/>
    <w:rsid w:val="002B1695"/>
    <w:rsid w:val="002B277C"/>
    <w:rsid w:val="002B39CB"/>
    <w:rsid w:val="002B3AC1"/>
    <w:rsid w:val="002B4327"/>
    <w:rsid w:val="002B4C33"/>
    <w:rsid w:val="002B5706"/>
    <w:rsid w:val="002B64C5"/>
    <w:rsid w:val="002B6550"/>
    <w:rsid w:val="002B6601"/>
    <w:rsid w:val="002B6E52"/>
    <w:rsid w:val="002B78FA"/>
    <w:rsid w:val="002C056A"/>
    <w:rsid w:val="002C07FD"/>
    <w:rsid w:val="002C0819"/>
    <w:rsid w:val="002C0FBB"/>
    <w:rsid w:val="002C17B5"/>
    <w:rsid w:val="002C19E5"/>
    <w:rsid w:val="002C28AC"/>
    <w:rsid w:val="002C2A29"/>
    <w:rsid w:val="002C36C6"/>
    <w:rsid w:val="002C36CF"/>
    <w:rsid w:val="002C3A79"/>
    <w:rsid w:val="002C3FA4"/>
    <w:rsid w:val="002C42D2"/>
    <w:rsid w:val="002C4308"/>
    <w:rsid w:val="002C44D7"/>
    <w:rsid w:val="002C6E43"/>
    <w:rsid w:val="002D04E4"/>
    <w:rsid w:val="002D0DB3"/>
    <w:rsid w:val="002D1374"/>
    <w:rsid w:val="002D150A"/>
    <w:rsid w:val="002D2747"/>
    <w:rsid w:val="002D2BA3"/>
    <w:rsid w:val="002D2BA7"/>
    <w:rsid w:val="002D383B"/>
    <w:rsid w:val="002D5E1A"/>
    <w:rsid w:val="002D5FE2"/>
    <w:rsid w:val="002D618A"/>
    <w:rsid w:val="002D633F"/>
    <w:rsid w:val="002D6432"/>
    <w:rsid w:val="002D6E2A"/>
    <w:rsid w:val="002E038A"/>
    <w:rsid w:val="002E0426"/>
    <w:rsid w:val="002E08E9"/>
    <w:rsid w:val="002E1369"/>
    <w:rsid w:val="002E1D03"/>
    <w:rsid w:val="002E2BA1"/>
    <w:rsid w:val="002E42A4"/>
    <w:rsid w:val="002E4521"/>
    <w:rsid w:val="002E4548"/>
    <w:rsid w:val="002E47C9"/>
    <w:rsid w:val="002E5402"/>
    <w:rsid w:val="002E6087"/>
    <w:rsid w:val="002E6DC4"/>
    <w:rsid w:val="002E7F73"/>
    <w:rsid w:val="002F0653"/>
    <w:rsid w:val="002F06FE"/>
    <w:rsid w:val="002F1E4A"/>
    <w:rsid w:val="002F3042"/>
    <w:rsid w:val="002F35E8"/>
    <w:rsid w:val="002F3EC4"/>
    <w:rsid w:val="002F4B0A"/>
    <w:rsid w:val="002F5FAA"/>
    <w:rsid w:val="002F62B2"/>
    <w:rsid w:val="002F7278"/>
    <w:rsid w:val="002F7352"/>
    <w:rsid w:val="002F797D"/>
    <w:rsid w:val="0030012C"/>
    <w:rsid w:val="00301BEF"/>
    <w:rsid w:val="00301F7F"/>
    <w:rsid w:val="00302DD0"/>
    <w:rsid w:val="00302F33"/>
    <w:rsid w:val="00303BAB"/>
    <w:rsid w:val="00303D4A"/>
    <w:rsid w:val="00303E87"/>
    <w:rsid w:val="003045D8"/>
    <w:rsid w:val="0030465C"/>
    <w:rsid w:val="0030486A"/>
    <w:rsid w:val="00304C62"/>
    <w:rsid w:val="00305469"/>
    <w:rsid w:val="00305BD7"/>
    <w:rsid w:val="00305D39"/>
    <w:rsid w:val="00306DDB"/>
    <w:rsid w:val="003101EB"/>
    <w:rsid w:val="00310F61"/>
    <w:rsid w:val="003116D8"/>
    <w:rsid w:val="00311C59"/>
    <w:rsid w:val="00311E04"/>
    <w:rsid w:val="003125DD"/>
    <w:rsid w:val="003127B2"/>
    <w:rsid w:val="0031393E"/>
    <w:rsid w:val="00313F15"/>
    <w:rsid w:val="00314475"/>
    <w:rsid w:val="00314A7F"/>
    <w:rsid w:val="00315131"/>
    <w:rsid w:val="0031529F"/>
    <w:rsid w:val="003159C5"/>
    <w:rsid w:val="00315D40"/>
    <w:rsid w:val="003160CC"/>
    <w:rsid w:val="003168EA"/>
    <w:rsid w:val="003171CC"/>
    <w:rsid w:val="003177F8"/>
    <w:rsid w:val="00317BC8"/>
    <w:rsid w:val="0032069E"/>
    <w:rsid w:val="00321819"/>
    <w:rsid w:val="003219B2"/>
    <w:rsid w:val="00321AC3"/>
    <w:rsid w:val="00322B0B"/>
    <w:rsid w:val="00323809"/>
    <w:rsid w:val="00324D2A"/>
    <w:rsid w:val="00324E78"/>
    <w:rsid w:val="00325347"/>
    <w:rsid w:val="0032585B"/>
    <w:rsid w:val="003262D5"/>
    <w:rsid w:val="00326C1F"/>
    <w:rsid w:val="00326DEE"/>
    <w:rsid w:val="00331138"/>
    <w:rsid w:val="00331895"/>
    <w:rsid w:val="00331E56"/>
    <w:rsid w:val="00332387"/>
    <w:rsid w:val="00333562"/>
    <w:rsid w:val="00334415"/>
    <w:rsid w:val="00334987"/>
    <w:rsid w:val="00334B14"/>
    <w:rsid w:val="00334F23"/>
    <w:rsid w:val="00335658"/>
    <w:rsid w:val="00337779"/>
    <w:rsid w:val="00341098"/>
    <w:rsid w:val="003412B5"/>
    <w:rsid w:val="003414C1"/>
    <w:rsid w:val="00344E27"/>
    <w:rsid w:val="00345562"/>
    <w:rsid w:val="00345AF7"/>
    <w:rsid w:val="003463C1"/>
    <w:rsid w:val="0034740A"/>
    <w:rsid w:val="00347653"/>
    <w:rsid w:val="00347B35"/>
    <w:rsid w:val="00347BE0"/>
    <w:rsid w:val="003505C7"/>
    <w:rsid w:val="00350BA8"/>
    <w:rsid w:val="0035158F"/>
    <w:rsid w:val="00353B94"/>
    <w:rsid w:val="00353BEA"/>
    <w:rsid w:val="00353E24"/>
    <w:rsid w:val="0035412D"/>
    <w:rsid w:val="0035479A"/>
    <w:rsid w:val="00355693"/>
    <w:rsid w:val="003577D9"/>
    <w:rsid w:val="00357CFB"/>
    <w:rsid w:val="00360D2E"/>
    <w:rsid w:val="0036118F"/>
    <w:rsid w:val="00361A1C"/>
    <w:rsid w:val="00361C39"/>
    <w:rsid w:val="00362130"/>
    <w:rsid w:val="003623D4"/>
    <w:rsid w:val="00362653"/>
    <w:rsid w:val="003627D7"/>
    <w:rsid w:val="00363DCB"/>
    <w:rsid w:val="00365832"/>
    <w:rsid w:val="00365833"/>
    <w:rsid w:val="0036788D"/>
    <w:rsid w:val="00370D77"/>
    <w:rsid w:val="0037293E"/>
    <w:rsid w:val="00372CDF"/>
    <w:rsid w:val="003732FE"/>
    <w:rsid w:val="00373AE6"/>
    <w:rsid w:val="003742DF"/>
    <w:rsid w:val="003754AA"/>
    <w:rsid w:val="00376125"/>
    <w:rsid w:val="00377BD1"/>
    <w:rsid w:val="0038032F"/>
    <w:rsid w:val="0038058B"/>
    <w:rsid w:val="00381130"/>
    <w:rsid w:val="00381B5F"/>
    <w:rsid w:val="00382BD3"/>
    <w:rsid w:val="00383EFC"/>
    <w:rsid w:val="00383F9A"/>
    <w:rsid w:val="003841F4"/>
    <w:rsid w:val="0038457B"/>
    <w:rsid w:val="00385FFE"/>
    <w:rsid w:val="003862AB"/>
    <w:rsid w:val="00386309"/>
    <w:rsid w:val="003863CA"/>
    <w:rsid w:val="00391184"/>
    <w:rsid w:val="00391FA4"/>
    <w:rsid w:val="00391FDF"/>
    <w:rsid w:val="00393A8D"/>
    <w:rsid w:val="00393CAE"/>
    <w:rsid w:val="00394C61"/>
    <w:rsid w:val="00395FF1"/>
    <w:rsid w:val="003966E1"/>
    <w:rsid w:val="003A0744"/>
    <w:rsid w:val="003A1824"/>
    <w:rsid w:val="003A1FBC"/>
    <w:rsid w:val="003A3122"/>
    <w:rsid w:val="003A3C11"/>
    <w:rsid w:val="003A3FB2"/>
    <w:rsid w:val="003A6A0B"/>
    <w:rsid w:val="003A700D"/>
    <w:rsid w:val="003A766E"/>
    <w:rsid w:val="003B0201"/>
    <w:rsid w:val="003B0579"/>
    <w:rsid w:val="003B2722"/>
    <w:rsid w:val="003B275D"/>
    <w:rsid w:val="003B290C"/>
    <w:rsid w:val="003B2BDE"/>
    <w:rsid w:val="003B2E05"/>
    <w:rsid w:val="003B3B9B"/>
    <w:rsid w:val="003B4469"/>
    <w:rsid w:val="003B458F"/>
    <w:rsid w:val="003B47E4"/>
    <w:rsid w:val="003B50EC"/>
    <w:rsid w:val="003B519A"/>
    <w:rsid w:val="003B5987"/>
    <w:rsid w:val="003B5F2E"/>
    <w:rsid w:val="003B681D"/>
    <w:rsid w:val="003B7A30"/>
    <w:rsid w:val="003C05D9"/>
    <w:rsid w:val="003C115B"/>
    <w:rsid w:val="003C1C7C"/>
    <w:rsid w:val="003C202B"/>
    <w:rsid w:val="003C2033"/>
    <w:rsid w:val="003C2591"/>
    <w:rsid w:val="003C29EA"/>
    <w:rsid w:val="003C3637"/>
    <w:rsid w:val="003C36EE"/>
    <w:rsid w:val="003C48A7"/>
    <w:rsid w:val="003C5387"/>
    <w:rsid w:val="003C5B1C"/>
    <w:rsid w:val="003C7362"/>
    <w:rsid w:val="003D0073"/>
    <w:rsid w:val="003D1F69"/>
    <w:rsid w:val="003D3A9E"/>
    <w:rsid w:val="003D5996"/>
    <w:rsid w:val="003D68FE"/>
    <w:rsid w:val="003D745E"/>
    <w:rsid w:val="003D78AD"/>
    <w:rsid w:val="003E06B9"/>
    <w:rsid w:val="003E0EF4"/>
    <w:rsid w:val="003E1184"/>
    <w:rsid w:val="003E1BFE"/>
    <w:rsid w:val="003E2094"/>
    <w:rsid w:val="003E39BE"/>
    <w:rsid w:val="003E3C74"/>
    <w:rsid w:val="003E3FD5"/>
    <w:rsid w:val="003E45E7"/>
    <w:rsid w:val="003E4BD7"/>
    <w:rsid w:val="003E607C"/>
    <w:rsid w:val="003E687C"/>
    <w:rsid w:val="003E6C7C"/>
    <w:rsid w:val="003E7D41"/>
    <w:rsid w:val="003F0C5C"/>
    <w:rsid w:val="003F0E8C"/>
    <w:rsid w:val="003F29C5"/>
    <w:rsid w:val="003F2A5E"/>
    <w:rsid w:val="003F3093"/>
    <w:rsid w:val="003F5E8D"/>
    <w:rsid w:val="003F5EFF"/>
    <w:rsid w:val="003F626A"/>
    <w:rsid w:val="003F7647"/>
    <w:rsid w:val="004011B5"/>
    <w:rsid w:val="00401237"/>
    <w:rsid w:val="00401BC2"/>
    <w:rsid w:val="004020AE"/>
    <w:rsid w:val="004029A7"/>
    <w:rsid w:val="004031BA"/>
    <w:rsid w:val="0040348F"/>
    <w:rsid w:val="004037A8"/>
    <w:rsid w:val="00403A02"/>
    <w:rsid w:val="0040525D"/>
    <w:rsid w:val="004052E5"/>
    <w:rsid w:val="00406990"/>
    <w:rsid w:val="0040725B"/>
    <w:rsid w:val="00407CCA"/>
    <w:rsid w:val="00407DF1"/>
    <w:rsid w:val="00411EA9"/>
    <w:rsid w:val="004133FC"/>
    <w:rsid w:val="0041397F"/>
    <w:rsid w:val="00413B70"/>
    <w:rsid w:val="00413CED"/>
    <w:rsid w:val="0041453E"/>
    <w:rsid w:val="00414E22"/>
    <w:rsid w:val="0041508B"/>
    <w:rsid w:val="004159D5"/>
    <w:rsid w:val="00415E66"/>
    <w:rsid w:val="00416716"/>
    <w:rsid w:val="00416B2C"/>
    <w:rsid w:val="004173D7"/>
    <w:rsid w:val="0041757B"/>
    <w:rsid w:val="004177C2"/>
    <w:rsid w:val="004177E7"/>
    <w:rsid w:val="004206A0"/>
    <w:rsid w:val="004208D4"/>
    <w:rsid w:val="004209B6"/>
    <w:rsid w:val="00420EE0"/>
    <w:rsid w:val="00422268"/>
    <w:rsid w:val="0042246A"/>
    <w:rsid w:val="00423420"/>
    <w:rsid w:val="004244F4"/>
    <w:rsid w:val="004251A0"/>
    <w:rsid w:val="00426E50"/>
    <w:rsid w:val="00426E5E"/>
    <w:rsid w:val="00430023"/>
    <w:rsid w:val="0043003B"/>
    <w:rsid w:val="00430261"/>
    <w:rsid w:val="00430387"/>
    <w:rsid w:val="004305CA"/>
    <w:rsid w:val="00430875"/>
    <w:rsid w:val="004309AF"/>
    <w:rsid w:val="00430A23"/>
    <w:rsid w:val="004320BA"/>
    <w:rsid w:val="00434C9A"/>
    <w:rsid w:val="004352A2"/>
    <w:rsid w:val="004353F2"/>
    <w:rsid w:val="004354FB"/>
    <w:rsid w:val="00435CE6"/>
    <w:rsid w:val="0043684F"/>
    <w:rsid w:val="00436EED"/>
    <w:rsid w:val="004374A7"/>
    <w:rsid w:val="004376D5"/>
    <w:rsid w:val="004404D5"/>
    <w:rsid w:val="004417A6"/>
    <w:rsid w:val="00442500"/>
    <w:rsid w:val="00443DF3"/>
    <w:rsid w:val="00444140"/>
    <w:rsid w:val="00444A96"/>
    <w:rsid w:val="00444DCC"/>
    <w:rsid w:val="0044523C"/>
    <w:rsid w:val="0044565C"/>
    <w:rsid w:val="00446678"/>
    <w:rsid w:val="00446BB3"/>
    <w:rsid w:val="00446F43"/>
    <w:rsid w:val="0044720B"/>
    <w:rsid w:val="00447A2C"/>
    <w:rsid w:val="0045043A"/>
    <w:rsid w:val="00450590"/>
    <w:rsid w:val="00451D1F"/>
    <w:rsid w:val="004522B0"/>
    <w:rsid w:val="004536C9"/>
    <w:rsid w:val="004538CE"/>
    <w:rsid w:val="004538D8"/>
    <w:rsid w:val="00453E39"/>
    <w:rsid w:val="004547AA"/>
    <w:rsid w:val="004550F5"/>
    <w:rsid w:val="0045588B"/>
    <w:rsid w:val="00455B6C"/>
    <w:rsid w:val="0045628A"/>
    <w:rsid w:val="00456409"/>
    <w:rsid w:val="004564E3"/>
    <w:rsid w:val="004568ED"/>
    <w:rsid w:val="00456BBD"/>
    <w:rsid w:val="00457444"/>
    <w:rsid w:val="00457479"/>
    <w:rsid w:val="00457FE1"/>
    <w:rsid w:val="00460415"/>
    <w:rsid w:val="00461A0C"/>
    <w:rsid w:val="00462731"/>
    <w:rsid w:val="00462DC4"/>
    <w:rsid w:val="0046373D"/>
    <w:rsid w:val="004637B7"/>
    <w:rsid w:val="00463E40"/>
    <w:rsid w:val="00465230"/>
    <w:rsid w:val="004652D2"/>
    <w:rsid w:val="0046594F"/>
    <w:rsid w:val="004669D2"/>
    <w:rsid w:val="00466A94"/>
    <w:rsid w:val="00470D79"/>
    <w:rsid w:val="00471696"/>
    <w:rsid w:val="00472A52"/>
    <w:rsid w:val="00473741"/>
    <w:rsid w:val="00474E38"/>
    <w:rsid w:val="0047589E"/>
    <w:rsid w:val="00476778"/>
    <w:rsid w:val="00476A19"/>
    <w:rsid w:val="004809F4"/>
    <w:rsid w:val="004810B6"/>
    <w:rsid w:val="00481202"/>
    <w:rsid w:val="004821E7"/>
    <w:rsid w:val="004830EA"/>
    <w:rsid w:val="0048355E"/>
    <w:rsid w:val="00485B13"/>
    <w:rsid w:val="0048642A"/>
    <w:rsid w:val="00486F28"/>
    <w:rsid w:val="0048723F"/>
    <w:rsid w:val="00487EEC"/>
    <w:rsid w:val="00490183"/>
    <w:rsid w:val="004901E0"/>
    <w:rsid w:val="00490E5E"/>
    <w:rsid w:val="00492009"/>
    <w:rsid w:val="00492669"/>
    <w:rsid w:val="00494A3D"/>
    <w:rsid w:val="00494D6A"/>
    <w:rsid w:val="0049559B"/>
    <w:rsid w:val="004969CC"/>
    <w:rsid w:val="00497E23"/>
    <w:rsid w:val="004A2D2E"/>
    <w:rsid w:val="004A35AB"/>
    <w:rsid w:val="004A4016"/>
    <w:rsid w:val="004A4A41"/>
    <w:rsid w:val="004A51F0"/>
    <w:rsid w:val="004A5737"/>
    <w:rsid w:val="004A5817"/>
    <w:rsid w:val="004A64E8"/>
    <w:rsid w:val="004A65DA"/>
    <w:rsid w:val="004B021B"/>
    <w:rsid w:val="004B073A"/>
    <w:rsid w:val="004B108C"/>
    <w:rsid w:val="004B21F3"/>
    <w:rsid w:val="004B2D40"/>
    <w:rsid w:val="004B3896"/>
    <w:rsid w:val="004B39C7"/>
    <w:rsid w:val="004B4F8F"/>
    <w:rsid w:val="004B5890"/>
    <w:rsid w:val="004B5CA0"/>
    <w:rsid w:val="004C0201"/>
    <w:rsid w:val="004C039E"/>
    <w:rsid w:val="004C05CC"/>
    <w:rsid w:val="004C0892"/>
    <w:rsid w:val="004C198E"/>
    <w:rsid w:val="004C3311"/>
    <w:rsid w:val="004C3BF4"/>
    <w:rsid w:val="004C450B"/>
    <w:rsid w:val="004C4543"/>
    <w:rsid w:val="004C5423"/>
    <w:rsid w:val="004C5546"/>
    <w:rsid w:val="004D0CD7"/>
    <w:rsid w:val="004D1359"/>
    <w:rsid w:val="004D16B1"/>
    <w:rsid w:val="004D1934"/>
    <w:rsid w:val="004D1A8B"/>
    <w:rsid w:val="004D275A"/>
    <w:rsid w:val="004D3195"/>
    <w:rsid w:val="004D323C"/>
    <w:rsid w:val="004D43EA"/>
    <w:rsid w:val="004D4524"/>
    <w:rsid w:val="004D45DA"/>
    <w:rsid w:val="004D4965"/>
    <w:rsid w:val="004D5669"/>
    <w:rsid w:val="004D69AF"/>
    <w:rsid w:val="004D7284"/>
    <w:rsid w:val="004D7320"/>
    <w:rsid w:val="004E0BAF"/>
    <w:rsid w:val="004E0FEC"/>
    <w:rsid w:val="004E1824"/>
    <w:rsid w:val="004E1C03"/>
    <w:rsid w:val="004E2DAC"/>
    <w:rsid w:val="004E468E"/>
    <w:rsid w:val="004E5FB9"/>
    <w:rsid w:val="004E7482"/>
    <w:rsid w:val="004F004E"/>
    <w:rsid w:val="004F02A2"/>
    <w:rsid w:val="004F0407"/>
    <w:rsid w:val="004F090D"/>
    <w:rsid w:val="004F0A83"/>
    <w:rsid w:val="004F0B0D"/>
    <w:rsid w:val="004F0FB6"/>
    <w:rsid w:val="004F2183"/>
    <w:rsid w:val="004F2589"/>
    <w:rsid w:val="004F2AC6"/>
    <w:rsid w:val="004F3660"/>
    <w:rsid w:val="004F405F"/>
    <w:rsid w:val="004F6CAF"/>
    <w:rsid w:val="004F7A67"/>
    <w:rsid w:val="004F7F2B"/>
    <w:rsid w:val="00500192"/>
    <w:rsid w:val="005004A5"/>
    <w:rsid w:val="00500B90"/>
    <w:rsid w:val="00500C97"/>
    <w:rsid w:val="00500FE5"/>
    <w:rsid w:val="00501C4A"/>
    <w:rsid w:val="005022AD"/>
    <w:rsid w:val="00502740"/>
    <w:rsid w:val="00503684"/>
    <w:rsid w:val="005044A6"/>
    <w:rsid w:val="00507151"/>
    <w:rsid w:val="0050717B"/>
    <w:rsid w:val="00507507"/>
    <w:rsid w:val="00507D8D"/>
    <w:rsid w:val="00510A91"/>
    <w:rsid w:val="00510C4C"/>
    <w:rsid w:val="00510D79"/>
    <w:rsid w:val="00510E1E"/>
    <w:rsid w:val="00511216"/>
    <w:rsid w:val="00512173"/>
    <w:rsid w:val="005121C4"/>
    <w:rsid w:val="005122D1"/>
    <w:rsid w:val="00512E3E"/>
    <w:rsid w:val="00514B66"/>
    <w:rsid w:val="00514C6E"/>
    <w:rsid w:val="00514FC2"/>
    <w:rsid w:val="0051542D"/>
    <w:rsid w:val="005156F3"/>
    <w:rsid w:val="00516C18"/>
    <w:rsid w:val="00517FCD"/>
    <w:rsid w:val="005207E0"/>
    <w:rsid w:val="00523B70"/>
    <w:rsid w:val="005258DB"/>
    <w:rsid w:val="00526CE2"/>
    <w:rsid w:val="00526E4C"/>
    <w:rsid w:val="00527FCA"/>
    <w:rsid w:val="005301B3"/>
    <w:rsid w:val="0053067C"/>
    <w:rsid w:val="0053085C"/>
    <w:rsid w:val="0053138D"/>
    <w:rsid w:val="0053235B"/>
    <w:rsid w:val="00532B4B"/>
    <w:rsid w:val="00533C87"/>
    <w:rsid w:val="00534F79"/>
    <w:rsid w:val="00535E6D"/>
    <w:rsid w:val="005369F0"/>
    <w:rsid w:val="00536C89"/>
    <w:rsid w:val="00536F4E"/>
    <w:rsid w:val="00537020"/>
    <w:rsid w:val="0053741E"/>
    <w:rsid w:val="00537A98"/>
    <w:rsid w:val="00540721"/>
    <w:rsid w:val="00540C22"/>
    <w:rsid w:val="00540CCC"/>
    <w:rsid w:val="00541698"/>
    <w:rsid w:val="00541799"/>
    <w:rsid w:val="00543B7F"/>
    <w:rsid w:val="00543DA0"/>
    <w:rsid w:val="00544102"/>
    <w:rsid w:val="00544A23"/>
    <w:rsid w:val="00545919"/>
    <w:rsid w:val="00545F72"/>
    <w:rsid w:val="00547E8E"/>
    <w:rsid w:val="005504FC"/>
    <w:rsid w:val="005511DE"/>
    <w:rsid w:val="005517B0"/>
    <w:rsid w:val="005530ED"/>
    <w:rsid w:val="0055333D"/>
    <w:rsid w:val="005537C4"/>
    <w:rsid w:val="0055423E"/>
    <w:rsid w:val="0055479A"/>
    <w:rsid w:val="00557191"/>
    <w:rsid w:val="005606EA"/>
    <w:rsid w:val="00561AEA"/>
    <w:rsid w:val="00561C4A"/>
    <w:rsid w:val="00562346"/>
    <w:rsid w:val="00563599"/>
    <w:rsid w:val="005647D8"/>
    <w:rsid w:val="0056573D"/>
    <w:rsid w:val="00565878"/>
    <w:rsid w:val="00566098"/>
    <w:rsid w:val="005665DC"/>
    <w:rsid w:val="0056696D"/>
    <w:rsid w:val="005674CF"/>
    <w:rsid w:val="00567D4E"/>
    <w:rsid w:val="00570D66"/>
    <w:rsid w:val="00571604"/>
    <w:rsid w:val="00572607"/>
    <w:rsid w:val="005730D9"/>
    <w:rsid w:val="00573114"/>
    <w:rsid w:val="00573A67"/>
    <w:rsid w:val="00573ADB"/>
    <w:rsid w:val="00575553"/>
    <w:rsid w:val="005758EC"/>
    <w:rsid w:val="00576D0D"/>
    <w:rsid w:val="00576F2C"/>
    <w:rsid w:val="005778D6"/>
    <w:rsid w:val="0058088F"/>
    <w:rsid w:val="005815E7"/>
    <w:rsid w:val="00581EA3"/>
    <w:rsid w:val="00581FD3"/>
    <w:rsid w:val="00582259"/>
    <w:rsid w:val="00582749"/>
    <w:rsid w:val="005829DD"/>
    <w:rsid w:val="005835CD"/>
    <w:rsid w:val="00583716"/>
    <w:rsid w:val="00583EDE"/>
    <w:rsid w:val="00584548"/>
    <w:rsid w:val="005846E5"/>
    <w:rsid w:val="00584C6F"/>
    <w:rsid w:val="0058557B"/>
    <w:rsid w:val="00586536"/>
    <w:rsid w:val="005878CF"/>
    <w:rsid w:val="005901AB"/>
    <w:rsid w:val="00590F6C"/>
    <w:rsid w:val="005916BA"/>
    <w:rsid w:val="005920D8"/>
    <w:rsid w:val="00592211"/>
    <w:rsid w:val="00592504"/>
    <w:rsid w:val="00593085"/>
    <w:rsid w:val="00593DB8"/>
    <w:rsid w:val="00594C95"/>
    <w:rsid w:val="00595D16"/>
    <w:rsid w:val="005962CF"/>
    <w:rsid w:val="005970A4"/>
    <w:rsid w:val="00597CBF"/>
    <w:rsid w:val="005A0307"/>
    <w:rsid w:val="005A0AF7"/>
    <w:rsid w:val="005A0E7F"/>
    <w:rsid w:val="005A2736"/>
    <w:rsid w:val="005A4869"/>
    <w:rsid w:val="005A49BC"/>
    <w:rsid w:val="005A53BC"/>
    <w:rsid w:val="005A6B18"/>
    <w:rsid w:val="005A73FE"/>
    <w:rsid w:val="005A74AB"/>
    <w:rsid w:val="005A7FA0"/>
    <w:rsid w:val="005B0847"/>
    <w:rsid w:val="005B15B3"/>
    <w:rsid w:val="005B19E3"/>
    <w:rsid w:val="005B2635"/>
    <w:rsid w:val="005B265D"/>
    <w:rsid w:val="005B2EE8"/>
    <w:rsid w:val="005B353B"/>
    <w:rsid w:val="005B4E0A"/>
    <w:rsid w:val="005B5893"/>
    <w:rsid w:val="005B64EB"/>
    <w:rsid w:val="005B68C2"/>
    <w:rsid w:val="005B6CC5"/>
    <w:rsid w:val="005B7579"/>
    <w:rsid w:val="005C0784"/>
    <w:rsid w:val="005C0F27"/>
    <w:rsid w:val="005C27E7"/>
    <w:rsid w:val="005C2822"/>
    <w:rsid w:val="005C2AB8"/>
    <w:rsid w:val="005C2F8F"/>
    <w:rsid w:val="005C37A0"/>
    <w:rsid w:val="005C447B"/>
    <w:rsid w:val="005C473F"/>
    <w:rsid w:val="005C4855"/>
    <w:rsid w:val="005C4AAC"/>
    <w:rsid w:val="005C4BD0"/>
    <w:rsid w:val="005C5B42"/>
    <w:rsid w:val="005C5D37"/>
    <w:rsid w:val="005C74A1"/>
    <w:rsid w:val="005C77B6"/>
    <w:rsid w:val="005D0504"/>
    <w:rsid w:val="005D095D"/>
    <w:rsid w:val="005D0C80"/>
    <w:rsid w:val="005D0E36"/>
    <w:rsid w:val="005D2158"/>
    <w:rsid w:val="005D26CA"/>
    <w:rsid w:val="005D3223"/>
    <w:rsid w:val="005D4A79"/>
    <w:rsid w:val="005D74DB"/>
    <w:rsid w:val="005E13AA"/>
    <w:rsid w:val="005E191D"/>
    <w:rsid w:val="005E1EE4"/>
    <w:rsid w:val="005E26A2"/>
    <w:rsid w:val="005E361A"/>
    <w:rsid w:val="005E4EFA"/>
    <w:rsid w:val="005E51CE"/>
    <w:rsid w:val="005E53EC"/>
    <w:rsid w:val="005E598A"/>
    <w:rsid w:val="005E6B9B"/>
    <w:rsid w:val="005E6DBE"/>
    <w:rsid w:val="005E6EF1"/>
    <w:rsid w:val="005E7166"/>
    <w:rsid w:val="005E74FF"/>
    <w:rsid w:val="005E75C3"/>
    <w:rsid w:val="005F225E"/>
    <w:rsid w:val="005F2AED"/>
    <w:rsid w:val="005F2C63"/>
    <w:rsid w:val="005F376F"/>
    <w:rsid w:val="005F4814"/>
    <w:rsid w:val="005F65D4"/>
    <w:rsid w:val="005F79D5"/>
    <w:rsid w:val="006010DB"/>
    <w:rsid w:val="0060128B"/>
    <w:rsid w:val="006018FE"/>
    <w:rsid w:val="00601ECA"/>
    <w:rsid w:val="00602466"/>
    <w:rsid w:val="0060462C"/>
    <w:rsid w:val="00605B89"/>
    <w:rsid w:val="00611F23"/>
    <w:rsid w:val="00612B47"/>
    <w:rsid w:val="00612E74"/>
    <w:rsid w:val="00613472"/>
    <w:rsid w:val="00613BF0"/>
    <w:rsid w:val="006152A2"/>
    <w:rsid w:val="006153C0"/>
    <w:rsid w:val="006155D0"/>
    <w:rsid w:val="006169D2"/>
    <w:rsid w:val="006174E5"/>
    <w:rsid w:val="006174FA"/>
    <w:rsid w:val="006175CE"/>
    <w:rsid w:val="00617885"/>
    <w:rsid w:val="00617E3C"/>
    <w:rsid w:val="00617FF5"/>
    <w:rsid w:val="00621030"/>
    <w:rsid w:val="006217A6"/>
    <w:rsid w:val="00621C1C"/>
    <w:rsid w:val="00622CAB"/>
    <w:rsid w:val="00623544"/>
    <w:rsid w:val="00623825"/>
    <w:rsid w:val="00623966"/>
    <w:rsid w:val="00623F72"/>
    <w:rsid w:val="00623FB5"/>
    <w:rsid w:val="006240F6"/>
    <w:rsid w:val="0062429F"/>
    <w:rsid w:val="00626B16"/>
    <w:rsid w:val="00626DC6"/>
    <w:rsid w:val="00627012"/>
    <w:rsid w:val="00627149"/>
    <w:rsid w:val="00627873"/>
    <w:rsid w:val="00627EA8"/>
    <w:rsid w:val="006314BE"/>
    <w:rsid w:val="00632656"/>
    <w:rsid w:val="00632970"/>
    <w:rsid w:val="00634B60"/>
    <w:rsid w:val="00634DB4"/>
    <w:rsid w:val="006355ED"/>
    <w:rsid w:val="0063596F"/>
    <w:rsid w:val="00635EA7"/>
    <w:rsid w:val="00637749"/>
    <w:rsid w:val="006408CC"/>
    <w:rsid w:val="00640C63"/>
    <w:rsid w:val="006421A8"/>
    <w:rsid w:val="00642BF5"/>
    <w:rsid w:val="0064304E"/>
    <w:rsid w:val="006432D6"/>
    <w:rsid w:val="00643984"/>
    <w:rsid w:val="006449E3"/>
    <w:rsid w:val="00644D50"/>
    <w:rsid w:val="006469DE"/>
    <w:rsid w:val="00646A61"/>
    <w:rsid w:val="00647707"/>
    <w:rsid w:val="00647DFD"/>
    <w:rsid w:val="00647F31"/>
    <w:rsid w:val="00650189"/>
    <w:rsid w:val="006520E7"/>
    <w:rsid w:val="006525A3"/>
    <w:rsid w:val="00652F8D"/>
    <w:rsid w:val="00653FB4"/>
    <w:rsid w:val="00655AC3"/>
    <w:rsid w:val="006572DB"/>
    <w:rsid w:val="0065736A"/>
    <w:rsid w:val="0065779C"/>
    <w:rsid w:val="006577A1"/>
    <w:rsid w:val="00657CBC"/>
    <w:rsid w:val="0066055B"/>
    <w:rsid w:val="00660FC3"/>
    <w:rsid w:val="006611FC"/>
    <w:rsid w:val="0066127F"/>
    <w:rsid w:val="00661C26"/>
    <w:rsid w:val="00662764"/>
    <w:rsid w:val="0066354B"/>
    <w:rsid w:val="00664AE8"/>
    <w:rsid w:val="0066523B"/>
    <w:rsid w:val="0066567C"/>
    <w:rsid w:val="0066644A"/>
    <w:rsid w:val="006667F4"/>
    <w:rsid w:val="0066687A"/>
    <w:rsid w:val="00666C29"/>
    <w:rsid w:val="00667AE9"/>
    <w:rsid w:val="00670468"/>
    <w:rsid w:val="00670A7D"/>
    <w:rsid w:val="006718DC"/>
    <w:rsid w:val="006729E0"/>
    <w:rsid w:val="0067393E"/>
    <w:rsid w:val="0067440F"/>
    <w:rsid w:val="00674D36"/>
    <w:rsid w:val="00676536"/>
    <w:rsid w:val="006768EC"/>
    <w:rsid w:val="00676F0B"/>
    <w:rsid w:val="006778A5"/>
    <w:rsid w:val="00677F71"/>
    <w:rsid w:val="006806B7"/>
    <w:rsid w:val="00680B19"/>
    <w:rsid w:val="00681299"/>
    <w:rsid w:val="006813C4"/>
    <w:rsid w:val="00681C26"/>
    <w:rsid w:val="00682DC2"/>
    <w:rsid w:val="00683172"/>
    <w:rsid w:val="00683BE9"/>
    <w:rsid w:val="006855C8"/>
    <w:rsid w:val="00685626"/>
    <w:rsid w:val="00685894"/>
    <w:rsid w:val="00685A77"/>
    <w:rsid w:val="00685FA5"/>
    <w:rsid w:val="00690211"/>
    <w:rsid w:val="006915D4"/>
    <w:rsid w:val="006925C6"/>
    <w:rsid w:val="00692F20"/>
    <w:rsid w:val="00693559"/>
    <w:rsid w:val="00695125"/>
    <w:rsid w:val="0069518D"/>
    <w:rsid w:val="0069562C"/>
    <w:rsid w:val="0069594C"/>
    <w:rsid w:val="00697309"/>
    <w:rsid w:val="006A073E"/>
    <w:rsid w:val="006A07EF"/>
    <w:rsid w:val="006A1318"/>
    <w:rsid w:val="006A2DB5"/>
    <w:rsid w:val="006A47E7"/>
    <w:rsid w:val="006A50DE"/>
    <w:rsid w:val="006A62F5"/>
    <w:rsid w:val="006A6680"/>
    <w:rsid w:val="006A6BA5"/>
    <w:rsid w:val="006A6E29"/>
    <w:rsid w:val="006B0EFC"/>
    <w:rsid w:val="006B1836"/>
    <w:rsid w:val="006B264C"/>
    <w:rsid w:val="006B277F"/>
    <w:rsid w:val="006B2BC2"/>
    <w:rsid w:val="006B2C89"/>
    <w:rsid w:val="006B3860"/>
    <w:rsid w:val="006B3CFE"/>
    <w:rsid w:val="006B4407"/>
    <w:rsid w:val="006B53E6"/>
    <w:rsid w:val="006B58C4"/>
    <w:rsid w:val="006B5E3D"/>
    <w:rsid w:val="006C019B"/>
    <w:rsid w:val="006C129C"/>
    <w:rsid w:val="006C18D4"/>
    <w:rsid w:val="006C2C28"/>
    <w:rsid w:val="006C2EB9"/>
    <w:rsid w:val="006C300A"/>
    <w:rsid w:val="006C3409"/>
    <w:rsid w:val="006C43EB"/>
    <w:rsid w:val="006C47C3"/>
    <w:rsid w:val="006C491A"/>
    <w:rsid w:val="006C49B4"/>
    <w:rsid w:val="006C4CA8"/>
    <w:rsid w:val="006C520A"/>
    <w:rsid w:val="006C71C1"/>
    <w:rsid w:val="006D0C2A"/>
    <w:rsid w:val="006D0CE1"/>
    <w:rsid w:val="006D0FED"/>
    <w:rsid w:val="006D16D1"/>
    <w:rsid w:val="006D1F5E"/>
    <w:rsid w:val="006D3269"/>
    <w:rsid w:val="006D372F"/>
    <w:rsid w:val="006D4025"/>
    <w:rsid w:val="006D4108"/>
    <w:rsid w:val="006D4652"/>
    <w:rsid w:val="006D4CC8"/>
    <w:rsid w:val="006E0BC1"/>
    <w:rsid w:val="006E1440"/>
    <w:rsid w:val="006E194F"/>
    <w:rsid w:val="006E1D51"/>
    <w:rsid w:val="006E2352"/>
    <w:rsid w:val="006E25B4"/>
    <w:rsid w:val="006E2ADC"/>
    <w:rsid w:val="006E37CA"/>
    <w:rsid w:val="006E38CF"/>
    <w:rsid w:val="006E3C79"/>
    <w:rsid w:val="006E3C7E"/>
    <w:rsid w:val="006E4A3E"/>
    <w:rsid w:val="006E4D42"/>
    <w:rsid w:val="006E5369"/>
    <w:rsid w:val="006E60AF"/>
    <w:rsid w:val="006E63DC"/>
    <w:rsid w:val="006E6767"/>
    <w:rsid w:val="006E7027"/>
    <w:rsid w:val="006E7824"/>
    <w:rsid w:val="006F03B3"/>
    <w:rsid w:val="006F0FB4"/>
    <w:rsid w:val="006F1A09"/>
    <w:rsid w:val="006F3537"/>
    <w:rsid w:val="006F51F5"/>
    <w:rsid w:val="006F5D07"/>
    <w:rsid w:val="006F62BB"/>
    <w:rsid w:val="006F64B7"/>
    <w:rsid w:val="006F6789"/>
    <w:rsid w:val="006F6CFC"/>
    <w:rsid w:val="006F6E18"/>
    <w:rsid w:val="00700DAD"/>
    <w:rsid w:val="00701491"/>
    <w:rsid w:val="007014AF"/>
    <w:rsid w:val="007014D5"/>
    <w:rsid w:val="007017F8"/>
    <w:rsid w:val="00702F0A"/>
    <w:rsid w:val="00703068"/>
    <w:rsid w:val="00703A66"/>
    <w:rsid w:val="00703C8F"/>
    <w:rsid w:val="00703F5B"/>
    <w:rsid w:val="00704939"/>
    <w:rsid w:val="00705CF1"/>
    <w:rsid w:val="00706AD4"/>
    <w:rsid w:val="00706BEA"/>
    <w:rsid w:val="007101CE"/>
    <w:rsid w:val="007102DA"/>
    <w:rsid w:val="00710804"/>
    <w:rsid w:val="00710B66"/>
    <w:rsid w:val="00711944"/>
    <w:rsid w:val="00713344"/>
    <w:rsid w:val="00714229"/>
    <w:rsid w:val="00715B72"/>
    <w:rsid w:val="00716D01"/>
    <w:rsid w:val="00716F93"/>
    <w:rsid w:val="00717200"/>
    <w:rsid w:val="00717C31"/>
    <w:rsid w:val="00717E6C"/>
    <w:rsid w:val="0072397C"/>
    <w:rsid w:val="00724777"/>
    <w:rsid w:val="00725BF2"/>
    <w:rsid w:val="0072795D"/>
    <w:rsid w:val="007307F0"/>
    <w:rsid w:val="00730A6A"/>
    <w:rsid w:val="00730E13"/>
    <w:rsid w:val="0073306B"/>
    <w:rsid w:val="00734537"/>
    <w:rsid w:val="00734618"/>
    <w:rsid w:val="00734C27"/>
    <w:rsid w:val="00734C7D"/>
    <w:rsid w:val="00734D4B"/>
    <w:rsid w:val="007352A3"/>
    <w:rsid w:val="00736605"/>
    <w:rsid w:val="00736756"/>
    <w:rsid w:val="00736AB8"/>
    <w:rsid w:val="00736DCA"/>
    <w:rsid w:val="007371EB"/>
    <w:rsid w:val="00737BCB"/>
    <w:rsid w:val="00741547"/>
    <w:rsid w:val="007415B1"/>
    <w:rsid w:val="0074175C"/>
    <w:rsid w:val="00743452"/>
    <w:rsid w:val="00744AA6"/>
    <w:rsid w:val="00745377"/>
    <w:rsid w:val="007453FC"/>
    <w:rsid w:val="00745481"/>
    <w:rsid w:val="00746020"/>
    <w:rsid w:val="007462BB"/>
    <w:rsid w:val="00750259"/>
    <w:rsid w:val="00751B7D"/>
    <w:rsid w:val="00754555"/>
    <w:rsid w:val="0075511B"/>
    <w:rsid w:val="00755A24"/>
    <w:rsid w:val="00755B98"/>
    <w:rsid w:val="00756DAE"/>
    <w:rsid w:val="00757411"/>
    <w:rsid w:val="007600DE"/>
    <w:rsid w:val="00761756"/>
    <w:rsid w:val="00761B4D"/>
    <w:rsid w:val="00762F33"/>
    <w:rsid w:val="007630E2"/>
    <w:rsid w:val="007638EA"/>
    <w:rsid w:val="00763BFC"/>
    <w:rsid w:val="00764C1A"/>
    <w:rsid w:val="00764F40"/>
    <w:rsid w:val="00767320"/>
    <w:rsid w:val="00767481"/>
    <w:rsid w:val="00767954"/>
    <w:rsid w:val="00770033"/>
    <w:rsid w:val="00770658"/>
    <w:rsid w:val="00772137"/>
    <w:rsid w:val="0077247B"/>
    <w:rsid w:val="007725B7"/>
    <w:rsid w:val="00773496"/>
    <w:rsid w:val="007739A8"/>
    <w:rsid w:val="0077525C"/>
    <w:rsid w:val="00775A81"/>
    <w:rsid w:val="007763E4"/>
    <w:rsid w:val="007763F3"/>
    <w:rsid w:val="00776BB2"/>
    <w:rsid w:val="00776C8E"/>
    <w:rsid w:val="00777B01"/>
    <w:rsid w:val="00777B3E"/>
    <w:rsid w:val="007805AE"/>
    <w:rsid w:val="007806C8"/>
    <w:rsid w:val="0078122E"/>
    <w:rsid w:val="00781ACE"/>
    <w:rsid w:val="00781B2F"/>
    <w:rsid w:val="00781D91"/>
    <w:rsid w:val="007822D3"/>
    <w:rsid w:val="007822FE"/>
    <w:rsid w:val="00782501"/>
    <w:rsid w:val="00783575"/>
    <w:rsid w:val="00784292"/>
    <w:rsid w:val="007851EE"/>
    <w:rsid w:val="0078651F"/>
    <w:rsid w:val="007866C1"/>
    <w:rsid w:val="00786887"/>
    <w:rsid w:val="00786938"/>
    <w:rsid w:val="007909A7"/>
    <w:rsid w:val="00791616"/>
    <w:rsid w:val="00791C15"/>
    <w:rsid w:val="00793664"/>
    <w:rsid w:val="00793B1A"/>
    <w:rsid w:val="007949DB"/>
    <w:rsid w:val="00795AA5"/>
    <w:rsid w:val="00795B56"/>
    <w:rsid w:val="0079667C"/>
    <w:rsid w:val="00796A37"/>
    <w:rsid w:val="00796B9A"/>
    <w:rsid w:val="00797199"/>
    <w:rsid w:val="007979E7"/>
    <w:rsid w:val="007A120D"/>
    <w:rsid w:val="007A1620"/>
    <w:rsid w:val="007A1830"/>
    <w:rsid w:val="007A2CC9"/>
    <w:rsid w:val="007A3009"/>
    <w:rsid w:val="007A3977"/>
    <w:rsid w:val="007A3F91"/>
    <w:rsid w:val="007A53D6"/>
    <w:rsid w:val="007A5C29"/>
    <w:rsid w:val="007A5EAE"/>
    <w:rsid w:val="007A61EB"/>
    <w:rsid w:val="007A7D25"/>
    <w:rsid w:val="007A7F94"/>
    <w:rsid w:val="007B1431"/>
    <w:rsid w:val="007B25C4"/>
    <w:rsid w:val="007B2C8D"/>
    <w:rsid w:val="007B58D8"/>
    <w:rsid w:val="007B5E5D"/>
    <w:rsid w:val="007B7C6C"/>
    <w:rsid w:val="007C024C"/>
    <w:rsid w:val="007C0722"/>
    <w:rsid w:val="007C0906"/>
    <w:rsid w:val="007C0C56"/>
    <w:rsid w:val="007C13AD"/>
    <w:rsid w:val="007C1476"/>
    <w:rsid w:val="007C1640"/>
    <w:rsid w:val="007C1EAB"/>
    <w:rsid w:val="007C1EE1"/>
    <w:rsid w:val="007C3C40"/>
    <w:rsid w:val="007C5018"/>
    <w:rsid w:val="007C66EB"/>
    <w:rsid w:val="007C6AD2"/>
    <w:rsid w:val="007C6FE3"/>
    <w:rsid w:val="007C7033"/>
    <w:rsid w:val="007C7335"/>
    <w:rsid w:val="007C7B20"/>
    <w:rsid w:val="007D1DCC"/>
    <w:rsid w:val="007D3AB5"/>
    <w:rsid w:val="007D3E80"/>
    <w:rsid w:val="007D43E2"/>
    <w:rsid w:val="007D54A1"/>
    <w:rsid w:val="007D5A90"/>
    <w:rsid w:val="007D619F"/>
    <w:rsid w:val="007D6DBA"/>
    <w:rsid w:val="007D7D2D"/>
    <w:rsid w:val="007E29FC"/>
    <w:rsid w:val="007E2A53"/>
    <w:rsid w:val="007E2FD1"/>
    <w:rsid w:val="007E3813"/>
    <w:rsid w:val="007E6017"/>
    <w:rsid w:val="007E6A65"/>
    <w:rsid w:val="007E7CA6"/>
    <w:rsid w:val="007E7E03"/>
    <w:rsid w:val="007F0E55"/>
    <w:rsid w:val="007F13A9"/>
    <w:rsid w:val="007F17A8"/>
    <w:rsid w:val="007F1999"/>
    <w:rsid w:val="007F23ED"/>
    <w:rsid w:val="007F5182"/>
    <w:rsid w:val="007F5ED8"/>
    <w:rsid w:val="007F7232"/>
    <w:rsid w:val="007F7C8C"/>
    <w:rsid w:val="008000C4"/>
    <w:rsid w:val="0080048C"/>
    <w:rsid w:val="0080093D"/>
    <w:rsid w:val="008009B3"/>
    <w:rsid w:val="00801CBC"/>
    <w:rsid w:val="00803C6F"/>
    <w:rsid w:val="0080552F"/>
    <w:rsid w:val="00805A89"/>
    <w:rsid w:val="00806EB6"/>
    <w:rsid w:val="00806FFC"/>
    <w:rsid w:val="00810B03"/>
    <w:rsid w:val="00812C51"/>
    <w:rsid w:val="00814022"/>
    <w:rsid w:val="00814D63"/>
    <w:rsid w:val="00815C03"/>
    <w:rsid w:val="00815EB0"/>
    <w:rsid w:val="00816936"/>
    <w:rsid w:val="00816C52"/>
    <w:rsid w:val="00817479"/>
    <w:rsid w:val="00817A84"/>
    <w:rsid w:val="00820F54"/>
    <w:rsid w:val="00821A8F"/>
    <w:rsid w:val="00822360"/>
    <w:rsid w:val="008227FA"/>
    <w:rsid w:val="00823773"/>
    <w:rsid w:val="00823974"/>
    <w:rsid w:val="008249AA"/>
    <w:rsid w:val="00824A4F"/>
    <w:rsid w:val="00824C13"/>
    <w:rsid w:val="00824C50"/>
    <w:rsid w:val="00825F88"/>
    <w:rsid w:val="008264EB"/>
    <w:rsid w:val="00826616"/>
    <w:rsid w:val="008269BD"/>
    <w:rsid w:val="00826D9B"/>
    <w:rsid w:val="00826F5D"/>
    <w:rsid w:val="00827545"/>
    <w:rsid w:val="00830650"/>
    <w:rsid w:val="00830B92"/>
    <w:rsid w:val="0083207B"/>
    <w:rsid w:val="0083278E"/>
    <w:rsid w:val="0083296C"/>
    <w:rsid w:val="008331E1"/>
    <w:rsid w:val="0083466D"/>
    <w:rsid w:val="00834AEE"/>
    <w:rsid w:val="00834BBB"/>
    <w:rsid w:val="00834F48"/>
    <w:rsid w:val="008357F9"/>
    <w:rsid w:val="008406DD"/>
    <w:rsid w:val="008408EE"/>
    <w:rsid w:val="00840AF8"/>
    <w:rsid w:val="00840B76"/>
    <w:rsid w:val="00840EB3"/>
    <w:rsid w:val="008412AB"/>
    <w:rsid w:val="00842253"/>
    <w:rsid w:val="00842E7D"/>
    <w:rsid w:val="008433A6"/>
    <w:rsid w:val="0084395D"/>
    <w:rsid w:val="00843DD4"/>
    <w:rsid w:val="0084432D"/>
    <w:rsid w:val="008445F2"/>
    <w:rsid w:val="00845759"/>
    <w:rsid w:val="008457E1"/>
    <w:rsid w:val="008458E7"/>
    <w:rsid w:val="00845E46"/>
    <w:rsid w:val="00846153"/>
    <w:rsid w:val="008466E8"/>
    <w:rsid w:val="0084680A"/>
    <w:rsid w:val="00847967"/>
    <w:rsid w:val="0085100B"/>
    <w:rsid w:val="00851AA4"/>
    <w:rsid w:val="008526FE"/>
    <w:rsid w:val="008527AA"/>
    <w:rsid w:val="00853A5A"/>
    <w:rsid w:val="00853CAF"/>
    <w:rsid w:val="00854688"/>
    <w:rsid w:val="00854FC3"/>
    <w:rsid w:val="008551EE"/>
    <w:rsid w:val="008558A7"/>
    <w:rsid w:val="008559AB"/>
    <w:rsid w:val="00855B91"/>
    <w:rsid w:val="00856281"/>
    <w:rsid w:val="00857331"/>
    <w:rsid w:val="00857BF4"/>
    <w:rsid w:val="00857E24"/>
    <w:rsid w:val="00861FC2"/>
    <w:rsid w:val="00862880"/>
    <w:rsid w:val="00863429"/>
    <w:rsid w:val="00863FAF"/>
    <w:rsid w:val="00864867"/>
    <w:rsid w:val="00865485"/>
    <w:rsid w:val="00865867"/>
    <w:rsid w:val="00867709"/>
    <w:rsid w:val="00870592"/>
    <w:rsid w:val="00870A33"/>
    <w:rsid w:val="00870E0F"/>
    <w:rsid w:val="00871E37"/>
    <w:rsid w:val="00872999"/>
    <w:rsid w:val="0087354D"/>
    <w:rsid w:val="008735DB"/>
    <w:rsid w:val="008738BD"/>
    <w:rsid w:val="008739BC"/>
    <w:rsid w:val="00874B69"/>
    <w:rsid w:val="0087582C"/>
    <w:rsid w:val="00876C8A"/>
    <w:rsid w:val="008777C8"/>
    <w:rsid w:val="00877AFB"/>
    <w:rsid w:val="00880AD7"/>
    <w:rsid w:val="00880B3B"/>
    <w:rsid w:val="00880B67"/>
    <w:rsid w:val="00880BCD"/>
    <w:rsid w:val="00881CB4"/>
    <w:rsid w:val="008829FA"/>
    <w:rsid w:val="00884BE8"/>
    <w:rsid w:val="008854FA"/>
    <w:rsid w:val="00886841"/>
    <w:rsid w:val="00887268"/>
    <w:rsid w:val="00887406"/>
    <w:rsid w:val="00887647"/>
    <w:rsid w:val="00887F7F"/>
    <w:rsid w:val="008900A8"/>
    <w:rsid w:val="00890F42"/>
    <w:rsid w:val="008910DC"/>
    <w:rsid w:val="00893478"/>
    <w:rsid w:val="00895F1B"/>
    <w:rsid w:val="008977DE"/>
    <w:rsid w:val="00897AAD"/>
    <w:rsid w:val="00897F90"/>
    <w:rsid w:val="008A0861"/>
    <w:rsid w:val="008A28C6"/>
    <w:rsid w:val="008A2950"/>
    <w:rsid w:val="008A2EF4"/>
    <w:rsid w:val="008A430B"/>
    <w:rsid w:val="008A4537"/>
    <w:rsid w:val="008A49C0"/>
    <w:rsid w:val="008A4CA1"/>
    <w:rsid w:val="008A547E"/>
    <w:rsid w:val="008A562B"/>
    <w:rsid w:val="008A5BDF"/>
    <w:rsid w:val="008A662E"/>
    <w:rsid w:val="008A7175"/>
    <w:rsid w:val="008A7588"/>
    <w:rsid w:val="008A7655"/>
    <w:rsid w:val="008A7956"/>
    <w:rsid w:val="008A7AAB"/>
    <w:rsid w:val="008A7E24"/>
    <w:rsid w:val="008A7F24"/>
    <w:rsid w:val="008B0A0A"/>
    <w:rsid w:val="008B209E"/>
    <w:rsid w:val="008B33AE"/>
    <w:rsid w:val="008B4320"/>
    <w:rsid w:val="008B4980"/>
    <w:rsid w:val="008B4FB3"/>
    <w:rsid w:val="008B50B0"/>
    <w:rsid w:val="008B5739"/>
    <w:rsid w:val="008B5CE9"/>
    <w:rsid w:val="008B5FC1"/>
    <w:rsid w:val="008B6C7C"/>
    <w:rsid w:val="008B6DB6"/>
    <w:rsid w:val="008B7968"/>
    <w:rsid w:val="008C0306"/>
    <w:rsid w:val="008C1235"/>
    <w:rsid w:val="008C1479"/>
    <w:rsid w:val="008C1BB3"/>
    <w:rsid w:val="008C2AAA"/>
    <w:rsid w:val="008C2AEE"/>
    <w:rsid w:val="008C2D00"/>
    <w:rsid w:val="008C310B"/>
    <w:rsid w:val="008C36E4"/>
    <w:rsid w:val="008C39E7"/>
    <w:rsid w:val="008C4229"/>
    <w:rsid w:val="008C46BD"/>
    <w:rsid w:val="008C4DD5"/>
    <w:rsid w:val="008C529C"/>
    <w:rsid w:val="008C5BEE"/>
    <w:rsid w:val="008C63B8"/>
    <w:rsid w:val="008C77AE"/>
    <w:rsid w:val="008D005E"/>
    <w:rsid w:val="008D0066"/>
    <w:rsid w:val="008D138F"/>
    <w:rsid w:val="008D2C51"/>
    <w:rsid w:val="008D2DCA"/>
    <w:rsid w:val="008D39E0"/>
    <w:rsid w:val="008D402A"/>
    <w:rsid w:val="008D416E"/>
    <w:rsid w:val="008D4F99"/>
    <w:rsid w:val="008D571E"/>
    <w:rsid w:val="008D6D8F"/>
    <w:rsid w:val="008D6DBE"/>
    <w:rsid w:val="008D7415"/>
    <w:rsid w:val="008D7F9D"/>
    <w:rsid w:val="008E614A"/>
    <w:rsid w:val="008E6F64"/>
    <w:rsid w:val="008E7303"/>
    <w:rsid w:val="008E7952"/>
    <w:rsid w:val="008F0ADD"/>
    <w:rsid w:val="008F0DE9"/>
    <w:rsid w:val="008F56E9"/>
    <w:rsid w:val="008F6626"/>
    <w:rsid w:val="008F6888"/>
    <w:rsid w:val="008F7965"/>
    <w:rsid w:val="009009D9"/>
    <w:rsid w:val="00900A76"/>
    <w:rsid w:val="00900B2D"/>
    <w:rsid w:val="00900FE5"/>
    <w:rsid w:val="009015BE"/>
    <w:rsid w:val="00902458"/>
    <w:rsid w:val="00905FA5"/>
    <w:rsid w:val="00906420"/>
    <w:rsid w:val="0090791C"/>
    <w:rsid w:val="009105B8"/>
    <w:rsid w:val="0091091E"/>
    <w:rsid w:val="00910A1B"/>
    <w:rsid w:val="00911704"/>
    <w:rsid w:val="00912132"/>
    <w:rsid w:val="00912248"/>
    <w:rsid w:val="00912EB0"/>
    <w:rsid w:val="0091364F"/>
    <w:rsid w:val="0091713B"/>
    <w:rsid w:val="00917B53"/>
    <w:rsid w:val="009209C9"/>
    <w:rsid w:val="00921A46"/>
    <w:rsid w:val="00921C6E"/>
    <w:rsid w:val="00922BE2"/>
    <w:rsid w:val="00922D88"/>
    <w:rsid w:val="00923360"/>
    <w:rsid w:val="009243C3"/>
    <w:rsid w:val="009250C9"/>
    <w:rsid w:val="00926306"/>
    <w:rsid w:val="009269A5"/>
    <w:rsid w:val="00926DC2"/>
    <w:rsid w:val="00931162"/>
    <w:rsid w:val="00932BAE"/>
    <w:rsid w:val="00932DEF"/>
    <w:rsid w:val="00933742"/>
    <w:rsid w:val="00934614"/>
    <w:rsid w:val="0093499D"/>
    <w:rsid w:val="00934C38"/>
    <w:rsid w:val="009360E5"/>
    <w:rsid w:val="0093783F"/>
    <w:rsid w:val="00940CFF"/>
    <w:rsid w:val="00940F48"/>
    <w:rsid w:val="00941139"/>
    <w:rsid w:val="009414B1"/>
    <w:rsid w:val="0094327D"/>
    <w:rsid w:val="00943F84"/>
    <w:rsid w:val="009448BC"/>
    <w:rsid w:val="00944B02"/>
    <w:rsid w:val="00945140"/>
    <w:rsid w:val="00945A54"/>
    <w:rsid w:val="00945CD7"/>
    <w:rsid w:val="009474CA"/>
    <w:rsid w:val="00950084"/>
    <w:rsid w:val="009515C4"/>
    <w:rsid w:val="00951AD7"/>
    <w:rsid w:val="00952375"/>
    <w:rsid w:val="00952802"/>
    <w:rsid w:val="00952AA6"/>
    <w:rsid w:val="00953E1B"/>
    <w:rsid w:val="00953F80"/>
    <w:rsid w:val="009542CC"/>
    <w:rsid w:val="0095510B"/>
    <w:rsid w:val="009560E6"/>
    <w:rsid w:val="009563BE"/>
    <w:rsid w:val="009565F8"/>
    <w:rsid w:val="0095678E"/>
    <w:rsid w:val="00960058"/>
    <w:rsid w:val="0096025E"/>
    <w:rsid w:val="0096097A"/>
    <w:rsid w:val="00960F12"/>
    <w:rsid w:val="009613BF"/>
    <w:rsid w:val="00962593"/>
    <w:rsid w:val="0096283C"/>
    <w:rsid w:val="00963388"/>
    <w:rsid w:val="0096350D"/>
    <w:rsid w:val="009642B2"/>
    <w:rsid w:val="0096445C"/>
    <w:rsid w:val="00965BD0"/>
    <w:rsid w:val="00966AA7"/>
    <w:rsid w:val="00966F60"/>
    <w:rsid w:val="0097005B"/>
    <w:rsid w:val="00971BE0"/>
    <w:rsid w:val="00971C92"/>
    <w:rsid w:val="009724A5"/>
    <w:rsid w:val="00972D94"/>
    <w:rsid w:val="00973EE2"/>
    <w:rsid w:val="00975054"/>
    <w:rsid w:val="00975139"/>
    <w:rsid w:val="00975651"/>
    <w:rsid w:val="00975657"/>
    <w:rsid w:val="0097629B"/>
    <w:rsid w:val="009764B7"/>
    <w:rsid w:val="0097758B"/>
    <w:rsid w:val="00977686"/>
    <w:rsid w:val="00977882"/>
    <w:rsid w:val="00977F08"/>
    <w:rsid w:val="00980A6F"/>
    <w:rsid w:val="00985BE4"/>
    <w:rsid w:val="0099068F"/>
    <w:rsid w:val="00991CC1"/>
    <w:rsid w:val="0099345F"/>
    <w:rsid w:val="00994607"/>
    <w:rsid w:val="009947DD"/>
    <w:rsid w:val="00994DE9"/>
    <w:rsid w:val="00995383"/>
    <w:rsid w:val="009959C8"/>
    <w:rsid w:val="00995DC4"/>
    <w:rsid w:val="009964C4"/>
    <w:rsid w:val="00997AFD"/>
    <w:rsid w:val="009A0EBE"/>
    <w:rsid w:val="009A1B71"/>
    <w:rsid w:val="009A2539"/>
    <w:rsid w:val="009A27D4"/>
    <w:rsid w:val="009A28F1"/>
    <w:rsid w:val="009A2F78"/>
    <w:rsid w:val="009A4184"/>
    <w:rsid w:val="009A56AE"/>
    <w:rsid w:val="009A59A5"/>
    <w:rsid w:val="009A7040"/>
    <w:rsid w:val="009A72A0"/>
    <w:rsid w:val="009A7386"/>
    <w:rsid w:val="009A79B1"/>
    <w:rsid w:val="009B033D"/>
    <w:rsid w:val="009B08AC"/>
    <w:rsid w:val="009B0E18"/>
    <w:rsid w:val="009B1089"/>
    <w:rsid w:val="009B1355"/>
    <w:rsid w:val="009B1DC4"/>
    <w:rsid w:val="009B2086"/>
    <w:rsid w:val="009B270D"/>
    <w:rsid w:val="009B33ED"/>
    <w:rsid w:val="009B3676"/>
    <w:rsid w:val="009B4916"/>
    <w:rsid w:val="009B5646"/>
    <w:rsid w:val="009B567C"/>
    <w:rsid w:val="009B5AE1"/>
    <w:rsid w:val="009B5BFE"/>
    <w:rsid w:val="009B618C"/>
    <w:rsid w:val="009B669B"/>
    <w:rsid w:val="009B766A"/>
    <w:rsid w:val="009C09CB"/>
    <w:rsid w:val="009C3413"/>
    <w:rsid w:val="009C357B"/>
    <w:rsid w:val="009C36CD"/>
    <w:rsid w:val="009C5DA4"/>
    <w:rsid w:val="009C66FC"/>
    <w:rsid w:val="009C74F9"/>
    <w:rsid w:val="009C7599"/>
    <w:rsid w:val="009C7609"/>
    <w:rsid w:val="009C7778"/>
    <w:rsid w:val="009C7A69"/>
    <w:rsid w:val="009D02D9"/>
    <w:rsid w:val="009D0C3F"/>
    <w:rsid w:val="009D1F46"/>
    <w:rsid w:val="009D214A"/>
    <w:rsid w:val="009D3371"/>
    <w:rsid w:val="009D38E4"/>
    <w:rsid w:val="009D4CCE"/>
    <w:rsid w:val="009D4F19"/>
    <w:rsid w:val="009D53A8"/>
    <w:rsid w:val="009D6EFE"/>
    <w:rsid w:val="009D7429"/>
    <w:rsid w:val="009D7654"/>
    <w:rsid w:val="009D7ADC"/>
    <w:rsid w:val="009D7D02"/>
    <w:rsid w:val="009D7F90"/>
    <w:rsid w:val="009E0959"/>
    <w:rsid w:val="009E11FC"/>
    <w:rsid w:val="009E139C"/>
    <w:rsid w:val="009E1B58"/>
    <w:rsid w:val="009E210F"/>
    <w:rsid w:val="009E3BEC"/>
    <w:rsid w:val="009E3F4A"/>
    <w:rsid w:val="009E416A"/>
    <w:rsid w:val="009E4250"/>
    <w:rsid w:val="009E4BC7"/>
    <w:rsid w:val="009E4DD8"/>
    <w:rsid w:val="009E5514"/>
    <w:rsid w:val="009E6532"/>
    <w:rsid w:val="009F0E9E"/>
    <w:rsid w:val="009F126A"/>
    <w:rsid w:val="009F2AE4"/>
    <w:rsid w:val="009F38AE"/>
    <w:rsid w:val="009F53A4"/>
    <w:rsid w:val="009F6288"/>
    <w:rsid w:val="00A01226"/>
    <w:rsid w:val="00A01517"/>
    <w:rsid w:val="00A01B10"/>
    <w:rsid w:val="00A01C0B"/>
    <w:rsid w:val="00A024DE"/>
    <w:rsid w:val="00A026C5"/>
    <w:rsid w:val="00A02A3F"/>
    <w:rsid w:val="00A02F72"/>
    <w:rsid w:val="00A035D2"/>
    <w:rsid w:val="00A03F95"/>
    <w:rsid w:val="00A042C9"/>
    <w:rsid w:val="00A04D81"/>
    <w:rsid w:val="00A05346"/>
    <w:rsid w:val="00A053C8"/>
    <w:rsid w:val="00A0656C"/>
    <w:rsid w:val="00A06704"/>
    <w:rsid w:val="00A06720"/>
    <w:rsid w:val="00A07CE2"/>
    <w:rsid w:val="00A105A0"/>
    <w:rsid w:val="00A106A0"/>
    <w:rsid w:val="00A10CA6"/>
    <w:rsid w:val="00A10D68"/>
    <w:rsid w:val="00A1370F"/>
    <w:rsid w:val="00A13A84"/>
    <w:rsid w:val="00A13B24"/>
    <w:rsid w:val="00A13F86"/>
    <w:rsid w:val="00A14323"/>
    <w:rsid w:val="00A146CC"/>
    <w:rsid w:val="00A1491C"/>
    <w:rsid w:val="00A14A7F"/>
    <w:rsid w:val="00A158C5"/>
    <w:rsid w:val="00A15988"/>
    <w:rsid w:val="00A166E6"/>
    <w:rsid w:val="00A20AA0"/>
    <w:rsid w:val="00A22C4F"/>
    <w:rsid w:val="00A23B53"/>
    <w:rsid w:val="00A24514"/>
    <w:rsid w:val="00A2495D"/>
    <w:rsid w:val="00A24C25"/>
    <w:rsid w:val="00A278B9"/>
    <w:rsid w:val="00A27979"/>
    <w:rsid w:val="00A3140A"/>
    <w:rsid w:val="00A328FC"/>
    <w:rsid w:val="00A3339C"/>
    <w:rsid w:val="00A3463C"/>
    <w:rsid w:val="00A34B06"/>
    <w:rsid w:val="00A35015"/>
    <w:rsid w:val="00A354C5"/>
    <w:rsid w:val="00A355FD"/>
    <w:rsid w:val="00A36985"/>
    <w:rsid w:val="00A36CFA"/>
    <w:rsid w:val="00A36D49"/>
    <w:rsid w:val="00A371B0"/>
    <w:rsid w:val="00A37C40"/>
    <w:rsid w:val="00A423B4"/>
    <w:rsid w:val="00A42B3A"/>
    <w:rsid w:val="00A45AB8"/>
    <w:rsid w:val="00A45C51"/>
    <w:rsid w:val="00A460CD"/>
    <w:rsid w:val="00A4649C"/>
    <w:rsid w:val="00A464A9"/>
    <w:rsid w:val="00A4664C"/>
    <w:rsid w:val="00A4760F"/>
    <w:rsid w:val="00A50F2D"/>
    <w:rsid w:val="00A51722"/>
    <w:rsid w:val="00A53E53"/>
    <w:rsid w:val="00A5552E"/>
    <w:rsid w:val="00A564CC"/>
    <w:rsid w:val="00A564D9"/>
    <w:rsid w:val="00A56A7E"/>
    <w:rsid w:val="00A56C34"/>
    <w:rsid w:val="00A57165"/>
    <w:rsid w:val="00A57515"/>
    <w:rsid w:val="00A61849"/>
    <w:rsid w:val="00A61E71"/>
    <w:rsid w:val="00A626A7"/>
    <w:rsid w:val="00A62CAD"/>
    <w:rsid w:val="00A63629"/>
    <w:rsid w:val="00A639D8"/>
    <w:rsid w:val="00A658F4"/>
    <w:rsid w:val="00A65BA6"/>
    <w:rsid w:val="00A65FF1"/>
    <w:rsid w:val="00A7090C"/>
    <w:rsid w:val="00A71756"/>
    <w:rsid w:val="00A72324"/>
    <w:rsid w:val="00A7248C"/>
    <w:rsid w:val="00A73791"/>
    <w:rsid w:val="00A73A0A"/>
    <w:rsid w:val="00A76E8B"/>
    <w:rsid w:val="00A775E7"/>
    <w:rsid w:val="00A777E8"/>
    <w:rsid w:val="00A8026F"/>
    <w:rsid w:val="00A80271"/>
    <w:rsid w:val="00A80E5D"/>
    <w:rsid w:val="00A814A6"/>
    <w:rsid w:val="00A818CE"/>
    <w:rsid w:val="00A81985"/>
    <w:rsid w:val="00A82062"/>
    <w:rsid w:val="00A82427"/>
    <w:rsid w:val="00A83902"/>
    <w:rsid w:val="00A843CC"/>
    <w:rsid w:val="00A844AE"/>
    <w:rsid w:val="00A8461E"/>
    <w:rsid w:val="00A84A47"/>
    <w:rsid w:val="00A851C0"/>
    <w:rsid w:val="00A85599"/>
    <w:rsid w:val="00A867E4"/>
    <w:rsid w:val="00A86CC9"/>
    <w:rsid w:val="00A86DCC"/>
    <w:rsid w:val="00A87EDA"/>
    <w:rsid w:val="00A87FA9"/>
    <w:rsid w:val="00A91442"/>
    <w:rsid w:val="00A91A07"/>
    <w:rsid w:val="00A92B5A"/>
    <w:rsid w:val="00A92CFF"/>
    <w:rsid w:val="00A933D9"/>
    <w:rsid w:val="00A96BD1"/>
    <w:rsid w:val="00A96CA5"/>
    <w:rsid w:val="00A96E03"/>
    <w:rsid w:val="00A97259"/>
    <w:rsid w:val="00A97650"/>
    <w:rsid w:val="00AA0F03"/>
    <w:rsid w:val="00AA1928"/>
    <w:rsid w:val="00AA1E4A"/>
    <w:rsid w:val="00AA4156"/>
    <w:rsid w:val="00AA775A"/>
    <w:rsid w:val="00AA7FA1"/>
    <w:rsid w:val="00AB0BC9"/>
    <w:rsid w:val="00AB0D7D"/>
    <w:rsid w:val="00AB1881"/>
    <w:rsid w:val="00AB3482"/>
    <w:rsid w:val="00AB3D67"/>
    <w:rsid w:val="00AB3E9C"/>
    <w:rsid w:val="00AB424C"/>
    <w:rsid w:val="00AB44C2"/>
    <w:rsid w:val="00AB489A"/>
    <w:rsid w:val="00AB4FBA"/>
    <w:rsid w:val="00AB5975"/>
    <w:rsid w:val="00AB5F1A"/>
    <w:rsid w:val="00AB65BA"/>
    <w:rsid w:val="00AB67CB"/>
    <w:rsid w:val="00AC0F53"/>
    <w:rsid w:val="00AC1969"/>
    <w:rsid w:val="00AC19C4"/>
    <w:rsid w:val="00AC22B2"/>
    <w:rsid w:val="00AC2431"/>
    <w:rsid w:val="00AC2922"/>
    <w:rsid w:val="00AC2BA2"/>
    <w:rsid w:val="00AC2E30"/>
    <w:rsid w:val="00AC2E79"/>
    <w:rsid w:val="00AC2E7B"/>
    <w:rsid w:val="00AC3416"/>
    <w:rsid w:val="00AC344E"/>
    <w:rsid w:val="00AC411C"/>
    <w:rsid w:val="00AC5767"/>
    <w:rsid w:val="00AC5803"/>
    <w:rsid w:val="00AC5BF2"/>
    <w:rsid w:val="00AC5DDE"/>
    <w:rsid w:val="00AC6164"/>
    <w:rsid w:val="00AC74E6"/>
    <w:rsid w:val="00AD0700"/>
    <w:rsid w:val="00AD0B95"/>
    <w:rsid w:val="00AD1293"/>
    <w:rsid w:val="00AD1859"/>
    <w:rsid w:val="00AD3307"/>
    <w:rsid w:val="00AD3A21"/>
    <w:rsid w:val="00AD3A82"/>
    <w:rsid w:val="00AD3CFC"/>
    <w:rsid w:val="00AD3EB9"/>
    <w:rsid w:val="00AD436F"/>
    <w:rsid w:val="00AD49E8"/>
    <w:rsid w:val="00AD51C7"/>
    <w:rsid w:val="00AD551A"/>
    <w:rsid w:val="00AD5F5C"/>
    <w:rsid w:val="00AD680A"/>
    <w:rsid w:val="00AE04D6"/>
    <w:rsid w:val="00AE0AA7"/>
    <w:rsid w:val="00AE123D"/>
    <w:rsid w:val="00AE3694"/>
    <w:rsid w:val="00AE36A4"/>
    <w:rsid w:val="00AE39EB"/>
    <w:rsid w:val="00AE3ED1"/>
    <w:rsid w:val="00AE4381"/>
    <w:rsid w:val="00AE43ED"/>
    <w:rsid w:val="00AE6721"/>
    <w:rsid w:val="00AE6914"/>
    <w:rsid w:val="00AE70EF"/>
    <w:rsid w:val="00AE7BB7"/>
    <w:rsid w:val="00AE7F03"/>
    <w:rsid w:val="00AE7FED"/>
    <w:rsid w:val="00AF1C58"/>
    <w:rsid w:val="00AF2478"/>
    <w:rsid w:val="00AF2F4C"/>
    <w:rsid w:val="00AF31F5"/>
    <w:rsid w:val="00AF3A4B"/>
    <w:rsid w:val="00AF4E1D"/>
    <w:rsid w:val="00AF5111"/>
    <w:rsid w:val="00AF5B35"/>
    <w:rsid w:val="00AF5E85"/>
    <w:rsid w:val="00AF67AF"/>
    <w:rsid w:val="00AF67D1"/>
    <w:rsid w:val="00AF6CFE"/>
    <w:rsid w:val="00AF77A8"/>
    <w:rsid w:val="00B0068C"/>
    <w:rsid w:val="00B01C08"/>
    <w:rsid w:val="00B02251"/>
    <w:rsid w:val="00B039B2"/>
    <w:rsid w:val="00B0475B"/>
    <w:rsid w:val="00B04E41"/>
    <w:rsid w:val="00B0578B"/>
    <w:rsid w:val="00B058DE"/>
    <w:rsid w:val="00B061DC"/>
    <w:rsid w:val="00B0699B"/>
    <w:rsid w:val="00B06A73"/>
    <w:rsid w:val="00B06BB6"/>
    <w:rsid w:val="00B06C0F"/>
    <w:rsid w:val="00B06FA9"/>
    <w:rsid w:val="00B0755E"/>
    <w:rsid w:val="00B119D4"/>
    <w:rsid w:val="00B120C3"/>
    <w:rsid w:val="00B120E6"/>
    <w:rsid w:val="00B126A1"/>
    <w:rsid w:val="00B1299B"/>
    <w:rsid w:val="00B135BE"/>
    <w:rsid w:val="00B142F5"/>
    <w:rsid w:val="00B153AA"/>
    <w:rsid w:val="00B16E6B"/>
    <w:rsid w:val="00B177D9"/>
    <w:rsid w:val="00B2042D"/>
    <w:rsid w:val="00B2057D"/>
    <w:rsid w:val="00B20A51"/>
    <w:rsid w:val="00B20C38"/>
    <w:rsid w:val="00B211B0"/>
    <w:rsid w:val="00B2182C"/>
    <w:rsid w:val="00B21EE1"/>
    <w:rsid w:val="00B230CB"/>
    <w:rsid w:val="00B238C3"/>
    <w:rsid w:val="00B241B6"/>
    <w:rsid w:val="00B24AEB"/>
    <w:rsid w:val="00B26681"/>
    <w:rsid w:val="00B26E2C"/>
    <w:rsid w:val="00B270C1"/>
    <w:rsid w:val="00B2761A"/>
    <w:rsid w:val="00B27E74"/>
    <w:rsid w:val="00B30B46"/>
    <w:rsid w:val="00B30DCD"/>
    <w:rsid w:val="00B3231D"/>
    <w:rsid w:val="00B32612"/>
    <w:rsid w:val="00B33A26"/>
    <w:rsid w:val="00B33AEB"/>
    <w:rsid w:val="00B34FD5"/>
    <w:rsid w:val="00B3566D"/>
    <w:rsid w:val="00B3582D"/>
    <w:rsid w:val="00B3588E"/>
    <w:rsid w:val="00B35B42"/>
    <w:rsid w:val="00B366BC"/>
    <w:rsid w:val="00B36B21"/>
    <w:rsid w:val="00B36F99"/>
    <w:rsid w:val="00B37022"/>
    <w:rsid w:val="00B37722"/>
    <w:rsid w:val="00B400D0"/>
    <w:rsid w:val="00B41922"/>
    <w:rsid w:val="00B423E4"/>
    <w:rsid w:val="00B42894"/>
    <w:rsid w:val="00B429D8"/>
    <w:rsid w:val="00B42CE0"/>
    <w:rsid w:val="00B43B67"/>
    <w:rsid w:val="00B4486A"/>
    <w:rsid w:val="00B45B03"/>
    <w:rsid w:val="00B46B16"/>
    <w:rsid w:val="00B506EE"/>
    <w:rsid w:val="00B51305"/>
    <w:rsid w:val="00B51CA0"/>
    <w:rsid w:val="00B52114"/>
    <w:rsid w:val="00B52228"/>
    <w:rsid w:val="00B52334"/>
    <w:rsid w:val="00B523AC"/>
    <w:rsid w:val="00B5255D"/>
    <w:rsid w:val="00B527C6"/>
    <w:rsid w:val="00B52CC4"/>
    <w:rsid w:val="00B52FFB"/>
    <w:rsid w:val="00B53D46"/>
    <w:rsid w:val="00B5481F"/>
    <w:rsid w:val="00B5483B"/>
    <w:rsid w:val="00B555D0"/>
    <w:rsid w:val="00B56017"/>
    <w:rsid w:val="00B5681E"/>
    <w:rsid w:val="00B56CD6"/>
    <w:rsid w:val="00B56FCF"/>
    <w:rsid w:val="00B57292"/>
    <w:rsid w:val="00B60114"/>
    <w:rsid w:val="00B6157A"/>
    <w:rsid w:val="00B61B13"/>
    <w:rsid w:val="00B621DD"/>
    <w:rsid w:val="00B62941"/>
    <w:rsid w:val="00B62EFF"/>
    <w:rsid w:val="00B6367A"/>
    <w:rsid w:val="00B63840"/>
    <w:rsid w:val="00B63A84"/>
    <w:rsid w:val="00B6441D"/>
    <w:rsid w:val="00B64924"/>
    <w:rsid w:val="00B67B82"/>
    <w:rsid w:val="00B67CE3"/>
    <w:rsid w:val="00B71F3A"/>
    <w:rsid w:val="00B729AE"/>
    <w:rsid w:val="00B72DD6"/>
    <w:rsid w:val="00B73704"/>
    <w:rsid w:val="00B74DC9"/>
    <w:rsid w:val="00B74DE5"/>
    <w:rsid w:val="00B7577A"/>
    <w:rsid w:val="00B765C1"/>
    <w:rsid w:val="00B76BBA"/>
    <w:rsid w:val="00B76C23"/>
    <w:rsid w:val="00B76E3F"/>
    <w:rsid w:val="00B76FA1"/>
    <w:rsid w:val="00B7721C"/>
    <w:rsid w:val="00B772FD"/>
    <w:rsid w:val="00B77475"/>
    <w:rsid w:val="00B77B58"/>
    <w:rsid w:val="00B8038C"/>
    <w:rsid w:val="00B81777"/>
    <w:rsid w:val="00B817D9"/>
    <w:rsid w:val="00B828CF"/>
    <w:rsid w:val="00B836FE"/>
    <w:rsid w:val="00B84843"/>
    <w:rsid w:val="00B8486A"/>
    <w:rsid w:val="00B8523B"/>
    <w:rsid w:val="00B853E8"/>
    <w:rsid w:val="00B8589A"/>
    <w:rsid w:val="00B85F47"/>
    <w:rsid w:val="00B8761C"/>
    <w:rsid w:val="00B906C5"/>
    <w:rsid w:val="00B91174"/>
    <w:rsid w:val="00B91504"/>
    <w:rsid w:val="00B91E3A"/>
    <w:rsid w:val="00B922B0"/>
    <w:rsid w:val="00B92307"/>
    <w:rsid w:val="00B9293A"/>
    <w:rsid w:val="00B93176"/>
    <w:rsid w:val="00B93385"/>
    <w:rsid w:val="00B9396E"/>
    <w:rsid w:val="00B93C3B"/>
    <w:rsid w:val="00B94408"/>
    <w:rsid w:val="00B94480"/>
    <w:rsid w:val="00B94A9C"/>
    <w:rsid w:val="00B969BC"/>
    <w:rsid w:val="00B96B70"/>
    <w:rsid w:val="00BA05F8"/>
    <w:rsid w:val="00BA07D8"/>
    <w:rsid w:val="00BA07E1"/>
    <w:rsid w:val="00BA2836"/>
    <w:rsid w:val="00BA2EDB"/>
    <w:rsid w:val="00BA3852"/>
    <w:rsid w:val="00BA4FF7"/>
    <w:rsid w:val="00BA5332"/>
    <w:rsid w:val="00BA5732"/>
    <w:rsid w:val="00BA5BA0"/>
    <w:rsid w:val="00BA5E58"/>
    <w:rsid w:val="00BA66DD"/>
    <w:rsid w:val="00BA6EC8"/>
    <w:rsid w:val="00BA7C27"/>
    <w:rsid w:val="00BA7CD7"/>
    <w:rsid w:val="00BB04E8"/>
    <w:rsid w:val="00BB115F"/>
    <w:rsid w:val="00BB38E9"/>
    <w:rsid w:val="00BB462F"/>
    <w:rsid w:val="00BB4CFD"/>
    <w:rsid w:val="00BB53A5"/>
    <w:rsid w:val="00BB58A4"/>
    <w:rsid w:val="00BB67CF"/>
    <w:rsid w:val="00BB71FF"/>
    <w:rsid w:val="00BB735A"/>
    <w:rsid w:val="00BB76AD"/>
    <w:rsid w:val="00BC00C1"/>
    <w:rsid w:val="00BC072C"/>
    <w:rsid w:val="00BC16FA"/>
    <w:rsid w:val="00BC26E8"/>
    <w:rsid w:val="00BC3569"/>
    <w:rsid w:val="00BC3EB7"/>
    <w:rsid w:val="00BC3EFB"/>
    <w:rsid w:val="00BC45C5"/>
    <w:rsid w:val="00BC480E"/>
    <w:rsid w:val="00BC4F8B"/>
    <w:rsid w:val="00BC74F3"/>
    <w:rsid w:val="00BC79E0"/>
    <w:rsid w:val="00BD0CB4"/>
    <w:rsid w:val="00BD0F41"/>
    <w:rsid w:val="00BD1C26"/>
    <w:rsid w:val="00BD1C8B"/>
    <w:rsid w:val="00BD22EC"/>
    <w:rsid w:val="00BD399B"/>
    <w:rsid w:val="00BD3E13"/>
    <w:rsid w:val="00BD3F1B"/>
    <w:rsid w:val="00BD4E4C"/>
    <w:rsid w:val="00BD51F1"/>
    <w:rsid w:val="00BD6B65"/>
    <w:rsid w:val="00BD70AE"/>
    <w:rsid w:val="00BE1F41"/>
    <w:rsid w:val="00BE2615"/>
    <w:rsid w:val="00BE3135"/>
    <w:rsid w:val="00BE3C74"/>
    <w:rsid w:val="00BE4A87"/>
    <w:rsid w:val="00BE5543"/>
    <w:rsid w:val="00BE557A"/>
    <w:rsid w:val="00BE5FF9"/>
    <w:rsid w:val="00BE695E"/>
    <w:rsid w:val="00BE6D60"/>
    <w:rsid w:val="00BE6F8E"/>
    <w:rsid w:val="00BF05F5"/>
    <w:rsid w:val="00BF1A11"/>
    <w:rsid w:val="00BF1AA3"/>
    <w:rsid w:val="00BF21FE"/>
    <w:rsid w:val="00BF2205"/>
    <w:rsid w:val="00BF221C"/>
    <w:rsid w:val="00BF2A95"/>
    <w:rsid w:val="00BF38BB"/>
    <w:rsid w:val="00BF3920"/>
    <w:rsid w:val="00BF4EE5"/>
    <w:rsid w:val="00BF5339"/>
    <w:rsid w:val="00BF7A42"/>
    <w:rsid w:val="00C012CB"/>
    <w:rsid w:val="00C01A32"/>
    <w:rsid w:val="00C01A53"/>
    <w:rsid w:val="00C027B7"/>
    <w:rsid w:val="00C02EB9"/>
    <w:rsid w:val="00C0392C"/>
    <w:rsid w:val="00C03FC4"/>
    <w:rsid w:val="00C0428F"/>
    <w:rsid w:val="00C0458F"/>
    <w:rsid w:val="00C046E7"/>
    <w:rsid w:val="00C04A0D"/>
    <w:rsid w:val="00C10F5A"/>
    <w:rsid w:val="00C1109B"/>
    <w:rsid w:val="00C11183"/>
    <w:rsid w:val="00C119B0"/>
    <w:rsid w:val="00C11B4B"/>
    <w:rsid w:val="00C1304F"/>
    <w:rsid w:val="00C1321E"/>
    <w:rsid w:val="00C13443"/>
    <w:rsid w:val="00C135BF"/>
    <w:rsid w:val="00C13B85"/>
    <w:rsid w:val="00C13DFC"/>
    <w:rsid w:val="00C14362"/>
    <w:rsid w:val="00C1481C"/>
    <w:rsid w:val="00C15DE0"/>
    <w:rsid w:val="00C168E6"/>
    <w:rsid w:val="00C1747E"/>
    <w:rsid w:val="00C1779C"/>
    <w:rsid w:val="00C21130"/>
    <w:rsid w:val="00C21785"/>
    <w:rsid w:val="00C23FEA"/>
    <w:rsid w:val="00C24073"/>
    <w:rsid w:val="00C248E7"/>
    <w:rsid w:val="00C257C8"/>
    <w:rsid w:val="00C25B75"/>
    <w:rsid w:val="00C26761"/>
    <w:rsid w:val="00C26A13"/>
    <w:rsid w:val="00C27FE1"/>
    <w:rsid w:val="00C310B8"/>
    <w:rsid w:val="00C31C88"/>
    <w:rsid w:val="00C3215A"/>
    <w:rsid w:val="00C32650"/>
    <w:rsid w:val="00C338CE"/>
    <w:rsid w:val="00C34DB6"/>
    <w:rsid w:val="00C354DD"/>
    <w:rsid w:val="00C35620"/>
    <w:rsid w:val="00C366EF"/>
    <w:rsid w:val="00C37014"/>
    <w:rsid w:val="00C371FB"/>
    <w:rsid w:val="00C37FA1"/>
    <w:rsid w:val="00C40A0B"/>
    <w:rsid w:val="00C4145A"/>
    <w:rsid w:val="00C42142"/>
    <w:rsid w:val="00C43F10"/>
    <w:rsid w:val="00C44A80"/>
    <w:rsid w:val="00C45AC8"/>
    <w:rsid w:val="00C460AC"/>
    <w:rsid w:val="00C47920"/>
    <w:rsid w:val="00C47FC6"/>
    <w:rsid w:val="00C5058E"/>
    <w:rsid w:val="00C50660"/>
    <w:rsid w:val="00C50FBF"/>
    <w:rsid w:val="00C52DD5"/>
    <w:rsid w:val="00C53C07"/>
    <w:rsid w:val="00C563C8"/>
    <w:rsid w:val="00C568BF"/>
    <w:rsid w:val="00C575CE"/>
    <w:rsid w:val="00C57F81"/>
    <w:rsid w:val="00C60678"/>
    <w:rsid w:val="00C60B0F"/>
    <w:rsid w:val="00C60BA8"/>
    <w:rsid w:val="00C60F21"/>
    <w:rsid w:val="00C6178D"/>
    <w:rsid w:val="00C618A6"/>
    <w:rsid w:val="00C61CA7"/>
    <w:rsid w:val="00C630ED"/>
    <w:rsid w:val="00C6510A"/>
    <w:rsid w:val="00C65475"/>
    <w:rsid w:val="00C65796"/>
    <w:rsid w:val="00C667A7"/>
    <w:rsid w:val="00C705A5"/>
    <w:rsid w:val="00C70E00"/>
    <w:rsid w:val="00C71433"/>
    <w:rsid w:val="00C7319F"/>
    <w:rsid w:val="00C7421C"/>
    <w:rsid w:val="00C74D27"/>
    <w:rsid w:val="00C76404"/>
    <w:rsid w:val="00C77E0B"/>
    <w:rsid w:val="00C80040"/>
    <w:rsid w:val="00C80200"/>
    <w:rsid w:val="00C80CE3"/>
    <w:rsid w:val="00C8127B"/>
    <w:rsid w:val="00C82FE6"/>
    <w:rsid w:val="00C83374"/>
    <w:rsid w:val="00C83874"/>
    <w:rsid w:val="00C84216"/>
    <w:rsid w:val="00C84BBA"/>
    <w:rsid w:val="00C853B1"/>
    <w:rsid w:val="00C85892"/>
    <w:rsid w:val="00C866AF"/>
    <w:rsid w:val="00C869A9"/>
    <w:rsid w:val="00C86AB7"/>
    <w:rsid w:val="00C86DC7"/>
    <w:rsid w:val="00C87016"/>
    <w:rsid w:val="00C87279"/>
    <w:rsid w:val="00C87C30"/>
    <w:rsid w:val="00C9009B"/>
    <w:rsid w:val="00C904C1"/>
    <w:rsid w:val="00C914FE"/>
    <w:rsid w:val="00C9177A"/>
    <w:rsid w:val="00C917EB"/>
    <w:rsid w:val="00C91D35"/>
    <w:rsid w:val="00C92385"/>
    <w:rsid w:val="00C9242D"/>
    <w:rsid w:val="00C93EFC"/>
    <w:rsid w:val="00C941C1"/>
    <w:rsid w:val="00C9603C"/>
    <w:rsid w:val="00C96902"/>
    <w:rsid w:val="00C96A20"/>
    <w:rsid w:val="00C96D71"/>
    <w:rsid w:val="00C97077"/>
    <w:rsid w:val="00C97701"/>
    <w:rsid w:val="00CA01BC"/>
    <w:rsid w:val="00CA1592"/>
    <w:rsid w:val="00CA180C"/>
    <w:rsid w:val="00CA2708"/>
    <w:rsid w:val="00CA28E4"/>
    <w:rsid w:val="00CA3013"/>
    <w:rsid w:val="00CA3470"/>
    <w:rsid w:val="00CA3EBB"/>
    <w:rsid w:val="00CA485B"/>
    <w:rsid w:val="00CA49C3"/>
    <w:rsid w:val="00CA5CB6"/>
    <w:rsid w:val="00CA6358"/>
    <w:rsid w:val="00CA68F5"/>
    <w:rsid w:val="00CA6E8E"/>
    <w:rsid w:val="00CB07B1"/>
    <w:rsid w:val="00CB07B7"/>
    <w:rsid w:val="00CB12E8"/>
    <w:rsid w:val="00CB2111"/>
    <w:rsid w:val="00CB25BD"/>
    <w:rsid w:val="00CB27BD"/>
    <w:rsid w:val="00CB2B81"/>
    <w:rsid w:val="00CB2D5C"/>
    <w:rsid w:val="00CB3DDB"/>
    <w:rsid w:val="00CB419D"/>
    <w:rsid w:val="00CB5ACB"/>
    <w:rsid w:val="00CB5DAA"/>
    <w:rsid w:val="00CB5F55"/>
    <w:rsid w:val="00CB6018"/>
    <w:rsid w:val="00CB61FE"/>
    <w:rsid w:val="00CB6B94"/>
    <w:rsid w:val="00CC01F9"/>
    <w:rsid w:val="00CC02E7"/>
    <w:rsid w:val="00CC1DEF"/>
    <w:rsid w:val="00CC1E85"/>
    <w:rsid w:val="00CC201F"/>
    <w:rsid w:val="00CC2174"/>
    <w:rsid w:val="00CC2DAE"/>
    <w:rsid w:val="00CC4294"/>
    <w:rsid w:val="00CC46B0"/>
    <w:rsid w:val="00CC4B0B"/>
    <w:rsid w:val="00CC4BBD"/>
    <w:rsid w:val="00CC5538"/>
    <w:rsid w:val="00CC5797"/>
    <w:rsid w:val="00CC6526"/>
    <w:rsid w:val="00CD0CEA"/>
    <w:rsid w:val="00CD1636"/>
    <w:rsid w:val="00CD17D4"/>
    <w:rsid w:val="00CD1AEC"/>
    <w:rsid w:val="00CD1FE8"/>
    <w:rsid w:val="00CD232B"/>
    <w:rsid w:val="00CD28EA"/>
    <w:rsid w:val="00CD3257"/>
    <w:rsid w:val="00CD369A"/>
    <w:rsid w:val="00CD3A6A"/>
    <w:rsid w:val="00CD43D5"/>
    <w:rsid w:val="00CD502B"/>
    <w:rsid w:val="00CD65A9"/>
    <w:rsid w:val="00CD6C6C"/>
    <w:rsid w:val="00CD7569"/>
    <w:rsid w:val="00CD7690"/>
    <w:rsid w:val="00CD79DB"/>
    <w:rsid w:val="00CE01DD"/>
    <w:rsid w:val="00CE04A0"/>
    <w:rsid w:val="00CE0579"/>
    <w:rsid w:val="00CE136F"/>
    <w:rsid w:val="00CE15CC"/>
    <w:rsid w:val="00CE22A3"/>
    <w:rsid w:val="00CE371A"/>
    <w:rsid w:val="00CE3A91"/>
    <w:rsid w:val="00CE3E24"/>
    <w:rsid w:val="00CE4FC9"/>
    <w:rsid w:val="00CE5B94"/>
    <w:rsid w:val="00CE64F7"/>
    <w:rsid w:val="00CE6FA5"/>
    <w:rsid w:val="00CF1DA9"/>
    <w:rsid w:val="00CF30BC"/>
    <w:rsid w:val="00CF3F28"/>
    <w:rsid w:val="00CF48C7"/>
    <w:rsid w:val="00CF4B08"/>
    <w:rsid w:val="00CF5206"/>
    <w:rsid w:val="00CF5538"/>
    <w:rsid w:val="00CF78F5"/>
    <w:rsid w:val="00D000DB"/>
    <w:rsid w:val="00D001EA"/>
    <w:rsid w:val="00D00F81"/>
    <w:rsid w:val="00D02C94"/>
    <w:rsid w:val="00D03234"/>
    <w:rsid w:val="00D05B7B"/>
    <w:rsid w:val="00D075EF"/>
    <w:rsid w:val="00D10636"/>
    <w:rsid w:val="00D10C16"/>
    <w:rsid w:val="00D10E17"/>
    <w:rsid w:val="00D11794"/>
    <w:rsid w:val="00D11D15"/>
    <w:rsid w:val="00D11E3A"/>
    <w:rsid w:val="00D1200C"/>
    <w:rsid w:val="00D12BAF"/>
    <w:rsid w:val="00D12CB2"/>
    <w:rsid w:val="00D12F99"/>
    <w:rsid w:val="00D13F19"/>
    <w:rsid w:val="00D15327"/>
    <w:rsid w:val="00D153E7"/>
    <w:rsid w:val="00D159C0"/>
    <w:rsid w:val="00D15B27"/>
    <w:rsid w:val="00D15F7E"/>
    <w:rsid w:val="00D160D7"/>
    <w:rsid w:val="00D16ABA"/>
    <w:rsid w:val="00D17233"/>
    <w:rsid w:val="00D174A5"/>
    <w:rsid w:val="00D20C0A"/>
    <w:rsid w:val="00D2394F"/>
    <w:rsid w:val="00D23D1F"/>
    <w:rsid w:val="00D24587"/>
    <w:rsid w:val="00D24761"/>
    <w:rsid w:val="00D26440"/>
    <w:rsid w:val="00D264D0"/>
    <w:rsid w:val="00D267CF"/>
    <w:rsid w:val="00D26A7D"/>
    <w:rsid w:val="00D27134"/>
    <w:rsid w:val="00D27CCD"/>
    <w:rsid w:val="00D3022C"/>
    <w:rsid w:val="00D30ED6"/>
    <w:rsid w:val="00D31317"/>
    <w:rsid w:val="00D31690"/>
    <w:rsid w:val="00D324D0"/>
    <w:rsid w:val="00D32609"/>
    <w:rsid w:val="00D33271"/>
    <w:rsid w:val="00D337CE"/>
    <w:rsid w:val="00D33FC5"/>
    <w:rsid w:val="00D341D6"/>
    <w:rsid w:val="00D3670D"/>
    <w:rsid w:val="00D36BA6"/>
    <w:rsid w:val="00D37A19"/>
    <w:rsid w:val="00D42278"/>
    <w:rsid w:val="00D4320C"/>
    <w:rsid w:val="00D436FC"/>
    <w:rsid w:val="00D4517C"/>
    <w:rsid w:val="00D46464"/>
    <w:rsid w:val="00D46ADE"/>
    <w:rsid w:val="00D46C3F"/>
    <w:rsid w:val="00D50351"/>
    <w:rsid w:val="00D51385"/>
    <w:rsid w:val="00D522E9"/>
    <w:rsid w:val="00D52905"/>
    <w:rsid w:val="00D52B4E"/>
    <w:rsid w:val="00D557DF"/>
    <w:rsid w:val="00D56D53"/>
    <w:rsid w:val="00D604CC"/>
    <w:rsid w:val="00D62617"/>
    <w:rsid w:val="00D62D4D"/>
    <w:rsid w:val="00D62EB6"/>
    <w:rsid w:val="00D62F28"/>
    <w:rsid w:val="00D62FA9"/>
    <w:rsid w:val="00D6329B"/>
    <w:rsid w:val="00D63D39"/>
    <w:rsid w:val="00D64641"/>
    <w:rsid w:val="00D64A0F"/>
    <w:rsid w:val="00D655F0"/>
    <w:rsid w:val="00D65E81"/>
    <w:rsid w:val="00D66420"/>
    <w:rsid w:val="00D673B1"/>
    <w:rsid w:val="00D702A5"/>
    <w:rsid w:val="00D7286B"/>
    <w:rsid w:val="00D73B90"/>
    <w:rsid w:val="00D74B48"/>
    <w:rsid w:val="00D74E5B"/>
    <w:rsid w:val="00D751BC"/>
    <w:rsid w:val="00D76710"/>
    <w:rsid w:val="00D773B5"/>
    <w:rsid w:val="00D81A57"/>
    <w:rsid w:val="00D82946"/>
    <w:rsid w:val="00D82F99"/>
    <w:rsid w:val="00D834FC"/>
    <w:rsid w:val="00D838FD"/>
    <w:rsid w:val="00D8502F"/>
    <w:rsid w:val="00D85513"/>
    <w:rsid w:val="00D86157"/>
    <w:rsid w:val="00D865B6"/>
    <w:rsid w:val="00D87CD8"/>
    <w:rsid w:val="00D91D49"/>
    <w:rsid w:val="00D92565"/>
    <w:rsid w:val="00D9406E"/>
    <w:rsid w:val="00D94EE9"/>
    <w:rsid w:val="00D95A33"/>
    <w:rsid w:val="00D96505"/>
    <w:rsid w:val="00D96711"/>
    <w:rsid w:val="00D96F58"/>
    <w:rsid w:val="00D97286"/>
    <w:rsid w:val="00D97910"/>
    <w:rsid w:val="00D97D98"/>
    <w:rsid w:val="00DA171C"/>
    <w:rsid w:val="00DA1C66"/>
    <w:rsid w:val="00DA2175"/>
    <w:rsid w:val="00DA328E"/>
    <w:rsid w:val="00DA32E0"/>
    <w:rsid w:val="00DA3443"/>
    <w:rsid w:val="00DA3BED"/>
    <w:rsid w:val="00DA4135"/>
    <w:rsid w:val="00DA42BF"/>
    <w:rsid w:val="00DA438A"/>
    <w:rsid w:val="00DA45D5"/>
    <w:rsid w:val="00DA5416"/>
    <w:rsid w:val="00DA5605"/>
    <w:rsid w:val="00DA5AB8"/>
    <w:rsid w:val="00DA5C80"/>
    <w:rsid w:val="00DA6A7D"/>
    <w:rsid w:val="00DA6EFD"/>
    <w:rsid w:val="00DA7387"/>
    <w:rsid w:val="00DA74A4"/>
    <w:rsid w:val="00DB0A6C"/>
    <w:rsid w:val="00DB0A8A"/>
    <w:rsid w:val="00DB2030"/>
    <w:rsid w:val="00DB2C16"/>
    <w:rsid w:val="00DB36FF"/>
    <w:rsid w:val="00DB4338"/>
    <w:rsid w:val="00DB4CAA"/>
    <w:rsid w:val="00DB62F7"/>
    <w:rsid w:val="00DB6303"/>
    <w:rsid w:val="00DB6DCE"/>
    <w:rsid w:val="00DB7007"/>
    <w:rsid w:val="00DB7834"/>
    <w:rsid w:val="00DB7CBF"/>
    <w:rsid w:val="00DC0764"/>
    <w:rsid w:val="00DC0C08"/>
    <w:rsid w:val="00DC0E67"/>
    <w:rsid w:val="00DC1DDA"/>
    <w:rsid w:val="00DC1F70"/>
    <w:rsid w:val="00DC24EF"/>
    <w:rsid w:val="00DC258A"/>
    <w:rsid w:val="00DC2865"/>
    <w:rsid w:val="00DC2AB8"/>
    <w:rsid w:val="00DC2B4F"/>
    <w:rsid w:val="00DC36A7"/>
    <w:rsid w:val="00DC3ADE"/>
    <w:rsid w:val="00DC3C90"/>
    <w:rsid w:val="00DC4CB7"/>
    <w:rsid w:val="00DC6824"/>
    <w:rsid w:val="00DC6FE2"/>
    <w:rsid w:val="00DC72B8"/>
    <w:rsid w:val="00DD0C54"/>
    <w:rsid w:val="00DD0C8F"/>
    <w:rsid w:val="00DD1ADB"/>
    <w:rsid w:val="00DD3DE0"/>
    <w:rsid w:val="00DD4D32"/>
    <w:rsid w:val="00DD53D7"/>
    <w:rsid w:val="00DD6077"/>
    <w:rsid w:val="00DD74C6"/>
    <w:rsid w:val="00DD7797"/>
    <w:rsid w:val="00DD7B9F"/>
    <w:rsid w:val="00DE1C50"/>
    <w:rsid w:val="00DE1EDF"/>
    <w:rsid w:val="00DE208A"/>
    <w:rsid w:val="00DE31F4"/>
    <w:rsid w:val="00DE334E"/>
    <w:rsid w:val="00DE40E2"/>
    <w:rsid w:val="00DE5A4B"/>
    <w:rsid w:val="00DE6195"/>
    <w:rsid w:val="00DE6632"/>
    <w:rsid w:val="00DE6D46"/>
    <w:rsid w:val="00DE70E1"/>
    <w:rsid w:val="00DE797E"/>
    <w:rsid w:val="00DE7B71"/>
    <w:rsid w:val="00DF049E"/>
    <w:rsid w:val="00DF0D8B"/>
    <w:rsid w:val="00DF0F53"/>
    <w:rsid w:val="00DF1443"/>
    <w:rsid w:val="00DF15FE"/>
    <w:rsid w:val="00DF18C7"/>
    <w:rsid w:val="00DF1AB7"/>
    <w:rsid w:val="00DF1B01"/>
    <w:rsid w:val="00DF1E86"/>
    <w:rsid w:val="00DF20D7"/>
    <w:rsid w:val="00DF2282"/>
    <w:rsid w:val="00DF255C"/>
    <w:rsid w:val="00DF2EBD"/>
    <w:rsid w:val="00DF3A5F"/>
    <w:rsid w:val="00DF3CA9"/>
    <w:rsid w:val="00DF3DFC"/>
    <w:rsid w:val="00DF5762"/>
    <w:rsid w:val="00DF6424"/>
    <w:rsid w:val="00DF72A8"/>
    <w:rsid w:val="00E000E8"/>
    <w:rsid w:val="00E005C7"/>
    <w:rsid w:val="00E00D6F"/>
    <w:rsid w:val="00E029C7"/>
    <w:rsid w:val="00E03497"/>
    <w:rsid w:val="00E03D8C"/>
    <w:rsid w:val="00E03F73"/>
    <w:rsid w:val="00E06AA0"/>
    <w:rsid w:val="00E06C49"/>
    <w:rsid w:val="00E06FC5"/>
    <w:rsid w:val="00E10496"/>
    <w:rsid w:val="00E11134"/>
    <w:rsid w:val="00E11E40"/>
    <w:rsid w:val="00E120E0"/>
    <w:rsid w:val="00E122E2"/>
    <w:rsid w:val="00E1295D"/>
    <w:rsid w:val="00E14713"/>
    <w:rsid w:val="00E14F8A"/>
    <w:rsid w:val="00E15C4B"/>
    <w:rsid w:val="00E16E0B"/>
    <w:rsid w:val="00E17B38"/>
    <w:rsid w:val="00E20424"/>
    <w:rsid w:val="00E20516"/>
    <w:rsid w:val="00E21602"/>
    <w:rsid w:val="00E2240E"/>
    <w:rsid w:val="00E225AE"/>
    <w:rsid w:val="00E22741"/>
    <w:rsid w:val="00E228D1"/>
    <w:rsid w:val="00E22D43"/>
    <w:rsid w:val="00E23219"/>
    <w:rsid w:val="00E244E0"/>
    <w:rsid w:val="00E24832"/>
    <w:rsid w:val="00E26674"/>
    <w:rsid w:val="00E27C3A"/>
    <w:rsid w:val="00E30382"/>
    <w:rsid w:val="00E3055A"/>
    <w:rsid w:val="00E310C9"/>
    <w:rsid w:val="00E31144"/>
    <w:rsid w:val="00E325AE"/>
    <w:rsid w:val="00E32941"/>
    <w:rsid w:val="00E32E7D"/>
    <w:rsid w:val="00E33FA8"/>
    <w:rsid w:val="00E3467A"/>
    <w:rsid w:val="00E3631B"/>
    <w:rsid w:val="00E36D58"/>
    <w:rsid w:val="00E36D85"/>
    <w:rsid w:val="00E371E3"/>
    <w:rsid w:val="00E371F1"/>
    <w:rsid w:val="00E37966"/>
    <w:rsid w:val="00E40BED"/>
    <w:rsid w:val="00E426A8"/>
    <w:rsid w:val="00E42C9C"/>
    <w:rsid w:val="00E42E0B"/>
    <w:rsid w:val="00E436F0"/>
    <w:rsid w:val="00E4385C"/>
    <w:rsid w:val="00E44FE2"/>
    <w:rsid w:val="00E45174"/>
    <w:rsid w:val="00E46A6D"/>
    <w:rsid w:val="00E47F6A"/>
    <w:rsid w:val="00E51B5A"/>
    <w:rsid w:val="00E5220B"/>
    <w:rsid w:val="00E52818"/>
    <w:rsid w:val="00E52ACE"/>
    <w:rsid w:val="00E52B3D"/>
    <w:rsid w:val="00E52F32"/>
    <w:rsid w:val="00E53B77"/>
    <w:rsid w:val="00E53D71"/>
    <w:rsid w:val="00E53E85"/>
    <w:rsid w:val="00E54AC8"/>
    <w:rsid w:val="00E557A1"/>
    <w:rsid w:val="00E55D58"/>
    <w:rsid w:val="00E5642A"/>
    <w:rsid w:val="00E5662D"/>
    <w:rsid w:val="00E56C33"/>
    <w:rsid w:val="00E57315"/>
    <w:rsid w:val="00E578CD"/>
    <w:rsid w:val="00E612C0"/>
    <w:rsid w:val="00E61423"/>
    <w:rsid w:val="00E61644"/>
    <w:rsid w:val="00E618F3"/>
    <w:rsid w:val="00E61E48"/>
    <w:rsid w:val="00E62CAA"/>
    <w:rsid w:val="00E62DE0"/>
    <w:rsid w:val="00E63200"/>
    <w:rsid w:val="00E636B7"/>
    <w:rsid w:val="00E63FE7"/>
    <w:rsid w:val="00E64ED1"/>
    <w:rsid w:val="00E665E4"/>
    <w:rsid w:val="00E667E8"/>
    <w:rsid w:val="00E66A2B"/>
    <w:rsid w:val="00E670E3"/>
    <w:rsid w:val="00E675B1"/>
    <w:rsid w:val="00E67A94"/>
    <w:rsid w:val="00E708DA"/>
    <w:rsid w:val="00E72228"/>
    <w:rsid w:val="00E72439"/>
    <w:rsid w:val="00E73576"/>
    <w:rsid w:val="00E73745"/>
    <w:rsid w:val="00E7383B"/>
    <w:rsid w:val="00E73C93"/>
    <w:rsid w:val="00E743E1"/>
    <w:rsid w:val="00E74791"/>
    <w:rsid w:val="00E74BAC"/>
    <w:rsid w:val="00E77C9C"/>
    <w:rsid w:val="00E77D5F"/>
    <w:rsid w:val="00E77EF7"/>
    <w:rsid w:val="00E80578"/>
    <w:rsid w:val="00E81161"/>
    <w:rsid w:val="00E81681"/>
    <w:rsid w:val="00E8259C"/>
    <w:rsid w:val="00E82E7F"/>
    <w:rsid w:val="00E83728"/>
    <w:rsid w:val="00E83F6E"/>
    <w:rsid w:val="00E83FF9"/>
    <w:rsid w:val="00E85799"/>
    <w:rsid w:val="00E86711"/>
    <w:rsid w:val="00E867B4"/>
    <w:rsid w:val="00E9040B"/>
    <w:rsid w:val="00E908CC"/>
    <w:rsid w:val="00E90DEF"/>
    <w:rsid w:val="00E914FF"/>
    <w:rsid w:val="00E91665"/>
    <w:rsid w:val="00E937D6"/>
    <w:rsid w:val="00E93870"/>
    <w:rsid w:val="00E9439C"/>
    <w:rsid w:val="00E9585A"/>
    <w:rsid w:val="00E9590C"/>
    <w:rsid w:val="00E97F24"/>
    <w:rsid w:val="00EA0341"/>
    <w:rsid w:val="00EA05A0"/>
    <w:rsid w:val="00EA138E"/>
    <w:rsid w:val="00EA180B"/>
    <w:rsid w:val="00EA1C34"/>
    <w:rsid w:val="00EA3862"/>
    <w:rsid w:val="00EA3ACC"/>
    <w:rsid w:val="00EA3B01"/>
    <w:rsid w:val="00EA3C57"/>
    <w:rsid w:val="00EA45AF"/>
    <w:rsid w:val="00EA4B71"/>
    <w:rsid w:val="00EA4DCD"/>
    <w:rsid w:val="00EA503D"/>
    <w:rsid w:val="00EA50ED"/>
    <w:rsid w:val="00EA5653"/>
    <w:rsid w:val="00EA6374"/>
    <w:rsid w:val="00EA677F"/>
    <w:rsid w:val="00EA75B9"/>
    <w:rsid w:val="00EB03DD"/>
    <w:rsid w:val="00EB083F"/>
    <w:rsid w:val="00EB1A7C"/>
    <w:rsid w:val="00EB22CC"/>
    <w:rsid w:val="00EB32CF"/>
    <w:rsid w:val="00EB3879"/>
    <w:rsid w:val="00EB4190"/>
    <w:rsid w:val="00EB48DF"/>
    <w:rsid w:val="00EB5DD5"/>
    <w:rsid w:val="00EB60B5"/>
    <w:rsid w:val="00EB63A5"/>
    <w:rsid w:val="00EB64EA"/>
    <w:rsid w:val="00EB665B"/>
    <w:rsid w:val="00EB6A89"/>
    <w:rsid w:val="00EB7235"/>
    <w:rsid w:val="00EC07C6"/>
    <w:rsid w:val="00EC0845"/>
    <w:rsid w:val="00EC11B8"/>
    <w:rsid w:val="00EC1705"/>
    <w:rsid w:val="00EC1AF9"/>
    <w:rsid w:val="00EC1FCF"/>
    <w:rsid w:val="00EC31F3"/>
    <w:rsid w:val="00EC4F18"/>
    <w:rsid w:val="00EC5344"/>
    <w:rsid w:val="00EC5678"/>
    <w:rsid w:val="00EC6AF8"/>
    <w:rsid w:val="00ED0F5A"/>
    <w:rsid w:val="00ED135A"/>
    <w:rsid w:val="00ED191E"/>
    <w:rsid w:val="00ED2081"/>
    <w:rsid w:val="00ED26EC"/>
    <w:rsid w:val="00ED30CF"/>
    <w:rsid w:val="00ED3263"/>
    <w:rsid w:val="00ED39DD"/>
    <w:rsid w:val="00ED440B"/>
    <w:rsid w:val="00ED4AA9"/>
    <w:rsid w:val="00ED53AF"/>
    <w:rsid w:val="00ED6570"/>
    <w:rsid w:val="00ED770B"/>
    <w:rsid w:val="00ED7E4B"/>
    <w:rsid w:val="00EE069D"/>
    <w:rsid w:val="00EE15F2"/>
    <w:rsid w:val="00EE1A40"/>
    <w:rsid w:val="00EE21FC"/>
    <w:rsid w:val="00EE2216"/>
    <w:rsid w:val="00EE29BB"/>
    <w:rsid w:val="00EE366A"/>
    <w:rsid w:val="00EE3FFE"/>
    <w:rsid w:val="00EE4366"/>
    <w:rsid w:val="00EE4433"/>
    <w:rsid w:val="00EE471E"/>
    <w:rsid w:val="00EE564C"/>
    <w:rsid w:val="00EE59C1"/>
    <w:rsid w:val="00EE6C13"/>
    <w:rsid w:val="00EE7D23"/>
    <w:rsid w:val="00EE7D65"/>
    <w:rsid w:val="00EF00DA"/>
    <w:rsid w:val="00EF2077"/>
    <w:rsid w:val="00EF39BD"/>
    <w:rsid w:val="00EF3DA3"/>
    <w:rsid w:val="00EF3F0B"/>
    <w:rsid w:val="00EF5B32"/>
    <w:rsid w:val="00EF64BB"/>
    <w:rsid w:val="00EF6820"/>
    <w:rsid w:val="00F0097A"/>
    <w:rsid w:val="00F01253"/>
    <w:rsid w:val="00F01621"/>
    <w:rsid w:val="00F01E78"/>
    <w:rsid w:val="00F0255E"/>
    <w:rsid w:val="00F03558"/>
    <w:rsid w:val="00F03CC2"/>
    <w:rsid w:val="00F03FD4"/>
    <w:rsid w:val="00F04D39"/>
    <w:rsid w:val="00F0535B"/>
    <w:rsid w:val="00F05D9F"/>
    <w:rsid w:val="00F05F0B"/>
    <w:rsid w:val="00F06001"/>
    <w:rsid w:val="00F0743E"/>
    <w:rsid w:val="00F07A9E"/>
    <w:rsid w:val="00F10594"/>
    <w:rsid w:val="00F10A6D"/>
    <w:rsid w:val="00F117B1"/>
    <w:rsid w:val="00F11D07"/>
    <w:rsid w:val="00F13309"/>
    <w:rsid w:val="00F13509"/>
    <w:rsid w:val="00F14CAB"/>
    <w:rsid w:val="00F14FFC"/>
    <w:rsid w:val="00F1626B"/>
    <w:rsid w:val="00F16A51"/>
    <w:rsid w:val="00F16BF7"/>
    <w:rsid w:val="00F179B0"/>
    <w:rsid w:val="00F17DC6"/>
    <w:rsid w:val="00F17F53"/>
    <w:rsid w:val="00F201FC"/>
    <w:rsid w:val="00F220C6"/>
    <w:rsid w:val="00F22B73"/>
    <w:rsid w:val="00F23C97"/>
    <w:rsid w:val="00F25CAE"/>
    <w:rsid w:val="00F25CCE"/>
    <w:rsid w:val="00F268B6"/>
    <w:rsid w:val="00F31CEC"/>
    <w:rsid w:val="00F31E0A"/>
    <w:rsid w:val="00F31F6D"/>
    <w:rsid w:val="00F3209B"/>
    <w:rsid w:val="00F32A75"/>
    <w:rsid w:val="00F33059"/>
    <w:rsid w:val="00F339C2"/>
    <w:rsid w:val="00F3602D"/>
    <w:rsid w:val="00F36307"/>
    <w:rsid w:val="00F36748"/>
    <w:rsid w:val="00F36D60"/>
    <w:rsid w:val="00F37AD4"/>
    <w:rsid w:val="00F400A0"/>
    <w:rsid w:val="00F40858"/>
    <w:rsid w:val="00F40AA2"/>
    <w:rsid w:val="00F40C6D"/>
    <w:rsid w:val="00F40FE8"/>
    <w:rsid w:val="00F41029"/>
    <w:rsid w:val="00F42074"/>
    <w:rsid w:val="00F42924"/>
    <w:rsid w:val="00F42DC4"/>
    <w:rsid w:val="00F441EE"/>
    <w:rsid w:val="00F45B64"/>
    <w:rsid w:val="00F4731F"/>
    <w:rsid w:val="00F47479"/>
    <w:rsid w:val="00F4762F"/>
    <w:rsid w:val="00F47F5D"/>
    <w:rsid w:val="00F5042C"/>
    <w:rsid w:val="00F508AF"/>
    <w:rsid w:val="00F50AA5"/>
    <w:rsid w:val="00F518DB"/>
    <w:rsid w:val="00F52481"/>
    <w:rsid w:val="00F5286C"/>
    <w:rsid w:val="00F53950"/>
    <w:rsid w:val="00F53FB0"/>
    <w:rsid w:val="00F548A0"/>
    <w:rsid w:val="00F54CA7"/>
    <w:rsid w:val="00F55518"/>
    <w:rsid w:val="00F567AD"/>
    <w:rsid w:val="00F57F0F"/>
    <w:rsid w:val="00F60348"/>
    <w:rsid w:val="00F6079E"/>
    <w:rsid w:val="00F60E40"/>
    <w:rsid w:val="00F60FFC"/>
    <w:rsid w:val="00F61A68"/>
    <w:rsid w:val="00F61D82"/>
    <w:rsid w:val="00F623F3"/>
    <w:rsid w:val="00F629EA"/>
    <w:rsid w:val="00F63ED4"/>
    <w:rsid w:val="00F6567D"/>
    <w:rsid w:val="00F65AFB"/>
    <w:rsid w:val="00F65C4C"/>
    <w:rsid w:val="00F6672C"/>
    <w:rsid w:val="00F669CF"/>
    <w:rsid w:val="00F66D83"/>
    <w:rsid w:val="00F673C6"/>
    <w:rsid w:val="00F67754"/>
    <w:rsid w:val="00F67CD2"/>
    <w:rsid w:val="00F700F3"/>
    <w:rsid w:val="00F715D6"/>
    <w:rsid w:val="00F73747"/>
    <w:rsid w:val="00F73EE8"/>
    <w:rsid w:val="00F7415C"/>
    <w:rsid w:val="00F74D4D"/>
    <w:rsid w:val="00F75D95"/>
    <w:rsid w:val="00F76DF5"/>
    <w:rsid w:val="00F76DFF"/>
    <w:rsid w:val="00F775E7"/>
    <w:rsid w:val="00F80C68"/>
    <w:rsid w:val="00F80E79"/>
    <w:rsid w:val="00F81F85"/>
    <w:rsid w:val="00F8317A"/>
    <w:rsid w:val="00F83344"/>
    <w:rsid w:val="00F84F89"/>
    <w:rsid w:val="00F85D8E"/>
    <w:rsid w:val="00F869F5"/>
    <w:rsid w:val="00F87637"/>
    <w:rsid w:val="00F8787D"/>
    <w:rsid w:val="00F87AFE"/>
    <w:rsid w:val="00F90B27"/>
    <w:rsid w:val="00F90ECE"/>
    <w:rsid w:val="00F911FB"/>
    <w:rsid w:val="00F9183F"/>
    <w:rsid w:val="00F91ADD"/>
    <w:rsid w:val="00F92715"/>
    <w:rsid w:val="00F927EA"/>
    <w:rsid w:val="00F9319D"/>
    <w:rsid w:val="00F951B2"/>
    <w:rsid w:val="00F95857"/>
    <w:rsid w:val="00F95FF1"/>
    <w:rsid w:val="00F96722"/>
    <w:rsid w:val="00F9753B"/>
    <w:rsid w:val="00FA04F8"/>
    <w:rsid w:val="00FA1461"/>
    <w:rsid w:val="00FA1F8D"/>
    <w:rsid w:val="00FA2823"/>
    <w:rsid w:val="00FA2E75"/>
    <w:rsid w:val="00FA3485"/>
    <w:rsid w:val="00FA34EC"/>
    <w:rsid w:val="00FA371D"/>
    <w:rsid w:val="00FA3C7D"/>
    <w:rsid w:val="00FA4011"/>
    <w:rsid w:val="00FA44DF"/>
    <w:rsid w:val="00FA462C"/>
    <w:rsid w:val="00FA50CC"/>
    <w:rsid w:val="00FA50E1"/>
    <w:rsid w:val="00FA549D"/>
    <w:rsid w:val="00FA59CA"/>
    <w:rsid w:val="00FA65DB"/>
    <w:rsid w:val="00FA6814"/>
    <w:rsid w:val="00FA7A7E"/>
    <w:rsid w:val="00FB0218"/>
    <w:rsid w:val="00FB0A49"/>
    <w:rsid w:val="00FB1402"/>
    <w:rsid w:val="00FB2303"/>
    <w:rsid w:val="00FB29E2"/>
    <w:rsid w:val="00FB2C8A"/>
    <w:rsid w:val="00FB3126"/>
    <w:rsid w:val="00FB3140"/>
    <w:rsid w:val="00FB329E"/>
    <w:rsid w:val="00FB34FD"/>
    <w:rsid w:val="00FB411C"/>
    <w:rsid w:val="00FB487B"/>
    <w:rsid w:val="00FB4ED2"/>
    <w:rsid w:val="00FB56A8"/>
    <w:rsid w:val="00FB7C95"/>
    <w:rsid w:val="00FC11C3"/>
    <w:rsid w:val="00FC131F"/>
    <w:rsid w:val="00FC1446"/>
    <w:rsid w:val="00FC23CA"/>
    <w:rsid w:val="00FC2AF9"/>
    <w:rsid w:val="00FC2D03"/>
    <w:rsid w:val="00FC4B2D"/>
    <w:rsid w:val="00FC4BF9"/>
    <w:rsid w:val="00FC5118"/>
    <w:rsid w:val="00FC71BD"/>
    <w:rsid w:val="00FC7747"/>
    <w:rsid w:val="00FD0356"/>
    <w:rsid w:val="00FD0CEB"/>
    <w:rsid w:val="00FD0DA1"/>
    <w:rsid w:val="00FD0DA4"/>
    <w:rsid w:val="00FD110F"/>
    <w:rsid w:val="00FD1DD7"/>
    <w:rsid w:val="00FD2531"/>
    <w:rsid w:val="00FD2DE4"/>
    <w:rsid w:val="00FD2F70"/>
    <w:rsid w:val="00FD3877"/>
    <w:rsid w:val="00FD6DDE"/>
    <w:rsid w:val="00FD7399"/>
    <w:rsid w:val="00FD7F12"/>
    <w:rsid w:val="00FE056E"/>
    <w:rsid w:val="00FE0B70"/>
    <w:rsid w:val="00FE11FF"/>
    <w:rsid w:val="00FE123B"/>
    <w:rsid w:val="00FE12C9"/>
    <w:rsid w:val="00FE17FF"/>
    <w:rsid w:val="00FE1A77"/>
    <w:rsid w:val="00FE1C7F"/>
    <w:rsid w:val="00FE233F"/>
    <w:rsid w:val="00FE31D1"/>
    <w:rsid w:val="00FE339C"/>
    <w:rsid w:val="00FE5D64"/>
    <w:rsid w:val="00FE7268"/>
    <w:rsid w:val="00FE7BF3"/>
    <w:rsid w:val="00FE7DDF"/>
    <w:rsid w:val="00FF1A56"/>
    <w:rsid w:val="00FF211C"/>
    <w:rsid w:val="00FF23DB"/>
    <w:rsid w:val="00FF3B46"/>
    <w:rsid w:val="00FF463B"/>
    <w:rsid w:val="00FF4B80"/>
    <w:rsid w:val="00FF4F1F"/>
    <w:rsid w:val="00FF6C58"/>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5CF97B-0491-4EF4-8FF3-542E6AB5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7"/>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B95"/>
    <w:rPr>
      <w:sz w:val="24"/>
      <w:szCs w:val="24"/>
    </w:rPr>
  </w:style>
  <w:style w:type="paragraph" w:styleId="Heading1">
    <w:name w:val="heading 1"/>
    <w:basedOn w:val="Normal"/>
    <w:next w:val="Normal"/>
    <w:qFormat/>
    <w:rsid w:val="00247B95"/>
    <w:pPr>
      <w:keepNext/>
      <w:outlineLvl w:val="0"/>
    </w:pPr>
    <w:rPr>
      <w:b/>
      <w:bCs/>
      <w:i/>
      <w:iCs/>
    </w:rPr>
  </w:style>
  <w:style w:type="paragraph" w:styleId="Heading2">
    <w:name w:val="heading 2"/>
    <w:basedOn w:val="Normal"/>
    <w:next w:val="Normal"/>
    <w:qFormat/>
    <w:rsid w:val="00247B95"/>
    <w:pPr>
      <w:keepNext/>
      <w:spacing w:before="240" w:after="60"/>
      <w:outlineLvl w:val="1"/>
    </w:pPr>
    <w:rPr>
      <w:rFonts w:cs="Arial"/>
      <w:b/>
      <w:bCs/>
      <w:iCs/>
      <w:sz w:val="20"/>
      <w:szCs w:val="28"/>
    </w:rPr>
  </w:style>
  <w:style w:type="paragraph" w:styleId="Heading3">
    <w:name w:val="heading 3"/>
    <w:basedOn w:val="Normal"/>
    <w:next w:val="Normal"/>
    <w:qFormat/>
    <w:rsid w:val="00247B95"/>
    <w:pPr>
      <w:keepNext/>
      <w:jc w:val="both"/>
      <w:outlineLvl w:val="2"/>
    </w:pPr>
    <w:rPr>
      <w:b/>
      <w:bCs/>
      <w:sz w:val="20"/>
      <w:szCs w:val="20"/>
    </w:rPr>
  </w:style>
  <w:style w:type="paragraph" w:styleId="Heading4">
    <w:name w:val="heading 4"/>
    <w:basedOn w:val="Normal"/>
    <w:next w:val="Normal"/>
    <w:qFormat/>
    <w:rsid w:val="00247B95"/>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247B95"/>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rsid w:val="00247B95"/>
    <w:pPr>
      <w:spacing w:line="300" w:lineRule="exact"/>
    </w:pPr>
    <w:rPr>
      <w:spacing w:val="-2"/>
      <w:sz w:val="28"/>
    </w:rPr>
  </w:style>
  <w:style w:type="paragraph" w:customStyle="1" w:styleId="HM">
    <w:name w:val="_ H __M"/>
    <w:basedOn w:val="HCh"/>
    <w:next w:val="Normal"/>
    <w:rsid w:val="00247B95"/>
    <w:pPr>
      <w:spacing w:line="360" w:lineRule="exact"/>
    </w:pPr>
    <w:rPr>
      <w:spacing w:val="-3"/>
      <w:w w:val="99"/>
      <w:sz w:val="34"/>
    </w:rPr>
  </w:style>
  <w:style w:type="paragraph" w:customStyle="1" w:styleId="H23">
    <w:name w:val="_ H_2/3"/>
    <w:basedOn w:val="H1"/>
    <w:next w:val="Normal"/>
    <w:rsid w:val="00247B95"/>
    <w:pPr>
      <w:spacing w:line="240" w:lineRule="exact"/>
      <w:outlineLvl w:val="1"/>
    </w:pPr>
    <w:rPr>
      <w:spacing w:val="2"/>
      <w:sz w:val="20"/>
    </w:rPr>
  </w:style>
  <w:style w:type="paragraph" w:customStyle="1" w:styleId="H4">
    <w:name w:val="_ H_4"/>
    <w:basedOn w:val="Normal"/>
    <w:next w:val="Normal"/>
    <w:rsid w:val="00247B95"/>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247B95"/>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247B95"/>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rsid w:val="00247B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FootnoteReference">
    <w:name w:val="footnote reference"/>
    <w:uiPriority w:val="99"/>
    <w:semiHidden/>
    <w:rsid w:val="00247B95"/>
    <w:rPr>
      <w:spacing w:val="-5"/>
      <w:w w:val="130"/>
      <w:position w:val="-4"/>
      <w:vertAlign w:val="superscript"/>
    </w:rPr>
  </w:style>
  <w:style w:type="paragraph" w:styleId="BodyText3">
    <w:name w:val="Body Text 3"/>
    <w:basedOn w:val="Normal"/>
    <w:rsid w:val="00247B95"/>
    <w:rPr>
      <w:sz w:val="22"/>
    </w:rPr>
  </w:style>
  <w:style w:type="paragraph" w:styleId="Header">
    <w:name w:val="header"/>
    <w:rsid w:val="00247B95"/>
    <w:pPr>
      <w:tabs>
        <w:tab w:val="center" w:pos="4320"/>
        <w:tab w:val="right" w:pos="8640"/>
      </w:tabs>
    </w:pPr>
    <w:rPr>
      <w:noProof/>
      <w:sz w:val="17"/>
    </w:rPr>
  </w:style>
  <w:style w:type="paragraph" w:styleId="Footer">
    <w:name w:val="footer"/>
    <w:link w:val="FooterChar"/>
    <w:rsid w:val="00247B95"/>
    <w:pPr>
      <w:tabs>
        <w:tab w:val="center" w:pos="4320"/>
        <w:tab w:val="right" w:pos="8640"/>
      </w:tabs>
    </w:pPr>
    <w:rPr>
      <w:b/>
      <w:noProof/>
      <w:sz w:val="17"/>
    </w:rPr>
  </w:style>
  <w:style w:type="paragraph" w:customStyle="1" w:styleId="XLarge">
    <w:name w:val="XLarge"/>
    <w:basedOn w:val="Normal"/>
    <w:rsid w:val="00247B95"/>
    <w:pPr>
      <w:keepNext/>
      <w:keepLines/>
      <w:tabs>
        <w:tab w:val="right" w:leader="dot" w:pos="360"/>
      </w:tabs>
      <w:suppressAutoHyphens/>
      <w:spacing w:line="390" w:lineRule="exact"/>
      <w:outlineLvl w:val="0"/>
    </w:pPr>
    <w:rPr>
      <w:b/>
      <w:spacing w:val="-4"/>
      <w:w w:val="98"/>
      <w:kern w:val="14"/>
      <w:sz w:val="40"/>
      <w:szCs w:val="20"/>
      <w:lang w:val="en-GB"/>
    </w:rPr>
  </w:style>
  <w:style w:type="paragraph" w:customStyle="1" w:styleId="singletxt0">
    <w:name w:val="singletxt"/>
    <w:basedOn w:val="Normal"/>
    <w:rsid w:val="00247B95"/>
    <w:pPr>
      <w:spacing w:after="120" w:line="240" w:lineRule="atLeast"/>
      <w:ind w:left="1267" w:right="1267"/>
      <w:jc w:val="both"/>
    </w:pPr>
    <w:rPr>
      <w:rFonts w:eastAsia="Arial Unicode MS"/>
      <w:spacing w:val="4"/>
      <w:sz w:val="20"/>
      <w:szCs w:val="20"/>
    </w:rPr>
  </w:style>
  <w:style w:type="paragraph" w:styleId="BodyText">
    <w:name w:val="Body Text"/>
    <w:basedOn w:val="Normal"/>
    <w:rsid w:val="00247B95"/>
    <w:rPr>
      <w:sz w:val="20"/>
      <w:szCs w:val="20"/>
      <w:lang w:val="en-GB"/>
    </w:rPr>
  </w:style>
  <w:style w:type="paragraph" w:styleId="BodyTextIndent">
    <w:name w:val="Body Text Indent"/>
    <w:basedOn w:val="Normal"/>
    <w:rsid w:val="00247B95"/>
    <w:pPr>
      <w:ind w:left="-30"/>
      <w:jc w:val="both"/>
    </w:pPr>
  </w:style>
  <w:style w:type="paragraph" w:styleId="FootnoteText">
    <w:name w:val="footnote text"/>
    <w:basedOn w:val="Normal"/>
    <w:link w:val="FootnoteTextChar"/>
    <w:uiPriority w:val="99"/>
    <w:semiHidden/>
    <w:rsid w:val="00247B95"/>
    <w:rPr>
      <w:sz w:val="20"/>
      <w:szCs w:val="20"/>
    </w:rPr>
  </w:style>
  <w:style w:type="character" w:styleId="Strong">
    <w:name w:val="Strong"/>
    <w:uiPriority w:val="22"/>
    <w:qFormat/>
    <w:rsid w:val="00BE4A87"/>
    <w:rPr>
      <w:b/>
      <w:bCs/>
    </w:rPr>
  </w:style>
  <w:style w:type="character" w:styleId="Hyperlink">
    <w:name w:val="Hyperlink"/>
    <w:rsid w:val="005C473F"/>
    <w:rPr>
      <w:color w:val="0000FF"/>
      <w:u w:val="single"/>
    </w:rPr>
  </w:style>
  <w:style w:type="table" w:styleId="TableGrid">
    <w:name w:val="Table Grid"/>
    <w:basedOn w:val="TableNormal"/>
    <w:rsid w:val="009C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0C76"/>
    <w:rPr>
      <w:rFonts w:ascii="Tahoma" w:hAnsi="Tahoma" w:cs="Tahoma"/>
      <w:sz w:val="16"/>
      <w:szCs w:val="16"/>
    </w:rPr>
  </w:style>
  <w:style w:type="character" w:styleId="PageNumber">
    <w:name w:val="page number"/>
    <w:basedOn w:val="DefaultParagraphFont"/>
    <w:rsid w:val="00414E22"/>
  </w:style>
  <w:style w:type="character" w:customStyle="1" w:styleId="EmailStyle371">
    <w:name w:val="EmailStyle371"/>
    <w:semiHidden/>
    <w:rsid w:val="00DA6A7D"/>
    <w:rPr>
      <w:rFonts w:ascii="Arial (W1)" w:hAnsi="Arial (W1)" w:cs="Arial" w:hint="default"/>
      <w:color w:val="auto"/>
      <w:sz w:val="20"/>
      <w:szCs w:val="20"/>
    </w:rPr>
  </w:style>
  <w:style w:type="paragraph" w:customStyle="1" w:styleId="a">
    <w:basedOn w:val="Normal"/>
    <w:rsid w:val="00362130"/>
    <w:pPr>
      <w:spacing w:after="160" w:line="240" w:lineRule="exact"/>
    </w:pPr>
    <w:rPr>
      <w:rFonts w:ascii="Arial" w:hAnsi="Arial" w:cs="Arial"/>
      <w:sz w:val="20"/>
      <w:szCs w:val="20"/>
      <w:lang w:val="en-GB"/>
    </w:rPr>
  </w:style>
  <w:style w:type="paragraph" w:customStyle="1" w:styleId="CharCharCharCharCharCharChar">
    <w:name w:val="Char Char Char Char Char Char Char"/>
    <w:basedOn w:val="Heading2"/>
    <w:rsid w:val="0066127F"/>
    <w:pPr>
      <w:pageBreakBefore/>
      <w:tabs>
        <w:tab w:val="left" w:pos="850"/>
        <w:tab w:val="left" w:pos="1191"/>
        <w:tab w:val="left" w:pos="1531"/>
      </w:tabs>
      <w:spacing w:before="120" w:after="120"/>
      <w:jc w:val="center"/>
    </w:pPr>
    <w:rPr>
      <w:rFonts w:ascii="Tahoma" w:hAnsi="Tahoma" w:cs="Tahoma"/>
      <w:bCs w:val="0"/>
      <w:iCs w:val="0"/>
      <w:color w:val="FFFFFF"/>
      <w:spacing w:val="20"/>
      <w:sz w:val="22"/>
      <w:szCs w:val="22"/>
      <w:lang w:val="en-GB" w:eastAsia="zh-CN"/>
    </w:rPr>
  </w:style>
  <w:style w:type="paragraph" w:styleId="NormalWeb">
    <w:name w:val="Normal (Web)"/>
    <w:basedOn w:val="Normal"/>
    <w:uiPriority w:val="99"/>
    <w:rsid w:val="0072397C"/>
    <w:pPr>
      <w:spacing w:before="100" w:beforeAutospacing="1" w:after="225"/>
    </w:pPr>
    <w:rPr>
      <w:rFonts w:ascii="Verdana" w:eastAsia="Arial Unicode MS" w:hAnsi="Verdana" w:cs="Arial Unicode MS"/>
      <w:color w:val="000000"/>
      <w:sz w:val="18"/>
      <w:szCs w:val="18"/>
    </w:rPr>
  </w:style>
  <w:style w:type="numbering" w:customStyle="1" w:styleId="Style1">
    <w:name w:val="Style1"/>
    <w:rsid w:val="0072397C"/>
    <w:pPr>
      <w:numPr>
        <w:numId w:val="1"/>
      </w:numPr>
    </w:pPr>
  </w:style>
  <w:style w:type="paragraph" w:customStyle="1" w:styleId="MediumGrid1-Accent21">
    <w:name w:val="Medium Grid 1 - Accent 21"/>
    <w:basedOn w:val="Normal"/>
    <w:uiPriority w:val="34"/>
    <w:qFormat/>
    <w:rsid w:val="001B667B"/>
    <w:pPr>
      <w:ind w:left="720"/>
    </w:pPr>
    <w:rPr>
      <w:rFonts w:ascii="Calibri" w:eastAsia="Calibri" w:hAnsi="Calibri"/>
      <w:sz w:val="22"/>
      <w:szCs w:val="22"/>
    </w:rPr>
  </w:style>
  <w:style w:type="character" w:styleId="CommentReference">
    <w:name w:val="annotation reference"/>
    <w:rsid w:val="00262548"/>
    <w:rPr>
      <w:sz w:val="16"/>
      <w:szCs w:val="16"/>
    </w:rPr>
  </w:style>
  <w:style w:type="paragraph" w:styleId="CommentText">
    <w:name w:val="annotation text"/>
    <w:basedOn w:val="Normal"/>
    <w:link w:val="CommentTextChar"/>
    <w:rsid w:val="00262548"/>
    <w:rPr>
      <w:sz w:val="20"/>
      <w:szCs w:val="20"/>
    </w:rPr>
  </w:style>
  <w:style w:type="character" w:customStyle="1" w:styleId="CommentTextChar">
    <w:name w:val="Comment Text Char"/>
    <w:link w:val="CommentText"/>
    <w:rsid w:val="00262548"/>
    <w:rPr>
      <w:lang w:eastAsia="en-US"/>
    </w:rPr>
  </w:style>
  <w:style w:type="paragraph" w:styleId="CommentSubject">
    <w:name w:val="annotation subject"/>
    <w:basedOn w:val="CommentText"/>
    <w:next w:val="CommentText"/>
    <w:link w:val="CommentSubjectChar"/>
    <w:rsid w:val="00262548"/>
    <w:rPr>
      <w:b/>
      <w:bCs/>
    </w:rPr>
  </w:style>
  <w:style w:type="character" w:customStyle="1" w:styleId="CommentSubjectChar">
    <w:name w:val="Comment Subject Char"/>
    <w:link w:val="CommentSubject"/>
    <w:rsid w:val="00262548"/>
    <w:rPr>
      <w:b/>
      <w:bCs/>
      <w:lang w:eastAsia="en-US"/>
    </w:rPr>
  </w:style>
  <w:style w:type="paragraph" w:customStyle="1" w:styleId="MediumList2-Accent21">
    <w:name w:val="Medium List 2 - Accent 21"/>
    <w:hidden/>
    <w:uiPriority w:val="99"/>
    <w:semiHidden/>
    <w:rsid w:val="00B400D0"/>
    <w:rPr>
      <w:sz w:val="24"/>
      <w:szCs w:val="24"/>
    </w:rPr>
  </w:style>
  <w:style w:type="character" w:customStyle="1" w:styleId="EmailStyle381">
    <w:name w:val="EmailStyle381"/>
    <w:semiHidden/>
    <w:rsid w:val="006155D0"/>
    <w:rPr>
      <w:rFonts w:ascii="Arial" w:hAnsi="Arial" w:cs="Arial" w:hint="default"/>
      <w:color w:val="000000"/>
    </w:rPr>
  </w:style>
  <w:style w:type="paragraph" w:customStyle="1" w:styleId="Default">
    <w:name w:val="Default"/>
    <w:rsid w:val="001A1547"/>
    <w:pPr>
      <w:autoSpaceDE w:val="0"/>
      <w:autoSpaceDN w:val="0"/>
      <w:adjustRightInd w:val="0"/>
    </w:pPr>
    <w:rPr>
      <w:rFonts w:ascii="Calibri" w:eastAsia="Calibri" w:hAnsi="Calibri" w:cs="Calibri"/>
      <w:color w:val="000000"/>
      <w:sz w:val="24"/>
      <w:szCs w:val="24"/>
    </w:rPr>
  </w:style>
  <w:style w:type="paragraph" w:customStyle="1" w:styleId="default0">
    <w:name w:val="default"/>
    <w:basedOn w:val="Normal"/>
    <w:uiPriority w:val="99"/>
    <w:rsid w:val="00F60FFC"/>
    <w:rPr>
      <w:rFonts w:ascii="Calibri" w:eastAsia="Calibri" w:hAnsi="Calibri" w:cs="Calibri"/>
      <w:color w:val="000000"/>
    </w:rPr>
  </w:style>
  <w:style w:type="table" w:styleId="ColorfulShading-Accent2">
    <w:name w:val="Colorful Shading Accent 2"/>
    <w:basedOn w:val="TableNormal"/>
    <w:uiPriority w:val="67"/>
    <w:rsid w:val="00D13F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Shading-Accent11">
    <w:name w:val="Colorful Shading - Accent 11"/>
    <w:hidden/>
    <w:uiPriority w:val="99"/>
    <w:semiHidden/>
    <w:rsid w:val="007806C8"/>
    <w:rPr>
      <w:sz w:val="24"/>
      <w:szCs w:val="24"/>
    </w:rPr>
  </w:style>
  <w:style w:type="character" w:customStyle="1" w:styleId="SingleTxtChar">
    <w:name w:val="__Single Txt Char"/>
    <w:link w:val="SingleTxt"/>
    <w:locked/>
    <w:rsid w:val="003E6C7C"/>
    <w:rPr>
      <w:spacing w:val="4"/>
      <w:w w:val="103"/>
      <w:kern w:val="14"/>
      <w:lang w:val="en-GB" w:eastAsia="en-US"/>
    </w:rPr>
  </w:style>
  <w:style w:type="paragraph" w:styleId="ListParagraph">
    <w:name w:val="List Paragraph"/>
    <w:aliases w:val="Bullets,List Paragraph1,List Paragraph (numbered (a)),Colorful List - Accent 11,WB Para"/>
    <w:basedOn w:val="Normal"/>
    <w:uiPriority w:val="34"/>
    <w:qFormat/>
    <w:rsid w:val="00962593"/>
    <w:pPr>
      <w:ind w:left="720"/>
      <w:contextualSpacing/>
    </w:pPr>
  </w:style>
  <w:style w:type="character" w:customStyle="1" w:styleId="MediumGrid1-Accent2Char">
    <w:name w:val="Medium Grid 1 - Accent 2 Char"/>
    <w:aliases w:val="List Paragraph (numbered (a)) Char,Bullets Char,List Paragraph1 Char,List Paragraph Char,Colorful List - Accent 11 Char,WB Para Char"/>
    <w:link w:val="MediumGrid1-Accent2"/>
    <w:uiPriority w:val="34"/>
    <w:locked/>
    <w:rsid w:val="00783575"/>
    <w:rPr>
      <w:sz w:val="24"/>
      <w:szCs w:val="24"/>
    </w:rPr>
  </w:style>
  <w:style w:type="table" w:styleId="MediumGrid1-Accent2">
    <w:name w:val="Medium Grid 1 Accent 2"/>
    <w:basedOn w:val="TableNormal"/>
    <w:link w:val="MediumGrid1-Accent2Char"/>
    <w:uiPriority w:val="34"/>
    <w:rsid w:val="00783575"/>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ms-rtefontsize-2">
    <w:name w:val="ms-rtefontsize-2"/>
    <w:rsid w:val="00751B7D"/>
  </w:style>
  <w:style w:type="character" w:customStyle="1" w:styleId="BalloonTextChar">
    <w:name w:val="Balloon Text Char"/>
    <w:link w:val="BalloonText"/>
    <w:rsid w:val="008D138F"/>
    <w:rPr>
      <w:rFonts w:ascii="Tahoma" w:hAnsi="Tahoma" w:cs="Tahoma"/>
      <w:sz w:val="16"/>
      <w:szCs w:val="16"/>
    </w:rPr>
  </w:style>
  <w:style w:type="character" w:styleId="FollowedHyperlink">
    <w:name w:val="FollowedHyperlink"/>
    <w:rsid w:val="0066644A"/>
    <w:rPr>
      <w:color w:val="954F72"/>
      <w:u w:val="single"/>
    </w:rPr>
  </w:style>
  <w:style w:type="paragraph" w:styleId="Revision">
    <w:name w:val="Revision"/>
    <w:hidden/>
    <w:uiPriority w:val="99"/>
    <w:semiHidden/>
    <w:rsid w:val="00AB4FBA"/>
    <w:rPr>
      <w:sz w:val="24"/>
      <w:szCs w:val="24"/>
    </w:rPr>
  </w:style>
  <w:style w:type="character" w:customStyle="1" w:styleId="FootnoteTextChar">
    <w:name w:val="Footnote Text Char"/>
    <w:link w:val="FootnoteText"/>
    <w:uiPriority w:val="99"/>
    <w:semiHidden/>
    <w:rsid w:val="00F8317A"/>
  </w:style>
  <w:style w:type="character" w:customStyle="1" w:styleId="FooterChar">
    <w:name w:val="Footer Char"/>
    <w:link w:val="Footer"/>
    <w:uiPriority w:val="99"/>
    <w:rsid w:val="00F10A6D"/>
    <w:rPr>
      <w:b/>
      <w:noProof/>
      <w:sz w:val="17"/>
    </w:rPr>
  </w:style>
  <w:style w:type="paragraph" w:customStyle="1" w:styleId="1">
    <w:name w:val="1"/>
    <w:basedOn w:val="Normal"/>
    <w:rsid w:val="00F55518"/>
    <w:pPr>
      <w:spacing w:after="160" w:line="240" w:lineRule="exact"/>
    </w:pPr>
    <w:rPr>
      <w:rFonts w:ascii="Arial" w:hAnsi="Arial" w:cs="Arial"/>
      <w:sz w:val="20"/>
      <w:szCs w:val="20"/>
      <w:lang w:val="en-GB"/>
    </w:rPr>
  </w:style>
  <w:style w:type="paragraph" w:customStyle="1" w:styleId="textmain">
    <w:name w:val="textmain"/>
    <w:basedOn w:val="Normal"/>
    <w:rsid w:val="00F55518"/>
    <w:pPr>
      <w:spacing w:after="100" w:afterAutospacing="1" w:line="160" w:lineRule="atLeast"/>
      <w:ind w:firstLine="300"/>
      <w:jc w:val="both"/>
    </w:pPr>
    <w:rPr>
      <w:color w:val="000000"/>
      <w:sz w:val="14"/>
      <w:szCs w:val="14"/>
    </w:rPr>
  </w:style>
  <w:style w:type="paragraph" w:customStyle="1" w:styleId="xmsolistparagraph">
    <w:name w:val="x_msolistparagraph"/>
    <w:basedOn w:val="Normal"/>
    <w:rsid w:val="00F55518"/>
    <w:pPr>
      <w:spacing w:before="100" w:beforeAutospacing="1" w:after="100" w:afterAutospacing="1"/>
    </w:pPr>
  </w:style>
  <w:style w:type="paragraph" w:styleId="NoSpacing">
    <w:name w:val="No Spacing"/>
    <w:uiPriority w:val="1"/>
    <w:qFormat/>
    <w:rsid w:val="00F55518"/>
    <w:rPr>
      <w:rFonts w:ascii="Calibri" w:hAnsi="Calibri"/>
      <w:sz w:val="22"/>
      <w:szCs w:val="22"/>
      <w:lang w:val="en-GB"/>
    </w:rPr>
  </w:style>
  <w:style w:type="character" w:customStyle="1" w:styleId="ms-rtethemefontface-21">
    <w:name w:val="ms-rtethemefontface-21"/>
    <w:rsid w:val="00F55518"/>
    <w:rPr>
      <w:rFonts w:ascii="Arial" w:hAnsi="Arial" w:cs="Arial" w:hint="default"/>
    </w:rPr>
  </w:style>
  <w:style w:type="paragraph" w:customStyle="1" w:styleId="Title1">
    <w:name w:val="Title 1"/>
    <w:basedOn w:val="HCh"/>
    <w:rsid w:val="00F555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195">
      <w:bodyDiv w:val="1"/>
      <w:marLeft w:val="0"/>
      <w:marRight w:val="0"/>
      <w:marTop w:val="0"/>
      <w:marBottom w:val="0"/>
      <w:divBdr>
        <w:top w:val="none" w:sz="0" w:space="0" w:color="auto"/>
        <w:left w:val="none" w:sz="0" w:space="0" w:color="auto"/>
        <w:bottom w:val="none" w:sz="0" w:space="0" w:color="auto"/>
        <w:right w:val="none" w:sz="0" w:space="0" w:color="auto"/>
      </w:divBdr>
    </w:div>
    <w:div w:id="80568299">
      <w:bodyDiv w:val="1"/>
      <w:marLeft w:val="0"/>
      <w:marRight w:val="0"/>
      <w:marTop w:val="0"/>
      <w:marBottom w:val="0"/>
      <w:divBdr>
        <w:top w:val="none" w:sz="0" w:space="0" w:color="auto"/>
        <w:left w:val="none" w:sz="0" w:space="0" w:color="auto"/>
        <w:bottom w:val="none" w:sz="0" w:space="0" w:color="auto"/>
        <w:right w:val="none" w:sz="0" w:space="0" w:color="auto"/>
      </w:divBdr>
      <w:divsChild>
        <w:div w:id="351810777">
          <w:marLeft w:val="547"/>
          <w:marRight w:val="0"/>
          <w:marTop w:val="0"/>
          <w:marBottom w:val="0"/>
          <w:divBdr>
            <w:top w:val="none" w:sz="0" w:space="0" w:color="auto"/>
            <w:left w:val="none" w:sz="0" w:space="0" w:color="auto"/>
            <w:bottom w:val="none" w:sz="0" w:space="0" w:color="auto"/>
            <w:right w:val="none" w:sz="0" w:space="0" w:color="auto"/>
          </w:divBdr>
        </w:div>
        <w:div w:id="1956518097">
          <w:marLeft w:val="547"/>
          <w:marRight w:val="0"/>
          <w:marTop w:val="0"/>
          <w:marBottom w:val="0"/>
          <w:divBdr>
            <w:top w:val="none" w:sz="0" w:space="0" w:color="auto"/>
            <w:left w:val="none" w:sz="0" w:space="0" w:color="auto"/>
            <w:bottom w:val="none" w:sz="0" w:space="0" w:color="auto"/>
            <w:right w:val="none" w:sz="0" w:space="0" w:color="auto"/>
          </w:divBdr>
        </w:div>
      </w:divsChild>
    </w:div>
    <w:div w:id="263924088">
      <w:bodyDiv w:val="1"/>
      <w:marLeft w:val="0"/>
      <w:marRight w:val="0"/>
      <w:marTop w:val="0"/>
      <w:marBottom w:val="0"/>
      <w:divBdr>
        <w:top w:val="none" w:sz="0" w:space="0" w:color="auto"/>
        <w:left w:val="none" w:sz="0" w:space="0" w:color="auto"/>
        <w:bottom w:val="none" w:sz="0" w:space="0" w:color="auto"/>
        <w:right w:val="none" w:sz="0" w:space="0" w:color="auto"/>
      </w:divBdr>
      <w:divsChild>
        <w:div w:id="1472333004">
          <w:marLeft w:val="547"/>
          <w:marRight w:val="0"/>
          <w:marTop w:val="0"/>
          <w:marBottom w:val="0"/>
          <w:divBdr>
            <w:top w:val="none" w:sz="0" w:space="0" w:color="auto"/>
            <w:left w:val="none" w:sz="0" w:space="0" w:color="auto"/>
            <w:bottom w:val="none" w:sz="0" w:space="0" w:color="auto"/>
            <w:right w:val="none" w:sz="0" w:space="0" w:color="auto"/>
          </w:divBdr>
        </w:div>
      </w:divsChild>
    </w:div>
    <w:div w:id="277222062">
      <w:bodyDiv w:val="1"/>
      <w:marLeft w:val="0"/>
      <w:marRight w:val="0"/>
      <w:marTop w:val="0"/>
      <w:marBottom w:val="0"/>
      <w:divBdr>
        <w:top w:val="none" w:sz="0" w:space="0" w:color="auto"/>
        <w:left w:val="none" w:sz="0" w:space="0" w:color="auto"/>
        <w:bottom w:val="none" w:sz="0" w:space="0" w:color="auto"/>
        <w:right w:val="none" w:sz="0" w:space="0" w:color="auto"/>
      </w:divBdr>
    </w:div>
    <w:div w:id="381950240">
      <w:bodyDiv w:val="1"/>
      <w:marLeft w:val="0"/>
      <w:marRight w:val="0"/>
      <w:marTop w:val="0"/>
      <w:marBottom w:val="0"/>
      <w:divBdr>
        <w:top w:val="none" w:sz="0" w:space="0" w:color="auto"/>
        <w:left w:val="none" w:sz="0" w:space="0" w:color="auto"/>
        <w:bottom w:val="none" w:sz="0" w:space="0" w:color="auto"/>
        <w:right w:val="none" w:sz="0" w:space="0" w:color="auto"/>
      </w:divBdr>
      <w:divsChild>
        <w:div w:id="48069955">
          <w:marLeft w:val="547"/>
          <w:marRight w:val="0"/>
          <w:marTop w:val="0"/>
          <w:marBottom w:val="0"/>
          <w:divBdr>
            <w:top w:val="none" w:sz="0" w:space="0" w:color="auto"/>
            <w:left w:val="none" w:sz="0" w:space="0" w:color="auto"/>
            <w:bottom w:val="none" w:sz="0" w:space="0" w:color="auto"/>
            <w:right w:val="none" w:sz="0" w:space="0" w:color="auto"/>
          </w:divBdr>
        </w:div>
      </w:divsChild>
    </w:div>
    <w:div w:id="403337778">
      <w:bodyDiv w:val="1"/>
      <w:marLeft w:val="0"/>
      <w:marRight w:val="0"/>
      <w:marTop w:val="0"/>
      <w:marBottom w:val="0"/>
      <w:divBdr>
        <w:top w:val="none" w:sz="0" w:space="0" w:color="auto"/>
        <w:left w:val="none" w:sz="0" w:space="0" w:color="auto"/>
        <w:bottom w:val="none" w:sz="0" w:space="0" w:color="auto"/>
        <w:right w:val="none" w:sz="0" w:space="0" w:color="auto"/>
      </w:divBdr>
    </w:div>
    <w:div w:id="476461675">
      <w:bodyDiv w:val="1"/>
      <w:marLeft w:val="0"/>
      <w:marRight w:val="0"/>
      <w:marTop w:val="0"/>
      <w:marBottom w:val="0"/>
      <w:divBdr>
        <w:top w:val="none" w:sz="0" w:space="0" w:color="auto"/>
        <w:left w:val="none" w:sz="0" w:space="0" w:color="auto"/>
        <w:bottom w:val="none" w:sz="0" w:space="0" w:color="auto"/>
        <w:right w:val="none" w:sz="0" w:space="0" w:color="auto"/>
      </w:divBdr>
      <w:divsChild>
        <w:div w:id="1173833236">
          <w:marLeft w:val="547"/>
          <w:marRight w:val="0"/>
          <w:marTop w:val="0"/>
          <w:marBottom w:val="0"/>
          <w:divBdr>
            <w:top w:val="none" w:sz="0" w:space="0" w:color="auto"/>
            <w:left w:val="none" w:sz="0" w:space="0" w:color="auto"/>
            <w:bottom w:val="none" w:sz="0" w:space="0" w:color="auto"/>
            <w:right w:val="none" w:sz="0" w:space="0" w:color="auto"/>
          </w:divBdr>
        </w:div>
      </w:divsChild>
    </w:div>
    <w:div w:id="510950219">
      <w:bodyDiv w:val="1"/>
      <w:marLeft w:val="0"/>
      <w:marRight w:val="0"/>
      <w:marTop w:val="0"/>
      <w:marBottom w:val="0"/>
      <w:divBdr>
        <w:top w:val="none" w:sz="0" w:space="0" w:color="auto"/>
        <w:left w:val="none" w:sz="0" w:space="0" w:color="auto"/>
        <w:bottom w:val="none" w:sz="0" w:space="0" w:color="auto"/>
        <w:right w:val="none" w:sz="0" w:space="0" w:color="auto"/>
      </w:divBdr>
    </w:div>
    <w:div w:id="534319471">
      <w:bodyDiv w:val="1"/>
      <w:marLeft w:val="0"/>
      <w:marRight w:val="0"/>
      <w:marTop w:val="0"/>
      <w:marBottom w:val="0"/>
      <w:divBdr>
        <w:top w:val="none" w:sz="0" w:space="0" w:color="auto"/>
        <w:left w:val="none" w:sz="0" w:space="0" w:color="auto"/>
        <w:bottom w:val="none" w:sz="0" w:space="0" w:color="auto"/>
        <w:right w:val="none" w:sz="0" w:space="0" w:color="auto"/>
      </w:divBdr>
    </w:div>
    <w:div w:id="559948442">
      <w:bodyDiv w:val="1"/>
      <w:marLeft w:val="0"/>
      <w:marRight w:val="0"/>
      <w:marTop w:val="0"/>
      <w:marBottom w:val="0"/>
      <w:divBdr>
        <w:top w:val="none" w:sz="0" w:space="0" w:color="auto"/>
        <w:left w:val="none" w:sz="0" w:space="0" w:color="auto"/>
        <w:bottom w:val="none" w:sz="0" w:space="0" w:color="auto"/>
        <w:right w:val="none" w:sz="0" w:space="0" w:color="auto"/>
      </w:divBdr>
      <w:divsChild>
        <w:div w:id="720330803">
          <w:marLeft w:val="547"/>
          <w:marRight w:val="0"/>
          <w:marTop w:val="0"/>
          <w:marBottom w:val="0"/>
          <w:divBdr>
            <w:top w:val="none" w:sz="0" w:space="0" w:color="auto"/>
            <w:left w:val="none" w:sz="0" w:space="0" w:color="auto"/>
            <w:bottom w:val="none" w:sz="0" w:space="0" w:color="auto"/>
            <w:right w:val="none" w:sz="0" w:space="0" w:color="auto"/>
          </w:divBdr>
        </w:div>
        <w:div w:id="1000276256">
          <w:marLeft w:val="547"/>
          <w:marRight w:val="0"/>
          <w:marTop w:val="0"/>
          <w:marBottom w:val="0"/>
          <w:divBdr>
            <w:top w:val="none" w:sz="0" w:space="0" w:color="auto"/>
            <w:left w:val="none" w:sz="0" w:space="0" w:color="auto"/>
            <w:bottom w:val="none" w:sz="0" w:space="0" w:color="auto"/>
            <w:right w:val="none" w:sz="0" w:space="0" w:color="auto"/>
          </w:divBdr>
        </w:div>
      </w:divsChild>
    </w:div>
    <w:div w:id="582373983">
      <w:bodyDiv w:val="1"/>
      <w:marLeft w:val="0"/>
      <w:marRight w:val="0"/>
      <w:marTop w:val="0"/>
      <w:marBottom w:val="0"/>
      <w:divBdr>
        <w:top w:val="none" w:sz="0" w:space="0" w:color="auto"/>
        <w:left w:val="none" w:sz="0" w:space="0" w:color="auto"/>
        <w:bottom w:val="none" w:sz="0" w:space="0" w:color="auto"/>
        <w:right w:val="none" w:sz="0" w:space="0" w:color="auto"/>
      </w:divBdr>
    </w:div>
    <w:div w:id="661659915">
      <w:bodyDiv w:val="1"/>
      <w:marLeft w:val="0"/>
      <w:marRight w:val="0"/>
      <w:marTop w:val="0"/>
      <w:marBottom w:val="0"/>
      <w:divBdr>
        <w:top w:val="none" w:sz="0" w:space="0" w:color="auto"/>
        <w:left w:val="none" w:sz="0" w:space="0" w:color="auto"/>
        <w:bottom w:val="none" w:sz="0" w:space="0" w:color="auto"/>
        <w:right w:val="none" w:sz="0" w:space="0" w:color="auto"/>
      </w:divBdr>
      <w:divsChild>
        <w:div w:id="32971990">
          <w:marLeft w:val="547"/>
          <w:marRight w:val="0"/>
          <w:marTop w:val="0"/>
          <w:marBottom w:val="0"/>
          <w:divBdr>
            <w:top w:val="none" w:sz="0" w:space="0" w:color="auto"/>
            <w:left w:val="none" w:sz="0" w:space="0" w:color="auto"/>
            <w:bottom w:val="none" w:sz="0" w:space="0" w:color="auto"/>
            <w:right w:val="none" w:sz="0" w:space="0" w:color="auto"/>
          </w:divBdr>
        </w:div>
        <w:div w:id="1255943518">
          <w:marLeft w:val="547"/>
          <w:marRight w:val="0"/>
          <w:marTop w:val="0"/>
          <w:marBottom w:val="0"/>
          <w:divBdr>
            <w:top w:val="none" w:sz="0" w:space="0" w:color="auto"/>
            <w:left w:val="none" w:sz="0" w:space="0" w:color="auto"/>
            <w:bottom w:val="none" w:sz="0" w:space="0" w:color="auto"/>
            <w:right w:val="none" w:sz="0" w:space="0" w:color="auto"/>
          </w:divBdr>
        </w:div>
        <w:div w:id="1480883109">
          <w:marLeft w:val="547"/>
          <w:marRight w:val="0"/>
          <w:marTop w:val="0"/>
          <w:marBottom w:val="0"/>
          <w:divBdr>
            <w:top w:val="none" w:sz="0" w:space="0" w:color="auto"/>
            <w:left w:val="none" w:sz="0" w:space="0" w:color="auto"/>
            <w:bottom w:val="none" w:sz="0" w:space="0" w:color="auto"/>
            <w:right w:val="none" w:sz="0" w:space="0" w:color="auto"/>
          </w:divBdr>
        </w:div>
        <w:div w:id="1759476953">
          <w:marLeft w:val="547"/>
          <w:marRight w:val="0"/>
          <w:marTop w:val="0"/>
          <w:marBottom w:val="0"/>
          <w:divBdr>
            <w:top w:val="none" w:sz="0" w:space="0" w:color="auto"/>
            <w:left w:val="none" w:sz="0" w:space="0" w:color="auto"/>
            <w:bottom w:val="none" w:sz="0" w:space="0" w:color="auto"/>
            <w:right w:val="none" w:sz="0" w:space="0" w:color="auto"/>
          </w:divBdr>
        </w:div>
      </w:divsChild>
    </w:div>
    <w:div w:id="684596841">
      <w:bodyDiv w:val="1"/>
      <w:marLeft w:val="0"/>
      <w:marRight w:val="0"/>
      <w:marTop w:val="0"/>
      <w:marBottom w:val="0"/>
      <w:divBdr>
        <w:top w:val="none" w:sz="0" w:space="0" w:color="auto"/>
        <w:left w:val="none" w:sz="0" w:space="0" w:color="auto"/>
        <w:bottom w:val="none" w:sz="0" w:space="0" w:color="auto"/>
        <w:right w:val="none" w:sz="0" w:space="0" w:color="auto"/>
      </w:divBdr>
    </w:div>
    <w:div w:id="699013877">
      <w:bodyDiv w:val="1"/>
      <w:marLeft w:val="0"/>
      <w:marRight w:val="0"/>
      <w:marTop w:val="0"/>
      <w:marBottom w:val="0"/>
      <w:divBdr>
        <w:top w:val="none" w:sz="0" w:space="0" w:color="auto"/>
        <w:left w:val="none" w:sz="0" w:space="0" w:color="auto"/>
        <w:bottom w:val="none" w:sz="0" w:space="0" w:color="auto"/>
        <w:right w:val="none" w:sz="0" w:space="0" w:color="auto"/>
      </w:divBdr>
    </w:div>
    <w:div w:id="706414028">
      <w:bodyDiv w:val="1"/>
      <w:marLeft w:val="0"/>
      <w:marRight w:val="0"/>
      <w:marTop w:val="0"/>
      <w:marBottom w:val="0"/>
      <w:divBdr>
        <w:top w:val="none" w:sz="0" w:space="0" w:color="auto"/>
        <w:left w:val="none" w:sz="0" w:space="0" w:color="auto"/>
        <w:bottom w:val="none" w:sz="0" w:space="0" w:color="auto"/>
        <w:right w:val="none" w:sz="0" w:space="0" w:color="auto"/>
      </w:divBdr>
      <w:divsChild>
        <w:div w:id="1945844741">
          <w:marLeft w:val="547"/>
          <w:marRight w:val="0"/>
          <w:marTop w:val="0"/>
          <w:marBottom w:val="0"/>
          <w:divBdr>
            <w:top w:val="none" w:sz="0" w:space="0" w:color="auto"/>
            <w:left w:val="none" w:sz="0" w:space="0" w:color="auto"/>
            <w:bottom w:val="none" w:sz="0" w:space="0" w:color="auto"/>
            <w:right w:val="none" w:sz="0" w:space="0" w:color="auto"/>
          </w:divBdr>
        </w:div>
      </w:divsChild>
    </w:div>
    <w:div w:id="733118429">
      <w:bodyDiv w:val="1"/>
      <w:marLeft w:val="0"/>
      <w:marRight w:val="0"/>
      <w:marTop w:val="0"/>
      <w:marBottom w:val="0"/>
      <w:divBdr>
        <w:top w:val="none" w:sz="0" w:space="0" w:color="auto"/>
        <w:left w:val="none" w:sz="0" w:space="0" w:color="auto"/>
        <w:bottom w:val="none" w:sz="0" w:space="0" w:color="auto"/>
        <w:right w:val="none" w:sz="0" w:space="0" w:color="auto"/>
      </w:divBdr>
      <w:divsChild>
        <w:div w:id="514003930">
          <w:marLeft w:val="547"/>
          <w:marRight w:val="0"/>
          <w:marTop w:val="0"/>
          <w:marBottom w:val="0"/>
          <w:divBdr>
            <w:top w:val="none" w:sz="0" w:space="0" w:color="auto"/>
            <w:left w:val="none" w:sz="0" w:space="0" w:color="auto"/>
            <w:bottom w:val="none" w:sz="0" w:space="0" w:color="auto"/>
            <w:right w:val="none" w:sz="0" w:space="0" w:color="auto"/>
          </w:divBdr>
        </w:div>
      </w:divsChild>
    </w:div>
    <w:div w:id="799614852">
      <w:bodyDiv w:val="1"/>
      <w:marLeft w:val="0"/>
      <w:marRight w:val="0"/>
      <w:marTop w:val="0"/>
      <w:marBottom w:val="0"/>
      <w:divBdr>
        <w:top w:val="none" w:sz="0" w:space="0" w:color="auto"/>
        <w:left w:val="none" w:sz="0" w:space="0" w:color="auto"/>
        <w:bottom w:val="none" w:sz="0" w:space="0" w:color="auto"/>
        <w:right w:val="none" w:sz="0" w:space="0" w:color="auto"/>
      </w:divBdr>
    </w:div>
    <w:div w:id="850993653">
      <w:bodyDiv w:val="1"/>
      <w:marLeft w:val="0"/>
      <w:marRight w:val="0"/>
      <w:marTop w:val="0"/>
      <w:marBottom w:val="0"/>
      <w:divBdr>
        <w:top w:val="none" w:sz="0" w:space="0" w:color="auto"/>
        <w:left w:val="none" w:sz="0" w:space="0" w:color="auto"/>
        <w:bottom w:val="none" w:sz="0" w:space="0" w:color="auto"/>
        <w:right w:val="none" w:sz="0" w:space="0" w:color="auto"/>
      </w:divBdr>
    </w:div>
    <w:div w:id="908350137">
      <w:bodyDiv w:val="1"/>
      <w:marLeft w:val="0"/>
      <w:marRight w:val="0"/>
      <w:marTop w:val="0"/>
      <w:marBottom w:val="0"/>
      <w:divBdr>
        <w:top w:val="none" w:sz="0" w:space="0" w:color="auto"/>
        <w:left w:val="none" w:sz="0" w:space="0" w:color="auto"/>
        <w:bottom w:val="none" w:sz="0" w:space="0" w:color="auto"/>
        <w:right w:val="none" w:sz="0" w:space="0" w:color="auto"/>
      </w:divBdr>
      <w:divsChild>
        <w:div w:id="1100612473">
          <w:marLeft w:val="547"/>
          <w:marRight w:val="0"/>
          <w:marTop w:val="0"/>
          <w:marBottom w:val="0"/>
          <w:divBdr>
            <w:top w:val="none" w:sz="0" w:space="0" w:color="auto"/>
            <w:left w:val="none" w:sz="0" w:space="0" w:color="auto"/>
            <w:bottom w:val="none" w:sz="0" w:space="0" w:color="auto"/>
            <w:right w:val="none" w:sz="0" w:space="0" w:color="auto"/>
          </w:divBdr>
        </w:div>
      </w:divsChild>
    </w:div>
    <w:div w:id="924147783">
      <w:bodyDiv w:val="1"/>
      <w:marLeft w:val="0"/>
      <w:marRight w:val="0"/>
      <w:marTop w:val="0"/>
      <w:marBottom w:val="0"/>
      <w:divBdr>
        <w:top w:val="none" w:sz="0" w:space="0" w:color="auto"/>
        <w:left w:val="none" w:sz="0" w:space="0" w:color="auto"/>
        <w:bottom w:val="none" w:sz="0" w:space="0" w:color="auto"/>
        <w:right w:val="none" w:sz="0" w:space="0" w:color="auto"/>
      </w:divBdr>
    </w:div>
    <w:div w:id="1027488277">
      <w:bodyDiv w:val="1"/>
      <w:marLeft w:val="0"/>
      <w:marRight w:val="0"/>
      <w:marTop w:val="0"/>
      <w:marBottom w:val="0"/>
      <w:divBdr>
        <w:top w:val="none" w:sz="0" w:space="0" w:color="auto"/>
        <w:left w:val="none" w:sz="0" w:space="0" w:color="auto"/>
        <w:bottom w:val="none" w:sz="0" w:space="0" w:color="auto"/>
        <w:right w:val="none" w:sz="0" w:space="0" w:color="auto"/>
      </w:divBdr>
    </w:div>
    <w:div w:id="1029992190">
      <w:bodyDiv w:val="1"/>
      <w:marLeft w:val="0"/>
      <w:marRight w:val="0"/>
      <w:marTop w:val="0"/>
      <w:marBottom w:val="0"/>
      <w:divBdr>
        <w:top w:val="none" w:sz="0" w:space="0" w:color="auto"/>
        <w:left w:val="none" w:sz="0" w:space="0" w:color="auto"/>
        <w:bottom w:val="none" w:sz="0" w:space="0" w:color="auto"/>
        <w:right w:val="none" w:sz="0" w:space="0" w:color="auto"/>
      </w:divBdr>
    </w:div>
    <w:div w:id="1069961359">
      <w:bodyDiv w:val="1"/>
      <w:marLeft w:val="0"/>
      <w:marRight w:val="0"/>
      <w:marTop w:val="0"/>
      <w:marBottom w:val="0"/>
      <w:divBdr>
        <w:top w:val="none" w:sz="0" w:space="0" w:color="auto"/>
        <w:left w:val="none" w:sz="0" w:space="0" w:color="auto"/>
        <w:bottom w:val="none" w:sz="0" w:space="0" w:color="auto"/>
        <w:right w:val="none" w:sz="0" w:space="0" w:color="auto"/>
      </w:divBdr>
    </w:div>
    <w:div w:id="1129203123">
      <w:bodyDiv w:val="1"/>
      <w:marLeft w:val="0"/>
      <w:marRight w:val="0"/>
      <w:marTop w:val="0"/>
      <w:marBottom w:val="0"/>
      <w:divBdr>
        <w:top w:val="none" w:sz="0" w:space="0" w:color="auto"/>
        <w:left w:val="none" w:sz="0" w:space="0" w:color="auto"/>
        <w:bottom w:val="none" w:sz="0" w:space="0" w:color="auto"/>
        <w:right w:val="none" w:sz="0" w:space="0" w:color="auto"/>
      </w:divBdr>
    </w:div>
    <w:div w:id="1177698493">
      <w:bodyDiv w:val="1"/>
      <w:marLeft w:val="0"/>
      <w:marRight w:val="0"/>
      <w:marTop w:val="0"/>
      <w:marBottom w:val="0"/>
      <w:divBdr>
        <w:top w:val="none" w:sz="0" w:space="0" w:color="auto"/>
        <w:left w:val="none" w:sz="0" w:space="0" w:color="auto"/>
        <w:bottom w:val="none" w:sz="0" w:space="0" w:color="auto"/>
        <w:right w:val="none" w:sz="0" w:space="0" w:color="auto"/>
      </w:divBdr>
    </w:div>
    <w:div w:id="1344670586">
      <w:bodyDiv w:val="1"/>
      <w:marLeft w:val="0"/>
      <w:marRight w:val="0"/>
      <w:marTop w:val="0"/>
      <w:marBottom w:val="0"/>
      <w:divBdr>
        <w:top w:val="none" w:sz="0" w:space="0" w:color="auto"/>
        <w:left w:val="none" w:sz="0" w:space="0" w:color="auto"/>
        <w:bottom w:val="none" w:sz="0" w:space="0" w:color="auto"/>
        <w:right w:val="none" w:sz="0" w:space="0" w:color="auto"/>
      </w:divBdr>
    </w:div>
    <w:div w:id="1366367008">
      <w:bodyDiv w:val="1"/>
      <w:marLeft w:val="0"/>
      <w:marRight w:val="0"/>
      <w:marTop w:val="0"/>
      <w:marBottom w:val="0"/>
      <w:divBdr>
        <w:top w:val="none" w:sz="0" w:space="0" w:color="auto"/>
        <w:left w:val="none" w:sz="0" w:space="0" w:color="auto"/>
        <w:bottom w:val="none" w:sz="0" w:space="0" w:color="auto"/>
        <w:right w:val="none" w:sz="0" w:space="0" w:color="auto"/>
      </w:divBdr>
    </w:div>
    <w:div w:id="1400706732">
      <w:bodyDiv w:val="1"/>
      <w:marLeft w:val="0"/>
      <w:marRight w:val="0"/>
      <w:marTop w:val="0"/>
      <w:marBottom w:val="0"/>
      <w:divBdr>
        <w:top w:val="none" w:sz="0" w:space="0" w:color="auto"/>
        <w:left w:val="none" w:sz="0" w:space="0" w:color="auto"/>
        <w:bottom w:val="none" w:sz="0" w:space="0" w:color="auto"/>
        <w:right w:val="none" w:sz="0" w:space="0" w:color="auto"/>
      </w:divBdr>
      <w:divsChild>
        <w:div w:id="1211386298">
          <w:marLeft w:val="547"/>
          <w:marRight w:val="0"/>
          <w:marTop w:val="0"/>
          <w:marBottom w:val="0"/>
          <w:divBdr>
            <w:top w:val="none" w:sz="0" w:space="0" w:color="auto"/>
            <w:left w:val="none" w:sz="0" w:space="0" w:color="auto"/>
            <w:bottom w:val="none" w:sz="0" w:space="0" w:color="auto"/>
            <w:right w:val="none" w:sz="0" w:space="0" w:color="auto"/>
          </w:divBdr>
        </w:div>
        <w:div w:id="2106686652">
          <w:marLeft w:val="547"/>
          <w:marRight w:val="0"/>
          <w:marTop w:val="0"/>
          <w:marBottom w:val="0"/>
          <w:divBdr>
            <w:top w:val="none" w:sz="0" w:space="0" w:color="auto"/>
            <w:left w:val="none" w:sz="0" w:space="0" w:color="auto"/>
            <w:bottom w:val="none" w:sz="0" w:space="0" w:color="auto"/>
            <w:right w:val="none" w:sz="0" w:space="0" w:color="auto"/>
          </w:divBdr>
        </w:div>
      </w:divsChild>
    </w:div>
    <w:div w:id="1416590695">
      <w:bodyDiv w:val="1"/>
      <w:marLeft w:val="0"/>
      <w:marRight w:val="0"/>
      <w:marTop w:val="0"/>
      <w:marBottom w:val="0"/>
      <w:divBdr>
        <w:top w:val="none" w:sz="0" w:space="0" w:color="auto"/>
        <w:left w:val="none" w:sz="0" w:space="0" w:color="auto"/>
        <w:bottom w:val="none" w:sz="0" w:space="0" w:color="auto"/>
        <w:right w:val="none" w:sz="0" w:space="0" w:color="auto"/>
      </w:divBdr>
    </w:div>
    <w:div w:id="1425108965">
      <w:bodyDiv w:val="1"/>
      <w:marLeft w:val="0"/>
      <w:marRight w:val="0"/>
      <w:marTop w:val="0"/>
      <w:marBottom w:val="0"/>
      <w:divBdr>
        <w:top w:val="none" w:sz="0" w:space="0" w:color="auto"/>
        <w:left w:val="none" w:sz="0" w:space="0" w:color="auto"/>
        <w:bottom w:val="none" w:sz="0" w:space="0" w:color="auto"/>
        <w:right w:val="none" w:sz="0" w:space="0" w:color="auto"/>
      </w:divBdr>
    </w:div>
    <w:div w:id="1506045859">
      <w:bodyDiv w:val="1"/>
      <w:marLeft w:val="0"/>
      <w:marRight w:val="0"/>
      <w:marTop w:val="0"/>
      <w:marBottom w:val="0"/>
      <w:divBdr>
        <w:top w:val="none" w:sz="0" w:space="0" w:color="auto"/>
        <w:left w:val="none" w:sz="0" w:space="0" w:color="auto"/>
        <w:bottom w:val="none" w:sz="0" w:space="0" w:color="auto"/>
        <w:right w:val="none" w:sz="0" w:space="0" w:color="auto"/>
      </w:divBdr>
    </w:div>
    <w:div w:id="1584099541">
      <w:bodyDiv w:val="1"/>
      <w:marLeft w:val="0"/>
      <w:marRight w:val="0"/>
      <w:marTop w:val="0"/>
      <w:marBottom w:val="0"/>
      <w:divBdr>
        <w:top w:val="none" w:sz="0" w:space="0" w:color="auto"/>
        <w:left w:val="none" w:sz="0" w:space="0" w:color="auto"/>
        <w:bottom w:val="none" w:sz="0" w:space="0" w:color="auto"/>
        <w:right w:val="none" w:sz="0" w:space="0" w:color="auto"/>
      </w:divBdr>
      <w:divsChild>
        <w:div w:id="611404567">
          <w:marLeft w:val="547"/>
          <w:marRight w:val="0"/>
          <w:marTop w:val="0"/>
          <w:marBottom w:val="0"/>
          <w:divBdr>
            <w:top w:val="none" w:sz="0" w:space="0" w:color="auto"/>
            <w:left w:val="none" w:sz="0" w:space="0" w:color="auto"/>
            <w:bottom w:val="none" w:sz="0" w:space="0" w:color="auto"/>
            <w:right w:val="none" w:sz="0" w:space="0" w:color="auto"/>
          </w:divBdr>
        </w:div>
        <w:div w:id="1503545039">
          <w:marLeft w:val="547"/>
          <w:marRight w:val="0"/>
          <w:marTop w:val="0"/>
          <w:marBottom w:val="0"/>
          <w:divBdr>
            <w:top w:val="none" w:sz="0" w:space="0" w:color="auto"/>
            <w:left w:val="none" w:sz="0" w:space="0" w:color="auto"/>
            <w:bottom w:val="none" w:sz="0" w:space="0" w:color="auto"/>
            <w:right w:val="none" w:sz="0" w:space="0" w:color="auto"/>
          </w:divBdr>
        </w:div>
        <w:div w:id="1865166706">
          <w:marLeft w:val="547"/>
          <w:marRight w:val="0"/>
          <w:marTop w:val="0"/>
          <w:marBottom w:val="0"/>
          <w:divBdr>
            <w:top w:val="none" w:sz="0" w:space="0" w:color="auto"/>
            <w:left w:val="none" w:sz="0" w:space="0" w:color="auto"/>
            <w:bottom w:val="none" w:sz="0" w:space="0" w:color="auto"/>
            <w:right w:val="none" w:sz="0" w:space="0" w:color="auto"/>
          </w:divBdr>
        </w:div>
        <w:div w:id="1897738975">
          <w:marLeft w:val="547"/>
          <w:marRight w:val="0"/>
          <w:marTop w:val="0"/>
          <w:marBottom w:val="0"/>
          <w:divBdr>
            <w:top w:val="none" w:sz="0" w:space="0" w:color="auto"/>
            <w:left w:val="none" w:sz="0" w:space="0" w:color="auto"/>
            <w:bottom w:val="none" w:sz="0" w:space="0" w:color="auto"/>
            <w:right w:val="none" w:sz="0" w:space="0" w:color="auto"/>
          </w:divBdr>
        </w:div>
      </w:divsChild>
    </w:div>
    <w:div w:id="1591818455">
      <w:bodyDiv w:val="1"/>
      <w:marLeft w:val="0"/>
      <w:marRight w:val="0"/>
      <w:marTop w:val="0"/>
      <w:marBottom w:val="0"/>
      <w:divBdr>
        <w:top w:val="none" w:sz="0" w:space="0" w:color="auto"/>
        <w:left w:val="none" w:sz="0" w:space="0" w:color="auto"/>
        <w:bottom w:val="none" w:sz="0" w:space="0" w:color="auto"/>
        <w:right w:val="none" w:sz="0" w:space="0" w:color="auto"/>
      </w:divBdr>
    </w:div>
    <w:div w:id="1638804252">
      <w:bodyDiv w:val="1"/>
      <w:marLeft w:val="0"/>
      <w:marRight w:val="0"/>
      <w:marTop w:val="0"/>
      <w:marBottom w:val="0"/>
      <w:divBdr>
        <w:top w:val="none" w:sz="0" w:space="0" w:color="auto"/>
        <w:left w:val="none" w:sz="0" w:space="0" w:color="auto"/>
        <w:bottom w:val="none" w:sz="0" w:space="0" w:color="auto"/>
        <w:right w:val="none" w:sz="0" w:space="0" w:color="auto"/>
      </w:divBdr>
    </w:div>
    <w:div w:id="1738354350">
      <w:bodyDiv w:val="1"/>
      <w:marLeft w:val="0"/>
      <w:marRight w:val="0"/>
      <w:marTop w:val="0"/>
      <w:marBottom w:val="0"/>
      <w:divBdr>
        <w:top w:val="none" w:sz="0" w:space="0" w:color="auto"/>
        <w:left w:val="none" w:sz="0" w:space="0" w:color="auto"/>
        <w:bottom w:val="none" w:sz="0" w:space="0" w:color="auto"/>
        <w:right w:val="none" w:sz="0" w:space="0" w:color="auto"/>
      </w:divBdr>
      <w:divsChild>
        <w:div w:id="937297675">
          <w:marLeft w:val="547"/>
          <w:marRight w:val="0"/>
          <w:marTop w:val="0"/>
          <w:marBottom w:val="0"/>
          <w:divBdr>
            <w:top w:val="none" w:sz="0" w:space="0" w:color="auto"/>
            <w:left w:val="none" w:sz="0" w:space="0" w:color="auto"/>
            <w:bottom w:val="none" w:sz="0" w:space="0" w:color="auto"/>
            <w:right w:val="none" w:sz="0" w:space="0" w:color="auto"/>
          </w:divBdr>
        </w:div>
        <w:div w:id="1861969216">
          <w:marLeft w:val="547"/>
          <w:marRight w:val="0"/>
          <w:marTop w:val="0"/>
          <w:marBottom w:val="0"/>
          <w:divBdr>
            <w:top w:val="none" w:sz="0" w:space="0" w:color="auto"/>
            <w:left w:val="none" w:sz="0" w:space="0" w:color="auto"/>
            <w:bottom w:val="none" w:sz="0" w:space="0" w:color="auto"/>
            <w:right w:val="none" w:sz="0" w:space="0" w:color="auto"/>
          </w:divBdr>
        </w:div>
      </w:divsChild>
    </w:div>
    <w:div w:id="1740902822">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2842204">
      <w:bodyDiv w:val="1"/>
      <w:marLeft w:val="0"/>
      <w:marRight w:val="0"/>
      <w:marTop w:val="0"/>
      <w:marBottom w:val="0"/>
      <w:divBdr>
        <w:top w:val="none" w:sz="0" w:space="0" w:color="auto"/>
        <w:left w:val="none" w:sz="0" w:space="0" w:color="auto"/>
        <w:bottom w:val="none" w:sz="0" w:space="0" w:color="auto"/>
        <w:right w:val="none" w:sz="0" w:space="0" w:color="auto"/>
      </w:divBdr>
    </w:div>
    <w:div w:id="1851142522">
      <w:bodyDiv w:val="1"/>
      <w:marLeft w:val="0"/>
      <w:marRight w:val="0"/>
      <w:marTop w:val="0"/>
      <w:marBottom w:val="0"/>
      <w:divBdr>
        <w:top w:val="none" w:sz="0" w:space="0" w:color="auto"/>
        <w:left w:val="none" w:sz="0" w:space="0" w:color="auto"/>
        <w:bottom w:val="none" w:sz="0" w:space="0" w:color="auto"/>
        <w:right w:val="none" w:sz="0" w:space="0" w:color="auto"/>
      </w:divBdr>
      <w:divsChild>
        <w:div w:id="1697534504">
          <w:marLeft w:val="547"/>
          <w:marRight w:val="0"/>
          <w:marTop w:val="0"/>
          <w:marBottom w:val="0"/>
          <w:divBdr>
            <w:top w:val="none" w:sz="0" w:space="0" w:color="auto"/>
            <w:left w:val="none" w:sz="0" w:space="0" w:color="auto"/>
            <w:bottom w:val="none" w:sz="0" w:space="0" w:color="auto"/>
            <w:right w:val="none" w:sz="0" w:space="0" w:color="auto"/>
          </w:divBdr>
        </w:div>
      </w:divsChild>
    </w:div>
    <w:div w:id="1899433562">
      <w:bodyDiv w:val="1"/>
      <w:marLeft w:val="0"/>
      <w:marRight w:val="0"/>
      <w:marTop w:val="0"/>
      <w:marBottom w:val="0"/>
      <w:divBdr>
        <w:top w:val="none" w:sz="0" w:space="0" w:color="auto"/>
        <w:left w:val="none" w:sz="0" w:space="0" w:color="auto"/>
        <w:bottom w:val="none" w:sz="0" w:space="0" w:color="auto"/>
        <w:right w:val="none" w:sz="0" w:space="0" w:color="auto"/>
      </w:divBdr>
    </w:div>
    <w:div w:id="1902863885">
      <w:bodyDiv w:val="1"/>
      <w:marLeft w:val="0"/>
      <w:marRight w:val="0"/>
      <w:marTop w:val="0"/>
      <w:marBottom w:val="0"/>
      <w:divBdr>
        <w:top w:val="none" w:sz="0" w:space="0" w:color="auto"/>
        <w:left w:val="none" w:sz="0" w:space="0" w:color="auto"/>
        <w:bottom w:val="none" w:sz="0" w:space="0" w:color="auto"/>
        <w:right w:val="none" w:sz="0" w:space="0" w:color="auto"/>
      </w:divBdr>
    </w:div>
    <w:div w:id="1912160100">
      <w:bodyDiv w:val="1"/>
      <w:marLeft w:val="0"/>
      <w:marRight w:val="0"/>
      <w:marTop w:val="0"/>
      <w:marBottom w:val="0"/>
      <w:divBdr>
        <w:top w:val="none" w:sz="0" w:space="0" w:color="auto"/>
        <w:left w:val="none" w:sz="0" w:space="0" w:color="auto"/>
        <w:bottom w:val="none" w:sz="0" w:space="0" w:color="auto"/>
        <w:right w:val="none" w:sz="0" w:space="0" w:color="auto"/>
      </w:divBdr>
    </w:div>
    <w:div w:id="1928343058">
      <w:bodyDiv w:val="1"/>
      <w:marLeft w:val="0"/>
      <w:marRight w:val="0"/>
      <w:marTop w:val="0"/>
      <w:marBottom w:val="0"/>
      <w:divBdr>
        <w:top w:val="none" w:sz="0" w:space="0" w:color="auto"/>
        <w:left w:val="none" w:sz="0" w:space="0" w:color="auto"/>
        <w:bottom w:val="none" w:sz="0" w:space="0" w:color="auto"/>
        <w:right w:val="none" w:sz="0" w:space="0" w:color="auto"/>
      </w:divBdr>
      <w:divsChild>
        <w:div w:id="195628746">
          <w:marLeft w:val="547"/>
          <w:marRight w:val="0"/>
          <w:marTop w:val="0"/>
          <w:marBottom w:val="0"/>
          <w:divBdr>
            <w:top w:val="none" w:sz="0" w:space="0" w:color="auto"/>
            <w:left w:val="none" w:sz="0" w:space="0" w:color="auto"/>
            <w:bottom w:val="none" w:sz="0" w:space="0" w:color="auto"/>
            <w:right w:val="none" w:sz="0" w:space="0" w:color="auto"/>
          </w:divBdr>
        </w:div>
        <w:div w:id="797913683">
          <w:marLeft w:val="547"/>
          <w:marRight w:val="0"/>
          <w:marTop w:val="0"/>
          <w:marBottom w:val="0"/>
          <w:divBdr>
            <w:top w:val="none" w:sz="0" w:space="0" w:color="auto"/>
            <w:left w:val="none" w:sz="0" w:space="0" w:color="auto"/>
            <w:bottom w:val="none" w:sz="0" w:space="0" w:color="auto"/>
            <w:right w:val="none" w:sz="0" w:space="0" w:color="auto"/>
          </w:divBdr>
        </w:div>
      </w:divsChild>
    </w:div>
    <w:div w:id="195933470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60">
          <w:marLeft w:val="547"/>
          <w:marRight w:val="0"/>
          <w:marTop w:val="0"/>
          <w:marBottom w:val="0"/>
          <w:divBdr>
            <w:top w:val="none" w:sz="0" w:space="0" w:color="auto"/>
            <w:left w:val="none" w:sz="0" w:space="0" w:color="auto"/>
            <w:bottom w:val="none" w:sz="0" w:space="0" w:color="auto"/>
            <w:right w:val="none" w:sz="0" w:space="0" w:color="auto"/>
          </w:divBdr>
        </w:div>
      </w:divsChild>
    </w:div>
    <w:div w:id="20509551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0" ma:contentTypeDescription="Create a new document." ma:contentTypeScope="" ma:versionID="87e60a5306ce5248e06c428097647a7a">
  <xsd:schema xmlns:xsd="http://www.w3.org/2001/XMLSchema" xmlns:xs="http://www.w3.org/2001/XMLSchema" xmlns:p="http://schemas.microsoft.com/office/2006/metadata/properties" targetNamespace="http://schemas.microsoft.com/office/2006/metadata/properties" ma:root="true" ma:fieldsID="c3b26aedfbac6a8174447b9d291061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6646-EAAD-42AD-AF0D-34F72EB40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B2F10A-C461-47AD-BB14-501E4E2F1941}">
  <ds:schemaRefs>
    <ds:schemaRef ds:uri="http://schemas.microsoft.com/sharepoint/v3/contenttype/forms"/>
  </ds:schemaRefs>
</ds:datastoreItem>
</file>

<file path=customXml/itemProps3.xml><?xml version="1.0" encoding="utf-8"?>
<ds:datastoreItem xmlns:ds="http://schemas.openxmlformats.org/officeDocument/2006/customXml" ds:itemID="{8A0AD685-47EC-4D37-8309-583155B23F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470BCC-10D3-4BBF-A1C6-587813D1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Annual session 2015</vt:lpstr>
    </vt:vector>
  </TitlesOfParts>
  <Company>UNDP</Company>
  <LinksUpToDate>false</LinksUpToDate>
  <CharactersWithSpaces>28328</CharactersWithSpaces>
  <SharedDoc>false</SharedDoc>
  <HLinks>
    <vt:vector size="12" baseType="variant">
      <vt:variant>
        <vt:i4>6619159</vt:i4>
      </vt:variant>
      <vt:variant>
        <vt:i4>3</vt:i4>
      </vt:variant>
      <vt:variant>
        <vt:i4>0</vt:i4>
      </vt:variant>
      <vt:variant>
        <vt:i4>5</vt:i4>
      </vt:variant>
      <vt:variant>
        <vt:lpwstr>http://www.undp.org/content/undp/en/home/operations/executive_board/overview.html</vt:lpwstr>
      </vt:variant>
      <vt:variant>
        <vt:lpwstr/>
      </vt:variant>
      <vt:variant>
        <vt:i4>6619159</vt:i4>
      </vt:variant>
      <vt:variant>
        <vt:i4>0</vt:i4>
      </vt:variant>
      <vt:variant>
        <vt:i4>0</vt:i4>
      </vt:variant>
      <vt:variant>
        <vt:i4>5</vt:i4>
      </vt:variant>
      <vt:variant>
        <vt:lpwstr>http://www.undp.org/content/undp/en/home/operations/executive_board/overview.html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session 2015</dc:title>
  <dc:creator>mary.mugambi@undp.org</dc:creator>
  <cp:lastModifiedBy>Svetlana Iazykova</cp:lastModifiedBy>
  <cp:revision>2</cp:revision>
  <cp:lastPrinted>2016-10-21T04:49:00Z</cp:lastPrinted>
  <dcterms:created xsi:type="dcterms:W3CDTF">2017-12-01T17:19:00Z</dcterms:created>
  <dcterms:modified xsi:type="dcterms:W3CDTF">2017-12-01T17:19:00Z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ies>
</file>