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E4A4" w14:textId="77777777" w:rsidR="009A47BF" w:rsidRPr="00046271" w:rsidRDefault="009A47BF" w:rsidP="009A47BF">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color w:val="000000"/>
          <w:sz w:val="20"/>
          <w:szCs w:val="20"/>
        </w:rPr>
      </w:pPr>
      <w:r w:rsidRPr="00046271">
        <w:rPr>
          <w:b/>
          <w:color w:val="000000"/>
          <w:sz w:val="20"/>
          <w:szCs w:val="20"/>
        </w:rPr>
        <w:t>First regular session 2020</w:t>
      </w:r>
    </w:p>
    <w:p w14:paraId="57B15F63" w14:textId="3C5A516E" w:rsidR="009A47BF" w:rsidRPr="00046271" w:rsidRDefault="00B14AD9" w:rsidP="009A47BF">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color w:val="000000"/>
          <w:sz w:val="20"/>
          <w:szCs w:val="20"/>
        </w:rPr>
      </w:pPr>
      <w:r>
        <w:rPr>
          <w:color w:val="000000"/>
          <w:sz w:val="20"/>
          <w:szCs w:val="20"/>
        </w:rPr>
        <w:t>3-6 February</w:t>
      </w:r>
      <w:r w:rsidR="00F86B3F">
        <w:rPr>
          <w:color w:val="000000"/>
          <w:sz w:val="20"/>
          <w:szCs w:val="20"/>
        </w:rPr>
        <w:t xml:space="preserve"> 2020</w:t>
      </w:r>
      <w:r w:rsidR="009A47BF" w:rsidRPr="00046271">
        <w:rPr>
          <w:color w:val="000000"/>
          <w:sz w:val="20"/>
          <w:szCs w:val="20"/>
        </w:rPr>
        <w:t>, New York</w:t>
      </w:r>
    </w:p>
    <w:p w14:paraId="4AA543E3" w14:textId="68F5E6F2" w:rsidR="009A47BF" w:rsidRPr="00046271" w:rsidRDefault="009A47BF" w:rsidP="009A47BF">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color w:val="000000"/>
          <w:sz w:val="20"/>
          <w:szCs w:val="20"/>
        </w:rPr>
      </w:pPr>
      <w:r w:rsidRPr="00046271">
        <w:rPr>
          <w:color w:val="000000"/>
          <w:sz w:val="20"/>
          <w:szCs w:val="20"/>
        </w:rPr>
        <w:t xml:space="preserve">Item </w:t>
      </w:r>
      <w:r w:rsidR="00B14AD9">
        <w:rPr>
          <w:color w:val="000000"/>
          <w:sz w:val="20"/>
          <w:szCs w:val="20"/>
        </w:rPr>
        <w:t>3</w:t>
      </w:r>
      <w:r w:rsidRPr="00046271">
        <w:rPr>
          <w:color w:val="000000"/>
          <w:sz w:val="20"/>
          <w:szCs w:val="20"/>
        </w:rPr>
        <w:t xml:space="preserve"> of the provisional agenda</w:t>
      </w:r>
    </w:p>
    <w:p w14:paraId="412A3D06" w14:textId="77777777" w:rsidR="009A47BF" w:rsidRPr="00046271" w:rsidRDefault="009A47BF" w:rsidP="009A47BF">
      <w:pPr>
        <w:tabs>
          <w:tab w:val="left" w:pos="900"/>
          <w:tab w:val="left" w:pos="990"/>
          <w:tab w:val="left" w:pos="8640"/>
          <w:tab w:val="left" w:pos="9180"/>
        </w:tabs>
        <w:spacing w:after="120"/>
        <w:ind w:right="1260"/>
        <w:rPr>
          <w:b/>
          <w:color w:val="000000"/>
          <w:sz w:val="20"/>
          <w:szCs w:val="20"/>
        </w:rPr>
      </w:pPr>
      <w:r w:rsidRPr="00046271">
        <w:rPr>
          <w:b/>
          <w:color w:val="000000"/>
          <w:sz w:val="20"/>
          <w:szCs w:val="20"/>
        </w:rPr>
        <w:t>Country programmes and related matters</w:t>
      </w:r>
    </w:p>
    <w:p w14:paraId="0C73D5B1" w14:textId="77777777" w:rsidR="009A47BF" w:rsidRPr="00046271" w:rsidRDefault="009A47BF" w:rsidP="009A47BF">
      <w:pPr>
        <w:pStyle w:val="SingleTxt"/>
        <w:tabs>
          <w:tab w:val="left" w:pos="900"/>
          <w:tab w:val="left" w:pos="990"/>
          <w:tab w:val="left" w:pos="8640"/>
          <w:tab w:val="left" w:pos="9180"/>
        </w:tabs>
        <w:spacing w:line="240" w:lineRule="auto"/>
        <w:ind w:left="0"/>
        <w:rPr>
          <w:color w:val="000000"/>
          <w:sz w:val="20"/>
          <w:szCs w:val="20"/>
        </w:rPr>
      </w:pPr>
    </w:p>
    <w:p w14:paraId="4C146794" w14:textId="77777777" w:rsidR="00F86B3F" w:rsidRDefault="00F86B3F" w:rsidP="00B14AD9">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rPr>
      </w:pPr>
    </w:p>
    <w:p w14:paraId="28F696BC" w14:textId="6FF2AE44" w:rsidR="00B14AD9" w:rsidRPr="00B14AD9" w:rsidRDefault="00B14AD9" w:rsidP="00B14AD9">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rPr>
      </w:pPr>
      <w:r w:rsidRPr="00B14AD9">
        <w:rPr>
          <w:b/>
          <w:color w:val="000000"/>
          <w:spacing w:val="-2"/>
          <w:w w:val="103"/>
          <w:kern w:val="14"/>
          <w:sz w:val="32"/>
          <w:szCs w:val="32"/>
        </w:rPr>
        <w:t xml:space="preserve">Draft country programme document for </w:t>
      </w:r>
      <w:r>
        <w:rPr>
          <w:b/>
          <w:color w:val="000000"/>
          <w:spacing w:val="-2"/>
          <w:w w:val="103"/>
          <w:kern w:val="14"/>
          <w:sz w:val="32"/>
          <w:szCs w:val="32"/>
        </w:rPr>
        <w:t>the State of Kuwait</w:t>
      </w:r>
      <w:r>
        <w:rPr>
          <w:b/>
          <w:color w:val="000000"/>
          <w:spacing w:val="-2"/>
          <w:w w:val="103"/>
          <w:kern w:val="14"/>
          <w:sz w:val="32"/>
          <w:szCs w:val="32"/>
        </w:rPr>
        <w:br/>
      </w:r>
      <w:r w:rsidRPr="00B14AD9">
        <w:rPr>
          <w:b/>
          <w:color w:val="000000"/>
          <w:spacing w:val="-2"/>
          <w:w w:val="103"/>
          <w:kern w:val="14"/>
          <w:sz w:val="32"/>
          <w:szCs w:val="32"/>
        </w:rPr>
        <w:t>(2020-2024)</w:t>
      </w:r>
      <w:r w:rsidRPr="00B14AD9">
        <w:rPr>
          <w:b/>
          <w:color w:val="000000"/>
          <w:spacing w:val="-2"/>
          <w:w w:val="103"/>
          <w:kern w:val="14"/>
          <w:sz w:val="32"/>
          <w:szCs w:val="32"/>
        </w:rPr>
        <w:br/>
      </w:r>
    </w:p>
    <w:p w14:paraId="17017202" w14:textId="77777777" w:rsidR="00B14AD9" w:rsidRPr="00B14AD9" w:rsidRDefault="00B14AD9" w:rsidP="00B14AD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szCs w:val="20"/>
          <w:lang w:eastAsia="fr-FR"/>
        </w:rPr>
      </w:pPr>
    </w:p>
    <w:p w14:paraId="2D7F63AF" w14:textId="77777777" w:rsidR="00B14AD9" w:rsidRPr="00B14AD9" w:rsidRDefault="00B14AD9" w:rsidP="00B14AD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z w:val="20"/>
          <w:szCs w:val="20"/>
          <w:lang w:eastAsia="fr-FR"/>
        </w:rPr>
      </w:pPr>
      <w:r w:rsidRPr="00B14AD9">
        <w:rPr>
          <w:color w:val="000000"/>
          <w:kern w:val="14"/>
          <w:sz w:val="28"/>
          <w:szCs w:val="20"/>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B14AD9" w:rsidRPr="00B14AD9" w14:paraId="08EBBE0D" w14:textId="77777777" w:rsidTr="00767866">
        <w:tc>
          <w:tcPr>
            <w:tcW w:w="1060" w:type="dxa"/>
            <w:shd w:val="clear" w:color="auto" w:fill="auto"/>
          </w:tcPr>
          <w:p w14:paraId="0B2009D1" w14:textId="77777777" w:rsidR="00B14AD9" w:rsidRPr="00B14AD9" w:rsidRDefault="00B14AD9" w:rsidP="00B14AD9">
            <w:pPr>
              <w:tabs>
                <w:tab w:val="left" w:pos="1620"/>
              </w:tabs>
              <w:suppressAutoHyphens/>
              <w:spacing w:after="120"/>
              <w:jc w:val="right"/>
              <w:rPr>
                <w:i/>
                <w:color w:val="000000"/>
                <w:spacing w:val="4"/>
                <w:w w:val="103"/>
                <w:kern w:val="14"/>
                <w:sz w:val="14"/>
                <w:szCs w:val="20"/>
                <w:lang w:eastAsia="fr-FR"/>
              </w:rPr>
            </w:pPr>
          </w:p>
        </w:tc>
        <w:tc>
          <w:tcPr>
            <w:tcW w:w="8480" w:type="dxa"/>
            <w:gridSpan w:val="2"/>
            <w:shd w:val="clear" w:color="auto" w:fill="auto"/>
          </w:tcPr>
          <w:p w14:paraId="67255736" w14:textId="77777777" w:rsidR="00B14AD9" w:rsidRPr="00B14AD9" w:rsidRDefault="00B14AD9" w:rsidP="00B14AD9">
            <w:pPr>
              <w:tabs>
                <w:tab w:val="left" w:pos="1620"/>
              </w:tabs>
              <w:suppressAutoHyphens/>
              <w:spacing w:after="120"/>
              <w:rPr>
                <w:i/>
                <w:color w:val="000000"/>
                <w:spacing w:val="4"/>
                <w:w w:val="103"/>
                <w:kern w:val="14"/>
                <w:sz w:val="14"/>
                <w:szCs w:val="20"/>
                <w:lang w:eastAsia="fr-FR"/>
              </w:rPr>
            </w:pPr>
          </w:p>
        </w:tc>
        <w:tc>
          <w:tcPr>
            <w:tcW w:w="362" w:type="dxa"/>
            <w:shd w:val="clear" w:color="auto" w:fill="auto"/>
          </w:tcPr>
          <w:p w14:paraId="1E8FACFA" w14:textId="77777777" w:rsidR="00B14AD9" w:rsidRPr="00B14AD9" w:rsidRDefault="00B14AD9" w:rsidP="00B14AD9">
            <w:pPr>
              <w:tabs>
                <w:tab w:val="left" w:pos="1620"/>
              </w:tabs>
              <w:suppressAutoHyphens/>
              <w:spacing w:after="120"/>
              <w:jc w:val="right"/>
              <w:rPr>
                <w:i/>
                <w:color w:val="000000"/>
                <w:spacing w:val="4"/>
                <w:w w:val="103"/>
                <w:kern w:val="14"/>
                <w:sz w:val="14"/>
                <w:szCs w:val="20"/>
                <w:lang w:eastAsia="fr-FR"/>
              </w:rPr>
            </w:pPr>
            <w:r w:rsidRPr="00B14AD9">
              <w:rPr>
                <w:i/>
                <w:iCs/>
                <w:color w:val="000000"/>
                <w:kern w:val="14"/>
                <w:sz w:val="14"/>
                <w:szCs w:val="20"/>
                <w:lang w:eastAsia="fr-FR"/>
              </w:rPr>
              <w:t>Page</w:t>
            </w:r>
          </w:p>
        </w:tc>
      </w:tr>
      <w:tr w:rsidR="00B14AD9" w:rsidRPr="00B14AD9" w14:paraId="7D4A56CA" w14:textId="77777777" w:rsidTr="00767866">
        <w:tc>
          <w:tcPr>
            <w:tcW w:w="9540" w:type="dxa"/>
            <w:gridSpan w:val="3"/>
            <w:shd w:val="clear" w:color="auto" w:fill="auto"/>
          </w:tcPr>
          <w:p w14:paraId="56E6BA49" w14:textId="77777777" w:rsidR="00B14AD9" w:rsidRPr="00B14AD9" w:rsidRDefault="00B14AD9" w:rsidP="00B14AD9">
            <w:pPr>
              <w:numPr>
                <w:ilvl w:val="0"/>
                <w:numId w:val="11"/>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sz w:val="20"/>
                <w:szCs w:val="20"/>
                <w:lang w:eastAsia="fr-FR"/>
              </w:rPr>
            </w:pPr>
            <w:r w:rsidRPr="00B14AD9">
              <w:rPr>
                <w:color w:val="000000"/>
                <w:kern w:val="14"/>
                <w:sz w:val="20"/>
                <w:szCs w:val="20"/>
                <w:lang w:eastAsia="fr-FR"/>
              </w:rPr>
              <w:tab/>
              <w:t>Programme rationale</w:t>
            </w:r>
            <w:r w:rsidRPr="00B14AD9">
              <w:rPr>
                <w:color w:val="000000"/>
                <w:lang w:eastAsia="fr-FR"/>
              </w:rPr>
              <w:tab/>
            </w:r>
          </w:p>
        </w:tc>
        <w:tc>
          <w:tcPr>
            <w:tcW w:w="362" w:type="dxa"/>
            <w:vMerge w:val="restart"/>
            <w:shd w:val="clear" w:color="auto" w:fill="auto"/>
            <w:vAlign w:val="bottom"/>
          </w:tcPr>
          <w:p w14:paraId="6C8559E2" w14:textId="77777777" w:rsidR="00B14AD9" w:rsidRPr="00B14AD9" w:rsidRDefault="00B14AD9" w:rsidP="00B14AD9">
            <w:pPr>
              <w:tabs>
                <w:tab w:val="left" w:pos="1620"/>
              </w:tabs>
              <w:suppressAutoHyphens/>
              <w:spacing w:after="120" w:line="240" w:lineRule="exact"/>
              <w:jc w:val="right"/>
              <w:rPr>
                <w:color w:val="000000"/>
                <w:spacing w:val="4"/>
                <w:w w:val="103"/>
                <w:kern w:val="14"/>
                <w:sz w:val="20"/>
                <w:szCs w:val="20"/>
                <w:lang w:eastAsia="fr-FR"/>
              </w:rPr>
            </w:pPr>
            <w:r w:rsidRPr="00B14AD9">
              <w:rPr>
                <w:color w:val="000000"/>
                <w:kern w:val="14"/>
                <w:sz w:val="20"/>
                <w:szCs w:val="20"/>
                <w:lang w:eastAsia="fr-FR"/>
              </w:rPr>
              <w:t>2</w:t>
            </w:r>
          </w:p>
          <w:p w14:paraId="52D62B5C" w14:textId="33F6F7CD" w:rsidR="00B14AD9" w:rsidRPr="00B14AD9" w:rsidRDefault="00E551D4" w:rsidP="00B14AD9">
            <w:pPr>
              <w:tabs>
                <w:tab w:val="left" w:pos="1620"/>
              </w:tabs>
              <w:suppressAutoHyphens/>
              <w:spacing w:after="120" w:line="240" w:lineRule="exact"/>
              <w:jc w:val="right"/>
              <w:rPr>
                <w:color w:val="000000"/>
                <w:spacing w:val="4"/>
                <w:w w:val="103"/>
                <w:kern w:val="14"/>
                <w:sz w:val="20"/>
                <w:szCs w:val="20"/>
                <w:lang w:eastAsia="fr-FR"/>
              </w:rPr>
            </w:pPr>
            <w:r>
              <w:rPr>
                <w:color w:val="000000"/>
                <w:spacing w:val="4"/>
                <w:w w:val="103"/>
                <w:kern w:val="14"/>
                <w:sz w:val="20"/>
                <w:szCs w:val="20"/>
                <w:lang w:eastAsia="fr-FR"/>
              </w:rPr>
              <w:t>4</w:t>
            </w:r>
          </w:p>
        </w:tc>
      </w:tr>
      <w:tr w:rsidR="00B14AD9" w:rsidRPr="00B14AD9" w14:paraId="154BB678" w14:textId="77777777" w:rsidTr="00767866">
        <w:tc>
          <w:tcPr>
            <w:tcW w:w="9540" w:type="dxa"/>
            <w:gridSpan w:val="3"/>
            <w:shd w:val="clear" w:color="auto" w:fill="auto"/>
          </w:tcPr>
          <w:p w14:paraId="27F07294" w14:textId="77777777" w:rsidR="00B14AD9" w:rsidRPr="00B14AD9" w:rsidRDefault="00B14AD9" w:rsidP="00B14AD9">
            <w:pPr>
              <w:numPr>
                <w:ilvl w:val="0"/>
                <w:numId w:val="1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sz w:val="20"/>
                <w:szCs w:val="20"/>
                <w:lang w:eastAsia="fr-FR"/>
              </w:rPr>
            </w:pPr>
            <w:r w:rsidRPr="00B14AD9">
              <w:rPr>
                <w:color w:val="000000"/>
                <w:kern w:val="14"/>
                <w:sz w:val="20"/>
                <w:szCs w:val="20"/>
                <w:lang w:eastAsia="fr-FR"/>
              </w:rPr>
              <w:tab/>
              <w:t>Programme priorities and partnerships………………………………………………….</w:t>
            </w:r>
            <w:r w:rsidRPr="00B14AD9">
              <w:rPr>
                <w:color w:val="000000"/>
                <w:kern w:val="14"/>
                <w:sz w:val="17"/>
                <w:szCs w:val="20"/>
                <w:lang w:eastAsia="fr-FR"/>
              </w:rPr>
              <w:tab/>
            </w:r>
            <w:r w:rsidRPr="00B14AD9">
              <w:rPr>
                <w:color w:val="000000"/>
                <w:kern w:val="14"/>
                <w:sz w:val="20"/>
                <w:szCs w:val="20"/>
                <w:lang w:eastAsia="fr-FR"/>
              </w:rPr>
              <w:t>……….…</w:t>
            </w:r>
          </w:p>
        </w:tc>
        <w:tc>
          <w:tcPr>
            <w:tcW w:w="362" w:type="dxa"/>
            <w:vMerge/>
            <w:shd w:val="clear" w:color="auto" w:fill="auto"/>
            <w:vAlign w:val="bottom"/>
          </w:tcPr>
          <w:p w14:paraId="4E686085" w14:textId="77777777" w:rsidR="00B14AD9" w:rsidRPr="00B14AD9" w:rsidRDefault="00B14AD9" w:rsidP="00B14AD9">
            <w:pPr>
              <w:tabs>
                <w:tab w:val="left" w:pos="1620"/>
              </w:tabs>
              <w:suppressAutoHyphens/>
              <w:spacing w:after="120" w:line="240" w:lineRule="exact"/>
              <w:jc w:val="right"/>
              <w:rPr>
                <w:color w:val="000000"/>
                <w:spacing w:val="4"/>
                <w:w w:val="103"/>
                <w:kern w:val="14"/>
                <w:sz w:val="20"/>
                <w:szCs w:val="20"/>
                <w:lang w:eastAsia="fr-FR"/>
              </w:rPr>
            </w:pPr>
          </w:p>
        </w:tc>
      </w:tr>
      <w:tr w:rsidR="00B14AD9" w:rsidRPr="00B14AD9" w14:paraId="3EC15EE8" w14:textId="77777777" w:rsidTr="00767866">
        <w:tc>
          <w:tcPr>
            <w:tcW w:w="9540" w:type="dxa"/>
            <w:gridSpan w:val="3"/>
            <w:shd w:val="clear" w:color="auto" w:fill="auto"/>
          </w:tcPr>
          <w:p w14:paraId="14A3DF81" w14:textId="77777777" w:rsidR="00B14AD9" w:rsidRPr="00B14AD9" w:rsidRDefault="00B14AD9" w:rsidP="00B14AD9">
            <w:pPr>
              <w:numPr>
                <w:ilvl w:val="0"/>
                <w:numId w:val="1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sz w:val="20"/>
                <w:szCs w:val="20"/>
                <w:lang w:eastAsia="fr-FR"/>
              </w:rPr>
            </w:pPr>
            <w:r w:rsidRPr="00B14AD9">
              <w:rPr>
                <w:color w:val="000000"/>
                <w:kern w:val="14"/>
                <w:sz w:val="20"/>
                <w:szCs w:val="20"/>
                <w:lang w:eastAsia="fr-FR"/>
              </w:rPr>
              <w:tab/>
              <w:t>Programme and risk management</w:t>
            </w:r>
            <w:r w:rsidRPr="00B14AD9">
              <w:rPr>
                <w:color w:val="000000"/>
                <w:lang w:eastAsia="fr-FR"/>
              </w:rPr>
              <w:tab/>
            </w:r>
          </w:p>
        </w:tc>
        <w:tc>
          <w:tcPr>
            <w:tcW w:w="362" w:type="dxa"/>
            <w:vMerge w:val="restart"/>
            <w:shd w:val="clear" w:color="auto" w:fill="auto"/>
            <w:vAlign w:val="bottom"/>
          </w:tcPr>
          <w:p w14:paraId="6DC21D65" w14:textId="7C61CC96" w:rsidR="00B14AD9" w:rsidRPr="00B14AD9" w:rsidRDefault="00C32506" w:rsidP="00B14AD9">
            <w:pPr>
              <w:tabs>
                <w:tab w:val="left" w:pos="1620"/>
              </w:tabs>
              <w:suppressAutoHyphens/>
              <w:spacing w:after="120" w:line="240" w:lineRule="exact"/>
              <w:jc w:val="right"/>
              <w:rPr>
                <w:color w:val="000000"/>
                <w:spacing w:val="4"/>
                <w:w w:val="103"/>
                <w:kern w:val="14"/>
                <w:sz w:val="20"/>
                <w:szCs w:val="20"/>
                <w:lang w:eastAsia="fr-FR"/>
              </w:rPr>
            </w:pPr>
            <w:r>
              <w:rPr>
                <w:color w:val="000000"/>
                <w:spacing w:val="4"/>
                <w:w w:val="103"/>
                <w:kern w:val="14"/>
                <w:sz w:val="20"/>
                <w:szCs w:val="20"/>
                <w:lang w:eastAsia="fr-FR"/>
              </w:rPr>
              <w:t>7</w:t>
            </w:r>
          </w:p>
          <w:p w14:paraId="4AEE9B1C" w14:textId="446D595A" w:rsidR="00B14AD9" w:rsidRPr="00B14AD9" w:rsidRDefault="00C32506" w:rsidP="00B14AD9">
            <w:pPr>
              <w:tabs>
                <w:tab w:val="left" w:pos="1620"/>
              </w:tabs>
              <w:suppressAutoHyphens/>
              <w:spacing w:after="120" w:line="240" w:lineRule="exact"/>
              <w:jc w:val="right"/>
              <w:rPr>
                <w:color w:val="000000"/>
                <w:spacing w:val="4"/>
                <w:w w:val="103"/>
                <w:kern w:val="14"/>
                <w:sz w:val="20"/>
                <w:szCs w:val="20"/>
                <w:lang w:eastAsia="fr-FR"/>
              </w:rPr>
            </w:pPr>
            <w:r>
              <w:rPr>
                <w:color w:val="000000"/>
                <w:spacing w:val="4"/>
                <w:w w:val="103"/>
                <w:kern w:val="14"/>
                <w:sz w:val="20"/>
                <w:szCs w:val="20"/>
                <w:lang w:eastAsia="fr-FR"/>
              </w:rPr>
              <w:t>8</w:t>
            </w:r>
          </w:p>
        </w:tc>
      </w:tr>
      <w:tr w:rsidR="00B14AD9" w:rsidRPr="00B14AD9" w14:paraId="7207A533" w14:textId="77777777" w:rsidTr="00767866">
        <w:tc>
          <w:tcPr>
            <w:tcW w:w="9540" w:type="dxa"/>
            <w:gridSpan w:val="3"/>
            <w:shd w:val="clear" w:color="auto" w:fill="auto"/>
          </w:tcPr>
          <w:p w14:paraId="1B62CD0A" w14:textId="77777777" w:rsidR="00B14AD9" w:rsidRPr="00B14AD9" w:rsidRDefault="00B14AD9" w:rsidP="00B14AD9">
            <w:pPr>
              <w:numPr>
                <w:ilvl w:val="0"/>
                <w:numId w:val="1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sz w:val="20"/>
                <w:szCs w:val="20"/>
                <w:lang w:eastAsia="fr-FR"/>
              </w:rPr>
            </w:pPr>
            <w:r w:rsidRPr="00B14AD9">
              <w:rPr>
                <w:color w:val="000000"/>
                <w:kern w:val="14"/>
                <w:sz w:val="20"/>
                <w:szCs w:val="20"/>
                <w:lang w:eastAsia="fr-FR"/>
              </w:rPr>
              <w:tab/>
              <w:t>Monitoring and evaluation</w:t>
            </w:r>
            <w:r w:rsidRPr="00B14AD9">
              <w:rPr>
                <w:color w:val="000000"/>
                <w:lang w:eastAsia="fr-FR"/>
              </w:rPr>
              <w:tab/>
            </w:r>
            <w:r w:rsidRPr="00B14AD9">
              <w:rPr>
                <w:color w:val="000000"/>
                <w:sz w:val="20"/>
                <w:szCs w:val="20"/>
                <w:lang w:eastAsia="fr-FR"/>
              </w:rPr>
              <w:t>…………………………………………………….……………………</w:t>
            </w:r>
          </w:p>
        </w:tc>
        <w:tc>
          <w:tcPr>
            <w:tcW w:w="362" w:type="dxa"/>
            <w:vMerge/>
            <w:shd w:val="clear" w:color="auto" w:fill="auto"/>
            <w:vAlign w:val="bottom"/>
          </w:tcPr>
          <w:p w14:paraId="3860BB8B" w14:textId="77777777" w:rsidR="00B14AD9" w:rsidRPr="00B14AD9" w:rsidRDefault="00B14AD9" w:rsidP="00B14AD9">
            <w:pPr>
              <w:tabs>
                <w:tab w:val="left" w:pos="1620"/>
              </w:tabs>
              <w:suppressAutoHyphens/>
              <w:spacing w:after="120" w:line="240" w:lineRule="exact"/>
              <w:jc w:val="right"/>
              <w:rPr>
                <w:color w:val="000000"/>
                <w:spacing w:val="4"/>
                <w:w w:val="103"/>
                <w:kern w:val="14"/>
                <w:sz w:val="20"/>
                <w:szCs w:val="20"/>
                <w:lang w:eastAsia="fr-FR"/>
              </w:rPr>
            </w:pPr>
          </w:p>
        </w:tc>
      </w:tr>
      <w:tr w:rsidR="00B14AD9" w:rsidRPr="00B14AD9" w14:paraId="13704372" w14:textId="77777777" w:rsidTr="00767866">
        <w:tc>
          <w:tcPr>
            <w:tcW w:w="9369" w:type="dxa"/>
            <w:gridSpan w:val="2"/>
            <w:shd w:val="clear" w:color="auto" w:fill="auto"/>
          </w:tcPr>
          <w:p w14:paraId="2A599056" w14:textId="77777777" w:rsidR="00B14AD9" w:rsidRPr="00B14AD9" w:rsidRDefault="00B14AD9" w:rsidP="00B14AD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sz w:val="20"/>
                <w:szCs w:val="20"/>
                <w:lang w:eastAsia="fr-FR"/>
              </w:rPr>
            </w:pPr>
            <w:r w:rsidRPr="00B14AD9">
              <w:rPr>
                <w:color w:val="000000"/>
                <w:kern w:val="14"/>
                <w:sz w:val="20"/>
                <w:szCs w:val="20"/>
                <w:lang w:eastAsia="fr-FR"/>
              </w:rPr>
              <w:t xml:space="preserve">     Annex</w:t>
            </w:r>
          </w:p>
        </w:tc>
        <w:tc>
          <w:tcPr>
            <w:tcW w:w="533" w:type="dxa"/>
            <w:gridSpan w:val="2"/>
            <w:shd w:val="clear" w:color="auto" w:fill="auto"/>
            <w:vAlign w:val="bottom"/>
          </w:tcPr>
          <w:p w14:paraId="490301FE" w14:textId="77777777" w:rsidR="00B14AD9" w:rsidRPr="00B14AD9" w:rsidRDefault="00B14AD9" w:rsidP="00B14AD9">
            <w:pPr>
              <w:tabs>
                <w:tab w:val="left" w:pos="1620"/>
              </w:tabs>
              <w:suppressAutoHyphens/>
              <w:spacing w:after="120" w:line="240" w:lineRule="exact"/>
              <w:jc w:val="right"/>
              <w:rPr>
                <w:color w:val="000000"/>
                <w:spacing w:val="4"/>
                <w:w w:val="103"/>
                <w:kern w:val="14"/>
                <w:sz w:val="20"/>
                <w:szCs w:val="20"/>
                <w:lang w:eastAsia="fr-FR"/>
              </w:rPr>
            </w:pPr>
          </w:p>
        </w:tc>
      </w:tr>
      <w:tr w:rsidR="00B14AD9" w:rsidRPr="00B14AD9" w14:paraId="4638ED3B" w14:textId="77777777" w:rsidTr="00767866">
        <w:tc>
          <w:tcPr>
            <w:tcW w:w="9369" w:type="dxa"/>
            <w:gridSpan w:val="2"/>
            <w:shd w:val="clear" w:color="auto" w:fill="auto"/>
          </w:tcPr>
          <w:p w14:paraId="54D81B8B" w14:textId="372CE6B4" w:rsidR="00B14AD9" w:rsidRPr="00B14AD9" w:rsidRDefault="00B14AD9" w:rsidP="00B14AD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szCs w:val="20"/>
                <w:lang w:eastAsia="fr-FR"/>
              </w:rPr>
            </w:pPr>
            <w:r w:rsidRPr="00B14AD9">
              <w:rPr>
                <w:color w:val="000000"/>
                <w:kern w:val="14"/>
                <w:sz w:val="20"/>
                <w:szCs w:val="20"/>
                <w:lang w:eastAsia="fr-FR"/>
              </w:rPr>
              <w:t xml:space="preserve">Results and resources framework for </w:t>
            </w:r>
            <w:r w:rsidR="00F86B3F">
              <w:rPr>
                <w:color w:val="000000"/>
                <w:kern w:val="14"/>
                <w:sz w:val="20"/>
                <w:szCs w:val="20"/>
                <w:lang w:eastAsia="fr-FR"/>
              </w:rPr>
              <w:t>the State of Kuwait</w:t>
            </w:r>
            <w:r w:rsidRPr="00B14AD9">
              <w:rPr>
                <w:color w:val="000000"/>
                <w:kern w:val="14"/>
                <w:sz w:val="20"/>
                <w:szCs w:val="20"/>
                <w:lang w:eastAsia="fr-FR"/>
              </w:rPr>
              <w:t xml:space="preserve"> (2020-2024)</w:t>
            </w:r>
          </w:p>
        </w:tc>
        <w:tc>
          <w:tcPr>
            <w:tcW w:w="533" w:type="dxa"/>
            <w:gridSpan w:val="2"/>
            <w:shd w:val="clear" w:color="auto" w:fill="auto"/>
            <w:vAlign w:val="bottom"/>
          </w:tcPr>
          <w:p w14:paraId="01A58701" w14:textId="18F7AF9F" w:rsidR="00B14AD9" w:rsidRPr="00B14AD9" w:rsidRDefault="00C32506" w:rsidP="00B14AD9">
            <w:pPr>
              <w:tabs>
                <w:tab w:val="left" w:pos="1620"/>
              </w:tabs>
              <w:suppressAutoHyphens/>
              <w:spacing w:after="120" w:line="240" w:lineRule="exact"/>
              <w:jc w:val="right"/>
              <w:rPr>
                <w:color w:val="000000"/>
                <w:spacing w:val="4"/>
                <w:w w:val="103"/>
                <w:kern w:val="14"/>
                <w:sz w:val="20"/>
                <w:szCs w:val="20"/>
                <w:lang w:eastAsia="fr-FR"/>
              </w:rPr>
            </w:pPr>
            <w:r>
              <w:rPr>
                <w:color w:val="000000"/>
                <w:kern w:val="14"/>
                <w:sz w:val="20"/>
                <w:szCs w:val="20"/>
                <w:lang w:eastAsia="fr-FR"/>
              </w:rPr>
              <w:t>9</w:t>
            </w:r>
          </w:p>
        </w:tc>
      </w:tr>
    </w:tbl>
    <w:p w14:paraId="00A37B03" w14:textId="77777777" w:rsidR="009A47BF" w:rsidRPr="00046271" w:rsidRDefault="009A47BF" w:rsidP="009A47BF">
      <w:pPr>
        <w:tabs>
          <w:tab w:val="left" w:pos="1620"/>
        </w:tabs>
        <w:rPr>
          <w:sz w:val="20"/>
          <w:szCs w:val="20"/>
        </w:rPr>
      </w:pPr>
    </w:p>
    <w:p w14:paraId="29251514" w14:textId="77777777" w:rsidR="009A47BF" w:rsidRDefault="009A47BF" w:rsidP="009A47BF">
      <w:pPr>
        <w:jc w:val="both"/>
        <w:rPr>
          <w:sz w:val="22"/>
          <w:szCs w:val="22"/>
        </w:rPr>
      </w:pPr>
    </w:p>
    <w:p w14:paraId="23C8D648" w14:textId="05304DCB" w:rsidR="003B72DD" w:rsidRPr="00046271" w:rsidRDefault="003B72DD" w:rsidP="009A47BF">
      <w:pPr>
        <w:jc w:val="both"/>
        <w:rPr>
          <w:sz w:val="22"/>
          <w:szCs w:val="22"/>
        </w:rPr>
        <w:sectPr w:rsidR="003B72DD" w:rsidRPr="00046271" w:rsidSect="009A47B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AD14F86" w14:textId="6E5F0749" w:rsidR="009A47BF" w:rsidRPr="007F5C41" w:rsidRDefault="009A47BF" w:rsidP="007F5C41">
      <w:pPr>
        <w:pStyle w:val="ListParagraph"/>
        <w:numPr>
          <w:ilvl w:val="0"/>
          <w:numId w:val="33"/>
        </w:numPr>
        <w:tabs>
          <w:tab w:val="left" w:pos="900"/>
        </w:tabs>
        <w:ind w:left="630" w:right="65" w:hanging="360"/>
        <w:jc w:val="both"/>
        <w:rPr>
          <w:b/>
          <w:sz w:val="28"/>
          <w:szCs w:val="28"/>
        </w:rPr>
      </w:pPr>
      <w:r w:rsidRPr="007F5C41">
        <w:rPr>
          <w:b/>
          <w:sz w:val="28"/>
          <w:szCs w:val="28"/>
        </w:rPr>
        <w:lastRenderedPageBreak/>
        <w:t xml:space="preserve">Programme </w:t>
      </w:r>
      <w:r w:rsidR="00962DC4" w:rsidRPr="007F5C41">
        <w:rPr>
          <w:b/>
          <w:sz w:val="28"/>
          <w:szCs w:val="28"/>
        </w:rPr>
        <w:t>r</w:t>
      </w:r>
      <w:r w:rsidRPr="007F5C41">
        <w:rPr>
          <w:b/>
          <w:sz w:val="28"/>
          <w:szCs w:val="28"/>
        </w:rPr>
        <w:t>ationale</w:t>
      </w:r>
    </w:p>
    <w:p w14:paraId="7AE4B52F" w14:textId="77777777" w:rsidR="009A47BF" w:rsidRPr="00046271" w:rsidRDefault="009A47BF" w:rsidP="007F5C41">
      <w:pPr>
        <w:tabs>
          <w:tab w:val="left" w:pos="900"/>
        </w:tabs>
        <w:ind w:left="630" w:right="65"/>
        <w:jc w:val="both"/>
        <w:rPr>
          <w:sz w:val="20"/>
          <w:szCs w:val="20"/>
        </w:rPr>
      </w:pPr>
    </w:p>
    <w:p w14:paraId="3307CB14" w14:textId="5F1B7F8B" w:rsidR="009A47BF" w:rsidRPr="00046271" w:rsidRDefault="009A47BF" w:rsidP="00923F26">
      <w:pPr>
        <w:pStyle w:val="NormalWeb"/>
        <w:numPr>
          <w:ilvl w:val="0"/>
          <w:numId w:val="26"/>
        </w:numPr>
        <w:tabs>
          <w:tab w:val="left" w:pos="810"/>
        </w:tabs>
        <w:spacing w:before="0" w:beforeAutospacing="0" w:after="120" w:afterAutospacing="0"/>
        <w:ind w:left="630" w:right="65" w:firstLine="0"/>
        <w:jc w:val="both"/>
        <w:rPr>
          <w:sz w:val="20"/>
          <w:szCs w:val="20"/>
        </w:rPr>
      </w:pPr>
      <w:r w:rsidRPr="00046271">
        <w:rPr>
          <w:sz w:val="20"/>
          <w:szCs w:val="20"/>
        </w:rPr>
        <w:t>The State of Kuwait is a high-income country with a per</w:t>
      </w:r>
      <w:r w:rsidR="004A64E6">
        <w:rPr>
          <w:sz w:val="20"/>
          <w:szCs w:val="20"/>
        </w:rPr>
        <w:t xml:space="preserve"> </w:t>
      </w:r>
      <w:r w:rsidRPr="00046271">
        <w:rPr>
          <w:sz w:val="20"/>
          <w:szCs w:val="20"/>
        </w:rPr>
        <w:t>capita gross domestic product (GDP) of $33,5</w:t>
      </w:r>
      <w:r w:rsidR="00832E34">
        <w:rPr>
          <w:sz w:val="20"/>
          <w:szCs w:val="20"/>
        </w:rPr>
        <w:t>38</w:t>
      </w:r>
      <w:r w:rsidRPr="00046271">
        <w:rPr>
          <w:sz w:val="20"/>
          <w:szCs w:val="20"/>
        </w:rPr>
        <w:t xml:space="preserve"> in 201</w:t>
      </w:r>
      <w:r w:rsidR="00832E34">
        <w:rPr>
          <w:sz w:val="20"/>
          <w:szCs w:val="20"/>
        </w:rPr>
        <w:t>8</w:t>
      </w:r>
      <w:r w:rsidRPr="00046271">
        <w:rPr>
          <w:sz w:val="20"/>
          <w:szCs w:val="20"/>
        </w:rPr>
        <w:t>.</w:t>
      </w:r>
      <w:r w:rsidRPr="00046271">
        <w:rPr>
          <w:rStyle w:val="FootnoteReference"/>
          <w:sz w:val="20"/>
          <w:szCs w:val="20"/>
        </w:rPr>
        <w:footnoteReference w:id="1"/>
      </w:r>
      <w:r w:rsidRPr="00046271">
        <w:rPr>
          <w:sz w:val="20"/>
          <w:szCs w:val="20"/>
        </w:rPr>
        <w:t xml:space="preserve"> </w:t>
      </w:r>
      <w:r w:rsidRPr="00046271">
        <w:rPr>
          <w:rFonts w:eastAsia="Calibri"/>
          <w:color w:val="000000" w:themeColor="text1"/>
          <w:sz w:val="20"/>
          <w:szCs w:val="20"/>
          <w:lang w:val="en-GB"/>
        </w:rPr>
        <w:t>Kuwait has a total population of 4.13 million,</w:t>
      </w:r>
      <w:r w:rsidRPr="00046271">
        <w:rPr>
          <w:rFonts w:eastAsia="Calibri"/>
          <w:color w:val="000000" w:themeColor="text1"/>
          <w:sz w:val="20"/>
          <w:szCs w:val="20"/>
          <w:vertAlign w:val="superscript"/>
          <w:lang w:val="en-GB"/>
        </w:rPr>
        <w:footnoteReference w:id="2"/>
      </w:r>
      <w:r w:rsidRPr="00046271">
        <w:rPr>
          <w:rFonts w:eastAsia="Calibri"/>
          <w:color w:val="000000" w:themeColor="text1"/>
          <w:sz w:val="20"/>
          <w:szCs w:val="20"/>
          <w:lang w:val="en-GB"/>
        </w:rPr>
        <w:t xml:space="preserve"> of wh</w:t>
      </w:r>
      <w:r w:rsidR="004A64E6">
        <w:rPr>
          <w:rFonts w:eastAsia="Calibri"/>
          <w:color w:val="000000" w:themeColor="text1"/>
          <w:sz w:val="20"/>
          <w:szCs w:val="20"/>
          <w:lang w:val="en-GB"/>
        </w:rPr>
        <w:t xml:space="preserve">om </w:t>
      </w:r>
      <w:r w:rsidRPr="00046271">
        <w:rPr>
          <w:rFonts w:eastAsia="Calibri"/>
          <w:color w:val="000000" w:themeColor="text1"/>
          <w:sz w:val="20"/>
          <w:szCs w:val="20"/>
          <w:lang w:val="en-GB"/>
        </w:rPr>
        <w:t>approximately 30</w:t>
      </w:r>
      <w:r w:rsidR="008521A9">
        <w:rPr>
          <w:rFonts w:eastAsia="Calibri"/>
          <w:color w:val="000000" w:themeColor="text1"/>
          <w:sz w:val="20"/>
          <w:szCs w:val="20"/>
          <w:lang w:val="en-GB"/>
        </w:rPr>
        <w:t xml:space="preserve"> per</w:t>
      </w:r>
      <w:r w:rsidR="004A64E6">
        <w:rPr>
          <w:rFonts w:eastAsia="Calibri"/>
          <w:color w:val="000000" w:themeColor="text1"/>
          <w:sz w:val="20"/>
          <w:szCs w:val="20"/>
          <w:lang w:val="en-GB"/>
        </w:rPr>
        <w:t xml:space="preserve"> </w:t>
      </w:r>
      <w:r w:rsidR="008521A9">
        <w:rPr>
          <w:rFonts w:eastAsia="Calibri"/>
          <w:color w:val="000000" w:themeColor="text1"/>
          <w:sz w:val="20"/>
          <w:szCs w:val="20"/>
          <w:lang w:val="en-GB"/>
        </w:rPr>
        <w:t>cent</w:t>
      </w:r>
      <w:r w:rsidRPr="00046271">
        <w:rPr>
          <w:rFonts w:eastAsia="Calibri"/>
          <w:color w:val="000000" w:themeColor="text1"/>
          <w:sz w:val="20"/>
          <w:szCs w:val="20"/>
          <w:lang w:val="en-GB"/>
        </w:rPr>
        <w:t xml:space="preserve"> are Kuwaiti nationals and the remainder are expatriates.</w:t>
      </w:r>
      <w:r w:rsidRPr="00046271">
        <w:rPr>
          <w:rFonts w:eastAsia="Calibri"/>
          <w:color w:val="000000" w:themeColor="text1"/>
          <w:sz w:val="20"/>
          <w:szCs w:val="20"/>
          <w:vertAlign w:val="superscript"/>
          <w:lang w:val="en-GB"/>
        </w:rPr>
        <w:footnoteReference w:id="3"/>
      </w:r>
      <w:r w:rsidRPr="00046271">
        <w:rPr>
          <w:rFonts w:eastAsia="Calibri"/>
          <w:color w:val="000000" w:themeColor="text1"/>
          <w:sz w:val="20"/>
          <w:szCs w:val="20"/>
          <w:lang w:val="en-GB"/>
        </w:rPr>
        <w:t xml:space="preserve"> </w:t>
      </w:r>
      <w:r w:rsidRPr="00046271">
        <w:rPr>
          <w:sz w:val="20"/>
          <w:szCs w:val="20"/>
        </w:rPr>
        <w:t xml:space="preserve"> </w:t>
      </w:r>
      <w:r w:rsidRPr="00046271">
        <w:rPr>
          <w:rFonts w:eastAsia="Calibri"/>
          <w:sz w:val="20"/>
          <w:szCs w:val="20"/>
        </w:rPr>
        <w:t>The oil and gas sectors account for 90</w:t>
      </w:r>
      <w:r w:rsidR="008521A9">
        <w:rPr>
          <w:rFonts w:eastAsia="Calibri"/>
          <w:sz w:val="20"/>
          <w:szCs w:val="20"/>
        </w:rPr>
        <w:t xml:space="preserve"> per</w:t>
      </w:r>
      <w:r w:rsidR="00EE1EE2">
        <w:rPr>
          <w:rFonts w:eastAsia="Calibri"/>
          <w:sz w:val="20"/>
          <w:szCs w:val="20"/>
        </w:rPr>
        <w:t xml:space="preserve"> </w:t>
      </w:r>
      <w:r w:rsidR="008521A9">
        <w:rPr>
          <w:rFonts w:eastAsia="Calibri"/>
          <w:sz w:val="20"/>
          <w:szCs w:val="20"/>
        </w:rPr>
        <w:t>cent</w:t>
      </w:r>
      <w:r w:rsidRPr="00046271">
        <w:rPr>
          <w:rFonts w:eastAsia="Calibri"/>
          <w:sz w:val="20"/>
          <w:szCs w:val="20"/>
        </w:rPr>
        <w:t xml:space="preserve"> of total revenue and half of GDP. With surging oil prices, </w:t>
      </w:r>
      <w:r w:rsidR="00AA61D5">
        <w:rPr>
          <w:rFonts w:eastAsia="Calibri"/>
          <w:sz w:val="20"/>
          <w:szCs w:val="20"/>
        </w:rPr>
        <w:t xml:space="preserve">the </w:t>
      </w:r>
      <w:r w:rsidRPr="00046271">
        <w:rPr>
          <w:rFonts w:eastAsia="Calibri"/>
          <w:sz w:val="20"/>
          <w:szCs w:val="20"/>
        </w:rPr>
        <w:t xml:space="preserve">Kuwait economy experienced high levels of economic growth with per </w:t>
      </w:r>
      <w:r w:rsidRPr="00046271">
        <w:rPr>
          <w:sz w:val="20"/>
          <w:szCs w:val="20"/>
        </w:rPr>
        <w:t>capita income</w:t>
      </w:r>
      <w:r w:rsidR="004A64E6">
        <w:rPr>
          <w:sz w:val="20"/>
          <w:szCs w:val="20"/>
        </w:rPr>
        <w:t xml:space="preserve"> </w:t>
      </w:r>
      <w:r w:rsidRPr="00046271">
        <w:rPr>
          <w:sz w:val="20"/>
          <w:szCs w:val="20"/>
        </w:rPr>
        <w:t>stand</w:t>
      </w:r>
      <w:r w:rsidR="004A64E6">
        <w:rPr>
          <w:sz w:val="20"/>
          <w:szCs w:val="20"/>
        </w:rPr>
        <w:t xml:space="preserve">ing </w:t>
      </w:r>
      <w:r w:rsidRPr="00046271">
        <w:rPr>
          <w:sz w:val="20"/>
          <w:szCs w:val="20"/>
        </w:rPr>
        <w:t>at $31,430  in 2017</w:t>
      </w:r>
      <w:r w:rsidR="004A64E6">
        <w:rPr>
          <w:sz w:val="20"/>
          <w:szCs w:val="20"/>
        </w:rPr>
        <w:t>.</w:t>
      </w:r>
      <w:r w:rsidRPr="00046271">
        <w:rPr>
          <w:rStyle w:val="FootnoteReference"/>
          <w:sz w:val="20"/>
          <w:szCs w:val="20"/>
        </w:rPr>
        <w:footnoteReference w:id="4"/>
      </w:r>
      <w:r w:rsidRPr="00046271">
        <w:rPr>
          <w:sz w:val="20"/>
          <w:szCs w:val="20"/>
        </w:rPr>
        <w:t xml:space="preserve"> </w:t>
      </w:r>
      <w:r w:rsidRPr="00046271">
        <w:rPr>
          <w:rFonts w:eastAsia="Calibri"/>
          <w:sz w:val="20"/>
          <w:szCs w:val="20"/>
        </w:rPr>
        <w:t>Kuwait succeeded in converting its resource wealth into a high standard of living for its people.</w:t>
      </w:r>
      <w:r w:rsidRPr="00046271">
        <w:rPr>
          <w:sz w:val="20"/>
          <w:szCs w:val="20"/>
        </w:rPr>
        <w:t xml:space="preserve"> Between 1990 and 2017, </w:t>
      </w:r>
      <w:r w:rsidR="00AA61D5">
        <w:rPr>
          <w:sz w:val="20"/>
          <w:szCs w:val="20"/>
        </w:rPr>
        <w:t xml:space="preserve">its </w:t>
      </w:r>
      <w:r w:rsidRPr="00046271">
        <w:rPr>
          <w:sz w:val="20"/>
          <w:szCs w:val="20"/>
        </w:rPr>
        <w:t xml:space="preserve"> </w:t>
      </w:r>
      <w:r w:rsidR="004A64E6">
        <w:rPr>
          <w:sz w:val="20"/>
          <w:szCs w:val="20"/>
        </w:rPr>
        <w:t>Human Development Index</w:t>
      </w:r>
      <w:r w:rsidRPr="00046271">
        <w:rPr>
          <w:sz w:val="20"/>
          <w:szCs w:val="20"/>
        </w:rPr>
        <w:t xml:space="preserve"> value increased by 12.6 per</w:t>
      </w:r>
      <w:r w:rsidR="004A64E6">
        <w:rPr>
          <w:sz w:val="20"/>
          <w:szCs w:val="20"/>
        </w:rPr>
        <w:t xml:space="preserve"> </w:t>
      </w:r>
      <w:r w:rsidRPr="00046271">
        <w:rPr>
          <w:sz w:val="20"/>
          <w:szCs w:val="20"/>
        </w:rPr>
        <w:t>cent to 0.803, put</w:t>
      </w:r>
      <w:r w:rsidR="004A64E6">
        <w:rPr>
          <w:sz w:val="20"/>
          <w:szCs w:val="20"/>
        </w:rPr>
        <w:t>ting</w:t>
      </w:r>
      <w:r w:rsidRPr="00046271">
        <w:rPr>
          <w:sz w:val="20"/>
          <w:szCs w:val="20"/>
        </w:rPr>
        <w:t xml:space="preserve"> the country in the “very high human development” category </w:t>
      </w:r>
      <w:r w:rsidR="004A64E6">
        <w:rPr>
          <w:sz w:val="20"/>
          <w:szCs w:val="20"/>
        </w:rPr>
        <w:t xml:space="preserve">and </w:t>
      </w:r>
      <w:r w:rsidRPr="00046271">
        <w:rPr>
          <w:sz w:val="20"/>
          <w:szCs w:val="20"/>
        </w:rPr>
        <w:t>positioning it at 56 of 189 countries and territories.</w:t>
      </w:r>
      <w:r w:rsidRPr="00046271">
        <w:rPr>
          <w:rStyle w:val="FootnoteReference"/>
          <w:sz w:val="20"/>
          <w:szCs w:val="20"/>
        </w:rPr>
        <w:footnoteReference w:id="5"/>
      </w:r>
    </w:p>
    <w:p w14:paraId="10599D3E" w14:textId="7C19BE2B" w:rsidR="009A47BF" w:rsidRDefault="00AA61D5" w:rsidP="00923F26">
      <w:pPr>
        <w:pStyle w:val="ListParagraph"/>
        <w:numPr>
          <w:ilvl w:val="0"/>
          <w:numId w:val="26"/>
        </w:numPr>
        <w:tabs>
          <w:tab w:val="left" w:pos="810"/>
        </w:tabs>
        <w:autoSpaceDE w:val="0"/>
        <w:autoSpaceDN w:val="0"/>
        <w:adjustRightInd w:val="0"/>
        <w:spacing w:after="240"/>
        <w:ind w:left="630" w:right="65" w:firstLine="0"/>
        <w:contextualSpacing/>
        <w:jc w:val="both"/>
        <w:rPr>
          <w:sz w:val="20"/>
          <w:szCs w:val="20"/>
        </w:rPr>
      </w:pPr>
      <w:r>
        <w:rPr>
          <w:sz w:val="20"/>
          <w:szCs w:val="20"/>
        </w:rPr>
        <w:t xml:space="preserve">The country’s </w:t>
      </w:r>
      <w:r w:rsidR="009A47BF" w:rsidRPr="00046271">
        <w:rPr>
          <w:sz w:val="20"/>
          <w:szCs w:val="20"/>
        </w:rPr>
        <w:t xml:space="preserve">long-term development priorities are set forth in New Kuwait “Vision 2035” and </w:t>
      </w:r>
      <w:r w:rsidR="004A64E6">
        <w:rPr>
          <w:sz w:val="20"/>
          <w:szCs w:val="20"/>
        </w:rPr>
        <w:t>the Sustainable Development Goal</w:t>
      </w:r>
      <w:r w:rsidR="001B0681">
        <w:rPr>
          <w:sz w:val="20"/>
          <w:szCs w:val="20"/>
        </w:rPr>
        <w:t xml:space="preserve">-based </w:t>
      </w:r>
      <w:r w:rsidR="009A47BF" w:rsidRPr="00046271">
        <w:rPr>
          <w:sz w:val="20"/>
          <w:szCs w:val="20"/>
        </w:rPr>
        <w:t>Kuwait National Development Plan (KNDP), the latter prepared with UNDP support.</w:t>
      </w:r>
      <w:r w:rsidR="009A47BF" w:rsidRPr="00046271">
        <w:rPr>
          <w:rStyle w:val="FootnoteReference"/>
          <w:sz w:val="20"/>
          <w:szCs w:val="20"/>
        </w:rPr>
        <w:footnoteReference w:id="6"/>
      </w:r>
      <w:r w:rsidR="009A47BF" w:rsidRPr="00046271">
        <w:rPr>
          <w:sz w:val="20"/>
          <w:szCs w:val="20"/>
        </w:rPr>
        <w:t xml:space="preserve"> The KNDP (2020–2025) aims to promote the transformation of Kuwait into a </w:t>
      </w:r>
      <w:r w:rsidR="00EE1EE2">
        <w:rPr>
          <w:sz w:val="20"/>
          <w:szCs w:val="20"/>
        </w:rPr>
        <w:t xml:space="preserve">regional </w:t>
      </w:r>
      <w:r w:rsidR="009A47BF" w:rsidRPr="00046271">
        <w:rPr>
          <w:sz w:val="20"/>
          <w:szCs w:val="20"/>
        </w:rPr>
        <w:t>financial hub through seven key pillars: (a) effective public administration; (b) economic diversification; (c) modern infrastructure; (d) sustainable living environment; (e) high</w:t>
      </w:r>
      <w:r w:rsidR="004A64E6">
        <w:rPr>
          <w:sz w:val="20"/>
          <w:szCs w:val="20"/>
        </w:rPr>
        <w:t>-</w:t>
      </w:r>
      <w:r w:rsidR="009A47BF" w:rsidRPr="00046271">
        <w:rPr>
          <w:sz w:val="20"/>
          <w:szCs w:val="20"/>
        </w:rPr>
        <w:t xml:space="preserve">quality health care; (f) creative human capital; and (g) enhanced global </w:t>
      </w:r>
      <w:r w:rsidR="00FE31CE" w:rsidRPr="00046271">
        <w:rPr>
          <w:sz w:val="20"/>
          <w:szCs w:val="20"/>
        </w:rPr>
        <w:t>positioning</w:t>
      </w:r>
      <w:r w:rsidR="009A47BF" w:rsidRPr="00046271">
        <w:rPr>
          <w:sz w:val="20"/>
          <w:szCs w:val="20"/>
        </w:rPr>
        <w:t xml:space="preserve">. </w:t>
      </w:r>
    </w:p>
    <w:p w14:paraId="750F88A2" w14:textId="77777777" w:rsidR="00923F26" w:rsidRPr="00923F26" w:rsidRDefault="00923F26" w:rsidP="00923F26">
      <w:pPr>
        <w:pStyle w:val="ListParagraph"/>
        <w:tabs>
          <w:tab w:val="left" w:pos="810"/>
        </w:tabs>
        <w:autoSpaceDE w:val="0"/>
        <w:autoSpaceDN w:val="0"/>
        <w:adjustRightInd w:val="0"/>
        <w:spacing w:after="240"/>
        <w:ind w:left="630" w:right="65"/>
        <w:contextualSpacing/>
        <w:jc w:val="both"/>
        <w:rPr>
          <w:sz w:val="12"/>
          <w:szCs w:val="12"/>
        </w:rPr>
      </w:pPr>
    </w:p>
    <w:p w14:paraId="5A817FF6" w14:textId="349F8EE9" w:rsidR="009A47BF" w:rsidRDefault="009A47BF" w:rsidP="00D33447">
      <w:pPr>
        <w:pStyle w:val="ListParagraph"/>
        <w:numPr>
          <w:ilvl w:val="0"/>
          <w:numId w:val="26"/>
        </w:numPr>
        <w:tabs>
          <w:tab w:val="left" w:pos="810"/>
        </w:tabs>
        <w:autoSpaceDE w:val="0"/>
        <w:autoSpaceDN w:val="0"/>
        <w:adjustRightInd w:val="0"/>
        <w:spacing w:after="120"/>
        <w:ind w:left="630" w:right="65" w:firstLine="0"/>
        <w:contextualSpacing/>
        <w:jc w:val="both"/>
        <w:rPr>
          <w:sz w:val="20"/>
          <w:szCs w:val="20"/>
        </w:rPr>
      </w:pPr>
      <w:r w:rsidRPr="00046271">
        <w:rPr>
          <w:sz w:val="20"/>
          <w:szCs w:val="20"/>
        </w:rPr>
        <w:t xml:space="preserve">The Government is committed to achieving </w:t>
      </w:r>
      <w:r w:rsidR="004A64E6">
        <w:rPr>
          <w:sz w:val="20"/>
          <w:szCs w:val="20"/>
        </w:rPr>
        <w:t xml:space="preserve">the </w:t>
      </w:r>
      <w:r w:rsidRPr="00046271">
        <w:rPr>
          <w:sz w:val="20"/>
          <w:szCs w:val="20"/>
        </w:rPr>
        <w:t>Sustainable Development Goal</w:t>
      </w:r>
      <w:r w:rsidR="001B0681">
        <w:rPr>
          <w:sz w:val="20"/>
          <w:szCs w:val="20"/>
        </w:rPr>
        <w:t>s</w:t>
      </w:r>
      <w:r w:rsidRPr="00046271">
        <w:rPr>
          <w:sz w:val="20"/>
          <w:szCs w:val="20"/>
        </w:rPr>
        <w:t xml:space="preserve"> </w:t>
      </w:r>
      <w:r w:rsidR="001B0681">
        <w:rPr>
          <w:sz w:val="20"/>
          <w:szCs w:val="20"/>
        </w:rPr>
        <w:t>through implementation of</w:t>
      </w:r>
      <w:r w:rsidRPr="00046271">
        <w:rPr>
          <w:sz w:val="20"/>
          <w:szCs w:val="20"/>
        </w:rPr>
        <w:t xml:space="preserve"> </w:t>
      </w:r>
      <w:r w:rsidR="00EE1EE2">
        <w:rPr>
          <w:sz w:val="20"/>
          <w:szCs w:val="20"/>
        </w:rPr>
        <w:t xml:space="preserve">the </w:t>
      </w:r>
      <w:r w:rsidRPr="00046271">
        <w:rPr>
          <w:sz w:val="20"/>
          <w:szCs w:val="20"/>
        </w:rPr>
        <w:t>KNDP</w:t>
      </w:r>
      <w:r w:rsidR="001B0681">
        <w:rPr>
          <w:sz w:val="20"/>
          <w:szCs w:val="20"/>
        </w:rPr>
        <w:t>.</w:t>
      </w:r>
      <w:r w:rsidRPr="00046271">
        <w:rPr>
          <w:sz w:val="20"/>
          <w:szCs w:val="20"/>
        </w:rPr>
        <w:t xml:space="preserve"> According to </w:t>
      </w:r>
      <w:r w:rsidR="00AA61D5">
        <w:rPr>
          <w:sz w:val="20"/>
          <w:szCs w:val="20"/>
        </w:rPr>
        <w:t xml:space="preserve">the country’s </w:t>
      </w:r>
      <w:r w:rsidR="004A64E6">
        <w:rPr>
          <w:sz w:val="20"/>
          <w:szCs w:val="20"/>
        </w:rPr>
        <w:t>v</w:t>
      </w:r>
      <w:r w:rsidR="004A64E6" w:rsidRPr="00046271">
        <w:rPr>
          <w:sz w:val="20"/>
          <w:szCs w:val="20"/>
        </w:rPr>
        <w:t xml:space="preserve">oluntary </w:t>
      </w:r>
      <w:r w:rsidR="004A64E6">
        <w:rPr>
          <w:sz w:val="20"/>
          <w:szCs w:val="20"/>
        </w:rPr>
        <w:t>n</w:t>
      </w:r>
      <w:r w:rsidR="004A64E6" w:rsidRPr="00046271">
        <w:rPr>
          <w:sz w:val="20"/>
          <w:szCs w:val="20"/>
        </w:rPr>
        <w:t xml:space="preserve">ational </w:t>
      </w:r>
      <w:r w:rsidR="004A64E6">
        <w:rPr>
          <w:sz w:val="20"/>
          <w:szCs w:val="20"/>
        </w:rPr>
        <w:t>r</w:t>
      </w:r>
      <w:r w:rsidR="004A64E6" w:rsidRPr="00046271">
        <w:rPr>
          <w:sz w:val="20"/>
          <w:szCs w:val="20"/>
        </w:rPr>
        <w:t>e</w:t>
      </w:r>
      <w:r w:rsidR="004A64E6">
        <w:rPr>
          <w:sz w:val="20"/>
          <w:szCs w:val="20"/>
        </w:rPr>
        <w:t>view</w:t>
      </w:r>
      <w:r w:rsidRPr="00046271">
        <w:rPr>
          <w:sz w:val="20"/>
          <w:szCs w:val="20"/>
        </w:rPr>
        <w:t>,</w:t>
      </w:r>
      <w:r w:rsidRPr="00046271">
        <w:rPr>
          <w:rStyle w:val="FootnoteReference"/>
          <w:sz w:val="20"/>
          <w:szCs w:val="20"/>
        </w:rPr>
        <w:footnoteReference w:id="7"/>
      </w:r>
      <w:r w:rsidRPr="00046271">
        <w:rPr>
          <w:sz w:val="20"/>
          <w:szCs w:val="20"/>
        </w:rPr>
        <w:t xml:space="preserve"> progress has been made for most of the </w:t>
      </w:r>
      <w:r w:rsidR="004A64E6">
        <w:rPr>
          <w:sz w:val="20"/>
          <w:szCs w:val="20"/>
        </w:rPr>
        <w:t>Goals but</w:t>
      </w:r>
      <w:r w:rsidRPr="00046271">
        <w:rPr>
          <w:sz w:val="20"/>
          <w:szCs w:val="20"/>
        </w:rPr>
        <w:t xml:space="preserve"> is lagging </w:t>
      </w:r>
      <w:r w:rsidR="004A64E6">
        <w:rPr>
          <w:sz w:val="20"/>
          <w:szCs w:val="20"/>
        </w:rPr>
        <w:t>for</w:t>
      </w:r>
      <w:r w:rsidRPr="00046271">
        <w:rPr>
          <w:sz w:val="20"/>
          <w:szCs w:val="20"/>
        </w:rPr>
        <w:t xml:space="preserve"> industry/innovation (</w:t>
      </w:r>
      <w:r w:rsidR="00661DD8">
        <w:rPr>
          <w:sz w:val="20"/>
          <w:szCs w:val="20"/>
        </w:rPr>
        <w:t xml:space="preserve">Goal </w:t>
      </w:r>
      <w:r w:rsidR="00661DD8" w:rsidRPr="00046271">
        <w:rPr>
          <w:sz w:val="20"/>
          <w:szCs w:val="20"/>
        </w:rPr>
        <w:t>9</w:t>
      </w:r>
      <w:r w:rsidRPr="00046271">
        <w:rPr>
          <w:sz w:val="20"/>
          <w:szCs w:val="20"/>
        </w:rPr>
        <w:t>), responsible consumption and production (</w:t>
      </w:r>
      <w:r w:rsidR="00661DD8">
        <w:rPr>
          <w:sz w:val="20"/>
          <w:szCs w:val="20"/>
        </w:rPr>
        <w:t xml:space="preserve">Goal </w:t>
      </w:r>
      <w:r w:rsidR="00661DD8" w:rsidRPr="00046271">
        <w:rPr>
          <w:sz w:val="20"/>
          <w:szCs w:val="20"/>
        </w:rPr>
        <w:t>12</w:t>
      </w:r>
      <w:r w:rsidRPr="00046271">
        <w:rPr>
          <w:sz w:val="20"/>
          <w:szCs w:val="20"/>
        </w:rPr>
        <w:t>), climate (</w:t>
      </w:r>
      <w:r w:rsidR="00661DD8">
        <w:rPr>
          <w:sz w:val="20"/>
          <w:szCs w:val="20"/>
        </w:rPr>
        <w:t xml:space="preserve">Goal </w:t>
      </w:r>
      <w:r w:rsidR="00661DD8" w:rsidRPr="00046271">
        <w:rPr>
          <w:sz w:val="20"/>
          <w:szCs w:val="20"/>
        </w:rPr>
        <w:t>13</w:t>
      </w:r>
      <w:r w:rsidRPr="00046271">
        <w:rPr>
          <w:sz w:val="20"/>
          <w:szCs w:val="20"/>
        </w:rPr>
        <w:t>) and life under water (</w:t>
      </w:r>
      <w:r w:rsidR="00661DD8">
        <w:rPr>
          <w:sz w:val="20"/>
          <w:szCs w:val="20"/>
        </w:rPr>
        <w:t xml:space="preserve">Goal </w:t>
      </w:r>
      <w:r w:rsidR="00661DD8" w:rsidRPr="00046271">
        <w:rPr>
          <w:sz w:val="20"/>
          <w:szCs w:val="20"/>
        </w:rPr>
        <w:t>14</w:t>
      </w:r>
      <w:r w:rsidRPr="00046271">
        <w:rPr>
          <w:sz w:val="20"/>
          <w:szCs w:val="20"/>
        </w:rPr>
        <w:t xml:space="preserve">). Kuwait has complete data only for </w:t>
      </w:r>
      <w:r w:rsidR="00661DD8">
        <w:rPr>
          <w:sz w:val="20"/>
          <w:szCs w:val="20"/>
        </w:rPr>
        <w:t xml:space="preserve">Goal </w:t>
      </w:r>
      <w:r w:rsidR="00661DD8" w:rsidRPr="00046271">
        <w:rPr>
          <w:sz w:val="20"/>
          <w:szCs w:val="20"/>
        </w:rPr>
        <w:t>1</w:t>
      </w:r>
      <w:r w:rsidRPr="00046271">
        <w:rPr>
          <w:sz w:val="20"/>
          <w:szCs w:val="20"/>
        </w:rPr>
        <w:t xml:space="preserve">, </w:t>
      </w:r>
      <w:r w:rsidR="00B342A5">
        <w:rPr>
          <w:sz w:val="20"/>
          <w:szCs w:val="20"/>
        </w:rPr>
        <w:t xml:space="preserve">affecting </w:t>
      </w:r>
      <w:r w:rsidR="00A908EA">
        <w:rPr>
          <w:sz w:val="20"/>
          <w:szCs w:val="20"/>
        </w:rPr>
        <w:t xml:space="preserve">its </w:t>
      </w:r>
      <w:r w:rsidR="00B342A5">
        <w:rPr>
          <w:sz w:val="20"/>
          <w:szCs w:val="20"/>
        </w:rPr>
        <w:t xml:space="preserve">ability to </w:t>
      </w:r>
      <w:r w:rsidRPr="00046271">
        <w:rPr>
          <w:sz w:val="20"/>
          <w:szCs w:val="20"/>
        </w:rPr>
        <w:t xml:space="preserve">comprehensively track progress. With </w:t>
      </w:r>
      <w:r w:rsidR="003D6A68" w:rsidRPr="00046271">
        <w:rPr>
          <w:sz w:val="20"/>
          <w:szCs w:val="20"/>
        </w:rPr>
        <w:t xml:space="preserve">overall </w:t>
      </w:r>
      <w:r w:rsidR="003D6A68">
        <w:rPr>
          <w:sz w:val="20"/>
          <w:szCs w:val="20"/>
        </w:rPr>
        <w:t>guidance</w:t>
      </w:r>
      <w:r w:rsidRPr="00046271">
        <w:rPr>
          <w:sz w:val="20"/>
          <w:szCs w:val="20"/>
        </w:rPr>
        <w:t xml:space="preserve"> from the </w:t>
      </w:r>
      <w:r w:rsidR="00661DD8">
        <w:rPr>
          <w:sz w:val="20"/>
          <w:szCs w:val="20"/>
        </w:rPr>
        <w:t>G</w:t>
      </w:r>
      <w:r w:rsidRPr="00046271">
        <w:rPr>
          <w:sz w:val="20"/>
          <w:szCs w:val="20"/>
        </w:rPr>
        <w:t xml:space="preserve">overnment, represented by the General Secretariat </w:t>
      </w:r>
      <w:r w:rsidR="00C54C27">
        <w:rPr>
          <w:sz w:val="20"/>
          <w:szCs w:val="20"/>
        </w:rPr>
        <w:t xml:space="preserve">of the </w:t>
      </w:r>
      <w:r w:rsidRPr="00046271">
        <w:rPr>
          <w:sz w:val="20"/>
          <w:szCs w:val="20"/>
        </w:rPr>
        <w:t xml:space="preserve">Supreme Council for Planning and Development (GSSCPD), UNDP supported the establishment of </w:t>
      </w:r>
      <w:r w:rsidR="00661DD8">
        <w:rPr>
          <w:sz w:val="20"/>
          <w:szCs w:val="20"/>
        </w:rPr>
        <w:t xml:space="preserve">the </w:t>
      </w:r>
      <w:r w:rsidR="00EE1EE2" w:rsidRPr="00046271">
        <w:rPr>
          <w:sz w:val="20"/>
          <w:szCs w:val="20"/>
        </w:rPr>
        <w:t>National Observatory</w:t>
      </w:r>
      <w:r w:rsidR="00EE1EE2">
        <w:rPr>
          <w:sz w:val="20"/>
          <w:szCs w:val="20"/>
        </w:rPr>
        <w:t xml:space="preserve"> on </w:t>
      </w:r>
      <w:r w:rsidR="00661DD8">
        <w:rPr>
          <w:sz w:val="20"/>
          <w:szCs w:val="20"/>
        </w:rPr>
        <w:t xml:space="preserve">Sustainable Development </w:t>
      </w:r>
      <w:r w:rsidR="00F1551A">
        <w:rPr>
          <w:sz w:val="20"/>
          <w:szCs w:val="20"/>
        </w:rPr>
        <w:t xml:space="preserve">(NOSD) </w:t>
      </w:r>
      <w:r w:rsidRPr="00046271">
        <w:rPr>
          <w:sz w:val="20"/>
          <w:szCs w:val="20"/>
        </w:rPr>
        <w:t xml:space="preserve">to track achievement </w:t>
      </w:r>
      <w:r w:rsidR="00661DD8">
        <w:rPr>
          <w:sz w:val="20"/>
          <w:szCs w:val="20"/>
        </w:rPr>
        <w:t xml:space="preserve">of the Goals </w:t>
      </w:r>
      <w:r w:rsidRPr="00046271">
        <w:rPr>
          <w:sz w:val="20"/>
          <w:szCs w:val="20"/>
        </w:rPr>
        <w:t xml:space="preserve">and an interministerial steering committee headed by the GSSCPD to guide preparation of the </w:t>
      </w:r>
      <w:r w:rsidR="00661DD8">
        <w:rPr>
          <w:sz w:val="20"/>
          <w:szCs w:val="20"/>
        </w:rPr>
        <w:t>v</w:t>
      </w:r>
      <w:r w:rsidR="00661DD8" w:rsidRPr="00046271">
        <w:rPr>
          <w:sz w:val="20"/>
          <w:szCs w:val="20"/>
        </w:rPr>
        <w:t xml:space="preserve">oluntary </w:t>
      </w:r>
      <w:r w:rsidR="00661DD8">
        <w:rPr>
          <w:sz w:val="20"/>
          <w:szCs w:val="20"/>
        </w:rPr>
        <w:t>n</w:t>
      </w:r>
      <w:r w:rsidR="00661DD8" w:rsidRPr="00046271">
        <w:rPr>
          <w:sz w:val="20"/>
          <w:szCs w:val="20"/>
        </w:rPr>
        <w:t xml:space="preserve">ational </w:t>
      </w:r>
      <w:r w:rsidR="00D632FE">
        <w:rPr>
          <w:sz w:val="20"/>
          <w:szCs w:val="20"/>
        </w:rPr>
        <w:t>r</w:t>
      </w:r>
      <w:r w:rsidR="00D632FE" w:rsidRPr="00046271">
        <w:rPr>
          <w:sz w:val="20"/>
          <w:szCs w:val="20"/>
        </w:rPr>
        <w:t>e</w:t>
      </w:r>
      <w:r w:rsidR="00D632FE">
        <w:rPr>
          <w:sz w:val="20"/>
          <w:szCs w:val="20"/>
        </w:rPr>
        <w:t>view.</w:t>
      </w:r>
    </w:p>
    <w:p w14:paraId="173191E2" w14:textId="77777777" w:rsidR="00D33447" w:rsidRPr="00D33447" w:rsidRDefault="00D33447" w:rsidP="00D33447">
      <w:pPr>
        <w:pStyle w:val="ListParagraph"/>
        <w:rPr>
          <w:sz w:val="12"/>
          <w:szCs w:val="12"/>
        </w:rPr>
      </w:pPr>
    </w:p>
    <w:p w14:paraId="498CEB9D" w14:textId="175F46F2" w:rsidR="009A47BF" w:rsidRPr="00046271" w:rsidRDefault="009A47BF" w:rsidP="007F5C41">
      <w:pPr>
        <w:pStyle w:val="ListParagraph"/>
        <w:numPr>
          <w:ilvl w:val="0"/>
          <w:numId w:val="26"/>
        </w:numPr>
        <w:tabs>
          <w:tab w:val="left" w:pos="810"/>
        </w:tabs>
        <w:autoSpaceDE w:val="0"/>
        <w:autoSpaceDN w:val="0"/>
        <w:adjustRightInd w:val="0"/>
        <w:ind w:left="630" w:right="65" w:firstLine="0"/>
        <w:contextualSpacing/>
        <w:jc w:val="both"/>
        <w:rPr>
          <w:sz w:val="20"/>
          <w:szCs w:val="20"/>
        </w:rPr>
      </w:pPr>
      <w:r w:rsidRPr="00046271">
        <w:rPr>
          <w:sz w:val="20"/>
          <w:szCs w:val="20"/>
        </w:rPr>
        <w:t xml:space="preserve">The key to achieving the goals of the KNDP will be the development of policies and strengthening of institutions to implement these policies, while also taking steps to create the policy and regulatory environment </w:t>
      </w:r>
      <w:r w:rsidR="003D6A68" w:rsidRPr="00046271">
        <w:rPr>
          <w:sz w:val="20"/>
          <w:szCs w:val="20"/>
        </w:rPr>
        <w:t>which stimulates</w:t>
      </w:r>
      <w:r w:rsidRPr="00046271">
        <w:rPr>
          <w:sz w:val="20"/>
          <w:szCs w:val="20"/>
        </w:rPr>
        <w:t xml:space="preserve"> </w:t>
      </w:r>
      <w:r w:rsidR="00B342A5">
        <w:rPr>
          <w:sz w:val="20"/>
          <w:szCs w:val="20"/>
        </w:rPr>
        <w:t xml:space="preserve">public-private partnerships. </w:t>
      </w:r>
      <w:r w:rsidRPr="00046271">
        <w:rPr>
          <w:sz w:val="20"/>
          <w:szCs w:val="20"/>
        </w:rPr>
        <w:t xml:space="preserve"> </w:t>
      </w:r>
    </w:p>
    <w:p w14:paraId="3E37C99E" w14:textId="77777777" w:rsidR="009A47BF" w:rsidRPr="00D33447" w:rsidRDefault="009A47BF" w:rsidP="007F5C41">
      <w:pPr>
        <w:tabs>
          <w:tab w:val="left" w:pos="810"/>
        </w:tabs>
        <w:ind w:left="630" w:right="65"/>
        <w:jc w:val="both"/>
        <w:rPr>
          <w:sz w:val="12"/>
          <w:szCs w:val="12"/>
        </w:rPr>
      </w:pPr>
    </w:p>
    <w:p w14:paraId="7D3E753B" w14:textId="56332B74" w:rsidR="009A47BF" w:rsidRPr="00046271" w:rsidRDefault="0097581E" w:rsidP="007F5C41">
      <w:pPr>
        <w:pStyle w:val="NormalWeb"/>
        <w:numPr>
          <w:ilvl w:val="0"/>
          <w:numId w:val="26"/>
        </w:numPr>
        <w:tabs>
          <w:tab w:val="left" w:pos="810"/>
        </w:tabs>
        <w:spacing w:before="0" w:beforeAutospacing="0" w:after="0" w:afterAutospacing="0"/>
        <w:ind w:left="630" w:right="65" w:firstLine="0"/>
        <w:jc w:val="both"/>
        <w:rPr>
          <w:sz w:val="20"/>
          <w:szCs w:val="20"/>
        </w:rPr>
      </w:pPr>
      <w:r>
        <w:rPr>
          <w:sz w:val="20"/>
          <w:szCs w:val="20"/>
        </w:rPr>
        <w:t xml:space="preserve">The country’s </w:t>
      </w:r>
      <w:r w:rsidR="009A47BF" w:rsidRPr="00046271">
        <w:rPr>
          <w:sz w:val="20"/>
          <w:szCs w:val="20"/>
        </w:rPr>
        <w:t>natural resource-based economy presents two interrelated challenges</w:t>
      </w:r>
      <w:r w:rsidR="00BA1216">
        <w:rPr>
          <w:sz w:val="20"/>
          <w:szCs w:val="20"/>
        </w:rPr>
        <w:t>:</w:t>
      </w:r>
      <w:r w:rsidR="009A47BF" w:rsidRPr="00046271">
        <w:rPr>
          <w:sz w:val="20"/>
          <w:szCs w:val="20"/>
        </w:rPr>
        <w:t xml:space="preserve"> the need to diversify the economy to broaden the revenue base and mitigate the impact of </w:t>
      </w:r>
      <w:r w:rsidR="00475DF9">
        <w:rPr>
          <w:sz w:val="20"/>
          <w:szCs w:val="20"/>
        </w:rPr>
        <w:t xml:space="preserve">potential </w:t>
      </w:r>
      <w:r w:rsidR="009A47BF" w:rsidRPr="00046271">
        <w:rPr>
          <w:sz w:val="20"/>
          <w:szCs w:val="20"/>
        </w:rPr>
        <w:t>external shocks</w:t>
      </w:r>
      <w:r w:rsidR="00661DD8">
        <w:rPr>
          <w:sz w:val="20"/>
          <w:szCs w:val="20"/>
        </w:rPr>
        <w:t>;</w:t>
      </w:r>
      <w:r w:rsidR="009A47BF" w:rsidRPr="00046271">
        <w:rPr>
          <w:sz w:val="20"/>
          <w:szCs w:val="20"/>
        </w:rPr>
        <w:t xml:space="preserve"> and  managing public expenditures at sustainable levels. The drop in oil prices in 2014 led to a fiscal deficit in 2015</w:t>
      </w:r>
      <w:r w:rsidR="00661DD8">
        <w:rPr>
          <w:sz w:val="20"/>
          <w:szCs w:val="20"/>
        </w:rPr>
        <w:t>-20</w:t>
      </w:r>
      <w:r w:rsidR="009A47BF" w:rsidRPr="00046271">
        <w:rPr>
          <w:sz w:val="20"/>
          <w:szCs w:val="20"/>
        </w:rPr>
        <w:t>16 of about 15</w:t>
      </w:r>
      <w:r w:rsidR="00773EE4">
        <w:rPr>
          <w:sz w:val="20"/>
          <w:szCs w:val="20"/>
        </w:rPr>
        <w:t xml:space="preserve"> per</w:t>
      </w:r>
      <w:r w:rsidR="00661DD8">
        <w:rPr>
          <w:sz w:val="20"/>
          <w:szCs w:val="20"/>
        </w:rPr>
        <w:t xml:space="preserve"> </w:t>
      </w:r>
      <w:r w:rsidR="00773EE4">
        <w:rPr>
          <w:sz w:val="20"/>
          <w:szCs w:val="20"/>
        </w:rPr>
        <w:t>cent</w:t>
      </w:r>
      <w:r w:rsidR="009A47BF" w:rsidRPr="00046271">
        <w:rPr>
          <w:sz w:val="20"/>
          <w:szCs w:val="20"/>
        </w:rPr>
        <w:t xml:space="preserve"> of GDP, which will</w:t>
      </w:r>
      <w:r w:rsidR="009A47BF" w:rsidRPr="00046271">
        <w:rPr>
          <w:sz w:val="20"/>
          <w:szCs w:val="20"/>
          <w:lang w:val="en-GB"/>
        </w:rPr>
        <w:t xml:space="preserve"> require $116 billion over the next six years to finance.</w:t>
      </w:r>
      <w:r w:rsidR="009A47BF" w:rsidRPr="00046271">
        <w:rPr>
          <w:rStyle w:val="FootnoteReference"/>
          <w:sz w:val="20"/>
          <w:szCs w:val="20"/>
          <w:lang w:val="en-GB"/>
        </w:rPr>
        <w:footnoteReference w:id="8"/>
      </w:r>
      <w:r w:rsidR="009A47BF" w:rsidRPr="00046271">
        <w:rPr>
          <w:sz w:val="20"/>
          <w:szCs w:val="20"/>
          <w:lang w:val="en-GB"/>
        </w:rPr>
        <w:t xml:space="preserve"> Kuwait has been able to absorb such shocks through domestic and international bond issues and drawdowns from its General Reserve Fund.</w:t>
      </w:r>
      <w:r w:rsidR="009A47BF" w:rsidRPr="00046271">
        <w:rPr>
          <w:rStyle w:val="FootnoteReference"/>
          <w:sz w:val="20"/>
          <w:szCs w:val="20"/>
          <w:lang w:val="en-GB"/>
        </w:rPr>
        <w:footnoteReference w:id="9"/>
      </w:r>
      <w:r w:rsidR="009A47BF" w:rsidRPr="00046271">
        <w:rPr>
          <w:sz w:val="20"/>
          <w:szCs w:val="20"/>
          <w:lang w:val="en-GB"/>
        </w:rPr>
        <w:t xml:space="preserve"> However, </w:t>
      </w:r>
      <w:r>
        <w:rPr>
          <w:sz w:val="20"/>
          <w:szCs w:val="20"/>
          <w:lang w:val="en-GB"/>
        </w:rPr>
        <w:t xml:space="preserve">the </w:t>
      </w:r>
      <w:r w:rsidR="00475DF9">
        <w:rPr>
          <w:sz w:val="20"/>
          <w:szCs w:val="20"/>
          <w:lang w:val="en-GB"/>
        </w:rPr>
        <w:t xml:space="preserve">economy could be affected at a time of </w:t>
      </w:r>
      <w:r w:rsidR="009A47BF" w:rsidRPr="00046271">
        <w:rPr>
          <w:sz w:val="20"/>
          <w:szCs w:val="20"/>
          <w:lang w:val="en-GB"/>
        </w:rPr>
        <w:t>external shocks by policies which virtually guarantee public sector employment and provide generous subsidies and cash transfers to citizens. These benefits accounted for more than 50 per</w:t>
      </w:r>
      <w:r w:rsidR="00FE10B8">
        <w:rPr>
          <w:sz w:val="20"/>
          <w:szCs w:val="20"/>
          <w:lang w:val="en-GB"/>
        </w:rPr>
        <w:t xml:space="preserve"> </w:t>
      </w:r>
      <w:r w:rsidR="009A47BF" w:rsidRPr="00046271">
        <w:rPr>
          <w:sz w:val="20"/>
          <w:szCs w:val="20"/>
          <w:lang w:val="en-GB"/>
        </w:rPr>
        <w:t>cent of the total budget in 2016</w:t>
      </w:r>
      <w:r w:rsidR="00FE10B8">
        <w:rPr>
          <w:sz w:val="20"/>
          <w:szCs w:val="20"/>
          <w:lang w:val="en-GB"/>
        </w:rPr>
        <w:t>-20</w:t>
      </w:r>
      <w:r w:rsidR="009A47BF" w:rsidRPr="00046271">
        <w:rPr>
          <w:sz w:val="20"/>
          <w:szCs w:val="20"/>
          <w:lang w:val="en-GB"/>
        </w:rPr>
        <w:t>17,</w:t>
      </w:r>
      <w:r w:rsidR="009A47BF" w:rsidRPr="00046271">
        <w:rPr>
          <w:rStyle w:val="FootnoteReference"/>
          <w:sz w:val="20"/>
          <w:szCs w:val="20"/>
          <w:lang w:val="en-GB"/>
        </w:rPr>
        <w:footnoteReference w:id="10"/>
      </w:r>
      <w:r w:rsidR="009A47BF" w:rsidRPr="00046271">
        <w:rPr>
          <w:sz w:val="20"/>
          <w:szCs w:val="20"/>
          <w:lang w:val="en-GB"/>
        </w:rPr>
        <w:t xml:space="preserve"> which </w:t>
      </w:r>
      <w:r w:rsidR="00A908EA">
        <w:rPr>
          <w:sz w:val="20"/>
          <w:szCs w:val="20"/>
          <w:lang w:val="en-GB"/>
        </w:rPr>
        <w:t xml:space="preserve">puts </w:t>
      </w:r>
      <w:r w:rsidR="00773EE4">
        <w:rPr>
          <w:sz w:val="20"/>
          <w:szCs w:val="20"/>
          <w:lang w:val="en-GB"/>
        </w:rPr>
        <w:t xml:space="preserve">pressure on </w:t>
      </w:r>
      <w:r w:rsidR="009A47BF" w:rsidRPr="00046271">
        <w:rPr>
          <w:sz w:val="20"/>
          <w:szCs w:val="20"/>
          <w:lang w:val="en-GB"/>
        </w:rPr>
        <w:t xml:space="preserve">resources available for public services and investments linked to </w:t>
      </w:r>
      <w:r w:rsidR="00FE10B8">
        <w:rPr>
          <w:sz w:val="20"/>
          <w:szCs w:val="20"/>
          <w:lang w:val="en-GB"/>
        </w:rPr>
        <w:t xml:space="preserve">the </w:t>
      </w:r>
      <w:r w:rsidR="009A47BF" w:rsidRPr="00046271">
        <w:rPr>
          <w:sz w:val="20"/>
          <w:szCs w:val="20"/>
          <w:lang w:val="en-GB"/>
        </w:rPr>
        <w:t xml:space="preserve">KNDP </w:t>
      </w:r>
      <w:r w:rsidR="00BA1216">
        <w:rPr>
          <w:sz w:val="20"/>
          <w:szCs w:val="20"/>
          <w:lang w:val="en-GB"/>
        </w:rPr>
        <w:t xml:space="preserve">and </w:t>
      </w:r>
      <w:r w:rsidR="00FE10B8" w:rsidRPr="00046271">
        <w:rPr>
          <w:sz w:val="20"/>
          <w:szCs w:val="20"/>
        </w:rPr>
        <w:t>Sustainable Development Goal</w:t>
      </w:r>
      <w:r w:rsidR="00FE10B8">
        <w:rPr>
          <w:sz w:val="20"/>
          <w:szCs w:val="20"/>
        </w:rPr>
        <w:t>s</w:t>
      </w:r>
      <w:r w:rsidR="009A47BF" w:rsidRPr="00046271">
        <w:rPr>
          <w:sz w:val="20"/>
          <w:szCs w:val="20"/>
          <w:lang w:val="en-GB"/>
        </w:rPr>
        <w:t>. Over 70 per</w:t>
      </w:r>
      <w:r w:rsidR="00FE10B8">
        <w:rPr>
          <w:sz w:val="20"/>
          <w:szCs w:val="20"/>
          <w:lang w:val="en-GB"/>
        </w:rPr>
        <w:t xml:space="preserve"> </w:t>
      </w:r>
      <w:r w:rsidR="009A47BF" w:rsidRPr="00046271">
        <w:rPr>
          <w:sz w:val="20"/>
          <w:szCs w:val="20"/>
          <w:lang w:val="en-GB"/>
        </w:rPr>
        <w:t>cent of Kuwaiti citizens are under age 34 which, in the absence of reform, will increase fiscal pressures,</w:t>
      </w:r>
      <w:r w:rsidR="009A47BF" w:rsidRPr="00046271">
        <w:rPr>
          <w:rStyle w:val="FootnoteReference"/>
          <w:sz w:val="20"/>
          <w:szCs w:val="20"/>
          <w:lang w:val="en-GB"/>
        </w:rPr>
        <w:footnoteReference w:id="11"/>
      </w:r>
      <w:r w:rsidR="009A47BF" w:rsidRPr="00046271">
        <w:rPr>
          <w:sz w:val="20"/>
          <w:szCs w:val="20"/>
          <w:lang w:val="en-GB"/>
        </w:rPr>
        <w:t xml:space="preserve"> and </w:t>
      </w:r>
      <w:r w:rsidR="009A47BF" w:rsidRPr="00046271">
        <w:rPr>
          <w:sz w:val="20"/>
          <w:szCs w:val="20"/>
        </w:rPr>
        <w:t>less than</w:t>
      </w:r>
      <w:r w:rsidR="009A47BF" w:rsidRPr="00046271">
        <w:rPr>
          <w:rFonts w:ascii="SegoeUI" w:hAnsi="SegoeUI"/>
          <w:sz w:val="22"/>
          <w:szCs w:val="22"/>
        </w:rPr>
        <w:t xml:space="preserve"> </w:t>
      </w:r>
      <w:r w:rsidR="009A47BF" w:rsidRPr="00046271">
        <w:rPr>
          <w:sz w:val="20"/>
          <w:szCs w:val="20"/>
        </w:rPr>
        <w:t>15 per</w:t>
      </w:r>
      <w:r w:rsidR="00056F6A">
        <w:rPr>
          <w:sz w:val="20"/>
          <w:szCs w:val="20"/>
        </w:rPr>
        <w:t xml:space="preserve"> </w:t>
      </w:r>
      <w:r w:rsidR="009A47BF" w:rsidRPr="00046271">
        <w:rPr>
          <w:sz w:val="20"/>
          <w:szCs w:val="20"/>
        </w:rPr>
        <w:t xml:space="preserve">cent of </w:t>
      </w:r>
      <w:r w:rsidR="009A47BF" w:rsidRPr="00046271">
        <w:rPr>
          <w:sz w:val="20"/>
          <w:szCs w:val="20"/>
        </w:rPr>
        <w:lastRenderedPageBreak/>
        <w:t>nationals entering the labo</w:t>
      </w:r>
      <w:r>
        <w:rPr>
          <w:sz w:val="20"/>
          <w:szCs w:val="20"/>
        </w:rPr>
        <w:t>u</w:t>
      </w:r>
      <w:r w:rsidR="009A47BF" w:rsidRPr="00046271">
        <w:rPr>
          <w:sz w:val="20"/>
          <w:szCs w:val="20"/>
        </w:rPr>
        <w:t>r market over the next five years are expected to be absorbed by the private sector.</w:t>
      </w:r>
      <w:r w:rsidR="009A47BF" w:rsidRPr="00046271">
        <w:rPr>
          <w:rStyle w:val="FootnoteReference"/>
          <w:sz w:val="20"/>
          <w:szCs w:val="20"/>
        </w:rPr>
        <w:footnoteReference w:id="12"/>
      </w:r>
      <w:r w:rsidR="009A47BF" w:rsidRPr="00046271">
        <w:rPr>
          <w:sz w:val="20"/>
          <w:szCs w:val="20"/>
        </w:rPr>
        <w:t xml:space="preserve"> </w:t>
      </w:r>
    </w:p>
    <w:p w14:paraId="60245989" w14:textId="77777777" w:rsidR="009A47BF" w:rsidRPr="00D33447" w:rsidRDefault="009A47BF" w:rsidP="007F5C41">
      <w:pPr>
        <w:tabs>
          <w:tab w:val="left" w:pos="810"/>
        </w:tabs>
        <w:ind w:left="630" w:right="65"/>
        <w:jc w:val="both"/>
        <w:rPr>
          <w:sz w:val="12"/>
          <w:szCs w:val="12"/>
        </w:rPr>
      </w:pPr>
    </w:p>
    <w:p w14:paraId="057169B4" w14:textId="0416F462" w:rsidR="00773EE4" w:rsidRDefault="008749D8" w:rsidP="007F5C41">
      <w:pPr>
        <w:pStyle w:val="ListParagraph"/>
        <w:numPr>
          <w:ilvl w:val="0"/>
          <w:numId w:val="26"/>
        </w:numPr>
        <w:tabs>
          <w:tab w:val="left" w:pos="810"/>
        </w:tabs>
        <w:autoSpaceDE w:val="0"/>
        <w:autoSpaceDN w:val="0"/>
        <w:adjustRightInd w:val="0"/>
        <w:ind w:left="630" w:right="65" w:firstLine="0"/>
        <w:contextualSpacing/>
        <w:jc w:val="both"/>
        <w:rPr>
          <w:sz w:val="20"/>
          <w:szCs w:val="20"/>
        </w:rPr>
      </w:pPr>
      <w:r>
        <w:rPr>
          <w:sz w:val="20"/>
          <w:szCs w:val="20"/>
        </w:rPr>
        <w:t>While overall unemployment is low (2.1 per cent in 2018)</w:t>
      </w:r>
      <w:r w:rsidR="00056F6A">
        <w:rPr>
          <w:sz w:val="20"/>
          <w:szCs w:val="20"/>
        </w:rPr>
        <w:t>,</w:t>
      </w:r>
      <w:r>
        <w:rPr>
          <w:rStyle w:val="FootnoteReference"/>
          <w:sz w:val="20"/>
          <w:szCs w:val="20"/>
        </w:rPr>
        <w:footnoteReference w:id="13"/>
      </w:r>
      <w:r>
        <w:rPr>
          <w:sz w:val="20"/>
          <w:szCs w:val="20"/>
        </w:rPr>
        <w:t xml:space="preserve"> s</w:t>
      </w:r>
      <w:r w:rsidR="009A47BF" w:rsidRPr="00046271">
        <w:rPr>
          <w:sz w:val="20"/>
          <w:szCs w:val="20"/>
        </w:rPr>
        <w:t>ignificant labour market reforms will be necessary to address imbalances between public and private sector employment. Approximately 80 per cent of Kuwaiti nationals in the workforce are employed by the public sector. Kuwaiti nationals make up only 5 per cent of the private sector workforce,</w:t>
      </w:r>
      <w:r w:rsidR="009A47BF" w:rsidRPr="00046271">
        <w:rPr>
          <w:rStyle w:val="FootnoteReference"/>
          <w:sz w:val="20"/>
          <w:szCs w:val="20"/>
        </w:rPr>
        <w:footnoteReference w:id="14"/>
      </w:r>
      <w:r w:rsidR="009A47BF" w:rsidRPr="00046271">
        <w:rPr>
          <w:sz w:val="20"/>
          <w:szCs w:val="20"/>
        </w:rPr>
        <w:t xml:space="preserve"> </w:t>
      </w:r>
      <w:r w:rsidR="00056F6A">
        <w:rPr>
          <w:sz w:val="20"/>
          <w:szCs w:val="20"/>
        </w:rPr>
        <w:t xml:space="preserve">with </w:t>
      </w:r>
      <w:r w:rsidR="009A47BF" w:rsidRPr="00046271">
        <w:rPr>
          <w:sz w:val="20"/>
          <w:szCs w:val="20"/>
        </w:rPr>
        <w:t>the remainder comprised of expatriates. The root causes for this imbalance include</w:t>
      </w:r>
      <w:r w:rsidR="00056F6A">
        <w:rPr>
          <w:sz w:val="20"/>
          <w:szCs w:val="20"/>
        </w:rPr>
        <w:t xml:space="preserve"> the fact that</w:t>
      </w:r>
      <w:r w:rsidR="009A47BF" w:rsidRPr="00046271">
        <w:rPr>
          <w:sz w:val="20"/>
          <w:szCs w:val="20"/>
        </w:rPr>
        <w:t xml:space="preserve"> public sector work is guaranteed for nationals and better paid</w:t>
      </w:r>
      <w:r w:rsidR="00056F6A">
        <w:rPr>
          <w:sz w:val="20"/>
          <w:szCs w:val="20"/>
        </w:rPr>
        <w:t xml:space="preserve">, </w:t>
      </w:r>
      <w:r w:rsidR="009A47BF" w:rsidRPr="00046271">
        <w:rPr>
          <w:sz w:val="20"/>
          <w:szCs w:val="20"/>
        </w:rPr>
        <w:t xml:space="preserve">expatriate workers </w:t>
      </w:r>
      <w:r w:rsidR="00773EE4">
        <w:rPr>
          <w:sz w:val="20"/>
          <w:szCs w:val="20"/>
        </w:rPr>
        <w:t>tend to engage in manual labo</w:t>
      </w:r>
      <w:r w:rsidR="00056F6A">
        <w:rPr>
          <w:sz w:val="20"/>
          <w:szCs w:val="20"/>
        </w:rPr>
        <w:t>u</w:t>
      </w:r>
      <w:r w:rsidR="00773EE4">
        <w:rPr>
          <w:sz w:val="20"/>
          <w:szCs w:val="20"/>
        </w:rPr>
        <w:t xml:space="preserve">r and </w:t>
      </w:r>
      <w:r w:rsidR="00056F6A">
        <w:rPr>
          <w:sz w:val="20"/>
          <w:szCs w:val="20"/>
        </w:rPr>
        <w:t xml:space="preserve">the </w:t>
      </w:r>
      <w:r w:rsidR="00773EE4">
        <w:rPr>
          <w:sz w:val="20"/>
          <w:szCs w:val="20"/>
        </w:rPr>
        <w:t>service industry</w:t>
      </w:r>
      <w:r w:rsidR="00056F6A">
        <w:rPr>
          <w:sz w:val="20"/>
          <w:szCs w:val="20"/>
        </w:rPr>
        <w:t>,</w:t>
      </w:r>
      <w:r w:rsidR="00773EE4">
        <w:rPr>
          <w:sz w:val="20"/>
          <w:szCs w:val="20"/>
        </w:rPr>
        <w:t xml:space="preserve"> </w:t>
      </w:r>
      <w:r w:rsidR="009A47BF" w:rsidRPr="00046271">
        <w:rPr>
          <w:sz w:val="20"/>
          <w:szCs w:val="20"/>
        </w:rPr>
        <w:t xml:space="preserve">and workers’ skills often </w:t>
      </w:r>
      <w:r w:rsidR="00056F6A">
        <w:rPr>
          <w:sz w:val="20"/>
          <w:szCs w:val="20"/>
        </w:rPr>
        <w:t>a</w:t>
      </w:r>
      <w:r w:rsidR="00F1551A">
        <w:rPr>
          <w:sz w:val="20"/>
          <w:szCs w:val="20"/>
        </w:rPr>
        <w:t>r</w:t>
      </w:r>
      <w:r w:rsidR="00056F6A">
        <w:rPr>
          <w:sz w:val="20"/>
          <w:szCs w:val="20"/>
        </w:rPr>
        <w:t xml:space="preserve">e </w:t>
      </w:r>
      <w:r w:rsidR="009A47BF" w:rsidRPr="00046271">
        <w:rPr>
          <w:sz w:val="20"/>
          <w:szCs w:val="20"/>
        </w:rPr>
        <w:t>not aligned with the needs of the private sector.</w:t>
      </w:r>
      <w:r w:rsidR="009A47BF" w:rsidRPr="00046271">
        <w:rPr>
          <w:rStyle w:val="FootnoteReference"/>
          <w:sz w:val="20"/>
          <w:szCs w:val="20"/>
        </w:rPr>
        <w:footnoteReference w:id="15"/>
      </w:r>
      <w:r w:rsidR="009A47BF" w:rsidRPr="00046271">
        <w:rPr>
          <w:sz w:val="20"/>
          <w:szCs w:val="20"/>
        </w:rPr>
        <w:t xml:space="preserve"> </w:t>
      </w:r>
    </w:p>
    <w:p w14:paraId="6AF0DEAD" w14:textId="77777777" w:rsidR="00773EE4" w:rsidRPr="00D33447" w:rsidRDefault="00773EE4" w:rsidP="007F5C41">
      <w:pPr>
        <w:pStyle w:val="ListParagraph"/>
        <w:tabs>
          <w:tab w:val="left" w:pos="810"/>
        </w:tabs>
        <w:ind w:left="630" w:right="65"/>
        <w:rPr>
          <w:sz w:val="12"/>
          <w:szCs w:val="12"/>
        </w:rPr>
      </w:pPr>
    </w:p>
    <w:p w14:paraId="6D8BB568" w14:textId="4BB69CD8" w:rsidR="009A47BF" w:rsidRPr="00046271" w:rsidRDefault="00773EE4" w:rsidP="007F5C41">
      <w:pPr>
        <w:pStyle w:val="ListParagraph"/>
        <w:numPr>
          <w:ilvl w:val="0"/>
          <w:numId w:val="26"/>
        </w:numPr>
        <w:tabs>
          <w:tab w:val="left" w:pos="810"/>
        </w:tabs>
        <w:autoSpaceDE w:val="0"/>
        <w:autoSpaceDN w:val="0"/>
        <w:adjustRightInd w:val="0"/>
        <w:ind w:left="630" w:right="65" w:firstLine="0"/>
        <w:contextualSpacing/>
        <w:jc w:val="both"/>
        <w:rPr>
          <w:sz w:val="20"/>
          <w:szCs w:val="20"/>
        </w:rPr>
      </w:pPr>
      <w:r>
        <w:rPr>
          <w:sz w:val="20"/>
          <w:szCs w:val="20"/>
        </w:rPr>
        <w:t>P</w:t>
      </w:r>
      <w:r w:rsidR="009A47BF" w:rsidRPr="00046271">
        <w:rPr>
          <w:sz w:val="20"/>
          <w:szCs w:val="20"/>
        </w:rPr>
        <w:t>ublic sector employment</w:t>
      </w:r>
      <w:r w:rsidR="00A908EA">
        <w:rPr>
          <w:sz w:val="20"/>
          <w:szCs w:val="20"/>
        </w:rPr>
        <w:t xml:space="preserve"> </w:t>
      </w:r>
      <w:r w:rsidR="009A47BF" w:rsidRPr="00046271">
        <w:rPr>
          <w:sz w:val="20"/>
          <w:szCs w:val="20"/>
        </w:rPr>
        <w:t xml:space="preserve">and compensation </w:t>
      </w:r>
      <w:r w:rsidR="003D6A68">
        <w:rPr>
          <w:sz w:val="20"/>
          <w:szCs w:val="20"/>
        </w:rPr>
        <w:t xml:space="preserve">are </w:t>
      </w:r>
      <w:r w:rsidR="003D6A68" w:rsidRPr="00046271">
        <w:rPr>
          <w:sz w:val="20"/>
          <w:szCs w:val="20"/>
        </w:rPr>
        <w:t>not</w:t>
      </w:r>
      <w:r w:rsidR="009A47BF" w:rsidRPr="00046271">
        <w:rPr>
          <w:sz w:val="20"/>
          <w:szCs w:val="20"/>
        </w:rPr>
        <w:t xml:space="preserve"> necessarily </w:t>
      </w:r>
      <w:r w:rsidR="008521A9">
        <w:rPr>
          <w:sz w:val="20"/>
          <w:szCs w:val="20"/>
        </w:rPr>
        <w:t xml:space="preserve">effectively linked with </w:t>
      </w:r>
      <w:r w:rsidR="009A47BF" w:rsidRPr="00046271">
        <w:rPr>
          <w:sz w:val="20"/>
          <w:szCs w:val="20"/>
        </w:rPr>
        <w:t>performance management</w:t>
      </w:r>
      <w:r w:rsidR="006F6E84">
        <w:rPr>
          <w:sz w:val="20"/>
          <w:szCs w:val="20"/>
        </w:rPr>
        <w:t>.</w:t>
      </w:r>
      <w:r w:rsidR="0058188C">
        <w:rPr>
          <w:sz w:val="20"/>
          <w:szCs w:val="20"/>
        </w:rPr>
        <w:t xml:space="preserve"> The country stands at</w:t>
      </w:r>
      <w:r w:rsidR="00F1551A">
        <w:rPr>
          <w:sz w:val="20"/>
          <w:szCs w:val="20"/>
        </w:rPr>
        <w:t xml:space="preserve"> the forty-ninth </w:t>
      </w:r>
      <w:r w:rsidR="004C47F1">
        <w:rPr>
          <w:sz w:val="20"/>
          <w:szCs w:val="20"/>
        </w:rPr>
        <w:t>p</w:t>
      </w:r>
      <w:r w:rsidR="00F1551A">
        <w:rPr>
          <w:sz w:val="20"/>
          <w:szCs w:val="20"/>
        </w:rPr>
        <w:t>e</w:t>
      </w:r>
      <w:r w:rsidR="004C47F1">
        <w:rPr>
          <w:sz w:val="20"/>
          <w:szCs w:val="20"/>
        </w:rPr>
        <w:t xml:space="preserve">rcentile </w:t>
      </w:r>
      <w:r w:rsidR="00BB0DFB">
        <w:rPr>
          <w:sz w:val="20"/>
          <w:szCs w:val="20"/>
        </w:rPr>
        <w:t xml:space="preserve">for </w:t>
      </w:r>
      <w:r w:rsidR="0098028A">
        <w:rPr>
          <w:sz w:val="20"/>
          <w:szCs w:val="20"/>
        </w:rPr>
        <w:t xml:space="preserve">government </w:t>
      </w:r>
      <w:r w:rsidR="0058188C">
        <w:rPr>
          <w:sz w:val="20"/>
          <w:szCs w:val="20"/>
        </w:rPr>
        <w:t>effectiveness</w:t>
      </w:r>
      <w:r w:rsidR="0008701E">
        <w:rPr>
          <w:rStyle w:val="FootnoteReference"/>
          <w:sz w:val="20"/>
          <w:szCs w:val="20"/>
        </w:rPr>
        <w:footnoteReference w:id="16"/>
      </w:r>
      <w:r w:rsidR="0058188C">
        <w:rPr>
          <w:sz w:val="20"/>
          <w:szCs w:val="20"/>
        </w:rPr>
        <w:t xml:space="preserve"> and </w:t>
      </w:r>
      <w:r w:rsidR="00F1551A">
        <w:rPr>
          <w:sz w:val="20"/>
          <w:szCs w:val="20"/>
        </w:rPr>
        <w:t xml:space="preserve">ranks </w:t>
      </w:r>
      <w:r w:rsidR="00F42C41">
        <w:rPr>
          <w:sz w:val="20"/>
          <w:szCs w:val="20"/>
        </w:rPr>
        <w:t>41 of 193 Member States</w:t>
      </w:r>
      <w:r w:rsidR="00F1551A">
        <w:rPr>
          <w:sz w:val="20"/>
          <w:szCs w:val="20"/>
        </w:rPr>
        <w:t xml:space="preserve"> </w:t>
      </w:r>
      <w:r w:rsidR="0058188C">
        <w:rPr>
          <w:sz w:val="20"/>
          <w:szCs w:val="20"/>
        </w:rPr>
        <w:t xml:space="preserve">on </w:t>
      </w:r>
      <w:r w:rsidR="00F1551A">
        <w:rPr>
          <w:sz w:val="20"/>
          <w:szCs w:val="20"/>
        </w:rPr>
        <w:t xml:space="preserve">the </w:t>
      </w:r>
      <w:r w:rsidR="00176542">
        <w:rPr>
          <w:sz w:val="20"/>
          <w:szCs w:val="20"/>
        </w:rPr>
        <w:t>U</w:t>
      </w:r>
      <w:r w:rsidR="00F1551A">
        <w:rPr>
          <w:sz w:val="20"/>
          <w:szCs w:val="20"/>
        </w:rPr>
        <w:t xml:space="preserve">nited </w:t>
      </w:r>
      <w:r w:rsidR="00176542">
        <w:rPr>
          <w:sz w:val="20"/>
          <w:szCs w:val="20"/>
        </w:rPr>
        <w:t>N</w:t>
      </w:r>
      <w:r w:rsidR="00F1551A">
        <w:rPr>
          <w:sz w:val="20"/>
          <w:szCs w:val="20"/>
        </w:rPr>
        <w:t>ations</w:t>
      </w:r>
      <w:r w:rsidR="00176542">
        <w:rPr>
          <w:sz w:val="20"/>
          <w:szCs w:val="20"/>
        </w:rPr>
        <w:t xml:space="preserve"> </w:t>
      </w:r>
      <w:r w:rsidR="0058188C">
        <w:rPr>
          <w:sz w:val="20"/>
          <w:szCs w:val="20"/>
        </w:rPr>
        <w:t xml:space="preserve">e-Government </w:t>
      </w:r>
      <w:r w:rsidR="0040693F">
        <w:rPr>
          <w:sz w:val="20"/>
          <w:szCs w:val="20"/>
        </w:rPr>
        <w:t>Development</w:t>
      </w:r>
      <w:r w:rsidR="00BB0DFB">
        <w:rPr>
          <w:sz w:val="20"/>
          <w:szCs w:val="20"/>
        </w:rPr>
        <w:t xml:space="preserve"> Index</w:t>
      </w:r>
      <w:r w:rsidR="0058188C">
        <w:rPr>
          <w:sz w:val="20"/>
          <w:szCs w:val="20"/>
        </w:rPr>
        <w:t>.</w:t>
      </w:r>
      <w:r w:rsidR="0058188C">
        <w:rPr>
          <w:rStyle w:val="FootnoteReference"/>
          <w:sz w:val="20"/>
          <w:szCs w:val="20"/>
        </w:rPr>
        <w:footnoteReference w:id="17"/>
      </w:r>
      <w:r w:rsidR="006F6E84">
        <w:rPr>
          <w:sz w:val="20"/>
          <w:szCs w:val="20"/>
        </w:rPr>
        <w:t xml:space="preserve"> </w:t>
      </w:r>
      <w:r w:rsidR="009A47BF" w:rsidRPr="00046271">
        <w:rPr>
          <w:sz w:val="20"/>
          <w:szCs w:val="20"/>
        </w:rPr>
        <w:t xml:space="preserve">This contributes to </w:t>
      </w:r>
      <w:r w:rsidR="009A47BF" w:rsidRPr="00046271">
        <w:rPr>
          <w:rFonts w:eastAsia="Calibri"/>
          <w:color w:val="000000" w:themeColor="text1"/>
          <w:sz w:val="20"/>
          <w:szCs w:val="20"/>
        </w:rPr>
        <w:t xml:space="preserve">inefficiencies and gaps in government policy coordination, implementation and responsiveness. The current state of transparency, accountability and oversight mechanisms </w:t>
      </w:r>
      <w:r w:rsidR="009C70FF" w:rsidRPr="00046271">
        <w:rPr>
          <w:rFonts w:eastAsia="Calibri"/>
          <w:color w:val="000000" w:themeColor="text1"/>
          <w:sz w:val="20"/>
          <w:szCs w:val="20"/>
        </w:rPr>
        <w:t>h</w:t>
      </w:r>
      <w:r w:rsidR="009C70FF">
        <w:rPr>
          <w:rFonts w:eastAsia="Calibri"/>
          <w:color w:val="000000" w:themeColor="text1"/>
          <w:sz w:val="20"/>
          <w:szCs w:val="20"/>
        </w:rPr>
        <w:t>as</w:t>
      </w:r>
      <w:r w:rsidR="00A02B88">
        <w:rPr>
          <w:rFonts w:eastAsia="Calibri"/>
          <w:color w:val="000000" w:themeColor="text1"/>
          <w:sz w:val="20"/>
          <w:szCs w:val="20"/>
        </w:rPr>
        <w:t xml:space="preserve"> </w:t>
      </w:r>
      <w:r w:rsidR="009C70FF" w:rsidRPr="00046271">
        <w:rPr>
          <w:rFonts w:eastAsia="Calibri"/>
          <w:color w:val="000000" w:themeColor="text1"/>
          <w:sz w:val="20"/>
          <w:szCs w:val="20"/>
        </w:rPr>
        <w:t>raised</w:t>
      </w:r>
      <w:r w:rsidR="009A47BF" w:rsidRPr="00046271">
        <w:rPr>
          <w:rFonts w:eastAsia="Calibri"/>
          <w:color w:val="000000" w:themeColor="text1"/>
          <w:sz w:val="20"/>
          <w:szCs w:val="20"/>
        </w:rPr>
        <w:t xml:space="preserve"> concerns of </w:t>
      </w:r>
      <w:r w:rsidR="006F6E84">
        <w:rPr>
          <w:rFonts w:eastAsia="Calibri"/>
          <w:color w:val="000000" w:themeColor="text1"/>
          <w:sz w:val="20"/>
          <w:szCs w:val="20"/>
        </w:rPr>
        <w:t xml:space="preserve">potential </w:t>
      </w:r>
      <w:r w:rsidR="009A47BF" w:rsidRPr="00046271">
        <w:rPr>
          <w:rFonts w:eastAsia="Calibri"/>
          <w:color w:val="000000" w:themeColor="text1"/>
          <w:sz w:val="20"/>
          <w:szCs w:val="20"/>
        </w:rPr>
        <w:t>corruption across the branches of government and public enterprises.</w:t>
      </w:r>
      <w:r w:rsidR="009A47BF" w:rsidRPr="00046271">
        <w:rPr>
          <w:rStyle w:val="FootnoteReference"/>
          <w:rFonts w:eastAsia="Calibri"/>
          <w:color w:val="000000" w:themeColor="text1"/>
          <w:sz w:val="20"/>
          <w:szCs w:val="20"/>
        </w:rPr>
        <w:footnoteReference w:id="18"/>
      </w:r>
      <w:r w:rsidR="0058188C" w:rsidRPr="0058188C">
        <w:t xml:space="preserve"> </w:t>
      </w:r>
      <w:r w:rsidR="0048417F" w:rsidRPr="0058188C">
        <w:rPr>
          <w:rFonts w:eastAsia="Calibri"/>
          <w:color w:val="000000" w:themeColor="text1"/>
          <w:sz w:val="20"/>
          <w:szCs w:val="20"/>
        </w:rPr>
        <w:t xml:space="preserve">Kuwait </w:t>
      </w:r>
      <w:r w:rsidR="0048417F">
        <w:rPr>
          <w:rFonts w:eastAsia="Calibri"/>
          <w:color w:val="000000" w:themeColor="text1"/>
          <w:sz w:val="20"/>
          <w:szCs w:val="20"/>
        </w:rPr>
        <w:t xml:space="preserve">is ranked </w:t>
      </w:r>
      <w:r w:rsidR="0048417F" w:rsidRPr="0058188C">
        <w:rPr>
          <w:rFonts w:eastAsia="Calibri"/>
          <w:color w:val="000000" w:themeColor="text1"/>
          <w:sz w:val="20"/>
          <w:szCs w:val="20"/>
        </w:rPr>
        <w:t>78 of 180 countries</w:t>
      </w:r>
      <w:r w:rsidR="0048417F">
        <w:rPr>
          <w:rFonts w:eastAsia="Calibri"/>
          <w:color w:val="000000" w:themeColor="text1"/>
          <w:sz w:val="20"/>
          <w:szCs w:val="20"/>
        </w:rPr>
        <w:t xml:space="preserve"> in the Transparency International 2018</w:t>
      </w:r>
      <w:r w:rsidR="0058188C" w:rsidRPr="0058188C">
        <w:rPr>
          <w:rFonts w:eastAsia="Calibri"/>
          <w:color w:val="000000" w:themeColor="text1"/>
          <w:sz w:val="20"/>
          <w:szCs w:val="20"/>
        </w:rPr>
        <w:t xml:space="preserve"> Corruption Perception</w:t>
      </w:r>
      <w:r w:rsidR="00A02B88">
        <w:rPr>
          <w:rFonts w:eastAsia="Calibri"/>
          <w:color w:val="000000" w:themeColor="text1"/>
          <w:sz w:val="20"/>
          <w:szCs w:val="20"/>
        </w:rPr>
        <w:t>s</w:t>
      </w:r>
      <w:r w:rsidR="0058188C" w:rsidRPr="0058188C">
        <w:rPr>
          <w:rFonts w:eastAsia="Calibri"/>
          <w:color w:val="000000" w:themeColor="text1"/>
          <w:sz w:val="20"/>
          <w:szCs w:val="20"/>
        </w:rPr>
        <w:t xml:space="preserve"> Index</w:t>
      </w:r>
      <w:r w:rsidR="00A02B88">
        <w:rPr>
          <w:rFonts w:eastAsia="Calibri"/>
          <w:color w:val="000000" w:themeColor="text1"/>
          <w:sz w:val="20"/>
          <w:szCs w:val="20"/>
        </w:rPr>
        <w:t xml:space="preserve">, up from 85 in </w:t>
      </w:r>
      <w:r w:rsidR="00242A48">
        <w:rPr>
          <w:rFonts w:eastAsia="Calibri"/>
          <w:color w:val="000000" w:themeColor="text1"/>
          <w:sz w:val="20"/>
          <w:szCs w:val="20"/>
        </w:rPr>
        <w:t>2017</w:t>
      </w:r>
      <w:r w:rsidR="0058188C">
        <w:rPr>
          <w:rFonts w:eastAsia="Calibri"/>
          <w:color w:val="000000" w:themeColor="text1"/>
          <w:sz w:val="20"/>
          <w:szCs w:val="20"/>
        </w:rPr>
        <w:t>.</w:t>
      </w:r>
      <w:r w:rsidR="0058188C">
        <w:rPr>
          <w:rStyle w:val="FootnoteReference"/>
          <w:rFonts w:eastAsia="Calibri"/>
          <w:color w:val="000000" w:themeColor="text1"/>
          <w:sz w:val="20"/>
          <w:szCs w:val="20"/>
        </w:rPr>
        <w:footnoteReference w:id="19"/>
      </w:r>
      <w:r w:rsidR="0058188C">
        <w:rPr>
          <w:rFonts w:eastAsia="Calibri"/>
          <w:color w:val="000000" w:themeColor="text1"/>
          <w:sz w:val="20"/>
          <w:szCs w:val="20"/>
        </w:rPr>
        <w:t xml:space="preserve"> T</w:t>
      </w:r>
      <w:r w:rsidR="009A47BF" w:rsidRPr="00046271">
        <w:rPr>
          <w:rFonts w:eastAsia="Calibri"/>
          <w:color w:val="000000" w:themeColor="text1"/>
          <w:sz w:val="20"/>
          <w:szCs w:val="20"/>
        </w:rPr>
        <w:t xml:space="preserve">he </w:t>
      </w:r>
      <w:r w:rsidR="00A02B88">
        <w:rPr>
          <w:rFonts w:eastAsia="Calibri"/>
          <w:color w:val="000000" w:themeColor="text1"/>
          <w:sz w:val="20"/>
          <w:szCs w:val="20"/>
        </w:rPr>
        <w:t>G</w:t>
      </w:r>
      <w:r w:rsidR="00A02B88" w:rsidRPr="00046271">
        <w:rPr>
          <w:rFonts w:eastAsia="Calibri"/>
          <w:color w:val="000000" w:themeColor="text1"/>
          <w:sz w:val="20"/>
          <w:szCs w:val="20"/>
        </w:rPr>
        <w:t xml:space="preserve">overnment </w:t>
      </w:r>
      <w:r w:rsidR="009A47BF" w:rsidRPr="00046271">
        <w:rPr>
          <w:rFonts w:eastAsia="Calibri"/>
          <w:color w:val="000000" w:themeColor="text1"/>
          <w:sz w:val="20"/>
          <w:szCs w:val="20"/>
        </w:rPr>
        <w:t xml:space="preserve">has established a national anti-corruption authority and strengthened the anti-corruption </w:t>
      </w:r>
      <w:r w:rsidR="006F6E84">
        <w:rPr>
          <w:rFonts w:eastAsia="Calibri"/>
          <w:color w:val="000000" w:themeColor="text1"/>
          <w:sz w:val="20"/>
          <w:szCs w:val="20"/>
        </w:rPr>
        <w:t>policy</w:t>
      </w:r>
      <w:r w:rsidR="009A47BF" w:rsidRPr="00046271">
        <w:rPr>
          <w:rFonts w:eastAsia="Calibri"/>
          <w:color w:val="000000" w:themeColor="text1"/>
          <w:sz w:val="20"/>
          <w:szCs w:val="20"/>
        </w:rPr>
        <w:t xml:space="preserve"> framework. </w:t>
      </w:r>
    </w:p>
    <w:p w14:paraId="23BB526A" w14:textId="77777777" w:rsidR="009A47BF" w:rsidRPr="00D33447" w:rsidRDefault="009A47BF" w:rsidP="007F5C41">
      <w:pPr>
        <w:tabs>
          <w:tab w:val="left" w:pos="810"/>
        </w:tabs>
        <w:autoSpaceDE w:val="0"/>
        <w:autoSpaceDN w:val="0"/>
        <w:adjustRightInd w:val="0"/>
        <w:ind w:left="630" w:right="65"/>
        <w:contextualSpacing/>
        <w:jc w:val="both"/>
        <w:rPr>
          <w:sz w:val="12"/>
          <w:szCs w:val="12"/>
        </w:rPr>
      </w:pPr>
    </w:p>
    <w:p w14:paraId="64557B41" w14:textId="434A1B12" w:rsidR="009A47BF" w:rsidRPr="00046271" w:rsidRDefault="009A47BF" w:rsidP="007F5C41">
      <w:pPr>
        <w:pStyle w:val="ListParagraph"/>
        <w:numPr>
          <w:ilvl w:val="0"/>
          <w:numId w:val="26"/>
        </w:numPr>
        <w:tabs>
          <w:tab w:val="left" w:pos="810"/>
        </w:tabs>
        <w:autoSpaceDE w:val="0"/>
        <w:autoSpaceDN w:val="0"/>
        <w:adjustRightInd w:val="0"/>
        <w:ind w:left="630" w:right="65" w:firstLine="0"/>
        <w:contextualSpacing/>
        <w:jc w:val="both"/>
        <w:rPr>
          <w:sz w:val="20"/>
          <w:szCs w:val="20"/>
        </w:rPr>
      </w:pPr>
      <w:r w:rsidRPr="00046271">
        <w:rPr>
          <w:sz w:val="20"/>
          <w:szCs w:val="20"/>
        </w:rPr>
        <w:t>The status of women highlights a disconnect between education and employment, as significantly more women than men complete secondary and tertiary education</w:t>
      </w:r>
      <w:r w:rsidR="002E3F50">
        <w:rPr>
          <w:sz w:val="20"/>
          <w:szCs w:val="20"/>
        </w:rPr>
        <w:t xml:space="preserve">. </w:t>
      </w:r>
      <w:r w:rsidR="00F42C41">
        <w:rPr>
          <w:sz w:val="20"/>
          <w:szCs w:val="20"/>
        </w:rPr>
        <w:t xml:space="preserve">On the World Economic Forum 2018 Global Gender Gap Index, </w:t>
      </w:r>
      <w:r w:rsidR="008715C8">
        <w:rPr>
          <w:sz w:val="20"/>
          <w:szCs w:val="20"/>
        </w:rPr>
        <w:t xml:space="preserve">Kuwait is ranked </w:t>
      </w:r>
      <w:r w:rsidR="00F42C41">
        <w:rPr>
          <w:sz w:val="20"/>
          <w:szCs w:val="20"/>
        </w:rPr>
        <w:t xml:space="preserve">74 of 149 countries for </w:t>
      </w:r>
      <w:r w:rsidR="00720F75">
        <w:rPr>
          <w:sz w:val="20"/>
          <w:szCs w:val="20"/>
        </w:rPr>
        <w:t xml:space="preserve">the educational attainment of women </w:t>
      </w:r>
      <w:r w:rsidR="008715C8">
        <w:rPr>
          <w:sz w:val="20"/>
          <w:szCs w:val="20"/>
        </w:rPr>
        <w:t xml:space="preserve">and </w:t>
      </w:r>
      <w:r w:rsidR="00F42C41">
        <w:rPr>
          <w:sz w:val="20"/>
          <w:szCs w:val="20"/>
        </w:rPr>
        <w:t xml:space="preserve">127 of 149 </w:t>
      </w:r>
      <w:r w:rsidR="008715C8">
        <w:rPr>
          <w:sz w:val="20"/>
          <w:szCs w:val="20"/>
        </w:rPr>
        <w:t xml:space="preserve">for </w:t>
      </w:r>
      <w:r w:rsidR="00F42C41">
        <w:rPr>
          <w:sz w:val="20"/>
          <w:szCs w:val="20"/>
        </w:rPr>
        <w:t xml:space="preserve">women’s </w:t>
      </w:r>
      <w:r w:rsidR="00720F75">
        <w:rPr>
          <w:sz w:val="20"/>
          <w:szCs w:val="20"/>
        </w:rPr>
        <w:t xml:space="preserve">economic </w:t>
      </w:r>
      <w:r w:rsidR="004305AD">
        <w:rPr>
          <w:sz w:val="20"/>
          <w:szCs w:val="20"/>
        </w:rPr>
        <w:t>participation and opportunity.</w:t>
      </w:r>
      <w:r w:rsidRPr="00046271">
        <w:rPr>
          <w:rStyle w:val="FootnoteReference"/>
          <w:sz w:val="20"/>
          <w:szCs w:val="20"/>
        </w:rPr>
        <w:footnoteReference w:id="20"/>
      </w:r>
      <w:r w:rsidRPr="00046271">
        <w:rPr>
          <w:sz w:val="20"/>
          <w:szCs w:val="20"/>
        </w:rPr>
        <w:t xml:space="preserve"> </w:t>
      </w:r>
      <w:r w:rsidRPr="00046271">
        <w:rPr>
          <w:rFonts w:eastAsia="Calibri"/>
          <w:color w:val="000000" w:themeColor="text1"/>
          <w:sz w:val="20"/>
          <w:szCs w:val="20"/>
        </w:rPr>
        <w:t xml:space="preserve">In 2005, the </w:t>
      </w:r>
      <w:r w:rsidR="00342869">
        <w:rPr>
          <w:rFonts w:eastAsia="Calibri"/>
          <w:color w:val="000000" w:themeColor="text1"/>
          <w:sz w:val="20"/>
          <w:szCs w:val="20"/>
        </w:rPr>
        <w:t xml:space="preserve">National </w:t>
      </w:r>
      <w:r w:rsidR="009C70FF">
        <w:rPr>
          <w:rFonts w:eastAsia="Calibri"/>
          <w:color w:val="000000" w:themeColor="text1"/>
          <w:sz w:val="20"/>
          <w:szCs w:val="20"/>
        </w:rPr>
        <w:t>Assembly</w:t>
      </w:r>
      <w:r w:rsidR="00A02B88" w:rsidRPr="00046271">
        <w:rPr>
          <w:rFonts w:eastAsia="Calibri"/>
          <w:color w:val="000000" w:themeColor="text1"/>
          <w:sz w:val="20"/>
          <w:szCs w:val="20"/>
        </w:rPr>
        <w:t xml:space="preserve"> </w:t>
      </w:r>
      <w:r w:rsidRPr="00046271">
        <w:rPr>
          <w:rFonts w:eastAsia="Calibri"/>
          <w:color w:val="000000" w:themeColor="text1"/>
          <w:sz w:val="20"/>
          <w:szCs w:val="20"/>
        </w:rPr>
        <w:t>passed the bill for women</w:t>
      </w:r>
      <w:r w:rsidR="00A02B88">
        <w:rPr>
          <w:rFonts w:eastAsia="Calibri"/>
          <w:color w:val="000000" w:themeColor="text1"/>
          <w:sz w:val="20"/>
          <w:szCs w:val="20"/>
        </w:rPr>
        <w:t>’s</w:t>
      </w:r>
      <w:r w:rsidRPr="00046271">
        <w:rPr>
          <w:rFonts w:eastAsia="Calibri"/>
          <w:color w:val="000000" w:themeColor="text1"/>
          <w:sz w:val="20"/>
          <w:szCs w:val="20"/>
        </w:rPr>
        <w:t xml:space="preserve"> suffrage</w:t>
      </w:r>
      <w:r w:rsidR="00B41585">
        <w:rPr>
          <w:rFonts w:eastAsia="Calibri"/>
          <w:color w:val="000000" w:themeColor="text1"/>
          <w:sz w:val="20"/>
          <w:szCs w:val="20"/>
        </w:rPr>
        <w:t xml:space="preserve"> and the country </w:t>
      </w:r>
      <w:r w:rsidR="003D3650">
        <w:rPr>
          <w:rFonts w:eastAsia="Calibri"/>
          <w:color w:val="000000" w:themeColor="text1"/>
          <w:sz w:val="20"/>
          <w:szCs w:val="20"/>
        </w:rPr>
        <w:t xml:space="preserve">has </w:t>
      </w:r>
      <w:r w:rsidRPr="00046271">
        <w:rPr>
          <w:rFonts w:eastAsia="Calibri"/>
          <w:color w:val="000000" w:themeColor="text1"/>
          <w:sz w:val="20"/>
          <w:szCs w:val="20"/>
        </w:rPr>
        <w:t xml:space="preserve">demonstrated </w:t>
      </w:r>
      <w:r w:rsidR="003D3650">
        <w:rPr>
          <w:rFonts w:eastAsia="Calibri"/>
          <w:color w:val="000000" w:themeColor="text1"/>
          <w:sz w:val="20"/>
          <w:szCs w:val="20"/>
        </w:rPr>
        <w:t xml:space="preserve">progress in </w:t>
      </w:r>
      <w:r w:rsidRPr="00046271">
        <w:rPr>
          <w:rFonts w:eastAsia="Calibri"/>
          <w:color w:val="000000" w:themeColor="text1"/>
          <w:sz w:val="20"/>
          <w:szCs w:val="20"/>
        </w:rPr>
        <w:t xml:space="preserve">narrowing gender gaps </w:t>
      </w:r>
      <w:r w:rsidR="00A02B88">
        <w:rPr>
          <w:rFonts w:eastAsia="Calibri"/>
          <w:color w:val="000000" w:themeColor="text1"/>
          <w:sz w:val="20"/>
          <w:szCs w:val="20"/>
        </w:rPr>
        <w:t xml:space="preserve">among </w:t>
      </w:r>
      <w:r w:rsidRPr="00046271">
        <w:rPr>
          <w:rFonts w:eastAsia="Calibri"/>
          <w:color w:val="000000" w:themeColor="text1"/>
          <w:sz w:val="20"/>
          <w:szCs w:val="20"/>
        </w:rPr>
        <w:t>professional and technical workers</w:t>
      </w:r>
      <w:r w:rsidR="007043FE">
        <w:rPr>
          <w:rFonts w:eastAsia="Calibri"/>
          <w:color w:val="000000" w:themeColor="text1"/>
          <w:sz w:val="20"/>
          <w:szCs w:val="20"/>
        </w:rPr>
        <w:t>.</w:t>
      </w:r>
      <w:r w:rsidR="003D3650">
        <w:rPr>
          <w:rFonts w:eastAsia="Calibri"/>
          <w:color w:val="000000" w:themeColor="text1"/>
          <w:sz w:val="20"/>
          <w:szCs w:val="20"/>
        </w:rPr>
        <w:t xml:space="preserve"> </w:t>
      </w:r>
      <w:r w:rsidR="00745A30">
        <w:rPr>
          <w:rFonts w:eastAsia="Calibri"/>
          <w:color w:val="000000" w:themeColor="text1"/>
          <w:sz w:val="20"/>
          <w:szCs w:val="20"/>
        </w:rPr>
        <w:t xml:space="preserve">Yet, </w:t>
      </w:r>
      <w:r w:rsidR="00745A30" w:rsidRPr="00046271">
        <w:rPr>
          <w:rFonts w:eastAsia="Calibri"/>
          <w:color w:val="000000" w:themeColor="text1"/>
          <w:sz w:val="20"/>
          <w:szCs w:val="20"/>
        </w:rPr>
        <w:t>Kuwait</w:t>
      </w:r>
      <w:r w:rsidR="003D3650">
        <w:rPr>
          <w:rFonts w:eastAsia="Calibri"/>
          <w:color w:val="000000" w:themeColor="text1"/>
          <w:sz w:val="20"/>
          <w:szCs w:val="20"/>
        </w:rPr>
        <w:t xml:space="preserve"> </w:t>
      </w:r>
      <w:r w:rsidR="009A6A9C">
        <w:rPr>
          <w:rFonts w:eastAsia="Calibri"/>
          <w:color w:val="000000" w:themeColor="text1"/>
          <w:sz w:val="20"/>
          <w:szCs w:val="20"/>
        </w:rPr>
        <w:t xml:space="preserve">is ranked </w:t>
      </w:r>
      <w:r w:rsidR="008C4875">
        <w:rPr>
          <w:rFonts w:eastAsia="Calibri"/>
          <w:color w:val="000000" w:themeColor="text1"/>
          <w:sz w:val="20"/>
          <w:szCs w:val="20"/>
        </w:rPr>
        <w:t>146</w:t>
      </w:r>
      <w:r w:rsidR="00B41585">
        <w:rPr>
          <w:rFonts w:eastAsia="Calibri"/>
          <w:color w:val="000000" w:themeColor="text1"/>
          <w:sz w:val="20"/>
          <w:szCs w:val="20"/>
        </w:rPr>
        <w:t xml:space="preserve"> of 149 for women’s </w:t>
      </w:r>
      <w:r w:rsidR="00750EEA">
        <w:rPr>
          <w:rFonts w:eastAsia="Calibri"/>
          <w:color w:val="000000" w:themeColor="text1"/>
          <w:sz w:val="20"/>
          <w:szCs w:val="20"/>
        </w:rPr>
        <w:t>political empowerment</w:t>
      </w:r>
      <w:r w:rsidR="00B41585">
        <w:rPr>
          <w:rFonts w:eastAsia="Calibri"/>
          <w:color w:val="000000" w:themeColor="text1"/>
          <w:sz w:val="20"/>
          <w:szCs w:val="20"/>
        </w:rPr>
        <w:t>,</w:t>
      </w:r>
      <w:r w:rsidR="0069323C" w:rsidRPr="00046271">
        <w:rPr>
          <w:rStyle w:val="FootnoteReference"/>
          <w:rFonts w:eastAsia="Calibri"/>
          <w:color w:val="000000" w:themeColor="text1"/>
          <w:sz w:val="20"/>
          <w:szCs w:val="20"/>
        </w:rPr>
        <w:footnoteReference w:id="21"/>
      </w:r>
      <w:r w:rsidR="0069323C" w:rsidRPr="00046271">
        <w:rPr>
          <w:rFonts w:eastAsia="Calibri"/>
          <w:color w:val="000000" w:themeColor="text1"/>
          <w:sz w:val="20"/>
          <w:szCs w:val="20"/>
        </w:rPr>
        <w:t xml:space="preserve"> </w:t>
      </w:r>
      <w:r w:rsidR="003D3650">
        <w:rPr>
          <w:rFonts w:eastAsia="Calibri"/>
          <w:color w:val="000000" w:themeColor="text1"/>
          <w:sz w:val="20"/>
          <w:szCs w:val="20"/>
        </w:rPr>
        <w:t xml:space="preserve">largely </w:t>
      </w:r>
      <w:r w:rsidR="007043FE">
        <w:rPr>
          <w:rFonts w:eastAsia="Calibri"/>
          <w:color w:val="000000" w:themeColor="text1"/>
          <w:sz w:val="20"/>
          <w:szCs w:val="20"/>
        </w:rPr>
        <w:t xml:space="preserve">due to </w:t>
      </w:r>
      <w:r w:rsidR="003D3650">
        <w:rPr>
          <w:rFonts w:eastAsia="Calibri"/>
          <w:color w:val="000000" w:themeColor="text1"/>
          <w:sz w:val="20"/>
          <w:szCs w:val="20"/>
        </w:rPr>
        <w:t>the</w:t>
      </w:r>
      <w:r w:rsidR="00B41585">
        <w:rPr>
          <w:rFonts w:eastAsia="Calibri"/>
          <w:color w:val="000000" w:themeColor="text1"/>
          <w:sz w:val="20"/>
          <w:szCs w:val="20"/>
        </w:rPr>
        <w:t>ir</w:t>
      </w:r>
      <w:r w:rsidR="003D3650">
        <w:rPr>
          <w:rFonts w:eastAsia="Calibri"/>
          <w:color w:val="000000" w:themeColor="text1"/>
          <w:sz w:val="20"/>
          <w:szCs w:val="20"/>
        </w:rPr>
        <w:t xml:space="preserve"> </w:t>
      </w:r>
      <w:r w:rsidR="003D3650" w:rsidRPr="00046271">
        <w:rPr>
          <w:rFonts w:eastAsia="Calibri"/>
          <w:color w:val="000000" w:themeColor="text1"/>
          <w:sz w:val="20"/>
          <w:szCs w:val="20"/>
        </w:rPr>
        <w:t>underrepresent</w:t>
      </w:r>
      <w:r w:rsidR="003D3650">
        <w:rPr>
          <w:rFonts w:eastAsia="Calibri"/>
          <w:color w:val="000000" w:themeColor="text1"/>
          <w:sz w:val="20"/>
          <w:szCs w:val="20"/>
        </w:rPr>
        <w:t xml:space="preserve">ation </w:t>
      </w:r>
      <w:r w:rsidR="003D3650" w:rsidRPr="00046271">
        <w:rPr>
          <w:rFonts w:eastAsia="Calibri"/>
          <w:color w:val="000000" w:themeColor="text1"/>
          <w:sz w:val="20"/>
          <w:szCs w:val="20"/>
        </w:rPr>
        <w:t>in leadership</w:t>
      </w:r>
      <w:r w:rsidR="00342869">
        <w:rPr>
          <w:rFonts w:eastAsia="Calibri"/>
          <w:color w:val="000000" w:themeColor="text1"/>
          <w:sz w:val="20"/>
          <w:szCs w:val="20"/>
        </w:rPr>
        <w:t xml:space="preserve">; </w:t>
      </w:r>
      <w:r w:rsidR="003D3650" w:rsidRPr="00046271">
        <w:rPr>
          <w:rFonts w:eastAsia="Calibri"/>
          <w:color w:val="000000" w:themeColor="text1"/>
          <w:sz w:val="20"/>
          <w:szCs w:val="20"/>
        </w:rPr>
        <w:t>only 16 per</w:t>
      </w:r>
      <w:r w:rsidR="00342869">
        <w:rPr>
          <w:rFonts w:eastAsia="Calibri"/>
          <w:color w:val="000000" w:themeColor="text1"/>
          <w:sz w:val="20"/>
          <w:szCs w:val="20"/>
        </w:rPr>
        <w:t xml:space="preserve"> </w:t>
      </w:r>
      <w:r w:rsidR="003D3650" w:rsidRPr="00046271">
        <w:rPr>
          <w:rFonts w:eastAsia="Calibri"/>
          <w:color w:val="000000" w:themeColor="text1"/>
          <w:sz w:val="20"/>
          <w:szCs w:val="20"/>
        </w:rPr>
        <w:t>cent of legislators, senior officials and managers are women.</w:t>
      </w:r>
      <w:r w:rsidR="003D3650" w:rsidRPr="00046271">
        <w:rPr>
          <w:rStyle w:val="FootnoteReference"/>
          <w:rFonts w:eastAsia="Calibri"/>
          <w:color w:val="000000" w:themeColor="text1"/>
          <w:sz w:val="20"/>
          <w:szCs w:val="20"/>
        </w:rPr>
        <w:footnoteReference w:id="22"/>
      </w:r>
      <w:r w:rsidR="003D3650" w:rsidRPr="00046271">
        <w:rPr>
          <w:rFonts w:eastAsia="Calibri"/>
          <w:color w:val="000000" w:themeColor="text1"/>
          <w:sz w:val="20"/>
          <w:szCs w:val="20"/>
        </w:rPr>
        <w:t xml:space="preserve"> </w:t>
      </w:r>
      <w:r w:rsidRPr="00046271">
        <w:rPr>
          <w:rFonts w:eastAsia="Calibri"/>
          <w:color w:val="000000" w:themeColor="text1"/>
          <w:sz w:val="20"/>
          <w:szCs w:val="20"/>
        </w:rPr>
        <w:t>Cultural traditions and structural barriers continue to impede more rapid progress and existing laws and policies have not been able to adequately address the needs of women subjected to violence.</w:t>
      </w:r>
      <w:r w:rsidRPr="00046271">
        <w:rPr>
          <w:rStyle w:val="FootnoteReference"/>
          <w:rFonts w:eastAsia="Calibri"/>
          <w:color w:val="000000" w:themeColor="text1"/>
          <w:sz w:val="20"/>
          <w:szCs w:val="20"/>
        </w:rPr>
        <w:footnoteReference w:id="23"/>
      </w:r>
    </w:p>
    <w:p w14:paraId="3E666925" w14:textId="77777777" w:rsidR="009A47BF" w:rsidRPr="00D33447" w:rsidRDefault="009A47BF" w:rsidP="007F5C41">
      <w:pPr>
        <w:tabs>
          <w:tab w:val="left" w:pos="810"/>
        </w:tabs>
        <w:autoSpaceDE w:val="0"/>
        <w:autoSpaceDN w:val="0"/>
        <w:adjustRightInd w:val="0"/>
        <w:ind w:left="630" w:right="65"/>
        <w:contextualSpacing/>
        <w:jc w:val="both"/>
        <w:outlineLvl w:val="0"/>
        <w:rPr>
          <w:sz w:val="12"/>
          <w:szCs w:val="12"/>
        </w:rPr>
      </w:pPr>
    </w:p>
    <w:p w14:paraId="79DC85EE" w14:textId="688D4039" w:rsidR="009A47BF" w:rsidRPr="00046271" w:rsidRDefault="00AA61D5" w:rsidP="007F5C41">
      <w:pPr>
        <w:pStyle w:val="ListParagraph"/>
        <w:numPr>
          <w:ilvl w:val="0"/>
          <w:numId w:val="26"/>
        </w:numPr>
        <w:tabs>
          <w:tab w:val="left" w:pos="810"/>
        </w:tabs>
        <w:autoSpaceDE w:val="0"/>
        <w:autoSpaceDN w:val="0"/>
        <w:adjustRightInd w:val="0"/>
        <w:ind w:left="630" w:right="65" w:firstLine="0"/>
        <w:contextualSpacing/>
        <w:jc w:val="both"/>
        <w:rPr>
          <w:sz w:val="20"/>
          <w:szCs w:val="20"/>
        </w:rPr>
      </w:pPr>
      <w:r>
        <w:rPr>
          <w:sz w:val="20"/>
          <w:szCs w:val="20"/>
        </w:rPr>
        <w:t>R</w:t>
      </w:r>
      <w:r w:rsidR="009A47BF" w:rsidRPr="00046271">
        <w:rPr>
          <w:sz w:val="20"/>
          <w:szCs w:val="20"/>
        </w:rPr>
        <w:t>apid urbanization</w:t>
      </w:r>
      <w:r w:rsidR="00342869">
        <w:rPr>
          <w:sz w:val="20"/>
          <w:szCs w:val="20"/>
        </w:rPr>
        <w:t xml:space="preserve"> and</w:t>
      </w:r>
      <w:r w:rsidR="007043FE">
        <w:rPr>
          <w:sz w:val="20"/>
          <w:szCs w:val="20"/>
        </w:rPr>
        <w:t xml:space="preserve"> </w:t>
      </w:r>
      <w:r w:rsidR="009A47BF" w:rsidRPr="00046271">
        <w:rPr>
          <w:sz w:val="20"/>
          <w:szCs w:val="20"/>
        </w:rPr>
        <w:t>waste generation have created additional</w:t>
      </w:r>
      <w:r w:rsidR="007043FE">
        <w:rPr>
          <w:sz w:val="20"/>
          <w:szCs w:val="20"/>
        </w:rPr>
        <w:t xml:space="preserve"> </w:t>
      </w:r>
      <w:r w:rsidR="009A47BF" w:rsidRPr="00046271">
        <w:rPr>
          <w:sz w:val="20"/>
          <w:szCs w:val="20"/>
        </w:rPr>
        <w:t>challenges</w:t>
      </w:r>
      <w:r w:rsidR="00342869">
        <w:rPr>
          <w:sz w:val="20"/>
          <w:szCs w:val="20"/>
        </w:rPr>
        <w:t xml:space="preserve"> that are compounded by climate change</w:t>
      </w:r>
      <w:r w:rsidR="009A47BF" w:rsidRPr="00046271">
        <w:rPr>
          <w:sz w:val="20"/>
          <w:szCs w:val="20"/>
        </w:rPr>
        <w:t xml:space="preserve">. Temperature rise above the global average </w:t>
      </w:r>
      <w:r w:rsidR="00BA1216">
        <w:rPr>
          <w:sz w:val="20"/>
          <w:szCs w:val="20"/>
        </w:rPr>
        <w:t xml:space="preserve">has </w:t>
      </w:r>
      <w:r w:rsidR="009A47BF" w:rsidRPr="00046271">
        <w:rPr>
          <w:sz w:val="20"/>
          <w:szCs w:val="20"/>
        </w:rPr>
        <w:t>been accompanied by increased frequency of dust storms and changing rainfall patterns.</w:t>
      </w:r>
      <w:r w:rsidR="009A47BF" w:rsidRPr="00046271">
        <w:rPr>
          <w:rStyle w:val="FootnoteReference"/>
          <w:sz w:val="20"/>
          <w:szCs w:val="20"/>
        </w:rPr>
        <w:footnoteReference w:id="24"/>
      </w:r>
      <w:r w:rsidR="009A47BF" w:rsidRPr="00046271">
        <w:rPr>
          <w:sz w:val="20"/>
          <w:szCs w:val="20"/>
        </w:rPr>
        <w:t xml:space="preserve"> This puts upward pressure on energy consumption</w:t>
      </w:r>
      <w:r w:rsidR="00372CBA">
        <w:rPr>
          <w:sz w:val="20"/>
          <w:szCs w:val="20"/>
        </w:rPr>
        <w:t xml:space="preserve">, which is </w:t>
      </w:r>
      <w:r w:rsidR="009A47BF" w:rsidRPr="00046271">
        <w:rPr>
          <w:sz w:val="20"/>
          <w:szCs w:val="20"/>
        </w:rPr>
        <w:t>one of the highest per capita rates globally</w:t>
      </w:r>
      <w:r w:rsidR="00BA1216">
        <w:rPr>
          <w:sz w:val="20"/>
          <w:szCs w:val="20"/>
        </w:rPr>
        <w:t>,</w:t>
      </w:r>
      <w:r w:rsidR="009A47BF" w:rsidRPr="00046271">
        <w:rPr>
          <w:sz w:val="20"/>
          <w:szCs w:val="20"/>
        </w:rPr>
        <w:t xml:space="preserve"> </w:t>
      </w:r>
      <w:r w:rsidR="007043FE">
        <w:rPr>
          <w:sz w:val="20"/>
          <w:szCs w:val="20"/>
        </w:rPr>
        <w:t>al</w:t>
      </w:r>
      <w:r w:rsidR="009A47BF" w:rsidRPr="00046271">
        <w:rPr>
          <w:sz w:val="20"/>
          <w:szCs w:val="20"/>
        </w:rPr>
        <w:t>though Kuwait is well</w:t>
      </w:r>
      <w:r w:rsidR="00342869">
        <w:rPr>
          <w:sz w:val="20"/>
          <w:szCs w:val="20"/>
        </w:rPr>
        <w:t xml:space="preserve"> </w:t>
      </w:r>
      <w:r w:rsidR="009A47BF" w:rsidRPr="00046271">
        <w:rPr>
          <w:sz w:val="20"/>
          <w:szCs w:val="20"/>
        </w:rPr>
        <w:t xml:space="preserve">positioned to pursue clean energies. </w:t>
      </w:r>
      <w:r w:rsidR="00A908EA">
        <w:rPr>
          <w:sz w:val="20"/>
          <w:szCs w:val="20"/>
        </w:rPr>
        <w:t>H</w:t>
      </w:r>
      <w:r w:rsidR="009A47BF" w:rsidRPr="00046271">
        <w:rPr>
          <w:sz w:val="20"/>
          <w:szCs w:val="20"/>
        </w:rPr>
        <w:t xml:space="preserve">igher industrial demand for water </w:t>
      </w:r>
      <w:r w:rsidR="00A908EA">
        <w:rPr>
          <w:sz w:val="20"/>
          <w:szCs w:val="20"/>
        </w:rPr>
        <w:t xml:space="preserve">could </w:t>
      </w:r>
      <w:r w:rsidR="00372CBA">
        <w:rPr>
          <w:sz w:val="20"/>
          <w:szCs w:val="20"/>
        </w:rPr>
        <w:t xml:space="preserve">pose </w:t>
      </w:r>
      <w:r w:rsidR="009A47BF" w:rsidRPr="00046271">
        <w:rPr>
          <w:sz w:val="20"/>
          <w:szCs w:val="20"/>
        </w:rPr>
        <w:t>challenges to balancing water supply and demand</w:t>
      </w:r>
      <w:r w:rsidR="009E0C1B">
        <w:rPr>
          <w:sz w:val="20"/>
          <w:szCs w:val="20"/>
        </w:rPr>
        <w:t xml:space="preserve">, </w:t>
      </w:r>
      <w:r w:rsidR="007043FE">
        <w:rPr>
          <w:sz w:val="20"/>
          <w:szCs w:val="20"/>
        </w:rPr>
        <w:t xml:space="preserve">which </w:t>
      </w:r>
      <w:r w:rsidR="00F90C3D">
        <w:rPr>
          <w:sz w:val="20"/>
          <w:szCs w:val="20"/>
        </w:rPr>
        <w:t xml:space="preserve">is one of </w:t>
      </w:r>
      <w:r w:rsidR="009E0C1B">
        <w:rPr>
          <w:sz w:val="20"/>
          <w:szCs w:val="20"/>
        </w:rPr>
        <w:t xml:space="preserve">the highest </w:t>
      </w:r>
      <w:r w:rsidR="00F90C3D">
        <w:rPr>
          <w:sz w:val="20"/>
          <w:szCs w:val="20"/>
        </w:rPr>
        <w:t xml:space="preserve">per capita </w:t>
      </w:r>
      <w:r w:rsidR="009E0C1B">
        <w:rPr>
          <w:sz w:val="20"/>
          <w:szCs w:val="20"/>
        </w:rPr>
        <w:t>rates in the world</w:t>
      </w:r>
      <w:r w:rsidR="009A47BF" w:rsidRPr="00046271">
        <w:rPr>
          <w:sz w:val="20"/>
          <w:szCs w:val="20"/>
        </w:rPr>
        <w:t>.</w:t>
      </w:r>
      <w:r w:rsidR="009E0C1B">
        <w:rPr>
          <w:rStyle w:val="FootnoteReference"/>
          <w:sz w:val="20"/>
          <w:szCs w:val="20"/>
        </w:rPr>
        <w:footnoteReference w:id="25"/>
      </w:r>
      <w:r w:rsidR="009E0C1B" w:rsidRPr="00046271">
        <w:rPr>
          <w:sz w:val="20"/>
          <w:szCs w:val="20"/>
        </w:rPr>
        <w:t xml:space="preserve"> </w:t>
      </w:r>
      <w:r w:rsidR="009A47BF" w:rsidRPr="00046271">
        <w:rPr>
          <w:sz w:val="20"/>
          <w:szCs w:val="20"/>
        </w:rPr>
        <w:t xml:space="preserve">To address these issues, UNDP has helped </w:t>
      </w:r>
      <w:r w:rsidR="00342869">
        <w:rPr>
          <w:sz w:val="20"/>
          <w:szCs w:val="20"/>
        </w:rPr>
        <w:t xml:space="preserve">to </w:t>
      </w:r>
      <w:r w:rsidR="009A47BF" w:rsidRPr="00046271">
        <w:rPr>
          <w:sz w:val="20"/>
          <w:szCs w:val="20"/>
        </w:rPr>
        <w:t>build capacities in energy-related analysis and forecasting to produce the Kuwait Energy Outlook report</w:t>
      </w:r>
      <w:r w:rsidR="009B7DC6">
        <w:rPr>
          <w:sz w:val="20"/>
          <w:szCs w:val="20"/>
        </w:rPr>
        <w:t>,</w:t>
      </w:r>
      <w:r w:rsidR="009A47BF" w:rsidRPr="00046271">
        <w:rPr>
          <w:sz w:val="20"/>
          <w:szCs w:val="20"/>
        </w:rPr>
        <w:t xml:space="preserve"> </w:t>
      </w:r>
      <w:r w:rsidR="009B7DC6">
        <w:rPr>
          <w:sz w:val="20"/>
          <w:szCs w:val="20"/>
        </w:rPr>
        <w:t>which</w:t>
      </w:r>
      <w:r w:rsidR="009A47BF" w:rsidRPr="00046271">
        <w:rPr>
          <w:sz w:val="20"/>
          <w:szCs w:val="20"/>
        </w:rPr>
        <w:t xml:space="preserve"> identified key data </w:t>
      </w:r>
      <w:r w:rsidR="009B7DC6">
        <w:rPr>
          <w:sz w:val="20"/>
          <w:szCs w:val="20"/>
        </w:rPr>
        <w:t xml:space="preserve">and policy </w:t>
      </w:r>
      <w:r w:rsidR="009A47BF" w:rsidRPr="00046271">
        <w:rPr>
          <w:sz w:val="20"/>
          <w:szCs w:val="20"/>
        </w:rPr>
        <w:t xml:space="preserve">gaps. Kuwait also </w:t>
      </w:r>
      <w:r w:rsidR="009A47BF" w:rsidRPr="00046271">
        <w:rPr>
          <w:rFonts w:asciiTheme="majorBidi" w:hAnsiTheme="majorBidi" w:cstheme="majorBidi"/>
          <w:sz w:val="20"/>
          <w:szCs w:val="20"/>
        </w:rPr>
        <w:t xml:space="preserve">has one of the world’s </w:t>
      </w:r>
      <w:r w:rsidR="009A47BF" w:rsidRPr="00046271">
        <w:rPr>
          <w:rFonts w:asciiTheme="majorBidi" w:hAnsiTheme="majorBidi" w:cstheme="majorBidi"/>
          <w:sz w:val="20"/>
          <w:szCs w:val="20"/>
        </w:rPr>
        <w:lastRenderedPageBreak/>
        <w:t>highest per capita waste generation rates, yet lacks an integrated approach to waste management</w:t>
      </w:r>
      <w:r w:rsidR="009B7DC6">
        <w:rPr>
          <w:rFonts w:asciiTheme="majorBidi" w:hAnsiTheme="majorBidi" w:cstheme="majorBidi"/>
          <w:sz w:val="20"/>
          <w:szCs w:val="20"/>
        </w:rPr>
        <w:t>,</w:t>
      </w:r>
      <w:r w:rsidR="009A47BF" w:rsidRPr="00046271">
        <w:rPr>
          <w:rFonts w:asciiTheme="majorBidi" w:hAnsiTheme="majorBidi" w:cstheme="majorBidi"/>
          <w:sz w:val="20"/>
          <w:szCs w:val="20"/>
        </w:rPr>
        <w:t xml:space="preserve"> </w:t>
      </w:r>
      <w:r w:rsidR="00745A30" w:rsidRPr="00046271">
        <w:rPr>
          <w:rFonts w:asciiTheme="majorBidi" w:hAnsiTheme="majorBidi" w:cstheme="majorBidi"/>
          <w:sz w:val="20"/>
          <w:szCs w:val="20"/>
        </w:rPr>
        <w:t>leaving recycling</w:t>
      </w:r>
      <w:r w:rsidR="009A47BF" w:rsidRPr="00046271">
        <w:rPr>
          <w:rFonts w:asciiTheme="majorBidi" w:hAnsiTheme="majorBidi" w:cstheme="majorBidi"/>
          <w:sz w:val="20"/>
          <w:szCs w:val="20"/>
        </w:rPr>
        <w:t xml:space="preserve"> business opportunities untapped. </w:t>
      </w:r>
      <w:r w:rsidR="009A47BF" w:rsidRPr="00046271">
        <w:rPr>
          <w:sz w:val="20"/>
          <w:szCs w:val="20"/>
        </w:rPr>
        <w:t>In the meantime, urban development trends and continued prominence of the extractive sector</w:t>
      </w:r>
      <w:r w:rsidR="001C6A3E">
        <w:rPr>
          <w:sz w:val="20"/>
          <w:szCs w:val="20"/>
        </w:rPr>
        <w:t xml:space="preserve"> </w:t>
      </w:r>
      <w:r w:rsidR="009A47BF" w:rsidRPr="00046271">
        <w:rPr>
          <w:sz w:val="20"/>
          <w:szCs w:val="20"/>
        </w:rPr>
        <w:t>threaten the country’s unique ecosystems and biodiversity</w:t>
      </w:r>
      <w:r w:rsidR="009A47BF" w:rsidRPr="00046271">
        <w:rPr>
          <w:rFonts w:asciiTheme="majorBidi" w:hAnsiTheme="majorBidi" w:cstheme="majorBidi"/>
          <w:sz w:val="20"/>
          <w:szCs w:val="20"/>
        </w:rPr>
        <w:t>.</w:t>
      </w:r>
      <w:r w:rsidR="009A47BF" w:rsidRPr="00046271">
        <w:rPr>
          <w:rStyle w:val="FootnoteReference"/>
          <w:rFonts w:asciiTheme="majorBidi" w:hAnsiTheme="majorBidi"/>
          <w:sz w:val="20"/>
          <w:szCs w:val="20"/>
        </w:rPr>
        <w:footnoteReference w:id="26"/>
      </w:r>
    </w:p>
    <w:p w14:paraId="1C0B0555" w14:textId="77777777" w:rsidR="009A47BF" w:rsidRPr="00D33447" w:rsidRDefault="009A47BF" w:rsidP="007F5C41">
      <w:pPr>
        <w:tabs>
          <w:tab w:val="left" w:pos="900"/>
        </w:tabs>
        <w:ind w:left="630" w:right="65"/>
        <w:contextualSpacing/>
        <w:jc w:val="both"/>
        <w:outlineLvl w:val="0"/>
        <w:rPr>
          <w:rFonts w:eastAsia="Calibri"/>
          <w:sz w:val="12"/>
          <w:szCs w:val="12"/>
        </w:rPr>
      </w:pPr>
    </w:p>
    <w:p w14:paraId="6DD849BF" w14:textId="3BE18451" w:rsidR="009A47BF" w:rsidRPr="00046271" w:rsidRDefault="00BD4F12" w:rsidP="007F5C41">
      <w:pPr>
        <w:pStyle w:val="ListParagraph"/>
        <w:numPr>
          <w:ilvl w:val="0"/>
          <w:numId w:val="26"/>
        </w:numPr>
        <w:tabs>
          <w:tab w:val="left" w:pos="900"/>
        </w:tabs>
        <w:autoSpaceDE w:val="0"/>
        <w:autoSpaceDN w:val="0"/>
        <w:adjustRightInd w:val="0"/>
        <w:ind w:left="630" w:right="65" w:firstLine="0"/>
        <w:contextualSpacing/>
        <w:jc w:val="both"/>
        <w:outlineLvl w:val="0"/>
        <w:rPr>
          <w:rFonts w:eastAsia="Calibri"/>
          <w:sz w:val="20"/>
          <w:szCs w:val="20"/>
        </w:rPr>
      </w:pPr>
      <w:r>
        <w:rPr>
          <w:sz w:val="20"/>
          <w:szCs w:val="20"/>
        </w:rPr>
        <w:t xml:space="preserve"> </w:t>
      </w:r>
      <w:r w:rsidR="00065A3E">
        <w:rPr>
          <w:sz w:val="20"/>
          <w:szCs w:val="20"/>
        </w:rPr>
        <w:t xml:space="preserve">Kuwait is ranked </w:t>
      </w:r>
      <w:r w:rsidR="00C2748B">
        <w:rPr>
          <w:sz w:val="20"/>
          <w:szCs w:val="20"/>
        </w:rPr>
        <w:t>4</w:t>
      </w:r>
      <w:r w:rsidR="00065A3E">
        <w:rPr>
          <w:sz w:val="20"/>
          <w:szCs w:val="20"/>
        </w:rPr>
        <w:t>6 of 141 countries for overall global competitiveness and</w:t>
      </w:r>
      <w:r w:rsidR="00032166">
        <w:rPr>
          <w:sz w:val="20"/>
          <w:szCs w:val="20"/>
        </w:rPr>
        <w:t xml:space="preserve"> ranked 10</w:t>
      </w:r>
      <w:r w:rsidR="002872B8">
        <w:rPr>
          <w:sz w:val="20"/>
          <w:szCs w:val="20"/>
        </w:rPr>
        <w:t>8</w:t>
      </w:r>
      <w:r w:rsidR="00032166">
        <w:rPr>
          <w:sz w:val="20"/>
          <w:szCs w:val="20"/>
        </w:rPr>
        <w:t xml:space="preserve"> </w:t>
      </w:r>
      <w:r>
        <w:rPr>
          <w:sz w:val="20"/>
          <w:szCs w:val="20"/>
        </w:rPr>
        <w:t xml:space="preserve">for </w:t>
      </w:r>
      <w:r w:rsidR="00032166">
        <w:rPr>
          <w:sz w:val="20"/>
          <w:szCs w:val="20"/>
        </w:rPr>
        <w:t>innovation</w:t>
      </w:r>
      <w:r w:rsidR="00F57A40">
        <w:rPr>
          <w:sz w:val="20"/>
          <w:szCs w:val="20"/>
        </w:rPr>
        <w:t xml:space="preserve"> </w:t>
      </w:r>
      <w:r>
        <w:rPr>
          <w:sz w:val="20"/>
          <w:szCs w:val="20"/>
        </w:rPr>
        <w:t>capability by the World Economic Forum Global Competitiveness Index</w:t>
      </w:r>
      <w:r w:rsidR="00032166">
        <w:rPr>
          <w:sz w:val="20"/>
          <w:szCs w:val="20"/>
        </w:rPr>
        <w:t>.</w:t>
      </w:r>
      <w:r w:rsidR="00032166">
        <w:rPr>
          <w:rStyle w:val="FootnoteReference"/>
          <w:sz w:val="20"/>
          <w:szCs w:val="20"/>
        </w:rPr>
        <w:footnoteReference w:id="27"/>
      </w:r>
      <w:r w:rsidR="00032166">
        <w:rPr>
          <w:sz w:val="20"/>
          <w:szCs w:val="20"/>
        </w:rPr>
        <w:t xml:space="preserve"> </w:t>
      </w:r>
      <w:r w:rsidR="009A47BF" w:rsidRPr="00046271">
        <w:rPr>
          <w:sz w:val="20"/>
          <w:szCs w:val="20"/>
        </w:rPr>
        <w:t xml:space="preserve">To </w:t>
      </w:r>
      <w:r w:rsidR="006125A8">
        <w:rPr>
          <w:sz w:val="20"/>
          <w:szCs w:val="20"/>
        </w:rPr>
        <w:t xml:space="preserve">support </w:t>
      </w:r>
      <w:r w:rsidR="009A47BF" w:rsidRPr="00046271">
        <w:rPr>
          <w:sz w:val="20"/>
          <w:szCs w:val="20"/>
        </w:rPr>
        <w:t xml:space="preserve">economic and energy diversification and public administration reforms, the civil service will require the capacities to develop and implement innovative policies in partnerships with the private sector and civil society. The </w:t>
      </w:r>
      <w:r w:rsidR="002214E5">
        <w:rPr>
          <w:sz w:val="20"/>
          <w:szCs w:val="20"/>
        </w:rPr>
        <w:t>G</w:t>
      </w:r>
      <w:r w:rsidR="009A47BF" w:rsidRPr="00046271">
        <w:rPr>
          <w:sz w:val="20"/>
          <w:szCs w:val="20"/>
        </w:rPr>
        <w:t xml:space="preserve">overnment </w:t>
      </w:r>
      <w:r w:rsidR="002214E5">
        <w:rPr>
          <w:sz w:val="20"/>
          <w:szCs w:val="20"/>
        </w:rPr>
        <w:t xml:space="preserve">has </w:t>
      </w:r>
      <w:r w:rsidR="009A47BF" w:rsidRPr="00046271">
        <w:rPr>
          <w:sz w:val="20"/>
          <w:szCs w:val="20"/>
        </w:rPr>
        <w:t>established the Ku</w:t>
      </w:r>
      <w:r w:rsidR="002214E5">
        <w:rPr>
          <w:sz w:val="20"/>
          <w:szCs w:val="20"/>
        </w:rPr>
        <w:t>w</w:t>
      </w:r>
      <w:r w:rsidR="009A47BF" w:rsidRPr="00046271">
        <w:rPr>
          <w:sz w:val="20"/>
          <w:szCs w:val="20"/>
        </w:rPr>
        <w:t xml:space="preserve">ait Policy Appraisal Lab (innovation unit) as part of </w:t>
      </w:r>
      <w:r>
        <w:rPr>
          <w:sz w:val="20"/>
          <w:szCs w:val="20"/>
        </w:rPr>
        <w:t xml:space="preserve">the </w:t>
      </w:r>
      <w:r w:rsidR="009A47BF" w:rsidRPr="00046271">
        <w:rPr>
          <w:sz w:val="20"/>
          <w:szCs w:val="20"/>
        </w:rPr>
        <w:t>Kuwait Public Policy Centre (KPPC). Continued</w:t>
      </w:r>
      <w:r w:rsidR="009A47BF" w:rsidRPr="00046271">
        <w:rPr>
          <w:rFonts w:eastAsia="Calibri"/>
          <w:sz w:val="20"/>
          <w:szCs w:val="20"/>
        </w:rPr>
        <w:t xml:space="preserve"> support is required for </w:t>
      </w:r>
      <w:r w:rsidR="001C6A3E">
        <w:rPr>
          <w:rFonts w:eastAsia="Calibri"/>
          <w:sz w:val="20"/>
          <w:szCs w:val="20"/>
        </w:rPr>
        <w:t xml:space="preserve">its institutional capacity development to continue </w:t>
      </w:r>
      <w:r w:rsidR="009A47BF" w:rsidRPr="00046271">
        <w:rPr>
          <w:rFonts w:eastAsia="Calibri"/>
          <w:sz w:val="20"/>
          <w:szCs w:val="20"/>
        </w:rPr>
        <w:t xml:space="preserve">evidence-based policy analysis and </w:t>
      </w:r>
      <w:r w:rsidR="001C6A3E">
        <w:rPr>
          <w:rFonts w:eastAsia="Calibri"/>
          <w:sz w:val="20"/>
          <w:szCs w:val="20"/>
        </w:rPr>
        <w:t xml:space="preserve">further </w:t>
      </w:r>
      <w:r w:rsidR="009A47BF" w:rsidRPr="00046271">
        <w:rPr>
          <w:rFonts w:eastAsia="Calibri"/>
          <w:sz w:val="20"/>
          <w:szCs w:val="20"/>
        </w:rPr>
        <w:t xml:space="preserve">application of innovations for effective implementation of policies. </w:t>
      </w:r>
    </w:p>
    <w:p w14:paraId="1D920340" w14:textId="77777777" w:rsidR="009A47BF" w:rsidRPr="00D33447" w:rsidRDefault="009A47BF" w:rsidP="007F5C41">
      <w:pPr>
        <w:tabs>
          <w:tab w:val="left" w:pos="900"/>
        </w:tabs>
        <w:ind w:left="630" w:right="65"/>
        <w:jc w:val="both"/>
        <w:rPr>
          <w:sz w:val="12"/>
          <w:szCs w:val="12"/>
        </w:rPr>
      </w:pPr>
    </w:p>
    <w:p w14:paraId="0593603B" w14:textId="42D341FD" w:rsidR="009A47BF" w:rsidRPr="00046271" w:rsidRDefault="009A47BF" w:rsidP="007F5C41">
      <w:pPr>
        <w:pStyle w:val="ListParagraph"/>
        <w:numPr>
          <w:ilvl w:val="0"/>
          <w:numId w:val="26"/>
        </w:numPr>
        <w:tabs>
          <w:tab w:val="left" w:pos="900"/>
        </w:tabs>
        <w:autoSpaceDE w:val="0"/>
        <w:autoSpaceDN w:val="0"/>
        <w:adjustRightInd w:val="0"/>
        <w:ind w:left="630" w:right="65" w:firstLine="0"/>
        <w:contextualSpacing/>
        <w:jc w:val="both"/>
        <w:rPr>
          <w:sz w:val="20"/>
          <w:szCs w:val="20"/>
          <w:lang w:val="en-US"/>
        </w:rPr>
      </w:pPr>
      <w:r w:rsidRPr="00046271">
        <w:rPr>
          <w:sz w:val="20"/>
          <w:szCs w:val="20"/>
        </w:rPr>
        <w:t xml:space="preserve"> </w:t>
      </w:r>
      <w:r w:rsidR="001C6A3E" w:rsidRPr="001C6A3E">
        <w:rPr>
          <w:sz w:val="20"/>
          <w:szCs w:val="20"/>
          <w:lang w:val="en-US"/>
        </w:rPr>
        <w:t xml:space="preserve">In 2014 the Secretary-General </w:t>
      </w:r>
      <w:r w:rsidR="004F2E45">
        <w:rPr>
          <w:sz w:val="20"/>
          <w:szCs w:val="20"/>
          <w:lang w:val="en-US"/>
        </w:rPr>
        <w:t xml:space="preserve">recognized the humanitarian leadership of </w:t>
      </w:r>
      <w:r w:rsidR="001C6A3E" w:rsidRPr="001C6A3E">
        <w:rPr>
          <w:sz w:val="20"/>
          <w:szCs w:val="20"/>
          <w:lang w:val="en-US"/>
        </w:rPr>
        <w:t>H</w:t>
      </w:r>
      <w:r w:rsidR="001C6A3E">
        <w:rPr>
          <w:sz w:val="20"/>
          <w:szCs w:val="20"/>
          <w:lang w:val="en-US"/>
        </w:rPr>
        <w:t xml:space="preserve">is </w:t>
      </w:r>
      <w:r w:rsidR="001C6A3E" w:rsidRPr="001C6A3E">
        <w:rPr>
          <w:sz w:val="20"/>
          <w:szCs w:val="20"/>
          <w:lang w:val="en-US"/>
        </w:rPr>
        <w:t>H</w:t>
      </w:r>
      <w:r w:rsidR="001C6A3E">
        <w:rPr>
          <w:sz w:val="20"/>
          <w:szCs w:val="20"/>
          <w:lang w:val="en-US"/>
        </w:rPr>
        <w:t>ighness</w:t>
      </w:r>
      <w:r w:rsidR="001C6A3E" w:rsidRPr="001C6A3E">
        <w:rPr>
          <w:sz w:val="20"/>
          <w:szCs w:val="20"/>
          <w:lang w:val="en-US"/>
        </w:rPr>
        <w:t xml:space="preserve"> the Amir</w:t>
      </w:r>
      <w:r w:rsidR="001C6A3E">
        <w:rPr>
          <w:sz w:val="20"/>
          <w:szCs w:val="20"/>
          <w:lang w:val="en-US"/>
        </w:rPr>
        <w:t xml:space="preserve"> of Kuwait. </w:t>
      </w:r>
      <w:r w:rsidR="001C6A3E">
        <w:rPr>
          <w:sz w:val="20"/>
          <w:szCs w:val="20"/>
        </w:rPr>
        <w:t>T</w:t>
      </w:r>
      <w:r w:rsidRPr="00046271">
        <w:rPr>
          <w:sz w:val="20"/>
          <w:szCs w:val="20"/>
        </w:rPr>
        <w:t xml:space="preserve">he </w:t>
      </w:r>
      <w:r w:rsidR="004F2E45">
        <w:rPr>
          <w:sz w:val="20"/>
          <w:szCs w:val="20"/>
        </w:rPr>
        <w:t>G</w:t>
      </w:r>
      <w:r w:rsidR="004F2E45" w:rsidRPr="00046271">
        <w:rPr>
          <w:sz w:val="20"/>
          <w:szCs w:val="20"/>
        </w:rPr>
        <w:t xml:space="preserve">overnment </w:t>
      </w:r>
      <w:r w:rsidRPr="00046271">
        <w:rPr>
          <w:sz w:val="20"/>
          <w:szCs w:val="20"/>
        </w:rPr>
        <w:t xml:space="preserve">has been increasing its leadership role in the region and beyond to support crisis prevention, peacebuilding and stabilization efforts in other countries. </w:t>
      </w:r>
      <w:r w:rsidRPr="00046271">
        <w:rPr>
          <w:rFonts w:eastAsia="Calibri"/>
          <w:color w:val="000000" w:themeColor="text1"/>
          <w:sz w:val="20"/>
          <w:szCs w:val="20"/>
        </w:rPr>
        <w:t>Kuwait has successfully play</w:t>
      </w:r>
      <w:r w:rsidR="00BD4F12">
        <w:rPr>
          <w:rFonts w:eastAsia="Calibri"/>
          <w:color w:val="000000" w:themeColor="text1"/>
          <w:sz w:val="20"/>
          <w:szCs w:val="20"/>
        </w:rPr>
        <w:t xml:space="preserve">ed </w:t>
      </w:r>
      <w:r w:rsidR="004F2E45">
        <w:rPr>
          <w:rFonts w:eastAsia="Calibri"/>
          <w:color w:val="000000" w:themeColor="text1"/>
          <w:sz w:val="20"/>
          <w:szCs w:val="20"/>
        </w:rPr>
        <w:t xml:space="preserve">the role of </w:t>
      </w:r>
      <w:r w:rsidRPr="00046271">
        <w:rPr>
          <w:rFonts w:eastAsia="Calibri"/>
          <w:color w:val="000000" w:themeColor="text1"/>
          <w:sz w:val="20"/>
          <w:szCs w:val="20"/>
        </w:rPr>
        <w:t>mediator within the Gulf Cooperation Council</w:t>
      </w:r>
      <w:r w:rsidR="004F2E45">
        <w:rPr>
          <w:rFonts w:eastAsia="Calibri"/>
          <w:color w:val="000000" w:themeColor="text1"/>
          <w:sz w:val="20"/>
          <w:szCs w:val="20"/>
        </w:rPr>
        <w:t xml:space="preserve"> </w:t>
      </w:r>
      <w:r w:rsidR="008A0B6D">
        <w:rPr>
          <w:rFonts w:eastAsia="Calibri"/>
          <w:color w:val="000000" w:themeColor="text1"/>
          <w:sz w:val="20"/>
          <w:szCs w:val="20"/>
        </w:rPr>
        <w:t>and</w:t>
      </w:r>
      <w:r w:rsidRPr="00046271">
        <w:rPr>
          <w:rFonts w:eastAsia="Calibri"/>
          <w:color w:val="000000" w:themeColor="text1"/>
          <w:sz w:val="20"/>
          <w:szCs w:val="20"/>
        </w:rPr>
        <w:t xml:space="preserve"> hosted mediation efforts between the parties to the </w:t>
      </w:r>
      <w:r w:rsidR="004F2E45">
        <w:rPr>
          <w:rFonts w:eastAsia="Calibri"/>
          <w:color w:val="000000" w:themeColor="text1"/>
          <w:sz w:val="20"/>
          <w:szCs w:val="20"/>
        </w:rPr>
        <w:t xml:space="preserve">conflict in </w:t>
      </w:r>
      <w:r w:rsidRPr="00046271">
        <w:rPr>
          <w:rFonts w:eastAsia="Calibri"/>
          <w:color w:val="000000" w:themeColor="text1"/>
          <w:sz w:val="20"/>
          <w:szCs w:val="20"/>
        </w:rPr>
        <w:t xml:space="preserve">Yemen. Kuwait has advanced its leadership role in </w:t>
      </w:r>
      <w:r w:rsidR="008A0B6D" w:rsidRPr="00046271">
        <w:rPr>
          <w:rFonts w:eastAsia="Calibri"/>
          <w:color w:val="000000" w:themeColor="text1"/>
          <w:sz w:val="20"/>
          <w:szCs w:val="20"/>
        </w:rPr>
        <w:t>providing humanitarian</w:t>
      </w:r>
      <w:r w:rsidRPr="00046271">
        <w:rPr>
          <w:rFonts w:eastAsia="Calibri"/>
          <w:color w:val="000000" w:themeColor="text1"/>
          <w:sz w:val="20"/>
          <w:szCs w:val="20"/>
        </w:rPr>
        <w:t xml:space="preserve"> support, </w:t>
      </w:r>
      <w:r w:rsidR="008A0B6D" w:rsidRPr="00046271">
        <w:rPr>
          <w:rFonts w:eastAsia="Calibri"/>
          <w:color w:val="000000" w:themeColor="text1"/>
          <w:sz w:val="20"/>
          <w:szCs w:val="20"/>
        </w:rPr>
        <w:t>including the</w:t>
      </w:r>
      <w:r w:rsidRPr="00046271">
        <w:rPr>
          <w:rFonts w:eastAsia="Calibri"/>
          <w:color w:val="000000" w:themeColor="text1"/>
          <w:sz w:val="20"/>
          <w:szCs w:val="20"/>
        </w:rPr>
        <w:t xml:space="preserve"> hosting </w:t>
      </w:r>
      <w:r w:rsidR="008A0B6D" w:rsidRPr="00046271">
        <w:rPr>
          <w:rFonts w:eastAsia="Calibri"/>
          <w:color w:val="000000" w:themeColor="text1"/>
          <w:sz w:val="20"/>
          <w:szCs w:val="20"/>
        </w:rPr>
        <w:t>of international</w:t>
      </w:r>
      <w:r w:rsidRPr="00046271">
        <w:rPr>
          <w:rFonts w:eastAsia="Calibri"/>
          <w:color w:val="000000" w:themeColor="text1"/>
          <w:sz w:val="20"/>
          <w:szCs w:val="20"/>
        </w:rPr>
        <w:t xml:space="preserve"> pledging conferences for the Syrian crisis and for Iraq. Kuwait also contribut</w:t>
      </w:r>
      <w:r w:rsidR="004F2E45">
        <w:rPr>
          <w:rFonts w:eastAsia="Calibri"/>
          <w:color w:val="000000" w:themeColor="text1"/>
          <w:sz w:val="20"/>
          <w:szCs w:val="20"/>
        </w:rPr>
        <w:t xml:space="preserve">es 2 </w:t>
      </w:r>
      <w:r w:rsidRPr="00046271">
        <w:rPr>
          <w:rFonts w:eastAsia="Calibri"/>
          <w:color w:val="000000" w:themeColor="text1"/>
          <w:sz w:val="20"/>
          <w:szCs w:val="20"/>
        </w:rPr>
        <w:t>per</w:t>
      </w:r>
      <w:r w:rsidR="004F2E45">
        <w:rPr>
          <w:rFonts w:eastAsia="Calibri"/>
          <w:color w:val="000000" w:themeColor="text1"/>
          <w:sz w:val="20"/>
          <w:szCs w:val="20"/>
        </w:rPr>
        <w:t xml:space="preserve"> </w:t>
      </w:r>
      <w:r w:rsidRPr="00046271">
        <w:rPr>
          <w:rFonts w:eastAsia="Calibri"/>
          <w:color w:val="000000" w:themeColor="text1"/>
          <w:sz w:val="20"/>
          <w:szCs w:val="20"/>
        </w:rPr>
        <w:t xml:space="preserve">cent of its GDP to </w:t>
      </w:r>
      <w:r w:rsidR="00E270F6">
        <w:rPr>
          <w:rFonts w:eastAsia="Calibri"/>
          <w:color w:val="000000" w:themeColor="text1"/>
          <w:sz w:val="20"/>
          <w:szCs w:val="20"/>
        </w:rPr>
        <w:t xml:space="preserve">official </w:t>
      </w:r>
      <w:r w:rsidRPr="00046271">
        <w:rPr>
          <w:rFonts w:eastAsia="Calibri"/>
          <w:color w:val="000000" w:themeColor="text1"/>
          <w:sz w:val="20"/>
          <w:szCs w:val="20"/>
        </w:rPr>
        <w:t>development assistance.</w:t>
      </w:r>
      <w:r w:rsidRPr="00046271">
        <w:rPr>
          <w:rStyle w:val="FootnoteReference"/>
          <w:rFonts w:eastAsia="Calibri"/>
          <w:color w:val="000000" w:themeColor="text1"/>
          <w:sz w:val="20"/>
          <w:szCs w:val="20"/>
        </w:rPr>
        <w:footnoteReference w:id="28"/>
      </w:r>
      <w:r w:rsidRPr="00046271">
        <w:rPr>
          <w:rFonts w:eastAsia="Calibri"/>
          <w:color w:val="000000" w:themeColor="text1"/>
          <w:sz w:val="20"/>
          <w:szCs w:val="20"/>
        </w:rPr>
        <w:t xml:space="preserve"> The Government is exploring ways to build on this legacy and expand </w:t>
      </w:r>
      <w:r w:rsidR="004F2E45">
        <w:rPr>
          <w:rFonts w:eastAsia="Calibri"/>
          <w:color w:val="000000" w:themeColor="text1"/>
          <w:sz w:val="20"/>
          <w:szCs w:val="20"/>
        </w:rPr>
        <w:t xml:space="preserve">the country’s </w:t>
      </w:r>
      <w:r w:rsidRPr="00046271">
        <w:rPr>
          <w:rFonts w:eastAsia="Calibri"/>
          <w:color w:val="000000" w:themeColor="text1"/>
          <w:sz w:val="20"/>
          <w:szCs w:val="20"/>
        </w:rPr>
        <w:t xml:space="preserve">role and prominence as a strategic donor to advance </w:t>
      </w:r>
      <w:r w:rsidR="004F2E45">
        <w:rPr>
          <w:rFonts w:eastAsia="Calibri"/>
          <w:color w:val="000000" w:themeColor="text1"/>
          <w:sz w:val="20"/>
          <w:szCs w:val="20"/>
        </w:rPr>
        <w:t xml:space="preserve">the </w:t>
      </w:r>
      <w:r w:rsidRPr="00046271">
        <w:rPr>
          <w:rFonts w:eastAsia="Calibri"/>
          <w:color w:val="000000" w:themeColor="text1"/>
          <w:sz w:val="20"/>
          <w:szCs w:val="20"/>
        </w:rPr>
        <w:t>sustainable development agenda abr</w:t>
      </w:r>
      <w:r w:rsidR="004F2E45">
        <w:rPr>
          <w:rFonts w:eastAsia="Calibri"/>
          <w:color w:val="000000" w:themeColor="text1"/>
          <w:sz w:val="20"/>
          <w:szCs w:val="20"/>
        </w:rPr>
        <w:t>o</w:t>
      </w:r>
      <w:r w:rsidRPr="00046271">
        <w:rPr>
          <w:rFonts w:eastAsia="Calibri"/>
          <w:color w:val="000000" w:themeColor="text1"/>
          <w:sz w:val="20"/>
          <w:szCs w:val="20"/>
        </w:rPr>
        <w:t>ad.</w:t>
      </w:r>
    </w:p>
    <w:p w14:paraId="01DF70D5" w14:textId="77777777" w:rsidR="009A47BF" w:rsidRPr="00D33447" w:rsidRDefault="009A47BF" w:rsidP="007F5C41">
      <w:pPr>
        <w:pStyle w:val="ListParagraph"/>
        <w:tabs>
          <w:tab w:val="left" w:pos="900"/>
        </w:tabs>
        <w:ind w:left="630" w:right="65"/>
        <w:rPr>
          <w:sz w:val="12"/>
          <w:szCs w:val="12"/>
        </w:rPr>
      </w:pPr>
    </w:p>
    <w:p w14:paraId="73F85419" w14:textId="3299DAF6" w:rsidR="009A47BF" w:rsidRPr="00046271" w:rsidRDefault="009A47BF" w:rsidP="007F5C41">
      <w:pPr>
        <w:pStyle w:val="NormalWeb"/>
        <w:numPr>
          <w:ilvl w:val="0"/>
          <w:numId w:val="26"/>
        </w:numPr>
        <w:tabs>
          <w:tab w:val="left" w:pos="900"/>
        </w:tabs>
        <w:spacing w:before="0" w:beforeAutospacing="0" w:after="0" w:afterAutospacing="0"/>
        <w:ind w:left="630" w:right="65" w:firstLine="0"/>
        <w:jc w:val="both"/>
        <w:rPr>
          <w:sz w:val="20"/>
          <w:szCs w:val="20"/>
        </w:rPr>
      </w:pPr>
      <w:r w:rsidRPr="00046271">
        <w:rPr>
          <w:sz w:val="20"/>
          <w:szCs w:val="20"/>
        </w:rPr>
        <w:t xml:space="preserve">According to an independent evaluation of </w:t>
      </w:r>
      <w:r w:rsidR="00E270F6">
        <w:rPr>
          <w:sz w:val="20"/>
          <w:szCs w:val="20"/>
        </w:rPr>
        <w:t xml:space="preserve">the </w:t>
      </w:r>
      <w:r w:rsidRPr="00046271">
        <w:rPr>
          <w:sz w:val="20"/>
          <w:szCs w:val="20"/>
        </w:rPr>
        <w:t xml:space="preserve">previous country programme, UNDP has </w:t>
      </w:r>
      <w:r w:rsidR="00032166">
        <w:rPr>
          <w:sz w:val="20"/>
          <w:szCs w:val="20"/>
        </w:rPr>
        <w:t>become</w:t>
      </w:r>
      <w:r w:rsidRPr="00046271">
        <w:rPr>
          <w:sz w:val="20"/>
          <w:szCs w:val="20"/>
        </w:rPr>
        <w:t xml:space="preserve"> a key partner in providing transparent project implementation support for addressing a range of development priorities</w:t>
      </w:r>
      <w:r w:rsidR="00BA1216">
        <w:rPr>
          <w:sz w:val="20"/>
          <w:szCs w:val="20"/>
        </w:rPr>
        <w:t>,</w:t>
      </w:r>
      <w:r w:rsidRPr="00046271">
        <w:rPr>
          <w:rStyle w:val="FootnoteReference"/>
          <w:sz w:val="20"/>
          <w:szCs w:val="20"/>
        </w:rPr>
        <w:footnoteReference w:id="29"/>
      </w:r>
      <w:r w:rsidR="00BA1216">
        <w:rPr>
          <w:sz w:val="20"/>
          <w:szCs w:val="20"/>
        </w:rPr>
        <w:t xml:space="preserve"> including</w:t>
      </w:r>
      <w:r w:rsidRPr="00046271">
        <w:rPr>
          <w:sz w:val="20"/>
          <w:szCs w:val="20"/>
        </w:rPr>
        <w:t xml:space="preserve"> for energy efficiency </w:t>
      </w:r>
      <w:r w:rsidR="00894AD7">
        <w:rPr>
          <w:sz w:val="20"/>
          <w:szCs w:val="20"/>
        </w:rPr>
        <w:t xml:space="preserve">and environment </w:t>
      </w:r>
      <w:r w:rsidRPr="00046271">
        <w:rPr>
          <w:sz w:val="20"/>
          <w:szCs w:val="20"/>
        </w:rPr>
        <w:t xml:space="preserve">(with </w:t>
      </w:r>
      <w:r w:rsidR="00E270F6">
        <w:rPr>
          <w:sz w:val="20"/>
          <w:szCs w:val="20"/>
        </w:rPr>
        <w:t xml:space="preserve">the </w:t>
      </w:r>
      <w:r w:rsidRPr="00046271">
        <w:rPr>
          <w:sz w:val="20"/>
          <w:szCs w:val="20"/>
        </w:rPr>
        <w:t>U</w:t>
      </w:r>
      <w:r w:rsidR="00E270F6">
        <w:rPr>
          <w:sz w:val="20"/>
          <w:szCs w:val="20"/>
        </w:rPr>
        <w:t xml:space="preserve">nited </w:t>
      </w:r>
      <w:r w:rsidRPr="00046271">
        <w:rPr>
          <w:sz w:val="20"/>
          <w:szCs w:val="20"/>
        </w:rPr>
        <w:t>N</w:t>
      </w:r>
      <w:r w:rsidR="00E270F6">
        <w:rPr>
          <w:sz w:val="20"/>
          <w:szCs w:val="20"/>
        </w:rPr>
        <w:t xml:space="preserve">ations </w:t>
      </w:r>
      <w:r w:rsidRPr="00046271">
        <w:rPr>
          <w:sz w:val="20"/>
          <w:szCs w:val="20"/>
        </w:rPr>
        <w:t xml:space="preserve"> Environment</w:t>
      </w:r>
      <w:r w:rsidR="00E270F6">
        <w:rPr>
          <w:sz w:val="20"/>
          <w:szCs w:val="20"/>
        </w:rPr>
        <w:t xml:space="preserve"> Programme</w:t>
      </w:r>
      <w:r w:rsidR="00B41585">
        <w:rPr>
          <w:sz w:val="20"/>
          <w:szCs w:val="20"/>
        </w:rPr>
        <w:t xml:space="preserve"> </w:t>
      </w:r>
      <w:r w:rsidR="009A00A5">
        <w:rPr>
          <w:sz w:val="20"/>
          <w:szCs w:val="20"/>
        </w:rPr>
        <w:t>(UNEP)</w:t>
      </w:r>
      <w:r w:rsidRPr="00046271">
        <w:rPr>
          <w:sz w:val="20"/>
          <w:szCs w:val="20"/>
        </w:rPr>
        <w:t>), drug prevention and anti-corruption (with the U</w:t>
      </w:r>
      <w:r w:rsidR="00E270F6">
        <w:rPr>
          <w:sz w:val="20"/>
          <w:szCs w:val="20"/>
        </w:rPr>
        <w:t xml:space="preserve">nited </w:t>
      </w:r>
      <w:r w:rsidRPr="00046271">
        <w:rPr>
          <w:sz w:val="20"/>
          <w:szCs w:val="20"/>
        </w:rPr>
        <w:t>N</w:t>
      </w:r>
      <w:r w:rsidR="00E270F6">
        <w:rPr>
          <w:sz w:val="20"/>
          <w:szCs w:val="20"/>
        </w:rPr>
        <w:t>ations</w:t>
      </w:r>
      <w:r w:rsidRPr="00046271">
        <w:rPr>
          <w:sz w:val="20"/>
          <w:szCs w:val="20"/>
        </w:rPr>
        <w:t xml:space="preserve"> Office on Drugs and Crime), </w:t>
      </w:r>
      <w:r w:rsidR="00894AD7">
        <w:rPr>
          <w:sz w:val="20"/>
          <w:szCs w:val="20"/>
        </w:rPr>
        <w:t xml:space="preserve">empowerment of </w:t>
      </w:r>
      <w:r w:rsidRPr="00046271">
        <w:rPr>
          <w:sz w:val="20"/>
          <w:szCs w:val="20"/>
        </w:rPr>
        <w:t xml:space="preserve">youth (with </w:t>
      </w:r>
      <w:r w:rsidR="00E270F6">
        <w:rPr>
          <w:sz w:val="20"/>
          <w:szCs w:val="20"/>
        </w:rPr>
        <w:t>the United Nations Population Fund</w:t>
      </w:r>
      <w:r w:rsidRPr="00046271">
        <w:rPr>
          <w:sz w:val="20"/>
          <w:szCs w:val="20"/>
        </w:rPr>
        <w:t xml:space="preserve">) and traffic strategy and automation. UNDP supported the </w:t>
      </w:r>
      <w:r w:rsidR="00894AD7">
        <w:rPr>
          <w:sz w:val="20"/>
          <w:szCs w:val="20"/>
        </w:rPr>
        <w:t>d</w:t>
      </w:r>
      <w:r w:rsidRPr="00046271">
        <w:rPr>
          <w:sz w:val="20"/>
          <w:szCs w:val="20"/>
        </w:rPr>
        <w:t xml:space="preserve">igital </w:t>
      </w:r>
      <w:r w:rsidR="00894AD7">
        <w:rPr>
          <w:sz w:val="20"/>
          <w:szCs w:val="20"/>
        </w:rPr>
        <w:t>s</w:t>
      </w:r>
      <w:r w:rsidRPr="00046271">
        <w:rPr>
          <w:sz w:val="20"/>
          <w:szCs w:val="20"/>
        </w:rPr>
        <w:t>trategy for inclusion for persons with disabilities</w:t>
      </w:r>
      <w:r w:rsidR="00E270F6">
        <w:rPr>
          <w:sz w:val="20"/>
          <w:szCs w:val="20"/>
        </w:rPr>
        <w:t>,</w:t>
      </w:r>
      <w:r w:rsidRPr="00046271">
        <w:rPr>
          <w:rStyle w:val="FootnoteReference"/>
          <w:sz w:val="20"/>
          <w:szCs w:val="20"/>
        </w:rPr>
        <w:footnoteReference w:id="30"/>
      </w:r>
      <w:r w:rsidRPr="00046271">
        <w:rPr>
          <w:sz w:val="20"/>
          <w:szCs w:val="20"/>
        </w:rPr>
        <w:t xml:space="preserve"> which require</w:t>
      </w:r>
      <w:r w:rsidR="00BD4F12">
        <w:rPr>
          <w:sz w:val="20"/>
          <w:szCs w:val="20"/>
        </w:rPr>
        <w:t>s</w:t>
      </w:r>
      <w:r w:rsidRPr="00046271">
        <w:rPr>
          <w:sz w:val="20"/>
          <w:szCs w:val="20"/>
        </w:rPr>
        <w:t xml:space="preserve"> further support </w:t>
      </w:r>
      <w:r w:rsidR="00BD4F12">
        <w:rPr>
          <w:sz w:val="20"/>
          <w:szCs w:val="20"/>
        </w:rPr>
        <w:t xml:space="preserve">for </w:t>
      </w:r>
      <w:r w:rsidRPr="00046271">
        <w:rPr>
          <w:sz w:val="20"/>
          <w:szCs w:val="20"/>
        </w:rPr>
        <w:t>implement</w:t>
      </w:r>
      <w:r w:rsidR="00BD4F12">
        <w:rPr>
          <w:sz w:val="20"/>
          <w:szCs w:val="20"/>
        </w:rPr>
        <w:t>ation</w:t>
      </w:r>
      <w:r w:rsidRPr="00046271">
        <w:rPr>
          <w:sz w:val="20"/>
          <w:szCs w:val="20"/>
        </w:rPr>
        <w:t xml:space="preserve"> in partnership with the private sector. UNDP supported the establishment of the KPPC to improve evidence-based policymaking processes</w:t>
      </w:r>
      <w:r w:rsidR="00BA1216">
        <w:rPr>
          <w:sz w:val="20"/>
          <w:szCs w:val="20"/>
        </w:rPr>
        <w:t xml:space="preserve">,  </w:t>
      </w:r>
      <w:r w:rsidRPr="00046271">
        <w:rPr>
          <w:sz w:val="20"/>
          <w:szCs w:val="20"/>
        </w:rPr>
        <w:t xml:space="preserve">continued to develop pathways for increased women’s participation and prepared the ground for a future strategy to address violence against women (with </w:t>
      </w:r>
      <w:r w:rsidR="00E270F6">
        <w:rPr>
          <w:sz w:val="20"/>
          <w:szCs w:val="20"/>
        </w:rPr>
        <w:t>the United Nations Entity for Gender Equality and the Empowerment of Women (</w:t>
      </w:r>
      <w:r w:rsidRPr="00046271">
        <w:rPr>
          <w:sz w:val="20"/>
          <w:szCs w:val="20"/>
        </w:rPr>
        <w:t>UN</w:t>
      </w:r>
      <w:r w:rsidR="00E270F6">
        <w:rPr>
          <w:sz w:val="20"/>
          <w:szCs w:val="20"/>
        </w:rPr>
        <w:t>-</w:t>
      </w:r>
      <w:r w:rsidRPr="00046271">
        <w:rPr>
          <w:sz w:val="20"/>
          <w:szCs w:val="20"/>
        </w:rPr>
        <w:t>Women)</w:t>
      </w:r>
      <w:r w:rsidR="00E270F6">
        <w:rPr>
          <w:sz w:val="20"/>
          <w:szCs w:val="20"/>
        </w:rPr>
        <w:t>)</w:t>
      </w:r>
      <w:r w:rsidRPr="00046271">
        <w:rPr>
          <w:sz w:val="20"/>
          <w:szCs w:val="20"/>
        </w:rPr>
        <w:t>.</w:t>
      </w:r>
      <w:r w:rsidR="00720956">
        <w:rPr>
          <w:sz w:val="20"/>
          <w:szCs w:val="20"/>
        </w:rPr>
        <w:t xml:space="preserve"> </w:t>
      </w:r>
    </w:p>
    <w:p w14:paraId="18BF302F" w14:textId="77777777" w:rsidR="009A47BF" w:rsidRPr="00D33447" w:rsidRDefault="009A47BF" w:rsidP="007F5C41">
      <w:pPr>
        <w:pStyle w:val="NormalWeb"/>
        <w:tabs>
          <w:tab w:val="left" w:pos="900"/>
        </w:tabs>
        <w:spacing w:before="0" w:beforeAutospacing="0" w:after="0" w:afterAutospacing="0"/>
        <w:ind w:left="630" w:right="65"/>
        <w:jc w:val="both"/>
        <w:rPr>
          <w:sz w:val="12"/>
          <w:szCs w:val="12"/>
        </w:rPr>
      </w:pPr>
    </w:p>
    <w:p w14:paraId="79A8313F" w14:textId="5371CCBC" w:rsidR="009A47BF" w:rsidRPr="00046271" w:rsidRDefault="009A47BF" w:rsidP="00E551D4">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rPr>
        <w:t>The evaluation highlighted three key recommendations:  (a) provide more strategic support in a high</w:t>
      </w:r>
      <w:r w:rsidR="00E270F6">
        <w:rPr>
          <w:sz w:val="20"/>
          <w:szCs w:val="20"/>
        </w:rPr>
        <w:t>-</w:t>
      </w:r>
      <w:r w:rsidRPr="00046271">
        <w:rPr>
          <w:sz w:val="20"/>
          <w:szCs w:val="20"/>
        </w:rPr>
        <w:t xml:space="preserve">income country context through increased policy advocacy and application of innovation for development impact; (b) employ more nimble and responsive portfolio/project development in support of the KNDP; and (c) maximize </w:t>
      </w:r>
      <w:r w:rsidR="00E270F6">
        <w:rPr>
          <w:sz w:val="20"/>
          <w:szCs w:val="20"/>
        </w:rPr>
        <w:t xml:space="preserve">the </w:t>
      </w:r>
      <w:r w:rsidRPr="00046271">
        <w:rPr>
          <w:sz w:val="20"/>
          <w:szCs w:val="20"/>
        </w:rPr>
        <w:t xml:space="preserve">convening role </w:t>
      </w:r>
      <w:r w:rsidR="00E270F6">
        <w:rPr>
          <w:sz w:val="20"/>
          <w:szCs w:val="20"/>
        </w:rPr>
        <w:t xml:space="preserve">of UNDP </w:t>
      </w:r>
      <w:r w:rsidRPr="00046271">
        <w:rPr>
          <w:sz w:val="20"/>
          <w:szCs w:val="20"/>
        </w:rPr>
        <w:t xml:space="preserve">to expand partnerships with civil society, academia and the private sector for development dialogue and implementation of solutions. </w:t>
      </w:r>
    </w:p>
    <w:p w14:paraId="4476243D" w14:textId="77777777" w:rsidR="009A47BF" w:rsidRPr="00046271" w:rsidRDefault="009A47BF" w:rsidP="00E551D4">
      <w:pPr>
        <w:tabs>
          <w:tab w:val="left" w:pos="990"/>
        </w:tabs>
        <w:ind w:left="630" w:right="65"/>
        <w:jc w:val="both"/>
        <w:rPr>
          <w:sz w:val="20"/>
          <w:szCs w:val="20"/>
        </w:rPr>
      </w:pPr>
    </w:p>
    <w:p w14:paraId="035916CC" w14:textId="2B6152D2" w:rsidR="009A47BF" w:rsidRPr="00D33447" w:rsidRDefault="009A47BF" w:rsidP="00E551D4">
      <w:pPr>
        <w:pStyle w:val="ListParagraph"/>
        <w:numPr>
          <w:ilvl w:val="0"/>
          <w:numId w:val="33"/>
        </w:numPr>
        <w:tabs>
          <w:tab w:val="left" w:pos="630"/>
          <w:tab w:val="left" w:pos="990"/>
        </w:tabs>
        <w:ind w:right="65" w:hanging="1170"/>
        <w:rPr>
          <w:b/>
          <w:sz w:val="28"/>
          <w:szCs w:val="28"/>
        </w:rPr>
      </w:pPr>
      <w:r w:rsidRPr="00D33447">
        <w:rPr>
          <w:b/>
          <w:sz w:val="28"/>
          <w:szCs w:val="28"/>
        </w:rPr>
        <w:t xml:space="preserve">Programme </w:t>
      </w:r>
      <w:r w:rsidR="00D33447">
        <w:rPr>
          <w:b/>
          <w:sz w:val="28"/>
          <w:szCs w:val="28"/>
        </w:rPr>
        <w:t>p</w:t>
      </w:r>
      <w:r w:rsidRPr="00D33447">
        <w:rPr>
          <w:b/>
          <w:sz w:val="28"/>
          <w:szCs w:val="28"/>
        </w:rPr>
        <w:t xml:space="preserve">riorities and </w:t>
      </w:r>
      <w:r w:rsidR="00D33447">
        <w:rPr>
          <w:b/>
          <w:sz w:val="28"/>
          <w:szCs w:val="28"/>
        </w:rPr>
        <w:t>p</w:t>
      </w:r>
      <w:r w:rsidRPr="00D33447">
        <w:rPr>
          <w:b/>
          <w:sz w:val="28"/>
          <w:szCs w:val="28"/>
        </w:rPr>
        <w:t>artnerships</w:t>
      </w:r>
    </w:p>
    <w:p w14:paraId="0BCC5366" w14:textId="77777777" w:rsidR="009A47BF" w:rsidRPr="00046271" w:rsidRDefault="009A47BF" w:rsidP="00E551D4">
      <w:pPr>
        <w:tabs>
          <w:tab w:val="left" w:pos="990"/>
        </w:tabs>
        <w:ind w:left="630" w:right="65"/>
        <w:rPr>
          <w:sz w:val="20"/>
          <w:szCs w:val="20"/>
        </w:rPr>
      </w:pPr>
    </w:p>
    <w:p w14:paraId="38A827E1" w14:textId="2465437C" w:rsidR="009A47BF" w:rsidRPr="007D451C" w:rsidRDefault="009A47BF" w:rsidP="00E551D4">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rPr>
        <w:t xml:space="preserve">The </w:t>
      </w:r>
      <w:r w:rsidR="00E270F6">
        <w:rPr>
          <w:sz w:val="20"/>
          <w:szCs w:val="20"/>
        </w:rPr>
        <w:t>G</w:t>
      </w:r>
      <w:r w:rsidRPr="00046271">
        <w:rPr>
          <w:sz w:val="20"/>
          <w:szCs w:val="20"/>
        </w:rPr>
        <w:t>overnment has exhibited strong national ownership of UNDP programming</w:t>
      </w:r>
      <w:r w:rsidR="00032166">
        <w:rPr>
          <w:sz w:val="20"/>
          <w:szCs w:val="20"/>
        </w:rPr>
        <w:t>.</w:t>
      </w:r>
      <w:r w:rsidRPr="00046271">
        <w:rPr>
          <w:sz w:val="20"/>
          <w:szCs w:val="20"/>
        </w:rPr>
        <w:t xml:space="preserve"> In consultations </w:t>
      </w:r>
      <w:r w:rsidR="00D343E0">
        <w:rPr>
          <w:sz w:val="20"/>
          <w:szCs w:val="20"/>
        </w:rPr>
        <w:t xml:space="preserve">about </w:t>
      </w:r>
      <w:r w:rsidRPr="00046271">
        <w:rPr>
          <w:sz w:val="20"/>
          <w:szCs w:val="20"/>
        </w:rPr>
        <w:t>the new country programme,</w:t>
      </w:r>
      <w:r w:rsidRPr="00046271">
        <w:rPr>
          <w:rStyle w:val="FootnoteReference"/>
          <w:sz w:val="20"/>
          <w:szCs w:val="20"/>
        </w:rPr>
        <w:footnoteReference w:id="31"/>
      </w:r>
      <w:r w:rsidRPr="00046271">
        <w:rPr>
          <w:sz w:val="20"/>
          <w:szCs w:val="20"/>
        </w:rPr>
        <w:t xml:space="preserve"> the </w:t>
      </w:r>
      <w:r w:rsidR="00E270F6">
        <w:rPr>
          <w:sz w:val="20"/>
          <w:szCs w:val="20"/>
        </w:rPr>
        <w:t>G</w:t>
      </w:r>
      <w:r w:rsidRPr="00046271">
        <w:rPr>
          <w:sz w:val="20"/>
          <w:szCs w:val="20"/>
        </w:rPr>
        <w:t xml:space="preserve">overnment has indicated its continued commitment to work closely with UNDP and build on collaboration begun under the previous programme </w:t>
      </w:r>
      <w:r w:rsidR="00D343E0">
        <w:rPr>
          <w:sz w:val="20"/>
          <w:szCs w:val="20"/>
        </w:rPr>
        <w:t xml:space="preserve">towards the objectives of the </w:t>
      </w:r>
      <w:r w:rsidRPr="00046271">
        <w:rPr>
          <w:sz w:val="20"/>
          <w:szCs w:val="20"/>
        </w:rPr>
        <w:t>2030 Agenda</w:t>
      </w:r>
      <w:r w:rsidR="005430E1">
        <w:rPr>
          <w:sz w:val="20"/>
          <w:szCs w:val="20"/>
        </w:rPr>
        <w:t xml:space="preserve"> for Sustainable Development</w:t>
      </w:r>
      <w:r w:rsidRPr="00046271">
        <w:rPr>
          <w:sz w:val="20"/>
          <w:szCs w:val="20"/>
        </w:rPr>
        <w:t xml:space="preserve">. </w:t>
      </w:r>
      <w:r w:rsidR="008A0B6D">
        <w:rPr>
          <w:sz w:val="20"/>
          <w:szCs w:val="20"/>
        </w:rPr>
        <w:t>As a</w:t>
      </w:r>
      <w:r w:rsidR="00032166">
        <w:rPr>
          <w:sz w:val="20"/>
          <w:szCs w:val="20"/>
        </w:rPr>
        <w:t xml:space="preserve"> </w:t>
      </w:r>
      <w:r w:rsidR="008B51C3">
        <w:rPr>
          <w:sz w:val="20"/>
          <w:szCs w:val="20"/>
        </w:rPr>
        <w:t xml:space="preserve">high-income country, Kuwait increasingly looks to its international partners for </w:t>
      </w:r>
      <w:r w:rsidR="00032166">
        <w:rPr>
          <w:sz w:val="20"/>
          <w:szCs w:val="20"/>
        </w:rPr>
        <w:t xml:space="preserve">cutting-edge </w:t>
      </w:r>
      <w:r w:rsidR="008B51C3">
        <w:rPr>
          <w:sz w:val="20"/>
          <w:szCs w:val="20"/>
        </w:rPr>
        <w:t>policy advice</w:t>
      </w:r>
      <w:r w:rsidR="00B95D17">
        <w:rPr>
          <w:sz w:val="20"/>
          <w:szCs w:val="20"/>
        </w:rPr>
        <w:t>, advocacy and</w:t>
      </w:r>
      <w:r w:rsidR="008B51C3">
        <w:rPr>
          <w:sz w:val="20"/>
          <w:szCs w:val="20"/>
        </w:rPr>
        <w:t xml:space="preserve"> </w:t>
      </w:r>
      <w:r w:rsidR="00032166">
        <w:rPr>
          <w:sz w:val="20"/>
          <w:szCs w:val="20"/>
        </w:rPr>
        <w:t xml:space="preserve">partnerships. </w:t>
      </w:r>
      <w:r w:rsidRPr="007D451C">
        <w:rPr>
          <w:sz w:val="20"/>
          <w:szCs w:val="20"/>
        </w:rPr>
        <w:t>The new country programme responds to this call and</w:t>
      </w:r>
      <w:r w:rsidR="00B95D17">
        <w:rPr>
          <w:sz w:val="20"/>
          <w:szCs w:val="20"/>
        </w:rPr>
        <w:t xml:space="preserve"> </w:t>
      </w:r>
      <w:r w:rsidRPr="007D451C">
        <w:rPr>
          <w:sz w:val="20"/>
          <w:szCs w:val="20"/>
        </w:rPr>
        <w:t xml:space="preserve">will focus on strengthening policy processes and advocacy, institutional capacities, innovation, knowledge transfer, expanded engagement with civil society and the private sector, and support to </w:t>
      </w:r>
      <w:r w:rsidR="00D343E0">
        <w:rPr>
          <w:sz w:val="20"/>
          <w:szCs w:val="20"/>
        </w:rPr>
        <w:t>the country’s</w:t>
      </w:r>
      <w:r w:rsidR="00D343E0" w:rsidRPr="007D451C">
        <w:rPr>
          <w:sz w:val="20"/>
          <w:szCs w:val="20"/>
        </w:rPr>
        <w:t xml:space="preserve"> </w:t>
      </w:r>
      <w:r w:rsidRPr="007D451C">
        <w:rPr>
          <w:sz w:val="20"/>
          <w:szCs w:val="20"/>
        </w:rPr>
        <w:t xml:space="preserve">regional and global leadership initiatives. The </w:t>
      </w:r>
      <w:r w:rsidR="00B4462A" w:rsidRPr="007D451C">
        <w:rPr>
          <w:sz w:val="20"/>
          <w:szCs w:val="20"/>
        </w:rPr>
        <w:t xml:space="preserve">country programme is aligned to the </w:t>
      </w:r>
      <w:r w:rsidRPr="007D451C">
        <w:rPr>
          <w:sz w:val="20"/>
          <w:szCs w:val="20"/>
        </w:rPr>
        <w:t>KNDP</w:t>
      </w:r>
      <w:r w:rsidR="00D343E0">
        <w:rPr>
          <w:sz w:val="20"/>
          <w:szCs w:val="20"/>
        </w:rPr>
        <w:t xml:space="preserve">, which is based on the </w:t>
      </w:r>
      <w:r w:rsidR="00E42626">
        <w:rPr>
          <w:sz w:val="20"/>
          <w:szCs w:val="20"/>
        </w:rPr>
        <w:t>S</w:t>
      </w:r>
      <w:r w:rsidR="00D343E0">
        <w:rPr>
          <w:sz w:val="20"/>
          <w:szCs w:val="20"/>
        </w:rPr>
        <w:t>ustainable Development Goals</w:t>
      </w:r>
      <w:r w:rsidR="00E42626">
        <w:rPr>
          <w:sz w:val="20"/>
          <w:szCs w:val="20"/>
        </w:rPr>
        <w:t>,</w:t>
      </w:r>
      <w:r w:rsidRPr="007D451C">
        <w:rPr>
          <w:sz w:val="20"/>
          <w:szCs w:val="20"/>
        </w:rPr>
        <w:t xml:space="preserve"> </w:t>
      </w:r>
      <w:r w:rsidR="00C07A32">
        <w:rPr>
          <w:sz w:val="20"/>
          <w:szCs w:val="20"/>
        </w:rPr>
        <w:t>and will</w:t>
      </w:r>
      <w:r w:rsidRPr="007D451C">
        <w:rPr>
          <w:sz w:val="20"/>
          <w:szCs w:val="20"/>
        </w:rPr>
        <w:t xml:space="preserve"> adopt </w:t>
      </w:r>
      <w:r w:rsidR="00511629">
        <w:rPr>
          <w:sz w:val="20"/>
          <w:szCs w:val="20"/>
        </w:rPr>
        <w:t xml:space="preserve">an integrated </w:t>
      </w:r>
      <w:r w:rsidRPr="007D451C">
        <w:rPr>
          <w:sz w:val="20"/>
          <w:szCs w:val="20"/>
        </w:rPr>
        <w:t xml:space="preserve">programmatic approach </w:t>
      </w:r>
      <w:r w:rsidR="00511629">
        <w:rPr>
          <w:sz w:val="20"/>
          <w:szCs w:val="20"/>
        </w:rPr>
        <w:t xml:space="preserve">to </w:t>
      </w:r>
      <w:r w:rsidRPr="007D451C">
        <w:rPr>
          <w:sz w:val="20"/>
          <w:szCs w:val="20"/>
        </w:rPr>
        <w:t xml:space="preserve">improve the inter-connectedness of interventions. </w:t>
      </w:r>
    </w:p>
    <w:p w14:paraId="260EA294" w14:textId="77777777" w:rsidR="009A47BF" w:rsidRPr="00D33447" w:rsidRDefault="009A47BF" w:rsidP="007F5C41">
      <w:pPr>
        <w:tabs>
          <w:tab w:val="left" w:pos="900"/>
        </w:tabs>
        <w:ind w:left="630" w:right="65"/>
        <w:jc w:val="both"/>
        <w:rPr>
          <w:sz w:val="12"/>
          <w:szCs w:val="12"/>
        </w:rPr>
      </w:pPr>
    </w:p>
    <w:p w14:paraId="359A5905" w14:textId="5FBFFDE6" w:rsidR="009A47BF" w:rsidRPr="007D451C" w:rsidRDefault="00E551D4" w:rsidP="007F5C41">
      <w:pPr>
        <w:pStyle w:val="ListParagraph"/>
        <w:numPr>
          <w:ilvl w:val="0"/>
          <w:numId w:val="26"/>
        </w:numPr>
        <w:tabs>
          <w:tab w:val="left" w:pos="900"/>
        </w:tabs>
        <w:autoSpaceDE w:val="0"/>
        <w:autoSpaceDN w:val="0"/>
        <w:adjustRightInd w:val="0"/>
        <w:ind w:left="630" w:right="65" w:firstLine="0"/>
        <w:contextualSpacing/>
        <w:jc w:val="both"/>
        <w:rPr>
          <w:sz w:val="20"/>
          <w:szCs w:val="20"/>
        </w:rPr>
      </w:pPr>
      <w:r>
        <w:rPr>
          <w:sz w:val="20"/>
          <w:szCs w:val="20"/>
        </w:rPr>
        <w:t xml:space="preserve"> </w:t>
      </w:r>
      <w:r w:rsidR="009A47BF" w:rsidRPr="00046271">
        <w:rPr>
          <w:sz w:val="20"/>
          <w:szCs w:val="20"/>
        </w:rPr>
        <w:t>This country programme will contribute primarily to three of the five outcomes of the U</w:t>
      </w:r>
      <w:r w:rsidR="00E42626">
        <w:rPr>
          <w:sz w:val="20"/>
          <w:szCs w:val="20"/>
        </w:rPr>
        <w:t xml:space="preserve">nited </w:t>
      </w:r>
      <w:r w:rsidR="009A47BF" w:rsidRPr="00046271">
        <w:rPr>
          <w:sz w:val="20"/>
          <w:szCs w:val="20"/>
        </w:rPr>
        <w:t>N</w:t>
      </w:r>
      <w:r w:rsidR="00E42626">
        <w:rPr>
          <w:sz w:val="20"/>
          <w:szCs w:val="20"/>
        </w:rPr>
        <w:t xml:space="preserve">ations Sustainable Development </w:t>
      </w:r>
      <w:r w:rsidR="009116AF">
        <w:rPr>
          <w:sz w:val="20"/>
          <w:szCs w:val="20"/>
        </w:rPr>
        <w:t>Cooperation Framework</w:t>
      </w:r>
      <w:r w:rsidR="0066497C">
        <w:rPr>
          <w:sz w:val="20"/>
          <w:szCs w:val="20"/>
        </w:rPr>
        <w:t xml:space="preserve"> (UNSDCF)</w:t>
      </w:r>
      <w:r w:rsidR="00E42626">
        <w:rPr>
          <w:sz w:val="20"/>
          <w:szCs w:val="20"/>
        </w:rPr>
        <w:t>,</w:t>
      </w:r>
      <w:r w:rsidR="009A47BF" w:rsidRPr="00046271">
        <w:rPr>
          <w:sz w:val="20"/>
          <w:szCs w:val="20"/>
        </w:rPr>
        <w:t xml:space="preserve"> 2020-202</w:t>
      </w:r>
      <w:r w:rsidR="00511629">
        <w:rPr>
          <w:sz w:val="20"/>
          <w:szCs w:val="20"/>
        </w:rPr>
        <w:t>5</w:t>
      </w:r>
      <w:r w:rsidR="00E42626">
        <w:rPr>
          <w:sz w:val="20"/>
          <w:szCs w:val="20"/>
        </w:rPr>
        <w:t>, specifically o</w:t>
      </w:r>
      <w:r w:rsidR="009A47BF" w:rsidRPr="00046271">
        <w:rPr>
          <w:sz w:val="20"/>
          <w:szCs w:val="20"/>
        </w:rPr>
        <w:t>utcome 1</w:t>
      </w:r>
      <w:r w:rsidR="00E42626">
        <w:rPr>
          <w:sz w:val="20"/>
          <w:szCs w:val="20"/>
        </w:rPr>
        <w:t xml:space="preserve"> (</w:t>
      </w:r>
      <w:r w:rsidR="009A47BF" w:rsidRPr="00046271">
        <w:rPr>
          <w:sz w:val="20"/>
          <w:szCs w:val="20"/>
        </w:rPr>
        <w:t>public administration</w:t>
      </w:r>
      <w:r w:rsidR="00E92232">
        <w:rPr>
          <w:sz w:val="20"/>
          <w:szCs w:val="20"/>
        </w:rPr>
        <w:t xml:space="preserve"> and economy</w:t>
      </w:r>
      <w:r w:rsidR="00E42626">
        <w:rPr>
          <w:sz w:val="20"/>
          <w:szCs w:val="20"/>
        </w:rPr>
        <w:t>), o</w:t>
      </w:r>
      <w:r w:rsidR="009A47BF" w:rsidRPr="00046271">
        <w:rPr>
          <w:sz w:val="20"/>
          <w:szCs w:val="20"/>
        </w:rPr>
        <w:t xml:space="preserve">utcome 2 </w:t>
      </w:r>
      <w:r w:rsidR="00E42626">
        <w:rPr>
          <w:sz w:val="20"/>
          <w:szCs w:val="20"/>
        </w:rPr>
        <w:t>(</w:t>
      </w:r>
      <w:r w:rsidR="00E92232">
        <w:rPr>
          <w:sz w:val="20"/>
          <w:szCs w:val="20"/>
        </w:rPr>
        <w:t xml:space="preserve">living </w:t>
      </w:r>
      <w:r w:rsidR="009A47BF" w:rsidRPr="00046271">
        <w:rPr>
          <w:sz w:val="20"/>
          <w:szCs w:val="20"/>
        </w:rPr>
        <w:t>environment</w:t>
      </w:r>
      <w:r w:rsidR="00E42626">
        <w:rPr>
          <w:sz w:val="20"/>
          <w:szCs w:val="20"/>
        </w:rPr>
        <w:t xml:space="preserve">) </w:t>
      </w:r>
      <w:r w:rsidR="009A47BF" w:rsidRPr="00046271">
        <w:rPr>
          <w:sz w:val="20"/>
          <w:szCs w:val="20"/>
        </w:rPr>
        <w:t xml:space="preserve">and </w:t>
      </w:r>
      <w:r w:rsidR="00E42626">
        <w:rPr>
          <w:sz w:val="20"/>
          <w:szCs w:val="20"/>
        </w:rPr>
        <w:t>o</w:t>
      </w:r>
      <w:r w:rsidR="009A47BF" w:rsidRPr="00046271">
        <w:rPr>
          <w:sz w:val="20"/>
          <w:szCs w:val="20"/>
        </w:rPr>
        <w:t xml:space="preserve">utcome 6 </w:t>
      </w:r>
      <w:r w:rsidR="00E42626">
        <w:rPr>
          <w:sz w:val="20"/>
          <w:szCs w:val="20"/>
        </w:rPr>
        <w:t>(</w:t>
      </w:r>
      <w:r w:rsidR="009A47BF" w:rsidRPr="00046271">
        <w:rPr>
          <w:sz w:val="20"/>
          <w:szCs w:val="20"/>
        </w:rPr>
        <w:t xml:space="preserve">international positioning). The country programme will also contribute to </w:t>
      </w:r>
      <w:r w:rsidR="00E42626">
        <w:rPr>
          <w:sz w:val="20"/>
          <w:szCs w:val="20"/>
        </w:rPr>
        <w:t>o</w:t>
      </w:r>
      <w:r w:rsidR="009A47BF" w:rsidRPr="00046271">
        <w:rPr>
          <w:sz w:val="20"/>
          <w:szCs w:val="20"/>
        </w:rPr>
        <w:t xml:space="preserve">utcome 2 (accelerate structural transformations for sustainable development) </w:t>
      </w:r>
      <w:r w:rsidR="00C80FBE" w:rsidRPr="00046271">
        <w:rPr>
          <w:sz w:val="20"/>
          <w:szCs w:val="20"/>
        </w:rPr>
        <w:t>and employ</w:t>
      </w:r>
      <w:r w:rsidR="00E42626">
        <w:rPr>
          <w:sz w:val="20"/>
          <w:szCs w:val="20"/>
        </w:rPr>
        <w:t xml:space="preserve"> s</w:t>
      </w:r>
      <w:r w:rsidR="009A47BF" w:rsidRPr="00046271">
        <w:rPr>
          <w:sz w:val="20"/>
          <w:szCs w:val="20"/>
        </w:rPr>
        <w:t xml:space="preserve">ignature </w:t>
      </w:r>
      <w:r w:rsidR="00E42626">
        <w:rPr>
          <w:sz w:val="20"/>
          <w:szCs w:val="20"/>
        </w:rPr>
        <w:t>s</w:t>
      </w:r>
      <w:r w:rsidR="009A47BF" w:rsidRPr="00046271">
        <w:rPr>
          <w:sz w:val="20"/>
          <w:szCs w:val="20"/>
        </w:rPr>
        <w:t xml:space="preserve">olutions 1, 2, 4, 5 and 6 of the UNDP Strategic </w:t>
      </w:r>
      <w:r w:rsidR="00D632FE" w:rsidRPr="00046271">
        <w:rPr>
          <w:sz w:val="20"/>
          <w:szCs w:val="20"/>
        </w:rPr>
        <w:t>Plan</w:t>
      </w:r>
      <w:r w:rsidR="00D632FE">
        <w:rPr>
          <w:sz w:val="20"/>
          <w:szCs w:val="20"/>
        </w:rPr>
        <w:t xml:space="preserve">, </w:t>
      </w:r>
      <w:r w:rsidR="00D632FE" w:rsidRPr="00046271">
        <w:rPr>
          <w:sz w:val="20"/>
          <w:szCs w:val="20"/>
        </w:rPr>
        <w:t>2018</w:t>
      </w:r>
      <w:r w:rsidR="009A47BF" w:rsidRPr="00046271">
        <w:rPr>
          <w:sz w:val="20"/>
          <w:szCs w:val="20"/>
        </w:rPr>
        <w:t>-2021.</w:t>
      </w:r>
      <w:r w:rsidR="007D0927">
        <w:rPr>
          <w:rStyle w:val="FootnoteReference"/>
          <w:sz w:val="20"/>
          <w:szCs w:val="20"/>
        </w:rPr>
        <w:footnoteReference w:id="32"/>
      </w:r>
      <w:r w:rsidR="007D0927" w:rsidRPr="00046271">
        <w:rPr>
          <w:sz w:val="20"/>
          <w:szCs w:val="20"/>
        </w:rPr>
        <w:t xml:space="preserve"> </w:t>
      </w:r>
      <w:r w:rsidR="009A47BF" w:rsidRPr="00046271">
        <w:rPr>
          <w:sz w:val="20"/>
          <w:szCs w:val="20"/>
        </w:rPr>
        <w:t xml:space="preserve"> </w:t>
      </w:r>
    </w:p>
    <w:p w14:paraId="7D55D421" w14:textId="77777777" w:rsidR="009A47BF" w:rsidRPr="00D33447" w:rsidRDefault="009A47BF" w:rsidP="007F5C41">
      <w:pPr>
        <w:tabs>
          <w:tab w:val="left" w:pos="900"/>
        </w:tabs>
        <w:ind w:left="630" w:right="65"/>
        <w:rPr>
          <w:sz w:val="12"/>
          <w:szCs w:val="12"/>
        </w:rPr>
      </w:pPr>
    </w:p>
    <w:p w14:paraId="60B7E27C" w14:textId="637C4B40" w:rsidR="009A47BF" w:rsidRPr="00046271" w:rsidRDefault="00E551D4" w:rsidP="007F5C41">
      <w:pPr>
        <w:pStyle w:val="ListParagraph"/>
        <w:numPr>
          <w:ilvl w:val="0"/>
          <w:numId w:val="26"/>
        </w:numPr>
        <w:tabs>
          <w:tab w:val="left" w:pos="900"/>
        </w:tabs>
        <w:autoSpaceDE w:val="0"/>
        <w:autoSpaceDN w:val="0"/>
        <w:adjustRightInd w:val="0"/>
        <w:ind w:left="630" w:right="65" w:firstLine="0"/>
        <w:contextualSpacing/>
        <w:jc w:val="both"/>
        <w:rPr>
          <w:sz w:val="20"/>
          <w:szCs w:val="20"/>
        </w:rPr>
      </w:pPr>
      <w:r>
        <w:rPr>
          <w:sz w:val="20"/>
          <w:szCs w:val="20"/>
        </w:rPr>
        <w:t xml:space="preserve"> </w:t>
      </w:r>
      <w:r w:rsidR="009A47BF" w:rsidRPr="00046271">
        <w:rPr>
          <w:sz w:val="20"/>
          <w:szCs w:val="20"/>
        </w:rPr>
        <w:t xml:space="preserve">Particular emphasis will be placed on increased South-South and </w:t>
      </w:r>
      <w:r w:rsidR="00E42626">
        <w:rPr>
          <w:sz w:val="20"/>
          <w:szCs w:val="20"/>
        </w:rPr>
        <w:t>t</w:t>
      </w:r>
      <w:r w:rsidR="009A47BF" w:rsidRPr="00046271">
        <w:rPr>
          <w:sz w:val="20"/>
          <w:szCs w:val="20"/>
        </w:rPr>
        <w:t xml:space="preserve">riangular </w:t>
      </w:r>
      <w:r w:rsidR="00E42626">
        <w:rPr>
          <w:sz w:val="20"/>
          <w:szCs w:val="20"/>
        </w:rPr>
        <w:t>c</w:t>
      </w:r>
      <w:r w:rsidR="009A47BF" w:rsidRPr="00046271">
        <w:rPr>
          <w:sz w:val="20"/>
          <w:szCs w:val="20"/>
        </w:rPr>
        <w:t xml:space="preserve">ooperation between entities in Kuwait and other programme countries. Collaboration with civil society and the private sector will </w:t>
      </w:r>
      <w:r w:rsidR="00E42626" w:rsidRPr="00046271">
        <w:rPr>
          <w:sz w:val="20"/>
          <w:szCs w:val="20"/>
        </w:rPr>
        <w:t>emphasi</w:t>
      </w:r>
      <w:r w:rsidR="00E42626">
        <w:rPr>
          <w:sz w:val="20"/>
          <w:szCs w:val="20"/>
        </w:rPr>
        <w:t>z</w:t>
      </w:r>
      <w:r w:rsidR="00E42626" w:rsidRPr="00046271">
        <w:rPr>
          <w:sz w:val="20"/>
          <w:szCs w:val="20"/>
        </w:rPr>
        <w:t xml:space="preserve">e </w:t>
      </w:r>
      <w:r w:rsidR="009A47BF" w:rsidRPr="00046271">
        <w:rPr>
          <w:sz w:val="20"/>
          <w:szCs w:val="20"/>
        </w:rPr>
        <w:t>increasing their role as partners in development solutions</w:t>
      </w:r>
      <w:r w:rsidR="00511629">
        <w:rPr>
          <w:sz w:val="20"/>
          <w:szCs w:val="20"/>
        </w:rPr>
        <w:t xml:space="preserve"> for achievement of </w:t>
      </w:r>
      <w:r w:rsidR="00E42626">
        <w:rPr>
          <w:sz w:val="20"/>
          <w:szCs w:val="20"/>
        </w:rPr>
        <w:t>the Sustainable Development Goals</w:t>
      </w:r>
      <w:r w:rsidR="00511629">
        <w:rPr>
          <w:sz w:val="20"/>
          <w:szCs w:val="20"/>
        </w:rPr>
        <w:t xml:space="preserve">. </w:t>
      </w:r>
      <w:r w:rsidR="00B4084D" w:rsidRPr="00046271">
        <w:rPr>
          <w:bCs/>
          <w:color w:val="333333"/>
          <w:sz w:val="20"/>
          <w:szCs w:val="20"/>
        </w:rPr>
        <w:t xml:space="preserve">Central to all UNDP policy work will be mainstreaming </w:t>
      </w:r>
      <w:r w:rsidR="00815253" w:rsidRPr="00046271">
        <w:rPr>
          <w:bCs/>
          <w:color w:val="333333"/>
          <w:sz w:val="20"/>
          <w:szCs w:val="20"/>
        </w:rPr>
        <w:t>the principle</w:t>
      </w:r>
      <w:r w:rsidR="00B4084D" w:rsidRPr="00046271">
        <w:rPr>
          <w:bCs/>
          <w:color w:val="333333"/>
          <w:sz w:val="20"/>
          <w:szCs w:val="20"/>
        </w:rPr>
        <w:t xml:space="preserve"> of “leaving no one behind” into </w:t>
      </w:r>
      <w:r w:rsidR="00AA61D5">
        <w:rPr>
          <w:bCs/>
          <w:color w:val="333333"/>
          <w:sz w:val="20"/>
          <w:szCs w:val="20"/>
        </w:rPr>
        <w:t xml:space="preserve">national </w:t>
      </w:r>
      <w:r w:rsidR="00B4084D" w:rsidRPr="00046271">
        <w:rPr>
          <w:bCs/>
          <w:color w:val="333333"/>
          <w:sz w:val="20"/>
          <w:szCs w:val="20"/>
        </w:rPr>
        <w:t xml:space="preserve">policy design mechanisms </w:t>
      </w:r>
      <w:r w:rsidR="00497A88">
        <w:rPr>
          <w:bCs/>
          <w:color w:val="333333"/>
          <w:sz w:val="20"/>
          <w:szCs w:val="20"/>
        </w:rPr>
        <w:t>by</w:t>
      </w:r>
      <w:r w:rsidR="00B4084D" w:rsidRPr="00046271">
        <w:rPr>
          <w:bCs/>
          <w:color w:val="333333"/>
          <w:sz w:val="20"/>
          <w:szCs w:val="20"/>
        </w:rPr>
        <w:t xml:space="preserve"> </w:t>
      </w:r>
      <w:r w:rsidR="00497A88">
        <w:rPr>
          <w:bCs/>
          <w:color w:val="333333"/>
          <w:sz w:val="20"/>
          <w:szCs w:val="20"/>
        </w:rPr>
        <w:t>supporting the collection of</w:t>
      </w:r>
      <w:r w:rsidR="00B4084D" w:rsidRPr="00046271">
        <w:rPr>
          <w:bCs/>
          <w:color w:val="333333"/>
          <w:sz w:val="20"/>
          <w:szCs w:val="20"/>
        </w:rPr>
        <w:t xml:space="preserve"> </w:t>
      </w:r>
      <w:r w:rsidR="00B4084D">
        <w:rPr>
          <w:bCs/>
          <w:color w:val="333333"/>
          <w:sz w:val="20"/>
          <w:szCs w:val="20"/>
        </w:rPr>
        <w:t xml:space="preserve">disaggregated </w:t>
      </w:r>
      <w:r w:rsidR="00B4084D" w:rsidRPr="00046271">
        <w:rPr>
          <w:bCs/>
          <w:color w:val="333333"/>
          <w:sz w:val="20"/>
          <w:szCs w:val="20"/>
        </w:rPr>
        <w:t xml:space="preserve">data and </w:t>
      </w:r>
      <w:r w:rsidR="00497A88">
        <w:rPr>
          <w:bCs/>
          <w:color w:val="333333"/>
          <w:sz w:val="20"/>
          <w:szCs w:val="20"/>
        </w:rPr>
        <w:t xml:space="preserve">application of innovations to accelerate efficiency in achieving </w:t>
      </w:r>
      <w:r w:rsidR="00E42626">
        <w:rPr>
          <w:bCs/>
          <w:color w:val="333333"/>
          <w:sz w:val="20"/>
          <w:szCs w:val="20"/>
        </w:rPr>
        <w:t>the Goals</w:t>
      </w:r>
      <w:r w:rsidR="00497A88">
        <w:rPr>
          <w:bCs/>
          <w:color w:val="333333"/>
          <w:sz w:val="20"/>
          <w:szCs w:val="20"/>
        </w:rPr>
        <w:t xml:space="preserve">. </w:t>
      </w:r>
    </w:p>
    <w:p w14:paraId="0978897D" w14:textId="77777777" w:rsidR="009A47BF" w:rsidRPr="00E42626" w:rsidRDefault="009A47BF" w:rsidP="007F5C41">
      <w:pPr>
        <w:tabs>
          <w:tab w:val="left" w:pos="900"/>
        </w:tabs>
        <w:ind w:left="630" w:right="65"/>
        <w:jc w:val="both"/>
        <w:rPr>
          <w:iCs/>
          <w:sz w:val="12"/>
          <w:szCs w:val="12"/>
        </w:rPr>
      </w:pPr>
    </w:p>
    <w:p w14:paraId="4517ED3B" w14:textId="4FB31A41" w:rsidR="009A47BF" w:rsidRPr="00E42626" w:rsidRDefault="009B34C2" w:rsidP="007F5C41">
      <w:pPr>
        <w:tabs>
          <w:tab w:val="left" w:pos="900"/>
        </w:tabs>
        <w:ind w:left="630" w:right="65"/>
        <w:jc w:val="both"/>
        <w:rPr>
          <w:iCs/>
          <w:sz w:val="20"/>
          <w:szCs w:val="20"/>
        </w:rPr>
      </w:pPr>
      <w:r w:rsidRPr="00E42626">
        <w:rPr>
          <w:b/>
          <w:iCs/>
          <w:sz w:val="20"/>
          <w:szCs w:val="20"/>
        </w:rPr>
        <w:t xml:space="preserve">Supporting </w:t>
      </w:r>
      <w:r w:rsidR="009A47BF" w:rsidRPr="00E42626">
        <w:rPr>
          <w:b/>
          <w:iCs/>
          <w:sz w:val="20"/>
          <w:szCs w:val="20"/>
        </w:rPr>
        <w:t xml:space="preserve">more effective public administration </w:t>
      </w:r>
    </w:p>
    <w:p w14:paraId="41F4C1BB" w14:textId="77777777" w:rsidR="009A47BF" w:rsidRPr="00D33447" w:rsidRDefault="009A47BF" w:rsidP="007F5C41">
      <w:pPr>
        <w:tabs>
          <w:tab w:val="left" w:pos="900"/>
        </w:tabs>
        <w:ind w:left="630" w:right="65"/>
        <w:jc w:val="both"/>
        <w:rPr>
          <w:sz w:val="12"/>
          <w:szCs w:val="12"/>
        </w:rPr>
      </w:pPr>
    </w:p>
    <w:p w14:paraId="65B8FFD8" w14:textId="325FC944" w:rsidR="009A47BF" w:rsidRPr="00046271" w:rsidRDefault="00E551D4" w:rsidP="007F5C41">
      <w:pPr>
        <w:pStyle w:val="ListParagraph"/>
        <w:numPr>
          <w:ilvl w:val="0"/>
          <w:numId w:val="26"/>
        </w:numPr>
        <w:tabs>
          <w:tab w:val="left" w:pos="900"/>
          <w:tab w:val="left" w:pos="5217"/>
        </w:tabs>
        <w:autoSpaceDE w:val="0"/>
        <w:autoSpaceDN w:val="0"/>
        <w:adjustRightInd w:val="0"/>
        <w:ind w:left="630" w:right="65" w:firstLine="0"/>
        <w:contextualSpacing/>
        <w:jc w:val="both"/>
        <w:rPr>
          <w:sz w:val="20"/>
          <w:szCs w:val="20"/>
        </w:rPr>
      </w:pPr>
      <w:r>
        <w:rPr>
          <w:sz w:val="20"/>
          <w:szCs w:val="20"/>
        </w:rPr>
        <w:t xml:space="preserve"> </w:t>
      </w:r>
      <w:r w:rsidR="009A47BF" w:rsidRPr="00046271">
        <w:rPr>
          <w:sz w:val="20"/>
          <w:szCs w:val="20"/>
        </w:rPr>
        <w:t xml:space="preserve">This priority area will </w:t>
      </w:r>
      <w:r w:rsidR="00B4084D">
        <w:rPr>
          <w:sz w:val="20"/>
          <w:szCs w:val="20"/>
        </w:rPr>
        <w:t>strengthen</w:t>
      </w:r>
      <w:r w:rsidR="009A47BF" w:rsidRPr="00046271">
        <w:rPr>
          <w:sz w:val="20"/>
          <w:szCs w:val="20"/>
        </w:rPr>
        <w:t xml:space="preserve"> institutional capacities for improved evidence-based policymaking across government institutions in general (</w:t>
      </w:r>
      <w:r w:rsidR="00E42626">
        <w:rPr>
          <w:sz w:val="20"/>
          <w:szCs w:val="20"/>
        </w:rPr>
        <w:t>Goal</w:t>
      </w:r>
      <w:r w:rsidR="00E42626" w:rsidRPr="00046271">
        <w:rPr>
          <w:sz w:val="20"/>
          <w:szCs w:val="20"/>
        </w:rPr>
        <w:t xml:space="preserve"> </w:t>
      </w:r>
      <w:r w:rsidR="009A47BF" w:rsidRPr="00046271">
        <w:rPr>
          <w:sz w:val="20"/>
          <w:szCs w:val="20"/>
        </w:rPr>
        <w:t xml:space="preserve">16), public administration reform </w:t>
      </w:r>
      <w:r w:rsidR="009A47BF" w:rsidRPr="007D451C">
        <w:rPr>
          <w:sz w:val="20"/>
          <w:szCs w:val="20"/>
        </w:rPr>
        <w:t>and anti-corruption (</w:t>
      </w:r>
      <w:r w:rsidR="00815253">
        <w:rPr>
          <w:sz w:val="20"/>
          <w:szCs w:val="20"/>
        </w:rPr>
        <w:t>Goal</w:t>
      </w:r>
      <w:r w:rsidR="00815253" w:rsidRPr="007D451C" w:rsidDel="001E560D">
        <w:rPr>
          <w:sz w:val="20"/>
          <w:szCs w:val="20"/>
        </w:rPr>
        <w:t xml:space="preserve"> </w:t>
      </w:r>
      <w:r w:rsidR="00815253" w:rsidRPr="00046271">
        <w:rPr>
          <w:sz w:val="20"/>
          <w:szCs w:val="20"/>
        </w:rPr>
        <w:t>16</w:t>
      </w:r>
      <w:r w:rsidR="009A47BF" w:rsidRPr="00046271">
        <w:rPr>
          <w:sz w:val="20"/>
          <w:szCs w:val="20"/>
        </w:rPr>
        <w:t>), women’s and youth empowerment (</w:t>
      </w:r>
      <w:r w:rsidR="001E560D">
        <w:rPr>
          <w:sz w:val="20"/>
          <w:szCs w:val="20"/>
        </w:rPr>
        <w:t>Goal</w:t>
      </w:r>
      <w:r w:rsidR="009A47BF" w:rsidRPr="00046271">
        <w:rPr>
          <w:sz w:val="20"/>
          <w:szCs w:val="20"/>
        </w:rPr>
        <w:t>s 5, 10), persons with disabilities (</w:t>
      </w:r>
      <w:r w:rsidR="001E560D">
        <w:rPr>
          <w:sz w:val="20"/>
          <w:szCs w:val="20"/>
        </w:rPr>
        <w:t>Goal</w:t>
      </w:r>
      <w:r w:rsidR="001E560D" w:rsidRPr="00046271" w:rsidDel="001E560D">
        <w:rPr>
          <w:sz w:val="20"/>
          <w:szCs w:val="20"/>
        </w:rPr>
        <w:t xml:space="preserve"> </w:t>
      </w:r>
      <w:r w:rsidR="009A47BF" w:rsidRPr="00046271">
        <w:rPr>
          <w:sz w:val="20"/>
          <w:szCs w:val="20"/>
        </w:rPr>
        <w:t>10), and environmental</w:t>
      </w:r>
      <w:r w:rsidR="00B4462A">
        <w:rPr>
          <w:sz w:val="20"/>
          <w:szCs w:val="20"/>
        </w:rPr>
        <w:t xml:space="preserve">, urban, </w:t>
      </w:r>
      <w:r w:rsidR="009A47BF" w:rsidRPr="00046271">
        <w:rPr>
          <w:sz w:val="20"/>
          <w:szCs w:val="20"/>
        </w:rPr>
        <w:t>and energy sustainability (</w:t>
      </w:r>
      <w:r w:rsidR="001E560D">
        <w:rPr>
          <w:sz w:val="20"/>
          <w:szCs w:val="20"/>
        </w:rPr>
        <w:t>Goal</w:t>
      </w:r>
      <w:r w:rsidR="009A47BF" w:rsidRPr="00046271">
        <w:rPr>
          <w:sz w:val="20"/>
          <w:szCs w:val="20"/>
        </w:rPr>
        <w:t xml:space="preserve">s 7, 11, 13). </w:t>
      </w:r>
    </w:p>
    <w:p w14:paraId="053BE44E" w14:textId="77777777" w:rsidR="009A47BF" w:rsidRPr="00D33447" w:rsidRDefault="009A47BF" w:rsidP="007F5C41">
      <w:pPr>
        <w:tabs>
          <w:tab w:val="left" w:pos="900"/>
        </w:tabs>
        <w:ind w:left="630" w:right="65"/>
        <w:jc w:val="both"/>
        <w:rPr>
          <w:sz w:val="12"/>
          <w:szCs w:val="12"/>
        </w:rPr>
      </w:pPr>
    </w:p>
    <w:p w14:paraId="65B227DA" w14:textId="1FB90893" w:rsidR="009A47BF" w:rsidRPr="00046271" w:rsidRDefault="00E551D4" w:rsidP="007F5C41">
      <w:pPr>
        <w:pStyle w:val="ListParagraph"/>
        <w:numPr>
          <w:ilvl w:val="0"/>
          <w:numId w:val="26"/>
        </w:numPr>
        <w:tabs>
          <w:tab w:val="left" w:pos="900"/>
        </w:tabs>
        <w:autoSpaceDE w:val="0"/>
        <w:autoSpaceDN w:val="0"/>
        <w:adjustRightInd w:val="0"/>
        <w:ind w:left="630" w:right="65" w:firstLine="0"/>
        <w:contextualSpacing/>
        <w:jc w:val="both"/>
        <w:rPr>
          <w:sz w:val="20"/>
          <w:szCs w:val="20"/>
        </w:rPr>
      </w:pPr>
      <w:r>
        <w:rPr>
          <w:rFonts w:asciiTheme="majorBidi" w:hAnsiTheme="majorBidi" w:cstheme="majorBidi"/>
          <w:color w:val="0D0D0D" w:themeColor="text1" w:themeTint="F2"/>
          <w:sz w:val="20"/>
          <w:szCs w:val="20"/>
        </w:rPr>
        <w:t xml:space="preserve"> </w:t>
      </w:r>
      <w:r w:rsidR="009A47BF" w:rsidRPr="00046271">
        <w:rPr>
          <w:rFonts w:asciiTheme="majorBidi" w:hAnsiTheme="majorBidi" w:cstheme="majorBidi"/>
          <w:color w:val="0D0D0D" w:themeColor="text1" w:themeTint="F2"/>
          <w:sz w:val="20"/>
          <w:szCs w:val="20"/>
        </w:rPr>
        <w:t xml:space="preserve">UNDP will continue to strengthen the </w:t>
      </w:r>
      <w:r w:rsidR="00DC686C">
        <w:rPr>
          <w:rFonts w:asciiTheme="majorBidi" w:hAnsiTheme="majorBidi" w:cstheme="majorBidi"/>
          <w:color w:val="0D0D0D" w:themeColor="text1" w:themeTint="F2"/>
          <w:sz w:val="20"/>
          <w:szCs w:val="20"/>
        </w:rPr>
        <w:t xml:space="preserve">institutional </w:t>
      </w:r>
      <w:r w:rsidR="009A47BF" w:rsidRPr="00046271">
        <w:rPr>
          <w:rFonts w:asciiTheme="majorBidi" w:hAnsiTheme="majorBidi" w:cstheme="majorBidi"/>
          <w:color w:val="0D0D0D" w:themeColor="text1" w:themeTint="F2"/>
          <w:sz w:val="20"/>
          <w:szCs w:val="20"/>
        </w:rPr>
        <w:t xml:space="preserve">capacities </w:t>
      </w:r>
      <w:r w:rsidR="001E560D">
        <w:rPr>
          <w:rFonts w:asciiTheme="majorBidi" w:hAnsiTheme="majorBidi" w:cstheme="majorBidi"/>
          <w:color w:val="0D0D0D" w:themeColor="text1" w:themeTint="F2"/>
          <w:sz w:val="20"/>
          <w:szCs w:val="20"/>
        </w:rPr>
        <w:t xml:space="preserve">of the </w:t>
      </w:r>
      <w:r w:rsidR="001E560D" w:rsidRPr="00046271">
        <w:rPr>
          <w:rFonts w:asciiTheme="majorBidi" w:hAnsiTheme="majorBidi" w:cstheme="majorBidi"/>
          <w:color w:val="0D0D0D" w:themeColor="text1" w:themeTint="F2"/>
          <w:sz w:val="20"/>
          <w:szCs w:val="20"/>
        </w:rPr>
        <w:t>KPPC</w:t>
      </w:r>
      <w:r w:rsidR="001E560D">
        <w:rPr>
          <w:rFonts w:asciiTheme="majorBidi" w:hAnsiTheme="majorBidi" w:cstheme="majorBidi"/>
          <w:color w:val="0D0D0D" w:themeColor="text1" w:themeTint="F2"/>
          <w:sz w:val="20"/>
          <w:szCs w:val="20"/>
        </w:rPr>
        <w:t xml:space="preserve"> </w:t>
      </w:r>
      <w:r w:rsidR="009A47BF" w:rsidRPr="00046271">
        <w:rPr>
          <w:rFonts w:asciiTheme="majorBidi" w:hAnsiTheme="majorBidi" w:cstheme="majorBidi"/>
          <w:color w:val="0D0D0D" w:themeColor="text1" w:themeTint="F2"/>
          <w:sz w:val="20"/>
          <w:szCs w:val="20"/>
        </w:rPr>
        <w:t xml:space="preserve">for producing evidence-based policy briefs to inform the implementation of the KNDP; </w:t>
      </w:r>
      <w:r w:rsidR="009A47BF" w:rsidRPr="00046271">
        <w:rPr>
          <w:rFonts w:asciiTheme="majorBidi" w:hAnsiTheme="majorBidi" w:cstheme="majorBidi"/>
          <w:bCs/>
          <w:color w:val="0D0D0D" w:themeColor="text1" w:themeTint="F2"/>
          <w:sz w:val="20"/>
          <w:szCs w:val="20"/>
        </w:rPr>
        <w:t>expanding public engagement</w:t>
      </w:r>
      <w:r w:rsidR="009A47BF" w:rsidRPr="00046271">
        <w:rPr>
          <w:rFonts w:asciiTheme="majorBidi" w:hAnsiTheme="majorBidi" w:cstheme="majorBidi"/>
          <w:color w:val="0D0D0D" w:themeColor="text1" w:themeTint="F2"/>
          <w:sz w:val="20"/>
          <w:szCs w:val="20"/>
        </w:rPr>
        <w:t xml:space="preserve"> </w:t>
      </w:r>
      <w:r w:rsidR="00DC686C">
        <w:rPr>
          <w:rFonts w:asciiTheme="majorBidi" w:hAnsiTheme="majorBidi" w:cstheme="majorBidi"/>
          <w:color w:val="0D0D0D" w:themeColor="text1" w:themeTint="F2"/>
          <w:sz w:val="20"/>
          <w:szCs w:val="20"/>
        </w:rPr>
        <w:t xml:space="preserve">in </w:t>
      </w:r>
      <w:r w:rsidR="009A47BF" w:rsidRPr="00046271">
        <w:rPr>
          <w:rFonts w:asciiTheme="majorBidi" w:hAnsiTheme="majorBidi" w:cstheme="majorBidi"/>
          <w:color w:val="0D0D0D" w:themeColor="text1" w:themeTint="F2"/>
          <w:sz w:val="20"/>
          <w:szCs w:val="20"/>
        </w:rPr>
        <w:t>policymaking process</w:t>
      </w:r>
      <w:r w:rsidR="00DC686C">
        <w:rPr>
          <w:rFonts w:asciiTheme="majorBidi" w:hAnsiTheme="majorBidi" w:cstheme="majorBidi"/>
          <w:color w:val="0D0D0D" w:themeColor="text1" w:themeTint="F2"/>
          <w:sz w:val="20"/>
          <w:szCs w:val="20"/>
        </w:rPr>
        <w:t>es</w:t>
      </w:r>
      <w:r w:rsidR="009A47BF" w:rsidRPr="00046271">
        <w:rPr>
          <w:rFonts w:asciiTheme="majorBidi" w:hAnsiTheme="majorBidi" w:cstheme="majorBidi"/>
          <w:color w:val="0D0D0D" w:themeColor="text1" w:themeTint="F2"/>
          <w:sz w:val="20"/>
          <w:szCs w:val="20"/>
        </w:rPr>
        <w:t>; improving collaboration across government institutions to inform cross-sectoral policies; brokering partnerships with international</w:t>
      </w:r>
      <w:r w:rsidR="00DC686C">
        <w:rPr>
          <w:rFonts w:asciiTheme="majorBidi" w:hAnsiTheme="majorBidi" w:cstheme="majorBidi"/>
          <w:color w:val="0D0D0D" w:themeColor="text1" w:themeTint="F2"/>
          <w:sz w:val="20"/>
          <w:szCs w:val="20"/>
        </w:rPr>
        <w:t>ly reputed academia</w:t>
      </w:r>
      <w:r w:rsidR="009A47BF" w:rsidRPr="00046271">
        <w:rPr>
          <w:rFonts w:asciiTheme="majorBidi" w:hAnsiTheme="majorBidi" w:cstheme="majorBidi"/>
          <w:color w:val="0D0D0D" w:themeColor="text1" w:themeTint="F2"/>
          <w:sz w:val="20"/>
          <w:szCs w:val="20"/>
        </w:rPr>
        <w:t xml:space="preserve"> to </w:t>
      </w:r>
      <w:r w:rsidR="00497A88">
        <w:rPr>
          <w:rFonts w:asciiTheme="majorBidi" w:hAnsiTheme="majorBidi" w:cstheme="majorBidi"/>
          <w:color w:val="0D0D0D" w:themeColor="text1" w:themeTint="F2"/>
          <w:sz w:val="20"/>
          <w:szCs w:val="20"/>
        </w:rPr>
        <w:t xml:space="preserve">ensure high-quality </w:t>
      </w:r>
      <w:r w:rsidR="009A47BF" w:rsidRPr="00046271">
        <w:rPr>
          <w:rFonts w:asciiTheme="majorBidi" w:hAnsiTheme="majorBidi" w:cstheme="majorBidi"/>
          <w:color w:val="0D0D0D" w:themeColor="text1" w:themeTint="F2"/>
          <w:sz w:val="20"/>
          <w:szCs w:val="20"/>
        </w:rPr>
        <w:t>knowledge management</w:t>
      </w:r>
      <w:r w:rsidR="001E560D">
        <w:rPr>
          <w:rFonts w:asciiTheme="majorBidi" w:hAnsiTheme="majorBidi" w:cstheme="majorBidi"/>
          <w:color w:val="0D0D0D" w:themeColor="text1" w:themeTint="F2"/>
          <w:sz w:val="20"/>
          <w:szCs w:val="20"/>
        </w:rPr>
        <w:t>;</w:t>
      </w:r>
      <w:r w:rsidR="009A47BF" w:rsidRPr="00046271">
        <w:rPr>
          <w:rFonts w:asciiTheme="majorBidi" w:hAnsiTheme="majorBidi" w:cstheme="majorBidi"/>
          <w:color w:val="0D0D0D" w:themeColor="text1" w:themeTint="F2"/>
          <w:sz w:val="20"/>
          <w:szCs w:val="20"/>
        </w:rPr>
        <w:t xml:space="preserve"> and </w:t>
      </w:r>
      <w:r w:rsidR="00DC686C">
        <w:rPr>
          <w:rFonts w:asciiTheme="majorBidi" w:hAnsiTheme="majorBidi" w:cstheme="majorBidi"/>
          <w:color w:val="0D0D0D" w:themeColor="text1" w:themeTint="F2"/>
          <w:sz w:val="20"/>
          <w:szCs w:val="20"/>
        </w:rPr>
        <w:t xml:space="preserve">strengthening </w:t>
      </w:r>
      <w:r w:rsidR="009A47BF" w:rsidRPr="00046271">
        <w:rPr>
          <w:rFonts w:asciiTheme="majorBidi" w:hAnsiTheme="majorBidi" w:cstheme="majorBidi"/>
          <w:color w:val="0D0D0D" w:themeColor="text1" w:themeTint="F2"/>
          <w:sz w:val="20"/>
          <w:szCs w:val="20"/>
        </w:rPr>
        <w:t xml:space="preserve">the link between </w:t>
      </w:r>
      <w:r w:rsidR="00DC686C">
        <w:rPr>
          <w:rFonts w:asciiTheme="majorBidi" w:hAnsiTheme="majorBidi" w:cstheme="majorBidi"/>
          <w:color w:val="0D0D0D" w:themeColor="text1" w:themeTint="F2"/>
          <w:sz w:val="20"/>
          <w:szCs w:val="20"/>
        </w:rPr>
        <w:t xml:space="preserve">research findings and </w:t>
      </w:r>
      <w:r w:rsidR="009A47BF" w:rsidRPr="00046271">
        <w:rPr>
          <w:rFonts w:asciiTheme="majorBidi" w:hAnsiTheme="majorBidi" w:cstheme="majorBidi"/>
          <w:color w:val="0D0D0D" w:themeColor="text1" w:themeTint="F2"/>
          <w:sz w:val="20"/>
          <w:szCs w:val="20"/>
        </w:rPr>
        <w:t xml:space="preserve">KNDP objectives/reforms. The KPPC will experiment with sector-specific </w:t>
      </w:r>
      <w:r w:rsidR="001E560D">
        <w:rPr>
          <w:rFonts w:asciiTheme="majorBidi" w:hAnsiTheme="majorBidi" w:cstheme="majorBidi"/>
          <w:color w:val="0D0D0D" w:themeColor="text1" w:themeTint="F2"/>
          <w:sz w:val="20"/>
          <w:szCs w:val="20"/>
        </w:rPr>
        <w:t xml:space="preserve">and </w:t>
      </w:r>
      <w:r w:rsidR="009A47BF" w:rsidRPr="00046271">
        <w:rPr>
          <w:rFonts w:asciiTheme="majorBidi" w:hAnsiTheme="majorBidi" w:cstheme="majorBidi"/>
          <w:color w:val="0D0D0D" w:themeColor="text1" w:themeTint="F2"/>
          <w:sz w:val="20"/>
          <w:szCs w:val="20"/>
        </w:rPr>
        <w:t>system-wide innovations in pursuit of custom solutions for its economic and public administration transformation. This will include providing institutional and technical capacity</w:t>
      </w:r>
      <w:r w:rsidR="001E560D">
        <w:rPr>
          <w:rFonts w:asciiTheme="majorBidi" w:hAnsiTheme="majorBidi" w:cstheme="majorBidi"/>
          <w:color w:val="0D0D0D" w:themeColor="text1" w:themeTint="F2"/>
          <w:sz w:val="20"/>
          <w:szCs w:val="20"/>
        </w:rPr>
        <w:t>-</w:t>
      </w:r>
      <w:r w:rsidR="009A47BF" w:rsidRPr="00046271">
        <w:rPr>
          <w:rFonts w:asciiTheme="majorBidi" w:hAnsiTheme="majorBidi" w:cstheme="majorBidi"/>
          <w:color w:val="0D0D0D" w:themeColor="text1" w:themeTint="F2"/>
          <w:sz w:val="20"/>
          <w:szCs w:val="20"/>
        </w:rPr>
        <w:t xml:space="preserve">building support to the </w:t>
      </w:r>
      <w:r w:rsidR="005430E1">
        <w:rPr>
          <w:rFonts w:asciiTheme="majorBidi" w:hAnsiTheme="majorBidi" w:cstheme="majorBidi"/>
          <w:color w:val="0D0D0D" w:themeColor="text1" w:themeTint="F2"/>
          <w:sz w:val="20"/>
          <w:szCs w:val="20"/>
        </w:rPr>
        <w:t>NOSD</w:t>
      </w:r>
      <w:r w:rsidR="009A47BF" w:rsidRPr="00046271">
        <w:rPr>
          <w:rFonts w:asciiTheme="majorBidi" w:hAnsiTheme="majorBidi" w:cstheme="majorBidi"/>
          <w:color w:val="0D0D0D" w:themeColor="text1" w:themeTint="F2"/>
          <w:sz w:val="20"/>
          <w:szCs w:val="20"/>
        </w:rPr>
        <w:t xml:space="preserve"> to address data gaps (in cooperation with the Central Statistic</w:t>
      </w:r>
      <w:r w:rsidR="00C54C27">
        <w:rPr>
          <w:rFonts w:asciiTheme="majorBidi" w:hAnsiTheme="majorBidi" w:cstheme="majorBidi"/>
          <w:color w:val="0D0D0D" w:themeColor="text1" w:themeTint="F2"/>
          <w:sz w:val="20"/>
          <w:szCs w:val="20"/>
        </w:rPr>
        <w:t xml:space="preserve">al </w:t>
      </w:r>
      <w:r w:rsidR="009A47BF" w:rsidRPr="00046271">
        <w:rPr>
          <w:rFonts w:asciiTheme="majorBidi" w:hAnsiTheme="majorBidi" w:cstheme="majorBidi"/>
          <w:color w:val="0D0D0D" w:themeColor="text1" w:themeTint="F2"/>
          <w:sz w:val="20"/>
          <w:szCs w:val="20"/>
        </w:rPr>
        <w:t>Bureau</w:t>
      </w:r>
      <w:r w:rsidR="00654E1B">
        <w:rPr>
          <w:rFonts w:asciiTheme="majorBidi" w:hAnsiTheme="majorBidi" w:cstheme="majorBidi"/>
          <w:color w:val="0D0D0D" w:themeColor="text1" w:themeTint="F2"/>
          <w:sz w:val="20"/>
          <w:szCs w:val="20"/>
        </w:rPr>
        <w:t xml:space="preserve"> </w:t>
      </w:r>
      <w:r w:rsidR="00C54C27">
        <w:rPr>
          <w:rFonts w:asciiTheme="majorBidi" w:hAnsiTheme="majorBidi" w:cstheme="majorBidi"/>
          <w:color w:val="0D0D0D" w:themeColor="text1" w:themeTint="F2"/>
          <w:sz w:val="20"/>
          <w:szCs w:val="20"/>
        </w:rPr>
        <w:t>(CSB)</w:t>
      </w:r>
      <w:r w:rsidR="00654E1B">
        <w:rPr>
          <w:rFonts w:asciiTheme="majorBidi" w:hAnsiTheme="majorBidi" w:cstheme="majorBidi"/>
          <w:color w:val="0D0D0D" w:themeColor="text1" w:themeTint="F2"/>
          <w:sz w:val="20"/>
          <w:szCs w:val="20"/>
        </w:rPr>
        <w:t xml:space="preserve"> as required</w:t>
      </w:r>
      <w:r w:rsidR="009A47BF" w:rsidRPr="00046271">
        <w:rPr>
          <w:rFonts w:asciiTheme="majorBidi" w:hAnsiTheme="majorBidi" w:cstheme="majorBidi"/>
          <w:color w:val="0D0D0D" w:themeColor="text1" w:themeTint="F2"/>
          <w:sz w:val="20"/>
          <w:szCs w:val="20"/>
        </w:rPr>
        <w:t>) in monitoring</w:t>
      </w:r>
      <w:r w:rsidR="001E560D">
        <w:rPr>
          <w:rFonts w:asciiTheme="majorBidi" w:hAnsiTheme="majorBidi" w:cstheme="majorBidi"/>
          <w:color w:val="0D0D0D" w:themeColor="text1" w:themeTint="F2"/>
          <w:sz w:val="20"/>
          <w:szCs w:val="20"/>
        </w:rPr>
        <w:t xml:space="preserve"> progress under the </w:t>
      </w:r>
      <w:r w:rsidR="001E560D" w:rsidRPr="00046271">
        <w:rPr>
          <w:rFonts w:asciiTheme="majorBidi" w:hAnsiTheme="majorBidi" w:cstheme="majorBidi"/>
          <w:color w:val="0D0D0D" w:themeColor="text1" w:themeTint="F2"/>
          <w:sz w:val="20"/>
          <w:szCs w:val="20"/>
        </w:rPr>
        <w:t>KNDP</w:t>
      </w:r>
      <w:r w:rsidR="001E560D">
        <w:rPr>
          <w:rFonts w:asciiTheme="majorBidi" w:hAnsiTheme="majorBidi" w:cstheme="majorBidi"/>
          <w:color w:val="0D0D0D" w:themeColor="text1" w:themeTint="F2"/>
          <w:sz w:val="20"/>
          <w:szCs w:val="20"/>
        </w:rPr>
        <w:t xml:space="preserve"> and the Goals;</w:t>
      </w:r>
      <w:r w:rsidR="009A47BF" w:rsidRPr="00046271">
        <w:rPr>
          <w:rFonts w:asciiTheme="majorBidi" w:hAnsiTheme="majorBidi" w:cstheme="majorBidi"/>
          <w:color w:val="0D0D0D" w:themeColor="text1" w:themeTint="F2"/>
          <w:sz w:val="20"/>
          <w:szCs w:val="20"/>
        </w:rPr>
        <w:t xml:space="preserve"> utilization of big data and reporting</w:t>
      </w:r>
      <w:r w:rsidR="001E560D">
        <w:rPr>
          <w:rFonts w:asciiTheme="majorBidi" w:hAnsiTheme="majorBidi" w:cstheme="majorBidi"/>
          <w:color w:val="0D0D0D" w:themeColor="text1" w:themeTint="F2"/>
          <w:sz w:val="20"/>
          <w:szCs w:val="20"/>
        </w:rPr>
        <w:t>;</w:t>
      </w:r>
      <w:r w:rsidR="009A47BF" w:rsidRPr="00046271">
        <w:rPr>
          <w:rFonts w:asciiTheme="majorBidi" w:hAnsiTheme="majorBidi" w:cstheme="majorBidi"/>
          <w:color w:val="0D0D0D" w:themeColor="text1" w:themeTint="F2"/>
          <w:sz w:val="20"/>
          <w:szCs w:val="20"/>
        </w:rPr>
        <w:t xml:space="preserve"> prototyping</w:t>
      </w:r>
      <w:r w:rsidR="009A47BF" w:rsidRPr="00046271">
        <w:rPr>
          <w:sz w:val="20"/>
          <w:szCs w:val="20"/>
        </w:rPr>
        <w:t xml:space="preserve"> policy innovations and establish</w:t>
      </w:r>
      <w:r w:rsidR="001E560D">
        <w:rPr>
          <w:sz w:val="20"/>
          <w:szCs w:val="20"/>
        </w:rPr>
        <w:t>ing</w:t>
      </w:r>
      <w:r w:rsidR="009A47BF" w:rsidRPr="00046271">
        <w:rPr>
          <w:sz w:val="20"/>
          <w:szCs w:val="20"/>
        </w:rPr>
        <w:t xml:space="preserve"> interinstitutional linkages for greater cross-sectoral integration</w:t>
      </w:r>
      <w:r w:rsidR="001E560D">
        <w:rPr>
          <w:sz w:val="20"/>
          <w:szCs w:val="20"/>
        </w:rPr>
        <w:t>;</w:t>
      </w:r>
      <w:r w:rsidR="009A47BF" w:rsidRPr="00046271">
        <w:rPr>
          <w:sz w:val="20"/>
          <w:szCs w:val="20"/>
        </w:rPr>
        <w:t xml:space="preserve"> and </w:t>
      </w:r>
      <w:r w:rsidR="009A47BF" w:rsidRPr="00046271">
        <w:rPr>
          <w:rFonts w:asciiTheme="majorBidi" w:hAnsiTheme="majorBidi" w:cstheme="majorBidi"/>
          <w:color w:val="0D0D0D" w:themeColor="text1" w:themeTint="F2"/>
          <w:sz w:val="20"/>
          <w:szCs w:val="20"/>
        </w:rPr>
        <w:t>a feasibility study on practical applications of artificial intelligence in pursuit of development solutions.</w:t>
      </w:r>
      <w:r w:rsidR="009A47BF" w:rsidRPr="00046271">
        <w:rPr>
          <w:sz w:val="20"/>
          <w:szCs w:val="20"/>
        </w:rPr>
        <w:t xml:space="preserve"> </w:t>
      </w:r>
      <w:r w:rsidR="009A47BF" w:rsidRPr="00046271">
        <w:rPr>
          <w:rFonts w:asciiTheme="majorBidi" w:hAnsiTheme="majorBidi" w:cstheme="majorBidi"/>
          <w:color w:val="0D0D0D" w:themeColor="text1" w:themeTint="F2"/>
          <w:sz w:val="20"/>
          <w:szCs w:val="20"/>
        </w:rPr>
        <w:t>The work will be informed by behavioural insight research to be undertaken by the Kuwait Policy Appraisal Lab</w:t>
      </w:r>
      <w:r w:rsidR="005430E1">
        <w:rPr>
          <w:rFonts w:asciiTheme="majorBidi" w:hAnsiTheme="majorBidi" w:cstheme="majorBidi"/>
          <w:color w:val="0D0D0D" w:themeColor="text1" w:themeTint="F2"/>
          <w:sz w:val="20"/>
          <w:szCs w:val="20"/>
        </w:rPr>
        <w:t xml:space="preserve"> (the </w:t>
      </w:r>
      <w:r w:rsidR="005430E1" w:rsidRPr="00046271">
        <w:rPr>
          <w:rFonts w:asciiTheme="majorBidi" w:hAnsiTheme="majorBidi" w:cstheme="majorBidi"/>
          <w:color w:val="0D0D0D" w:themeColor="text1" w:themeTint="F2"/>
          <w:sz w:val="20"/>
          <w:szCs w:val="20"/>
        </w:rPr>
        <w:t>KPPC</w:t>
      </w:r>
      <w:r w:rsidR="005430E1">
        <w:rPr>
          <w:rFonts w:asciiTheme="majorBidi" w:hAnsiTheme="majorBidi" w:cstheme="majorBidi"/>
          <w:color w:val="0D0D0D" w:themeColor="text1" w:themeTint="F2"/>
          <w:sz w:val="20"/>
          <w:szCs w:val="20"/>
        </w:rPr>
        <w:t xml:space="preserve"> </w:t>
      </w:r>
      <w:r w:rsidR="005430E1" w:rsidRPr="00046271">
        <w:rPr>
          <w:rFonts w:asciiTheme="majorBidi" w:hAnsiTheme="majorBidi" w:cstheme="majorBidi"/>
          <w:color w:val="0D0D0D" w:themeColor="text1" w:themeTint="F2"/>
          <w:sz w:val="20"/>
          <w:szCs w:val="20"/>
        </w:rPr>
        <w:t>innovation unit</w:t>
      </w:r>
      <w:r w:rsidR="005430E1">
        <w:rPr>
          <w:rFonts w:asciiTheme="majorBidi" w:hAnsiTheme="majorBidi" w:cstheme="majorBidi"/>
          <w:color w:val="0D0D0D" w:themeColor="text1" w:themeTint="F2"/>
          <w:sz w:val="20"/>
          <w:szCs w:val="20"/>
        </w:rPr>
        <w:t>)</w:t>
      </w:r>
      <w:r w:rsidR="009A47BF" w:rsidRPr="00046271">
        <w:rPr>
          <w:rFonts w:asciiTheme="majorBidi" w:hAnsiTheme="majorBidi" w:cstheme="majorBidi"/>
          <w:color w:val="0D0D0D" w:themeColor="text1" w:themeTint="F2"/>
          <w:sz w:val="20"/>
          <w:szCs w:val="20"/>
        </w:rPr>
        <w:t xml:space="preserve"> in cooperation with regional </w:t>
      </w:r>
      <w:r w:rsidR="001E560D">
        <w:rPr>
          <w:rFonts w:asciiTheme="majorBidi" w:hAnsiTheme="majorBidi" w:cstheme="majorBidi"/>
          <w:color w:val="0D0D0D" w:themeColor="text1" w:themeTint="F2"/>
          <w:sz w:val="20"/>
          <w:szCs w:val="20"/>
        </w:rPr>
        <w:t xml:space="preserve">experts in </w:t>
      </w:r>
      <w:r w:rsidR="009A47BF" w:rsidRPr="00046271">
        <w:rPr>
          <w:rFonts w:asciiTheme="majorBidi" w:hAnsiTheme="majorBidi" w:cstheme="majorBidi"/>
          <w:color w:val="0D0D0D" w:themeColor="text1" w:themeTint="F2"/>
          <w:sz w:val="20"/>
          <w:szCs w:val="20"/>
        </w:rPr>
        <w:t xml:space="preserve">behavioural economics. </w:t>
      </w:r>
    </w:p>
    <w:p w14:paraId="7EAFB3C7" w14:textId="77777777" w:rsidR="009A47BF" w:rsidRPr="00D33447" w:rsidRDefault="009A47BF" w:rsidP="007F5C41">
      <w:pPr>
        <w:tabs>
          <w:tab w:val="left" w:pos="900"/>
        </w:tabs>
        <w:ind w:left="630" w:right="65"/>
        <w:jc w:val="both"/>
        <w:rPr>
          <w:sz w:val="12"/>
          <w:szCs w:val="12"/>
        </w:rPr>
      </w:pPr>
    </w:p>
    <w:p w14:paraId="3590D47A" w14:textId="188AC533" w:rsidR="009A47BF" w:rsidRPr="00046271" w:rsidRDefault="00E551D4" w:rsidP="007F5C41">
      <w:pPr>
        <w:pStyle w:val="ListParagraph"/>
        <w:numPr>
          <w:ilvl w:val="0"/>
          <w:numId w:val="26"/>
        </w:numPr>
        <w:tabs>
          <w:tab w:val="left" w:pos="900"/>
        </w:tabs>
        <w:autoSpaceDE w:val="0"/>
        <w:autoSpaceDN w:val="0"/>
        <w:adjustRightInd w:val="0"/>
        <w:ind w:left="630" w:right="65" w:firstLine="0"/>
        <w:contextualSpacing/>
        <w:jc w:val="both"/>
      </w:pPr>
      <w:r>
        <w:rPr>
          <w:sz w:val="20"/>
          <w:szCs w:val="20"/>
        </w:rPr>
        <w:t xml:space="preserve"> </w:t>
      </w:r>
      <w:r w:rsidR="00DC686C">
        <w:rPr>
          <w:sz w:val="20"/>
          <w:szCs w:val="20"/>
        </w:rPr>
        <w:t xml:space="preserve">To support the </w:t>
      </w:r>
      <w:r w:rsidR="001E560D">
        <w:rPr>
          <w:sz w:val="20"/>
          <w:szCs w:val="20"/>
        </w:rPr>
        <w:t>G</w:t>
      </w:r>
      <w:r w:rsidR="00DC686C">
        <w:rPr>
          <w:sz w:val="20"/>
          <w:szCs w:val="20"/>
        </w:rPr>
        <w:t xml:space="preserve">overnment in implementing the KNDP, </w:t>
      </w:r>
      <w:r w:rsidR="009A47BF" w:rsidRPr="00046271">
        <w:rPr>
          <w:sz w:val="20"/>
          <w:szCs w:val="20"/>
        </w:rPr>
        <w:t xml:space="preserve">UNDP will also </w:t>
      </w:r>
      <w:r w:rsidR="00540BAF">
        <w:rPr>
          <w:sz w:val="20"/>
          <w:szCs w:val="20"/>
        </w:rPr>
        <w:t xml:space="preserve">support </w:t>
      </w:r>
      <w:r w:rsidR="009A47BF" w:rsidRPr="00540BAF">
        <w:rPr>
          <w:sz w:val="20"/>
          <w:szCs w:val="20"/>
        </w:rPr>
        <w:t xml:space="preserve">institutional capacities </w:t>
      </w:r>
      <w:r w:rsidR="009A47BF" w:rsidRPr="00EB73DE">
        <w:rPr>
          <w:sz w:val="20"/>
          <w:szCs w:val="20"/>
        </w:rPr>
        <w:t>to</w:t>
      </w:r>
      <w:r w:rsidR="009A47BF" w:rsidRPr="00046271">
        <w:rPr>
          <w:i/>
          <w:sz w:val="20"/>
          <w:szCs w:val="20"/>
        </w:rPr>
        <w:t xml:space="preserve"> </w:t>
      </w:r>
      <w:r w:rsidR="009A47BF" w:rsidRPr="00C54C27">
        <w:rPr>
          <w:iCs/>
          <w:sz w:val="20"/>
          <w:szCs w:val="20"/>
        </w:rPr>
        <w:t xml:space="preserve">implement </w:t>
      </w:r>
      <w:r w:rsidR="009A47BF" w:rsidRPr="00046271">
        <w:rPr>
          <w:sz w:val="20"/>
          <w:szCs w:val="20"/>
        </w:rPr>
        <w:t xml:space="preserve">policies and strategies. First, UNDP will support </w:t>
      </w:r>
      <w:r w:rsidR="00C54C27">
        <w:rPr>
          <w:sz w:val="20"/>
          <w:szCs w:val="20"/>
        </w:rPr>
        <w:t xml:space="preserve">the </w:t>
      </w:r>
      <w:r w:rsidR="009A47BF" w:rsidRPr="00046271">
        <w:rPr>
          <w:sz w:val="20"/>
          <w:szCs w:val="20"/>
        </w:rPr>
        <w:t>establish</w:t>
      </w:r>
      <w:r w:rsidR="00C54C27">
        <w:rPr>
          <w:sz w:val="20"/>
          <w:szCs w:val="20"/>
        </w:rPr>
        <w:t>ment of</w:t>
      </w:r>
      <w:r w:rsidR="009A47BF" w:rsidRPr="00046271">
        <w:rPr>
          <w:sz w:val="20"/>
          <w:szCs w:val="20"/>
        </w:rPr>
        <w:t xml:space="preserve"> a </w:t>
      </w:r>
      <w:r w:rsidR="009A47BF" w:rsidRPr="00046271">
        <w:rPr>
          <w:color w:val="000000"/>
          <w:sz w:val="20"/>
          <w:szCs w:val="20"/>
        </w:rPr>
        <w:t xml:space="preserve">technical support </w:t>
      </w:r>
      <w:r w:rsidR="00DC686C">
        <w:rPr>
          <w:color w:val="000000"/>
          <w:sz w:val="20"/>
          <w:szCs w:val="20"/>
        </w:rPr>
        <w:t xml:space="preserve">office </w:t>
      </w:r>
      <w:r w:rsidR="009A47BF" w:rsidRPr="00046271">
        <w:rPr>
          <w:color w:val="000000"/>
          <w:sz w:val="20"/>
          <w:szCs w:val="20"/>
        </w:rPr>
        <w:t>within the GSSCPD to provide project management and implementation support</w:t>
      </w:r>
      <w:r w:rsidR="00540BAF">
        <w:rPr>
          <w:color w:val="000000"/>
          <w:sz w:val="20"/>
          <w:szCs w:val="20"/>
        </w:rPr>
        <w:t xml:space="preserve"> and project-related capacity development training</w:t>
      </w:r>
      <w:r w:rsidR="009A47BF" w:rsidRPr="00046271">
        <w:rPr>
          <w:color w:val="000000"/>
          <w:sz w:val="20"/>
          <w:szCs w:val="20"/>
        </w:rPr>
        <w:t xml:space="preserve"> for relevant government entities. Secondly,</w:t>
      </w:r>
      <w:r w:rsidR="009A47BF" w:rsidRPr="00046271">
        <w:rPr>
          <w:sz w:val="20"/>
          <w:szCs w:val="20"/>
        </w:rPr>
        <w:t xml:space="preserve"> UNDP will contribute to the development and implementation of national policies and strategies</w:t>
      </w:r>
      <w:r w:rsidR="00540BAF">
        <w:rPr>
          <w:sz w:val="20"/>
          <w:szCs w:val="20"/>
        </w:rPr>
        <w:t>. This</w:t>
      </w:r>
      <w:r w:rsidR="009A47BF" w:rsidRPr="00046271">
        <w:rPr>
          <w:sz w:val="20"/>
          <w:szCs w:val="20"/>
        </w:rPr>
        <w:t xml:space="preserve"> </w:t>
      </w:r>
      <w:r w:rsidR="00B4084D">
        <w:rPr>
          <w:sz w:val="20"/>
          <w:szCs w:val="20"/>
        </w:rPr>
        <w:t>includ</w:t>
      </w:r>
      <w:r w:rsidR="00540BAF">
        <w:rPr>
          <w:sz w:val="20"/>
          <w:szCs w:val="20"/>
        </w:rPr>
        <w:t>es</w:t>
      </w:r>
      <w:r w:rsidR="00B4084D">
        <w:rPr>
          <w:sz w:val="20"/>
          <w:szCs w:val="20"/>
        </w:rPr>
        <w:t xml:space="preserve"> </w:t>
      </w:r>
      <w:r w:rsidR="00946C8F">
        <w:rPr>
          <w:sz w:val="20"/>
          <w:szCs w:val="20"/>
        </w:rPr>
        <w:t>a national integrity and anti-corruption strategy</w:t>
      </w:r>
      <w:r w:rsidR="00540BAF">
        <w:rPr>
          <w:sz w:val="20"/>
          <w:szCs w:val="20"/>
        </w:rPr>
        <w:t>;</w:t>
      </w:r>
      <w:r w:rsidR="00946C8F">
        <w:rPr>
          <w:sz w:val="20"/>
          <w:szCs w:val="20"/>
        </w:rPr>
        <w:t xml:space="preserve"> </w:t>
      </w:r>
      <w:r w:rsidR="009A47BF" w:rsidRPr="00046271">
        <w:rPr>
          <w:sz w:val="20"/>
          <w:szCs w:val="20"/>
        </w:rPr>
        <w:t xml:space="preserve">a national </w:t>
      </w:r>
      <w:r w:rsidR="009A47BF" w:rsidRPr="00046271">
        <w:rPr>
          <w:bCs/>
          <w:color w:val="333333"/>
          <w:sz w:val="20"/>
          <w:szCs w:val="20"/>
        </w:rPr>
        <w:t xml:space="preserve">strategy for persons </w:t>
      </w:r>
      <w:r w:rsidR="00B4462A">
        <w:rPr>
          <w:bCs/>
          <w:color w:val="333333"/>
          <w:sz w:val="20"/>
          <w:szCs w:val="20"/>
        </w:rPr>
        <w:t>with</w:t>
      </w:r>
      <w:r w:rsidR="009A47BF" w:rsidRPr="00046271">
        <w:rPr>
          <w:bCs/>
          <w:color w:val="333333"/>
          <w:sz w:val="20"/>
          <w:szCs w:val="20"/>
        </w:rPr>
        <w:t xml:space="preserve"> disabilit</w:t>
      </w:r>
      <w:r w:rsidR="00B4462A">
        <w:rPr>
          <w:bCs/>
          <w:color w:val="333333"/>
          <w:sz w:val="20"/>
          <w:szCs w:val="20"/>
        </w:rPr>
        <w:t>ies</w:t>
      </w:r>
      <w:r w:rsidR="009A47BF" w:rsidRPr="00046271">
        <w:rPr>
          <w:bCs/>
          <w:color w:val="333333"/>
          <w:sz w:val="20"/>
          <w:szCs w:val="20"/>
        </w:rPr>
        <w:t xml:space="preserve"> with the Public Authority for the Disabled </w:t>
      </w:r>
      <w:r w:rsidR="0095215A">
        <w:rPr>
          <w:bCs/>
          <w:color w:val="333333"/>
          <w:sz w:val="20"/>
          <w:szCs w:val="20"/>
        </w:rPr>
        <w:t>to increase employment of persons with disabilities</w:t>
      </w:r>
      <w:r w:rsidR="009A47BF" w:rsidRPr="00046271">
        <w:rPr>
          <w:bCs/>
          <w:color w:val="333333"/>
          <w:sz w:val="20"/>
          <w:szCs w:val="20"/>
        </w:rPr>
        <w:t xml:space="preserve">; </w:t>
      </w:r>
      <w:r w:rsidR="009A47BF" w:rsidRPr="00046271">
        <w:rPr>
          <w:sz w:val="20"/>
          <w:szCs w:val="20"/>
        </w:rPr>
        <w:t>and a national strategy to combat violence against women. To advance women’s empowerment, UNDP will work with the Women</w:t>
      </w:r>
      <w:r w:rsidR="00C54C27">
        <w:rPr>
          <w:sz w:val="20"/>
          <w:szCs w:val="20"/>
        </w:rPr>
        <w:t>’</w:t>
      </w:r>
      <w:r w:rsidR="009A47BF" w:rsidRPr="00046271">
        <w:rPr>
          <w:sz w:val="20"/>
          <w:szCs w:val="20"/>
        </w:rPr>
        <w:t>s Research and Study Centr</w:t>
      </w:r>
      <w:r w:rsidR="00C54C27">
        <w:rPr>
          <w:sz w:val="20"/>
          <w:szCs w:val="20"/>
        </w:rPr>
        <w:t>e</w:t>
      </w:r>
      <w:r w:rsidR="009A47BF" w:rsidRPr="00046271">
        <w:rPr>
          <w:sz w:val="20"/>
          <w:szCs w:val="20"/>
        </w:rPr>
        <w:t xml:space="preserve"> on increasing women’s political participation and economic empowerment</w:t>
      </w:r>
      <w:r w:rsidR="00C54C27">
        <w:rPr>
          <w:sz w:val="20"/>
          <w:szCs w:val="20"/>
        </w:rPr>
        <w:t xml:space="preserve">; </w:t>
      </w:r>
      <w:r w:rsidR="009A47BF" w:rsidRPr="00046271">
        <w:rPr>
          <w:bCs/>
          <w:color w:val="000000"/>
          <w:sz w:val="20"/>
          <w:szCs w:val="20"/>
        </w:rPr>
        <w:t>strengthen the capacity of the CSB</w:t>
      </w:r>
      <w:r w:rsidR="00C54C27">
        <w:rPr>
          <w:bCs/>
          <w:color w:val="000000"/>
          <w:sz w:val="20"/>
          <w:szCs w:val="20"/>
        </w:rPr>
        <w:t xml:space="preserve">, </w:t>
      </w:r>
      <w:r w:rsidR="007B642C">
        <w:rPr>
          <w:bCs/>
          <w:color w:val="000000"/>
          <w:sz w:val="20"/>
          <w:szCs w:val="20"/>
        </w:rPr>
        <w:t xml:space="preserve">upon their request, </w:t>
      </w:r>
      <w:r w:rsidR="009A47BF" w:rsidRPr="00046271">
        <w:rPr>
          <w:bCs/>
          <w:color w:val="000000"/>
          <w:sz w:val="20"/>
          <w:szCs w:val="20"/>
        </w:rPr>
        <w:t>to produce disaggregated data</w:t>
      </w:r>
      <w:r w:rsidR="00C54C27">
        <w:rPr>
          <w:bCs/>
          <w:color w:val="000000"/>
          <w:sz w:val="20"/>
          <w:szCs w:val="20"/>
        </w:rPr>
        <w:t>;</w:t>
      </w:r>
      <w:r w:rsidR="009A47BF" w:rsidRPr="00046271">
        <w:rPr>
          <w:bCs/>
          <w:color w:val="000000"/>
          <w:sz w:val="20"/>
          <w:szCs w:val="20"/>
        </w:rPr>
        <w:t xml:space="preserve"> and</w:t>
      </w:r>
      <w:r w:rsidR="00C54C27">
        <w:rPr>
          <w:bCs/>
          <w:color w:val="000000"/>
          <w:sz w:val="20"/>
          <w:szCs w:val="20"/>
        </w:rPr>
        <w:t xml:space="preserve">, in close partnership </w:t>
      </w:r>
      <w:r w:rsidR="00C54C27" w:rsidRPr="00046271">
        <w:rPr>
          <w:bCs/>
          <w:color w:val="000000"/>
          <w:sz w:val="20"/>
          <w:szCs w:val="20"/>
        </w:rPr>
        <w:t>with UN</w:t>
      </w:r>
      <w:r w:rsidR="00C54C27">
        <w:rPr>
          <w:bCs/>
          <w:color w:val="000000"/>
          <w:sz w:val="20"/>
          <w:szCs w:val="20"/>
        </w:rPr>
        <w:t>-</w:t>
      </w:r>
      <w:r w:rsidR="00C54C27" w:rsidRPr="00046271">
        <w:rPr>
          <w:bCs/>
          <w:color w:val="000000"/>
          <w:sz w:val="20"/>
          <w:szCs w:val="20"/>
        </w:rPr>
        <w:t>Women</w:t>
      </w:r>
      <w:r w:rsidR="00C54C27">
        <w:rPr>
          <w:bCs/>
          <w:color w:val="000000"/>
          <w:sz w:val="20"/>
          <w:szCs w:val="20"/>
        </w:rPr>
        <w:t xml:space="preserve">, </w:t>
      </w:r>
      <w:r w:rsidR="009A47BF" w:rsidRPr="00046271">
        <w:rPr>
          <w:bCs/>
          <w:color w:val="000000"/>
          <w:sz w:val="20"/>
          <w:szCs w:val="20"/>
        </w:rPr>
        <w:t>scale</w:t>
      </w:r>
      <w:r w:rsidR="00C54C27">
        <w:rPr>
          <w:bCs/>
          <w:color w:val="000000"/>
          <w:sz w:val="20"/>
          <w:szCs w:val="20"/>
        </w:rPr>
        <w:t xml:space="preserve"> </w:t>
      </w:r>
      <w:r w:rsidR="009A47BF" w:rsidRPr="00046271">
        <w:rPr>
          <w:bCs/>
          <w:color w:val="000000"/>
          <w:sz w:val="20"/>
          <w:szCs w:val="20"/>
        </w:rPr>
        <w:t>up</w:t>
      </w:r>
      <w:r w:rsidR="00C54C27">
        <w:rPr>
          <w:bCs/>
          <w:color w:val="000000"/>
          <w:sz w:val="20"/>
          <w:szCs w:val="20"/>
        </w:rPr>
        <w:t xml:space="preserve"> the G</w:t>
      </w:r>
      <w:r w:rsidR="009A47BF" w:rsidRPr="00046271">
        <w:rPr>
          <w:bCs/>
          <w:color w:val="000000"/>
          <w:sz w:val="20"/>
          <w:szCs w:val="20"/>
        </w:rPr>
        <w:t xml:space="preserve">ender </w:t>
      </w:r>
      <w:r w:rsidR="00C54C27">
        <w:rPr>
          <w:bCs/>
          <w:color w:val="000000"/>
          <w:sz w:val="20"/>
          <w:szCs w:val="20"/>
        </w:rPr>
        <w:t>S</w:t>
      </w:r>
      <w:r w:rsidR="009A47BF" w:rsidRPr="00046271">
        <w:rPr>
          <w:bCs/>
          <w:color w:val="000000"/>
          <w:sz w:val="20"/>
          <w:szCs w:val="20"/>
        </w:rPr>
        <w:t xml:space="preserve">eal initiative for public and private sector entities to integrate gender equality considerations in </w:t>
      </w:r>
      <w:r w:rsidR="008376F3">
        <w:rPr>
          <w:bCs/>
          <w:color w:val="000000"/>
          <w:sz w:val="20"/>
          <w:szCs w:val="20"/>
        </w:rPr>
        <w:t xml:space="preserve">their </w:t>
      </w:r>
      <w:r w:rsidR="009A47BF" w:rsidRPr="00046271">
        <w:rPr>
          <w:bCs/>
          <w:color w:val="000000"/>
          <w:sz w:val="20"/>
          <w:szCs w:val="20"/>
        </w:rPr>
        <w:t>institutional/corporate structures</w:t>
      </w:r>
      <w:r w:rsidR="009A47BF" w:rsidRPr="00046271">
        <w:rPr>
          <w:bCs/>
          <w:color w:val="333333"/>
          <w:sz w:val="20"/>
          <w:szCs w:val="20"/>
        </w:rPr>
        <w:t xml:space="preserve">. </w:t>
      </w:r>
    </w:p>
    <w:p w14:paraId="1034177A" w14:textId="77777777" w:rsidR="009A47BF" w:rsidRPr="00D33447" w:rsidRDefault="009A47BF" w:rsidP="007F5C41">
      <w:pPr>
        <w:tabs>
          <w:tab w:val="left" w:pos="900"/>
          <w:tab w:val="left" w:pos="5217"/>
        </w:tabs>
        <w:ind w:left="630" w:right="65"/>
        <w:jc w:val="both"/>
        <w:rPr>
          <w:sz w:val="12"/>
          <w:szCs w:val="12"/>
        </w:rPr>
      </w:pPr>
    </w:p>
    <w:p w14:paraId="39755DEA" w14:textId="07D43881" w:rsidR="009A47BF" w:rsidRPr="00046271" w:rsidRDefault="009A47BF" w:rsidP="00E551D4">
      <w:pPr>
        <w:pStyle w:val="ListParagraph"/>
        <w:numPr>
          <w:ilvl w:val="0"/>
          <w:numId w:val="26"/>
        </w:numPr>
        <w:tabs>
          <w:tab w:val="left" w:pos="990"/>
          <w:tab w:val="left" w:pos="5217"/>
        </w:tabs>
        <w:autoSpaceDE w:val="0"/>
        <w:autoSpaceDN w:val="0"/>
        <w:adjustRightInd w:val="0"/>
        <w:ind w:left="630" w:right="65" w:firstLine="0"/>
        <w:contextualSpacing/>
        <w:jc w:val="both"/>
        <w:rPr>
          <w:sz w:val="20"/>
          <w:szCs w:val="20"/>
        </w:rPr>
      </w:pPr>
      <w:r w:rsidRPr="00046271">
        <w:rPr>
          <w:sz w:val="20"/>
          <w:szCs w:val="20"/>
        </w:rPr>
        <w:t>In partnership with the GSSCPD, UNDP</w:t>
      </w:r>
      <w:r w:rsidR="008376F3">
        <w:rPr>
          <w:sz w:val="20"/>
          <w:szCs w:val="20"/>
        </w:rPr>
        <w:t xml:space="preserve"> </w:t>
      </w:r>
      <w:r w:rsidR="005430E1">
        <w:rPr>
          <w:sz w:val="20"/>
          <w:szCs w:val="20"/>
        </w:rPr>
        <w:t xml:space="preserve">support for </w:t>
      </w:r>
      <w:r w:rsidRPr="00046271">
        <w:rPr>
          <w:sz w:val="20"/>
          <w:szCs w:val="20"/>
        </w:rPr>
        <w:t xml:space="preserve">institutional capacity </w:t>
      </w:r>
      <w:r w:rsidR="005C04D3">
        <w:rPr>
          <w:sz w:val="20"/>
          <w:szCs w:val="20"/>
        </w:rPr>
        <w:t>development</w:t>
      </w:r>
      <w:r w:rsidRPr="00046271">
        <w:rPr>
          <w:sz w:val="20"/>
          <w:szCs w:val="20"/>
        </w:rPr>
        <w:t xml:space="preserve"> will focus on addressing some of the underlying and root </w:t>
      </w:r>
      <w:r w:rsidR="005C04D3">
        <w:rPr>
          <w:sz w:val="20"/>
          <w:szCs w:val="20"/>
        </w:rPr>
        <w:t xml:space="preserve">causes </w:t>
      </w:r>
      <w:r w:rsidR="008376F3">
        <w:rPr>
          <w:sz w:val="20"/>
          <w:szCs w:val="20"/>
        </w:rPr>
        <w:t xml:space="preserve">of challenges to </w:t>
      </w:r>
      <w:r w:rsidRPr="00046271">
        <w:rPr>
          <w:sz w:val="20"/>
          <w:szCs w:val="20"/>
        </w:rPr>
        <w:t>public administration</w:t>
      </w:r>
      <w:r w:rsidR="005C04D3">
        <w:rPr>
          <w:sz w:val="20"/>
          <w:szCs w:val="20"/>
        </w:rPr>
        <w:t xml:space="preserve">. This includes </w:t>
      </w:r>
      <w:r w:rsidRPr="00046271">
        <w:rPr>
          <w:sz w:val="20"/>
          <w:szCs w:val="20"/>
        </w:rPr>
        <w:t>strengthening performance management systems to promote a more merit-based system</w:t>
      </w:r>
      <w:r w:rsidR="005C04D3">
        <w:rPr>
          <w:sz w:val="20"/>
          <w:szCs w:val="20"/>
        </w:rPr>
        <w:t xml:space="preserve">; supporting </w:t>
      </w:r>
      <w:r w:rsidRPr="00046271">
        <w:rPr>
          <w:sz w:val="20"/>
          <w:szCs w:val="20"/>
        </w:rPr>
        <w:t>improved strategic planning processes to ensure more coherent KNDP project design</w:t>
      </w:r>
      <w:r w:rsidR="00BD4548">
        <w:rPr>
          <w:sz w:val="20"/>
          <w:szCs w:val="20"/>
        </w:rPr>
        <w:t xml:space="preserve"> and screening;</w:t>
      </w:r>
      <w:r w:rsidRPr="00046271">
        <w:rPr>
          <w:sz w:val="20"/>
          <w:szCs w:val="20"/>
        </w:rPr>
        <w:t xml:space="preserve"> </w:t>
      </w:r>
      <w:r w:rsidR="00BD4548">
        <w:rPr>
          <w:sz w:val="20"/>
          <w:szCs w:val="20"/>
        </w:rPr>
        <w:t>project implementation support</w:t>
      </w:r>
      <w:r w:rsidR="00A66052">
        <w:rPr>
          <w:sz w:val="20"/>
          <w:szCs w:val="20"/>
        </w:rPr>
        <w:t>;</w:t>
      </w:r>
      <w:r w:rsidRPr="00046271">
        <w:rPr>
          <w:sz w:val="20"/>
          <w:szCs w:val="20"/>
        </w:rPr>
        <w:t xml:space="preserve"> and coordination toward</w:t>
      </w:r>
      <w:r w:rsidR="005430E1">
        <w:rPr>
          <w:sz w:val="20"/>
          <w:szCs w:val="20"/>
        </w:rPr>
        <w:t>s the objectives of the</w:t>
      </w:r>
      <w:r w:rsidRPr="00046271">
        <w:rPr>
          <w:sz w:val="20"/>
          <w:szCs w:val="20"/>
        </w:rPr>
        <w:t xml:space="preserve"> KNDP and 2030 Agenda. </w:t>
      </w:r>
    </w:p>
    <w:p w14:paraId="66A0B57E" w14:textId="77777777" w:rsidR="009A47BF" w:rsidRPr="00D33447" w:rsidRDefault="009A47BF" w:rsidP="00E551D4">
      <w:pPr>
        <w:tabs>
          <w:tab w:val="left" w:pos="990"/>
          <w:tab w:val="left" w:pos="5217"/>
        </w:tabs>
        <w:ind w:left="630" w:right="65"/>
        <w:jc w:val="both"/>
        <w:rPr>
          <w:sz w:val="12"/>
          <w:szCs w:val="12"/>
        </w:rPr>
      </w:pPr>
    </w:p>
    <w:p w14:paraId="3E5F9AA9" w14:textId="20305950" w:rsidR="009A47BF" w:rsidRPr="00046271" w:rsidRDefault="009A47BF" w:rsidP="00E551D4">
      <w:pPr>
        <w:pStyle w:val="ListParagraph"/>
        <w:numPr>
          <w:ilvl w:val="0"/>
          <w:numId w:val="26"/>
        </w:numPr>
        <w:tabs>
          <w:tab w:val="left" w:pos="990"/>
          <w:tab w:val="left" w:pos="5217"/>
        </w:tabs>
        <w:autoSpaceDE w:val="0"/>
        <w:autoSpaceDN w:val="0"/>
        <w:adjustRightInd w:val="0"/>
        <w:ind w:left="630" w:right="65" w:firstLine="0"/>
        <w:contextualSpacing/>
        <w:jc w:val="both"/>
        <w:rPr>
          <w:sz w:val="20"/>
          <w:szCs w:val="20"/>
        </w:rPr>
      </w:pPr>
      <w:r w:rsidRPr="00046271">
        <w:rPr>
          <w:sz w:val="20"/>
          <w:szCs w:val="20"/>
        </w:rPr>
        <w:t>T</w:t>
      </w:r>
      <w:r w:rsidR="004B56EF">
        <w:rPr>
          <w:sz w:val="20"/>
          <w:szCs w:val="20"/>
        </w:rPr>
        <w:t xml:space="preserve">hrough </w:t>
      </w:r>
      <w:r w:rsidRPr="00046271">
        <w:rPr>
          <w:sz w:val="20"/>
          <w:szCs w:val="20"/>
        </w:rPr>
        <w:t>partnership</w:t>
      </w:r>
      <w:r w:rsidR="004B56EF">
        <w:rPr>
          <w:sz w:val="20"/>
          <w:szCs w:val="20"/>
        </w:rPr>
        <w:t>s</w:t>
      </w:r>
      <w:r w:rsidRPr="00046271">
        <w:rPr>
          <w:sz w:val="20"/>
          <w:szCs w:val="20"/>
        </w:rPr>
        <w:t xml:space="preserve"> with the GSSCPD, KPPC, other national </w:t>
      </w:r>
      <w:r w:rsidR="005D7894" w:rsidRPr="00046271">
        <w:rPr>
          <w:sz w:val="20"/>
          <w:szCs w:val="20"/>
        </w:rPr>
        <w:t>institutions</w:t>
      </w:r>
      <w:r w:rsidRPr="00046271">
        <w:rPr>
          <w:sz w:val="20"/>
          <w:szCs w:val="20"/>
        </w:rPr>
        <w:t xml:space="preserve"> and the private sector</w:t>
      </w:r>
      <w:r w:rsidR="00C07A32">
        <w:rPr>
          <w:sz w:val="20"/>
          <w:szCs w:val="20"/>
        </w:rPr>
        <w:t>,</w:t>
      </w:r>
      <w:r w:rsidRPr="00046271">
        <w:rPr>
          <w:sz w:val="20"/>
          <w:szCs w:val="20"/>
        </w:rPr>
        <w:t xml:space="preserve"> UNDP </w:t>
      </w:r>
      <w:r w:rsidR="004B56EF">
        <w:rPr>
          <w:sz w:val="20"/>
          <w:szCs w:val="20"/>
        </w:rPr>
        <w:t xml:space="preserve">will provide integrated advisory support </w:t>
      </w:r>
      <w:r w:rsidR="00C07A32">
        <w:rPr>
          <w:sz w:val="20"/>
          <w:szCs w:val="20"/>
        </w:rPr>
        <w:t>for</w:t>
      </w:r>
      <w:r w:rsidR="004B56EF">
        <w:rPr>
          <w:sz w:val="20"/>
          <w:szCs w:val="20"/>
        </w:rPr>
        <w:t xml:space="preserve"> the </w:t>
      </w:r>
      <w:r w:rsidR="008376F3">
        <w:rPr>
          <w:sz w:val="20"/>
          <w:szCs w:val="20"/>
        </w:rPr>
        <w:t xml:space="preserve">Government’s </w:t>
      </w:r>
      <w:r w:rsidR="005D7894">
        <w:rPr>
          <w:sz w:val="20"/>
          <w:szCs w:val="20"/>
        </w:rPr>
        <w:t>multisectoral</w:t>
      </w:r>
      <w:r w:rsidR="008376F3">
        <w:rPr>
          <w:sz w:val="20"/>
          <w:szCs w:val="20"/>
        </w:rPr>
        <w:t xml:space="preserve"> </w:t>
      </w:r>
      <w:r w:rsidR="004B56EF">
        <w:rPr>
          <w:sz w:val="20"/>
          <w:szCs w:val="20"/>
        </w:rPr>
        <w:t xml:space="preserve">coordination role. </w:t>
      </w:r>
      <w:r w:rsidRPr="00046271">
        <w:rPr>
          <w:sz w:val="20"/>
          <w:szCs w:val="20"/>
        </w:rPr>
        <w:t xml:space="preserve">UNDP will </w:t>
      </w:r>
      <w:r w:rsidR="00C31E56">
        <w:rPr>
          <w:sz w:val="20"/>
          <w:szCs w:val="20"/>
        </w:rPr>
        <w:t xml:space="preserve">support </w:t>
      </w:r>
      <w:r w:rsidRPr="00046271">
        <w:rPr>
          <w:sz w:val="20"/>
          <w:szCs w:val="20"/>
        </w:rPr>
        <w:t xml:space="preserve">the KPPC and </w:t>
      </w:r>
      <w:r w:rsidR="005430E1">
        <w:rPr>
          <w:sz w:val="20"/>
          <w:szCs w:val="20"/>
        </w:rPr>
        <w:t>NOSD</w:t>
      </w:r>
      <w:r w:rsidRPr="00046271">
        <w:rPr>
          <w:sz w:val="20"/>
          <w:szCs w:val="20"/>
        </w:rPr>
        <w:t xml:space="preserve"> to help improve national policymaking capacities and processes regarding data, analysis, cross-sectoral integration, coordination and implementation</w:t>
      </w:r>
      <w:r w:rsidR="008376F3">
        <w:rPr>
          <w:sz w:val="20"/>
          <w:szCs w:val="20"/>
        </w:rPr>
        <w:t xml:space="preserve">, </w:t>
      </w:r>
      <w:r w:rsidRPr="00046271">
        <w:rPr>
          <w:sz w:val="20"/>
          <w:szCs w:val="20"/>
        </w:rPr>
        <w:t xml:space="preserve">particularly in pursuit of </w:t>
      </w:r>
      <w:r w:rsidR="008376F3">
        <w:rPr>
          <w:sz w:val="20"/>
          <w:szCs w:val="20"/>
        </w:rPr>
        <w:t xml:space="preserve">the </w:t>
      </w:r>
      <w:r w:rsidRPr="00046271">
        <w:rPr>
          <w:sz w:val="20"/>
          <w:szCs w:val="20"/>
        </w:rPr>
        <w:t xml:space="preserve">objectives </w:t>
      </w:r>
      <w:r w:rsidR="008376F3">
        <w:rPr>
          <w:sz w:val="20"/>
          <w:szCs w:val="20"/>
        </w:rPr>
        <w:t xml:space="preserve">of the KNDP </w:t>
      </w:r>
      <w:r w:rsidRPr="00046271">
        <w:rPr>
          <w:sz w:val="20"/>
          <w:szCs w:val="20"/>
        </w:rPr>
        <w:t xml:space="preserve">and </w:t>
      </w:r>
      <w:r w:rsidR="008376F3">
        <w:rPr>
          <w:sz w:val="20"/>
          <w:szCs w:val="20"/>
        </w:rPr>
        <w:t xml:space="preserve">the Sustainable Development Goals, </w:t>
      </w:r>
      <w:r w:rsidR="00B4084D">
        <w:rPr>
          <w:sz w:val="20"/>
          <w:szCs w:val="20"/>
        </w:rPr>
        <w:t>together with other U</w:t>
      </w:r>
      <w:r w:rsidR="008376F3">
        <w:rPr>
          <w:sz w:val="20"/>
          <w:szCs w:val="20"/>
        </w:rPr>
        <w:t xml:space="preserve">nited </w:t>
      </w:r>
      <w:r w:rsidR="00B4084D">
        <w:rPr>
          <w:sz w:val="20"/>
          <w:szCs w:val="20"/>
        </w:rPr>
        <w:t>N</w:t>
      </w:r>
      <w:r w:rsidR="008376F3">
        <w:rPr>
          <w:sz w:val="20"/>
          <w:szCs w:val="20"/>
        </w:rPr>
        <w:t>ations</w:t>
      </w:r>
      <w:r w:rsidR="00B4084D">
        <w:rPr>
          <w:sz w:val="20"/>
          <w:szCs w:val="20"/>
        </w:rPr>
        <w:t xml:space="preserve"> agencies</w:t>
      </w:r>
      <w:r w:rsidRPr="00046271">
        <w:rPr>
          <w:sz w:val="20"/>
          <w:szCs w:val="20"/>
        </w:rPr>
        <w:t xml:space="preserve">.  </w:t>
      </w:r>
    </w:p>
    <w:p w14:paraId="7883B386" w14:textId="5AD7806D" w:rsidR="00720956" w:rsidRPr="00773E05" w:rsidRDefault="00720956" w:rsidP="00E551D4">
      <w:pPr>
        <w:tabs>
          <w:tab w:val="left" w:pos="990"/>
        </w:tabs>
        <w:ind w:left="630" w:right="65"/>
        <w:jc w:val="both"/>
        <w:rPr>
          <w:bCs/>
          <w:iCs/>
          <w:sz w:val="12"/>
          <w:szCs w:val="12"/>
        </w:rPr>
      </w:pPr>
    </w:p>
    <w:p w14:paraId="143C2B4D" w14:textId="6183E189" w:rsidR="009A47BF" w:rsidRPr="00773E05" w:rsidRDefault="00085134" w:rsidP="00E551D4">
      <w:pPr>
        <w:tabs>
          <w:tab w:val="left" w:pos="990"/>
        </w:tabs>
        <w:ind w:left="630" w:right="65"/>
        <w:jc w:val="both"/>
        <w:rPr>
          <w:iCs/>
          <w:sz w:val="20"/>
          <w:szCs w:val="20"/>
        </w:rPr>
      </w:pPr>
      <w:r w:rsidRPr="00773E05">
        <w:rPr>
          <w:b/>
          <w:iCs/>
          <w:sz w:val="20"/>
          <w:szCs w:val="20"/>
        </w:rPr>
        <w:t>Supporting</w:t>
      </w:r>
      <w:r w:rsidR="009A47BF" w:rsidRPr="00773E05">
        <w:rPr>
          <w:b/>
          <w:iCs/>
          <w:sz w:val="20"/>
          <w:szCs w:val="20"/>
        </w:rPr>
        <w:t xml:space="preserve"> </w:t>
      </w:r>
      <w:r w:rsidR="00773E05">
        <w:rPr>
          <w:b/>
          <w:iCs/>
          <w:sz w:val="20"/>
          <w:szCs w:val="20"/>
        </w:rPr>
        <w:t>the</w:t>
      </w:r>
      <w:r w:rsidR="00773E05" w:rsidRPr="00773E05">
        <w:rPr>
          <w:b/>
          <w:iCs/>
          <w:sz w:val="20"/>
          <w:szCs w:val="20"/>
          <w:lang w:val="en-US"/>
        </w:rPr>
        <w:t xml:space="preserve"> </w:t>
      </w:r>
      <w:r w:rsidR="009A47BF" w:rsidRPr="00773E05">
        <w:rPr>
          <w:b/>
          <w:iCs/>
          <w:sz w:val="20"/>
          <w:szCs w:val="20"/>
        </w:rPr>
        <w:t xml:space="preserve">global positioning </w:t>
      </w:r>
      <w:r w:rsidR="00773E05">
        <w:rPr>
          <w:b/>
          <w:iCs/>
          <w:sz w:val="20"/>
          <w:szCs w:val="20"/>
        </w:rPr>
        <w:t>of Kuwait</w:t>
      </w:r>
    </w:p>
    <w:p w14:paraId="6355F420" w14:textId="36BD348C" w:rsidR="009A47BF" w:rsidRPr="00D33447" w:rsidRDefault="009A47BF" w:rsidP="00E551D4">
      <w:pPr>
        <w:tabs>
          <w:tab w:val="left" w:pos="990"/>
        </w:tabs>
        <w:ind w:left="630" w:right="65"/>
        <w:jc w:val="both"/>
        <w:rPr>
          <w:sz w:val="12"/>
          <w:szCs w:val="12"/>
        </w:rPr>
      </w:pPr>
    </w:p>
    <w:p w14:paraId="4E932CF2" w14:textId="73885027" w:rsidR="00415F1A" w:rsidRDefault="009A47BF" w:rsidP="00E551D4">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rPr>
        <w:t xml:space="preserve">UNDP will help </w:t>
      </w:r>
      <w:r w:rsidR="00773E05">
        <w:rPr>
          <w:sz w:val="20"/>
          <w:szCs w:val="20"/>
        </w:rPr>
        <w:t xml:space="preserve">to </w:t>
      </w:r>
      <w:r w:rsidRPr="00046271">
        <w:rPr>
          <w:sz w:val="20"/>
          <w:szCs w:val="20"/>
        </w:rPr>
        <w:t>build institutional capacities</w:t>
      </w:r>
      <w:r w:rsidR="00773E05">
        <w:rPr>
          <w:sz w:val="20"/>
          <w:szCs w:val="20"/>
        </w:rPr>
        <w:t xml:space="preserve"> and </w:t>
      </w:r>
      <w:r w:rsidRPr="00046271">
        <w:rPr>
          <w:sz w:val="20"/>
          <w:szCs w:val="20"/>
        </w:rPr>
        <w:t xml:space="preserve">polices, </w:t>
      </w:r>
      <w:r w:rsidR="00085134">
        <w:rPr>
          <w:sz w:val="20"/>
          <w:szCs w:val="20"/>
        </w:rPr>
        <w:t>while facilitating</w:t>
      </w:r>
      <w:r w:rsidR="00773E05">
        <w:rPr>
          <w:sz w:val="20"/>
          <w:szCs w:val="20"/>
        </w:rPr>
        <w:t xml:space="preserve"> </w:t>
      </w:r>
      <w:r w:rsidRPr="00046271">
        <w:rPr>
          <w:sz w:val="20"/>
          <w:szCs w:val="20"/>
        </w:rPr>
        <w:t>national and international partnerships, for Kuwait to leverage its national wealth and international engagement</w:t>
      </w:r>
      <w:r w:rsidR="00085134">
        <w:rPr>
          <w:sz w:val="20"/>
          <w:szCs w:val="20"/>
        </w:rPr>
        <w:t xml:space="preserve"> as a humanitarian leader. UNDP will support Kuwait</w:t>
      </w:r>
      <w:r w:rsidRPr="00046271">
        <w:rPr>
          <w:sz w:val="20"/>
          <w:szCs w:val="20"/>
        </w:rPr>
        <w:t xml:space="preserve"> in advancing </w:t>
      </w:r>
      <w:r w:rsidR="00B4084D">
        <w:rPr>
          <w:sz w:val="20"/>
          <w:szCs w:val="20"/>
        </w:rPr>
        <w:t xml:space="preserve">the </w:t>
      </w:r>
      <w:r w:rsidR="005C04D3">
        <w:rPr>
          <w:sz w:val="20"/>
          <w:szCs w:val="20"/>
        </w:rPr>
        <w:t xml:space="preserve">humanitarian, </w:t>
      </w:r>
      <w:r w:rsidRPr="00046271">
        <w:rPr>
          <w:sz w:val="20"/>
          <w:szCs w:val="20"/>
        </w:rPr>
        <w:t>development</w:t>
      </w:r>
      <w:r w:rsidR="005C04D3">
        <w:rPr>
          <w:sz w:val="20"/>
          <w:szCs w:val="20"/>
        </w:rPr>
        <w:t xml:space="preserve"> and</w:t>
      </w:r>
      <w:r w:rsidR="00B4084D">
        <w:rPr>
          <w:sz w:val="20"/>
          <w:szCs w:val="20"/>
        </w:rPr>
        <w:t xml:space="preserve"> </w:t>
      </w:r>
      <w:r w:rsidRPr="00046271">
        <w:rPr>
          <w:sz w:val="20"/>
          <w:szCs w:val="20"/>
        </w:rPr>
        <w:t>peacebuilding</w:t>
      </w:r>
      <w:r w:rsidR="00772A09">
        <w:rPr>
          <w:sz w:val="20"/>
          <w:szCs w:val="20"/>
        </w:rPr>
        <w:t xml:space="preserve"> </w:t>
      </w:r>
      <w:r w:rsidR="005C04D3">
        <w:rPr>
          <w:sz w:val="20"/>
          <w:szCs w:val="20"/>
        </w:rPr>
        <w:t xml:space="preserve">nexus and stabilization </w:t>
      </w:r>
      <w:r w:rsidRPr="00046271">
        <w:rPr>
          <w:sz w:val="20"/>
          <w:szCs w:val="20"/>
        </w:rPr>
        <w:t>support beyond its borders (</w:t>
      </w:r>
      <w:r w:rsidR="00773E05">
        <w:rPr>
          <w:sz w:val="20"/>
          <w:szCs w:val="20"/>
        </w:rPr>
        <w:t>Goal</w:t>
      </w:r>
      <w:r w:rsidR="00773E05" w:rsidRPr="00046271">
        <w:rPr>
          <w:sz w:val="20"/>
          <w:szCs w:val="20"/>
        </w:rPr>
        <w:t xml:space="preserve"> </w:t>
      </w:r>
      <w:r w:rsidRPr="00046271">
        <w:rPr>
          <w:sz w:val="20"/>
          <w:szCs w:val="20"/>
        </w:rPr>
        <w:t xml:space="preserve">17). </w:t>
      </w:r>
      <w:r w:rsidR="00773E05">
        <w:rPr>
          <w:sz w:val="20"/>
          <w:szCs w:val="20"/>
        </w:rPr>
        <w:t>K</w:t>
      </w:r>
      <w:r w:rsidRPr="00046271">
        <w:rPr>
          <w:sz w:val="20"/>
          <w:szCs w:val="20"/>
        </w:rPr>
        <w:t xml:space="preserve">ey initiatives utilizing </w:t>
      </w:r>
      <w:r w:rsidR="00773E05">
        <w:rPr>
          <w:sz w:val="20"/>
          <w:szCs w:val="20"/>
        </w:rPr>
        <w:t xml:space="preserve">the global </w:t>
      </w:r>
      <w:r w:rsidRPr="00046271">
        <w:rPr>
          <w:sz w:val="20"/>
          <w:szCs w:val="20"/>
        </w:rPr>
        <w:t xml:space="preserve">UNDP </w:t>
      </w:r>
      <w:r w:rsidR="00547D2C">
        <w:rPr>
          <w:sz w:val="20"/>
          <w:szCs w:val="20"/>
        </w:rPr>
        <w:t>networks</w:t>
      </w:r>
      <w:r w:rsidR="005430E1">
        <w:rPr>
          <w:sz w:val="20"/>
          <w:szCs w:val="20"/>
        </w:rPr>
        <w:t>,</w:t>
      </w:r>
      <w:r w:rsidR="00547D2C">
        <w:rPr>
          <w:sz w:val="20"/>
          <w:szCs w:val="20"/>
        </w:rPr>
        <w:t xml:space="preserve"> anchored in </w:t>
      </w:r>
      <w:r w:rsidR="00773E05">
        <w:rPr>
          <w:sz w:val="20"/>
          <w:szCs w:val="20"/>
        </w:rPr>
        <w:t xml:space="preserve">its </w:t>
      </w:r>
      <w:r w:rsidR="00547D2C">
        <w:rPr>
          <w:sz w:val="20"/>
          <w:szCs w:val="20"/>
        </w:rPr>
        <w:t>field presence</w:t>
      </w:r>
      <w:r w:rsidR="00773E05">
        <w:rPr>
          <w:sz w:val="20"/>
          <w:szCs w:val="20"/>
        </w:rPr>
        <w:t>,</w:t>
      </w:r>
      <w:r w:rsidR="00547D2C">
        <w:rPr>
          <w:sz w:val="20"/>
          <w:szCs w:val="20"/>
        </w:rPr>
        <w:t xml:space="preserve"> </w:t>
      </w:r>
      <w:r w:rsidRPr="00046271">
        <w:rPr>
          <w:sz w:val="20"/>
          <w:szCs w:val="20"/>
        </w:rPr>
        <w:t xml:space="preserve">will form the core of </w:t>
      </w:r>
      <w:r w:rsidR="00547D2C">
        <w:rPr>
          <w:sz w:val="20"/>
          <w:szCs w:val="20"/>
        </w:rPr>
        <w:t xml:space="preserve">partnerships </w:t>
      </w:r>
      <w:r w:rsidR="00773E05">
        <w:rPr>
          <w:sz w:val="20"/>
          <w:szCs w:val="20"/>
        </w:rPr>
        <w:t xml:space="preserve">between UNDP and Kuwait </w:t>
      </w:r>
      <w:r w:rsidR="00547D2C">
        <w:rPr>
          <w:sz w:val="20"/>
          <w:szCs w:val="20"/>
        </w:rPr>
        <w:t xml:space="preserve">to deliver sustained results on the ground. </w:t>
      </w:r>
      <w:r w:rsidRPr="00046271">
        <w:rPr>
          <w:sz w:val="20"/>
          <w:szCs w:val="20"/>
        </w:rPr>
        <w:t>First, UNDP will partner with</w:t>
      </w:r>
      <w:r w:rsidR="00287ADB">
        <w:rPr>
          <w:sz w:val="20"/>
          <w:szCs w:val="20"/>
        </w:rPr>
        <w:t xml:space="preserve"> </w:t>
      </w:r>
      <w:r w:rsidRPr="00046271">
        <w:rPr>
          <w:sz w:val="20"/>
          <w:szCs w:val="20"/>
        </w:rPr>
        <w:t xml:space="preserve">the Ministry of Foreign Affairs, Kuwaiti </w:t>
      </w:r>
      <w:r w:rsidR="00773E05">
        <w:rPr>
          <w:sz w:val="20"/>
          <w:szCs w:val="20"/>
        </w:rPr>
        <w:t>non-governmental organizations (</w:t>
      </w:r>
      <w:r w:rsidRPr="00046271">
        <w:rPr>
          <w:sz w:val="20"/>
          <w:szCs w:val="20"/>
        </w:rPr>
        <w:t>NGOs</w:t>
      </w:r>
      <w:r w:rsidR="00773E05">
        <w:rPr>
          <w:sz w:val="20"/>
          <w:szCs w:val="20"/>
        </w:rPr>
        <w:t>)</w:t>
      </w:r>
      <w:r w:rsidRPr="00046271">
        <w:rPr>
          <w:sz w:val="20"/>
          <w:szCs w:val="20"/>
        </w:rPr>
        <w:t xml:space="preserve"> and foundations active in supporting other countries</w:t>
      </w:r>
      <w:r w:rsidR="005C04D3">
        <w:rPr>
          <w:sz w:val="20"/>
          <w:szCs w:val="20"/>
        </w:rPr>
        <w:t xml:space="preserve"> to</w:t>
      </w:r>
      <w:r w:rsidRPr="00046271">
        <w:rPr>
          <w:sz w:val="20"/>
          <w:szCs w:val="20"/>
        </w:rPr>
        <w:t xml:space="preserve"> </w:t>
      </w:r>
      <w:r w:rsidR="00FD230B">
        <w:rPr>
          <w:sz w:val="20"/>
          <w:szCs w:val="20"/>
        </w:rPr>
        <w:t xml:space="preserve">share good practices and lessons learned in the area of  </w:t>
      </w:r>
      <w:r w:rsidRPr="00046271">
        <w:rPr>
          <w:sz w:val="20"/>
          <w:szCs w:val="20"/>
        </w:rPr>
        <w:t xml:space="preserve">protracted crises, </w:t>
      </w:r>
      <w:r w:rsidR="00773E05">
        <w:rPr>
          <w:sz w:val="20"/>
          <w:szCs w:val="20"/>
        </w:rPr>
        <w:t xml:space="preserve">the humanitarian-development-peace </w:t>
      </w:r>
      <w:r w:rsidRPr="00046271">
        <w:rPr>
          <w:sz w:val="20"/>
          <w:szCs w:val="20"/>
        </w:rPr>
        <w:t xml:space="preserve">nexus </w:t>
      </w:r>
      <w:r w:rsidR="00772A09">
        <w:rPr>
          <w:sz w:val="20"/>
          <w:szCs w:val="20"/>
        </w:rPr>
        <w:t xml:space="preserve">and </w:t>
      </w:r>
      <w:r w:rsidRPr="00046271">
        <w:rPr>
          <w:sz w:val="20"/>
          <w:szCs w:val="20"/>
        </w:rPr>
        <w:t>stabilization</w:t>
      </w:r>
      <w:r w:rsidR="00FD230B">
        <w:rPr>
          <w:sz w:val="20"/>
          <w:szCs w:val="20"/>
        </w:rPr>
        <w:t xml:space="preserve">, which in turn will contribute to </w:t>
      </w:r>
      <w:r w:rsidRPr="00046271">
        <w:rPr>
          <w:sz w:val="20"/>
          <w:szCs w:val="20"/>
        </w:rPr>
        <w:t>informed decision</w:t>
      </w:r>
      <w:r w:rsidR="00773E05">
        <w:rPr>
          <w:sz w:val="20"/>
          <w:szCs w:val="20"/>
        </w:rPr>
        <w:t>-</w:t>
      </w:r>
      <w:r w:rsidRPr="00046271">
        <w:rPr>
          <w:sz w:val="20"/>
          <w:szCs w:val="20"/>
        </w:rPr>
        <w:t xml:space="preserve">making </w:t>
      </w:r>
      <w:r w:rsidR="00773E05">
        <w:rPr>
          <w:sz w:val="20"/>
          <w:szCs w:val="20"/>
        </w:rPr>
        <w:t xml:space="preserve">by </w:t>
      </w:r>
      <w:r w:rsidR="00FD230B">
        <w:rPr>
          <w:sz w:val="20"/>
          <w:szCs w:val="20"/>
        </w:rPr>
        <w:t xml:space="preserve">Kuwaiti </w:t>
      </w:r>
      <w:r w:rsidR="00A66052">
        <w:rPr>
          <w:sz w:val="20"/>
          <w:szCs w:val="20"/>
        </w:rPr>
        <w:t>donor entities</w:t>
      </w:r>
      <w:r w:rsidR="00FD230B">
        <w:rPr>
          <w:sz w:val="20"/>
          <w:szCs w:val="20"/>
        </w:rPr>
        <w:t xml:space="preserve"> for </w:t>
      </w:r>
      <w:r w:rsidR="009831B6">
        <w:rPr>
          <w:sz w:val="20"/>
          <w:szCs w:val="20"/>
        </w:rPr>
        <w:t>replication, scal</w:t>
      </w:r>
      <w:r w:rsidR="00773E05">
        <w:rPr>
          <w:sz w:val="20"/>
          <w:szCs w:val="20"/>
        </w:rPr>
        <w:t>e-</w:t>
      </w:r>
      <w:r w:rsidR="009831B6">
        <w:rPr>
          <w:sz w:val="20"/>
          <w:szCs w:val="20"/>
        </w:rPr>
        <w:t>up</w:t>
      </w:r>
      <w:r w:rsidR="00FD230B">
        <w:rPr>
          <w:sz w:val="20"/>
          <w:szCs w:val="20"/>
        </w:rPr>
        <w:t xml:space="preserve"> and greater impact. </w:t>
      </w:r>
      <w:r w:rsidR="00772A09">
        <w:rPr>
          <w:sz w:val="20"/>
          <w:szCs w:val="20"/>
        </w:rPr>
        <w:t xml:space="preserve">This will be accompanied by </w:t>
      </w:r>
      <w:r w:rsidR="00773E05">
        <w:rPr>
          <w:sz w:val="20"/>
          <w:szCs w:val="20"/>
        </w:rPr>
        <w:t xml:space="preserve">establishment of a </w:t>
      </w:r>
      <w:r w:rsidR="00772A09">
        <w:rPr>
          <w:sz w:val="20"/>
          <w:szCs w:val="20"/>
        </w:rPr>
        <w:t>centr</w:t>
      </w:r>
      <w:r w:rsidR="00773E05">
        <w:rPr>
          <w:sz w:val="20"/>
          <w:szCs w:val="20"/>
        </w:rPr>
        <w:t xml:space="preserve">e to </w:t>
      </w:r>
      <w:r w:rsidR="00772A09">
        <w:rPr>
          <w:sz w:val="20"/>
          <w:szCs w:val="20"/>
        </w:rPr>
        <w:t xml:space="preserve">provide real-time </w:t>
      </w:r>
      <w:r w:rsidR="00FD230B">
        <w:rPr>
          <w:sz w:val="20"/>
          <w:szCs w:val="20"/>
        </w:rPr>
        <w:t xml:space="preserve">and demand-based </w:t>
      </w:r>
      <w:r w:rsidR="00772A09">
        <w:rPr>
          <w:sz w:val="20"/>
          <w:szCs w:val="20"/>
        </w:rPr>
        <w:t xml:space="preserve">analysis related to conflict prevention and </w:t>
      </w:r>
      <w:r w:rsidR="00773E05">
        <w:rPr>
          <w:sz w:val="20"/>
          <w:szCs w:val="20"/>
        </w:rPr>
        <w:t xml:space="preserve">the humanitarian-development-peace </w:t>
      </w:r>
      <w:r w:rsidR="00772A09">
        <w:rPr>
          <w:sz w:val="20"/>
          <w:szCs w:val="20"/>
        </w:rPr>
        <w:t xml:space="preserve">nexus in support of the </w:t>
      </w:r>
      <w:r w:rsidR="00773E05">
        <w:rPr>
          <w:sz w:val="20"/>
          <w:szCs w:val="20"/>
        </w:rPr>
        <w:t>G</w:t>
      </w:r>
      <w:r w:rsidR="00772A09">
        <w:rPr>
          <w:sz w:val="20"/>
          <w:szCs w:val="20"/>
        </w:rPr>
        <w:t>overnment’s effort</w:t>
      </w:r>
      <w:r w:rsidR="00773E05">
        <w:rPr>
          <w:sz w:val="20"/>
          <w:szCs w:val="20"/>
        </w:rPr>
        <w:t xml:space="preserve">s to </w:t>
      </w:r>
      <w:r w:rsidR="00FD230B">
        <w:rPr>
          <w:sz w:val="20"/>
          <w:szCs w:val="20"/>
        </w:rPr>
        <w:t xml:space="preserve">champion humanitarian </w:t>
      </w:r>
      <w:r w:rsidR="005D7894">
        <w:rPr>
          <w:sz w:val="20"/>
          <w:szCs w:val="20"/>
        </w:rPr>
        <w:t>leadership.</w:t>
      </w:r>
      <w:r w:rsidR="00FD230B">
        <w:rPr>
          <w:sz w:val="20"/>
          <w:szCs w:val="20"/>
        </w:rPr>
        <w:t xml:space="preserve"> </w:t>
      </w:r>
    </w:p>
    <w:p w14:paraId="46D91670" w14:textId="3682D6B6" w:rsidR="00415F1A" w:rsidRPr="00BD4D4D" w:rsidRDefault="00415F1A" w:rsidP="00E551D4">
      <w:pPr>
        <w:tabs>
          <w:tab w:val="left" w:pos="990"/>
        </w:tabs>
        <w:autoSpaceDE w:val="0"/>
        <w:autoSpaceDN w:val="0"/>
        <w:adjustRightInd w:val="0"/>
        <w:ind w:left="630" w:right="65"/>
        <w:contextualSpacing/>
        <w:jc w:val="both"/>
        <w:rPr>
          <w:sz w:val="12"/>
          <w:szCs w:val="12"/>
        </w:rPr>
      </w:pPr>
    </w:p>
    <w:p w14:paraId="37687FCC" w14:textId="0716649F" w:rsidR="009A47BF" w:rsidRPr="00415F1A" w:rsidRDefault="009A47BF" w:rsidP="00E551D4">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415F1A">
        <w:rPr>
          <w:sz w:val="20"/>
          <w:szCs w:val="20"/>
        </w:rPr>
        <w:t xml:space="preserve">Secondly, </w:t>
      </w:r>
      <w:r w:rsidRPr="001F2331">
        <w:rPr>
          <w:sz w:val="20"/>
          <w:szCs w:val="20"/>
        </w:rPr>
        <w:t xml:space="preserve">UNDP will </w:t>
      </w:r>
      <w:r w:rsidR="00415F1A" w:rsidRPr="00415F1A">
        <w:rPr>
          <w:sz w:val="20"/>
          <w:szCs w:val="20"/>
        </w:rPr>
        <w:t xml:space="preserve">support the </w:t>
      </w:r>
      <w:r w:rsidR="00773E05">
        <w:rPr>
          <w:sz w:val="20"/>
          <w:szCs w:val="20"/>
        </w:rPr>
        <w:t>G</w:t>
      </w:r>
      <w:r w:rsidR="00415F1A" w:rsidRPr="00415F1A">
        <w:rPr>
          <w:sz w:val="20"/>
          <w:szCs w:val="20"/>
        </w:rPr>
        <w:t>overnment</w:t>
      </w:r>
      <w:r w:rsidR="00F269F1">
        <w:rPr>
          <w:sz w:val="20"/>
          <w:szCs w:val="20"/>
        </w:rPr>
        <w:t>’s commu</w:t>
      </w:r>
      <w:r w:rsidR="00773E05">
        <w:rPr>
          <w:sz w:val="20"/>
          <w:szCs w:val="20"/>
        </w:rPr>
        <w:t>n</w:t>
      </w:r>
      <w:r w:rsidR="00F269F1">
        <w:rPr>
          <w:sz w:val="20"/>
          <w:szCs w:val="20"/>
        </w:rPr>
        <w:t xml:space="preserve">ications strategy </w:t>
      </w:r>
      <w:r w:rsidRPr="00415F1A">
        <w:rPr>
          <w:sz w:val="20"/>
          <w:szCs w:val="20"/>
        </w:rPr>
        <w:t xml:space="preserve">to inform the public </w:t>
      </w:r>
      <w:r w:rsidR="00E562CD">
        <w:rPr>
          <w:sz w:val="20"/>
          <w:szCs w:val="20"/>
        </w:rPr>
        <w:t xml:space="preserve">about </w:t>
      </w:r>
      <w:r w:rsidRPr="00415F1A">
        <w:rPr>
          <w:sz w:val="20"/>
          <w:szCs w:val="20"/>
        </w:rPr>
        <w:t xml:space="preserve">the vision for </w:t>
      </w:r>
      <w:r w:rsidR="00773E05">
        <w:rPr>
          <w:sz w:val="20"/>
          <w:szCs w:val="20"/>
        </w:rPr>
        <w:t xml:space="preserve">the </w:t>
      </w:r>
      <w:r w:rsidRPr="00415F1A">
        <w:rPr>
          <w:sz w:val="20"/>
          <w:szCs w:val="20"/>
        </w:rPr>
        <w:t>enhanced international role</w:t>
      </w:r>
      <w:r w:rsidR="00773E05">
        <w:rPr>
          <w:sz w:val="20"/>
          <w:szCs w:val="20"/>
        </w:rPr>
        <w:t xml:space="preserve"> of Kuwait</w:t>
      </w:r>
      <w:r w:rsidRPr="00415F1A">
        <w:rPr>
          <w:sz w:val="20"/>
          <w:szCs w:val="20"/>
        </w:rPr>
        <w:t xml:space="preserve"> and the impact of </w:t>
      </w:r>
      <w:r w:rsidR="00E562CD">
        <w:rPr>
          <w:sz w:val="20"/>
          <w:szCs w:val="20"/>
        </w:rPr>
        <w:t xml:space="preserve">its </w:t>
      </w:r>
      <w:r w:rsidRPr="00415F1A">
        <w:rPr>
          <w:sz w:val="20"/>
          <w:szCs w:val="20"/>
        </w:rPr>
        <w:t>assistance to other countries. This will be accompanied by capacity</w:t>
      </w:r>
      <w:r w:rsidR="00E562CD">
        <w:rPr>
          <w:sz w:val="20"/>
          <w:szCs w:val="20"/>
        </w:rPr>
        <w:t>-</w:t>
      </w:r>
      <w:r w:rsidRPr="00415F1A">
        <w:rPr>
          <w:sz w:val="20"/>
          <w:szCs w:val="20"/>
        </w:rPr>
        <w:t xml:space="preserve">building support for the collection of relevant data on </w:t>
      </w:r>
      <w:r w:rsidR="00E562CD">
        <w:rPr>
          <w:sz w:val="20"/>
          <w:szCs w:val="20"/>
        </w:rPr>
        <w:t xml:space="preserve">the </w:t>
      </w:r>
      <w:r w:rsidRPr="00415F1A">
        <w:rPr>
          <w:sz w:val="20"/>
          <w:szCs w:val="20"/>
        </w:rPr>
        <w:t>external assistance</w:t>
      </w:r>
      <w:r w:rsidR="00E562CD">
        <w:rPr>
          <w:sz w:val="20"/>
          <w:szCs w:val="20"/>
        </w:rPr>
        <w:t xml:space="preserve"> provided by Kuwait</w:t>
      </w:r>
      <w:r w:rsidRPr="00415F1A">
        <w:rPr>
          <w:sz w:val="20"/>
          <w:szCs w:val="20"/>
        </w:rPr>
        <w:t xml:space="preserve">, and ensuring </w:t>
      </w:r>
      <w:r w:rsidR="005430E1">
        <w:rPr>
          <w:sz w:val="20"/>
          <w:szCs w:val="20"/>
        </w:rPr>
        <w:t xml:space="preserve">that </w:t>
      </w:r>
      <w:r w:rsidRPr="00415F1A">
        <w:rPr>
          <w:sz w:val="20"/>
          <w:szCs w:val="20"/>
        </w:rPr>
        <w:t xml:space="preserve">this data is </w:t>
      </w:r>
      <w:r w:rsidR="00415F1A" w:rsidRPr="00415F1A">
        <w:rPr>
          <w:sz w:val="20"/>
          <w:szCs w:val="20"/>
        </w:rPr>
        <w:t xml:space="preserve">updated and available to relevant stakeholders. </w:t>
      </w:r>
      <w:r w:rsidRPr="00415F1A">
        <w:rPr>
          <w:sz w:val="20"/>
          <w:szCs w:val="20"/>
        </w:rPr>
        <w:t xml:space="preserve">Thirdly, UNDP will help </w:t>
      </w:r>
      <w:r w:rsidR="005430E1">
        <w:rPr>
          <w:sz w:val="20"/>
          <w:szCs w:val="20"/>
        </w:rPr>
        <w:t xml:space="preserve">to </w:t>
      </w:r>
      <w:r w:rsidRPr="00415F1A">
        <w:rPr>
          <w:sz w:val="20"/>
          <w:szCs w:val="20"/>
        </w:rPr>
        <w:t>enhance recognition of Kuwait</w:t>
      </w:r>
      <w:r w:rsidRPr="00415F1A">
        <w:rPr>
          <w:rFonts w:asciiTheme="majorBidi" w:hAnsiTheme="majorBidi" w:cstheme="majorBidi"/>
          <w:sz w:val="20"/>
          <w:szCs w:val="20"/>
        </w:rPr>
        <w:t xml:space="preserve"> as a pioneer of renewable energy and low-carbon development as part of its strategy to increase the share of renewable energy </w:t>
      </w:r>
      <w:r w:rsidR="00460076">
        <w:rPr>
          <w:rFonts w:asciiTheme="majorBidi" w:hAnsiTheme="majorBidi" w:cstheme="majorBidi"/>
          <w:sz w:val="20"/>
          <w:szCs w:val="20"/>
        </w:rPr>
        <w:t xml:space="preserve">of </w:t>
      </w:r>
      <w:r w:rsidR="00747821">
        <w:rPr>
          <w:rFonts w:asciiTheme="majorBidi" w:hAnsiTheme="majorBidi" w:cstheme="majorBidi"/>
          <w:sz w:val="20"/>
          <w:szCs w:val="20"/>
        </w:rPr>
        <w:t xml:space="preserve">the </w:t>
      </w:r>
      <w:r w:rsidR="00460076">
        <w:rPr>
          <w:rFonts w:asciiTheme="majorBidi" w:hAnsiTheme="majorBidi" w:cstheme="majorBidi"/>
          <w:sz w:val="20"/>
          <w:szCs w:val="20"/>
        </w:rPr>
        <w:t xml:space="preserve">total energy </w:t>
      </w:r>
      <w:r w:rsidR="00747821">
        <w:rPr>
          <w:rFonts w:asciiTheme="majorBidi" w:hAnsiTheme="majorBidi" w:cstheme="majorBidi"/>
          <w:sz w:val="20"/>
          <w:szCs w:val="20"/>
        </w:rPr>
        <w:t xml:space="preserve">generating capacity </w:t>
      </w:r>
      <w:r w:rsidRPr="00415F1A">
        <w:rPr>
          <w:rFonts w:asciiTheme="majorBidi" w:hAnsiTheme="majorBidi" w:cstheme="majorBidi"/>
          <w:sz w:val="20"/>
          <w:szCs w:val="20"/>
        </w:rPr>
        <w:t>to 15 per</w:t>
      </w:r>
      <w:r w:rsidR="00E562CD">
        <w:rPr>
          <w:rFonts w:asciiTheme="majorBidi" w:hAnsiTheme="majorBidi" w:cstheme="majorBidi"/>
          <w:sz w:val="20"/>
          <w:szCs w:val="20"/>
        </w:rPr>
        <w:t xml:space="preserve"> </w:t>
      </w:r>
      <w:r w:rsidRPr="00415F1A">
        <w:rPr>
          <w:rFonts w:asciiTheme="majorBidi" w:hAnsiTheme="majorBidi" w:cstheme="majorBidi"/>
          <w:sz w:val="20"/>
          <w:szCs w:val="20"/>
        </w:rPr>
        <w:t>cent by 2030</w:t>
      </w:r>
      <w:r w:rsidR="00B02217">
        <w:rPr>
          <w:rFonts w:asciiTheme="majorBidi" w:hAnsiTheme="majorBidi" w:cstheme="majorBidi"/>
          <w:sz w:val="20"/>
          <w:szCs w:val="20"/>
        </w:rPr>
        <w:t xml:space="preserve"> (</w:t>
      </w:r>
      <w:r w:rsidR="00E562CD">
        <w:rPr>
          <w:rFonts w:asciiTheme="majorBidi" w:hAnsiTheme="majorBidi" w:cstheme="majorBidi"/>
          <w:sz w:val="20"/>
          <w:szCs w:val="20"/>
        </w:rPr>
        <w:t xml:space="preserve">Goal </w:t>
      </w:r>
      <w:r w:rsidR="00B02217">
        <w:rPr>
          <w:rFonts w:asciiTheme="majorBidi" w:hAnsiTheme="majorBidi" w:cstheme="majorBidi"/>
          <w:sz w:val="20"/>
          <w:szCs w:val="20"/>
        </w:rPr>
        <w:t>7)</w:t>
      </w:r>
      <w:r w:rsidR="00B4084D">
        <w:rPr>
          <w:rFonts w:asciiTheme="majorBidi" w:hAnsiTheme="majorBidi" w:cstheme="majorBidi"/>
          <w:sz w:val="20"/>
          <w:szCs w:val="20"/>
        </w:rPr>
        <w:t xml:space="preserve"> by </w:t>
      </w:r>
      <w:r w:rsidRPr="00415F1A">
        <w:rPr>
          <w:rFonts w:asciiTheme="majorBidi" w:hAnsiTheme="majorBidi" w:cstheme="majorBidi"/>
          <w:sz w:val="20"/>
          <w:szCs w:val="20"/>
        </w:rPr>
        <w:t xml:space="preserve">promoting innovative public-private partnerships </w:t>
      </w:r>
      <w:r w:rsidR="005D7894" w:rsidRPr="00415F1A">
        <w:rPr>
          <w:rFonts w:asciiTheme="majorBidi" w:hAnsiTheme="majorBidi" w:cstheme="majorBidi"/>
          <w:sz w:val="20"/>
          <w:szCs w:val="20"/>
        </w:rPr>
        <w:t>to</w:t>
      </w:r>
      <w:r w:rsidR="005D7894">
        <w:rPr>
          <w:rFonts w:asciiTheme="majorBidi" w:hAnsiTheme="majorBidi" w:cstheme="majorBidi"/>
          <w:sz w:val="20"/>
          <w:szCs w:val="20"/>
        </w:rPr>
        <w:t xml:space="preserve"> promote</w:t>
      </w:r>
      <w:r w:rsidR="00DF5B23">
        <w:rPr>
          <w:rFonts w:asciiTheme="majorBidi" w:hAnsiTheme="majorBidi" w:cstheme="majorBidi"/>
          <w:sz w:val="20"/>
          <w:szCs w:val="20"/>
        </w:rPr>
        <w:t xml:space="preserve"> energy efficiency. </w:t>
      </w:r>
      <w:r w:rsidRPr="00415F1A">
        <w:rPr>
          <w:rFonts w:asciiTheme="majorBidi" w:hAnsiTheme="majorBidi" w:cstheme="majorBidi"/>
          <w:sz w:val="20"/>
          <w:szCs w:val="20"/>
        </w:rPr>
        <w:t xml:space="preserve">UNDP will help Kuwait </w:t>
      </w:r>
      <w:r w:rsidR="00551FB7">
        <w:rPr>
          <w:rFonts w:asciiTheme="majorBidi" w:hAnsiTheme="majorBidi" w:cstheme="majorBidi"/>
          <w:sz w:val="20"/>
          <w:szCs w:val="20"/>
        </w:rPr>
        <w:t xml:space="preserve">to </w:t>
      </w:r>
      <w:r w:rsidR="00891829">
        <w:rPr>
          <w:rFonts w:asciiTheme="majorBidi" w:hAnsiTheme="majorBidi" w:cstheme="majorBidi"/>
          <w:sz w:val="20"/>
          <w:szCs w:val="20"/>
        </w:rPr>
        <w:t>showcase</w:t>
      </w:r>
      <w:r w:rsidRPr="00415F1A">
        <w:rPr>
          <w:rFonts w:asciiTheme="majorBidi" w:hAnsiTheme="majorBidi" w:cstheme="majorBidi"/>
          <w:sz w:val="20"/>
          <w:szCs w:val="20"/>
        </w:rPr>
        <w:t xml:space="preserve"> </w:t>
      </w:r>
      <w:r w:rsidR="00C07A32">
        <w:rPr>
          <w:rFonts w:asciiTheme="majorBidi" w:hAnsiTheme="majorBidi" w:cstheme="majorBidi"/>
          <w:sz w:val="20"/>
          <w:szCs w:val="20"/>
        </w:rPr>
        <w:t xml:space="preserve">its </w:t>
      </w:r>
      <w:r w:rsidR="00891829">
        <w:rPr>
          <w:rFonts w:asciiTheme="majorBidi" w:hAnsiTheme="majorBidi" w:cstheme="majorBidi"/>
          <w:sz w:val="20"/>
          <w:szCs w:val="20"/>
        </w:rPr>
        <w:t>experiences</w:t>
      </w:r>
      <w:r w:rsidRPr="00415F1A">
        <w:rPr>
          <w:rFonts w:asciiTheme="majorBidi" w:hAnsiTheme="majorBidi" w:cstheme="majorBidi"/>
          <w:sz w:val="20"/>
          <w:szCs w:val="20"/>
        </w:rPr>
        <w:t xml:space="preserve"> in developing low-carbon solutions through investments in renewable energy systems in</w:t>
      </w:r>
      <w:r w:rsidR="00891829">
        <w:rPr>
          <w:rFonts w:asciiTheme="majorBidi" w:hAnsiTheme="majorBidi" w:cstheme="majorBidi"/>
          <w:sz w:val="20"/>
          <w:szCs w:val="20"/>
        </w:rPr>
        <w:t xml:space="preserve"> other</w:t>
      </w:r>
      <w:r w:rsidRPr="00415F1A">
        <w:rPr>
          <w:rFonts w:asciiTheme="majorBidi" w:hAnsiTheme="majorBidi" w:cstheme="majorBidi"/>
          <w:sz w:val="20"/>
          <w:szCs w:val="20"/>
        </w:rPr>
        <w:t xml:space="preserve"> countries, in part through cooperation with the One Planet Sovereign Wealth Fund Working Group, whose members</w:t>
      </w:r>
      <w:r w:rsidRPr="00046271">
        <w:rPr>
          <w:rStyle w:val="FootnoteReference"/>
          <w:rFonts w:asciiTheme="majorBidi" w:hAnsiTheme="majorBidi"/>
          <w:sz w:val="20"/>
          <w:szCs w:val="20"/>
        </w:rPr>
        <w:footnoteReference w:id="33"/>
      </w:r>
      <w:r w:rsidRPr="00415F1A">
        <w:rPr>
          <w:rFonts w:asciiTheme="majorBidi" w:hAnsiTheme="majorBidi" w:cstheme="majorBidi"/>
          <w:sz w:val="20"/>
          <w:szCs w:val="20"/>
        </w:rPr>
        <w:t xml:space="preserve"> </w:t>
      </w:r>
      <w:r w:rsidRPr="00415F1A">
        <w:rPr>
          <w:rFonts w:asciiTheme="majorBidi" w:eastAsiaTheme="minorEastAsia" w:hAnsiTheme="majorBidi" w:cstheme="majorBidi"/>
          <w:color w:val="000000" w:themeColor="text1"/>
          <w:kern w:val="24"/>
          <w:sz w:val="20"/>
          <w:szCs w:val="20"/>
        </w:rPr>
        <w:t>scale up investments in companies that factor climate risks into their corporate strategies.</w:t>
      </w:r>
    </w:p>
    <w:p w14:paraId="3EFB807D" w14:textId="77777777" w:rsidR="009A47BF" w:rsidRPr="00BD4D4D" w:rsidRDefault="009A47BF" w:rsidP="00E551D4">
      <w:pPr>
        <w:tabs>
          <w:tab w:val="left" w:pos="990"/>
        </w:tabs>
        <w:ind w:left="630" w:right="65"/>
        <w:jc w:val="both"/>
        <w:rPr>
          <w:sz w:val="12"/>
          <w:szCs w:val="12"/>
        </w:rPr>
      </w:pPr>
    </w:p>
    <w:p w14:paraId="517D0AE9" w14:textId="7AC8ACBF" w:rsidR="009A47BF" w:rsidRPr="00046271" w:rsidRDefault="005430E1" w:rsidP="00E551D4">
      <w:pPr>
        <w:pStyle w:val="ListParagraph"/>
        <w:numPr>
          <w:ilvl w:val="0"/>
          <w:numId w:val="26"/>
        </w:numPr>
        <w:tabs>
          <w:tab w:val="left" w:pos="990"/>
        </w:tabs>
        <w:autoSpaceDE w:val="0"/>
        <w:autoSpaceDN w:val="0"/>
        <w:adjustRightInd w:val="0"/>
        <w:ind w:left="630" w:right="65" w:firstLine="0"/>
        <w:contextualSpacing/>
        <w:jc w:val="both"/>
        <w:rPr>
          <w:sz w:val="20"/>
          <w:szCs w:val="20"/>
        </w:rPr>
      </w:pPr>
      <w:r>
        <w:rPr>
          <w:sz w:val="20"/>
          <w:szCs w:val="20"/>
        </w:rPr>
        <w:t xml:space="preserve">The </w:t>
      </w:r>
      <w:r w:rsidR="00066E43">
        <w:rPr>
          <w:sz w:val="20"/>
          <w:szCs w:val="20"/>
        </w:rPr>
        <w:t xml:space="preserve">GSSCPD and </w:t>
      </w:r>
      <w:r w:rsidR="009A47BF" w:rsidRPr="00046271">
        <w:rPr>
          <w:sz w:val="20"/>
          <w:szCs w:val="20"/>
        </w:rPr>
        <w:t xml:space="preserve">UNDP </w:t>
      </w:r>
      <w:r>
        <w:rPr>
          <w:sz w:val="20"/>
          <w:szCs w:val="20"/>
        </w:rPr>
        <w:t xml:space="preserve">will </w:t>
      </w:r>
      <w:r w:rsidR="006A7E4A">
        <w:rPr>
          <w:sz w:val="20"/>
          <w:szCs w:val="20"/>
        </w:rPr>
        <w:t xml:space="preserve">continue to </w:t>
      </w:r>
      <w:r w:rsidR="00066E43">
        <w:rPr>
          <w:sz w:val="20"/>
          <w:szCs w:val="20"/>
        </w:rPr>
        <w:t>invest in</w:t>
      </w:r>
      <w:r w:rsidR="009E7AEE">
        <w:rPr>
          <w:sz w:val="20"/>
          <w:szCs w:val="20"/>
        </w:rPr>
        <w:t xml:space="preserve"> </w:t>
      </w:r>
      <w:r>
        <w:rPr>
          <w:sz w:val="20"/>
          <w:szCs w:val="20"/>
        </w:rPr>
        <w:t xml:space="preserve">the </w:t>
      </w:r>
      <w:r w:rsidR="009A47BF" w:rsidRPr="00046271">
        <w:rPr>
          <w:sz w:val="20"/>
          <w:szCs w:val="20"/>
        </w:rPr>
        <w:t>next generation of Kuwaiti leaders</w:t>
      </w:r>
      <w:r w:rsidR="00066E43">
        <w:rPr>
          <w:sz w:val="20"/>
          <w:szCs w:val="20"/>
        </w:rPr>
        <w:t xml:space="preserve"> </w:t>
      </w:r>
      <w:r w:rsidR="004917E8">
        <w:rPr>
          <w:sz w:val="20"/>
          <w:szCs w:val="20"/>
        </w:rPr>
        <w:t>in</w:t>
      </w:r>
      <w:r w:rsidR="00066E43">
        <w:rPr>
          <w:sz w:val="20"/>
          <w:szCs w:val="20"/>
        </w:rPr>
        <w:t xml:space="preserve"> international organizations by</w:t>
      </w:r>
      <w:r w:rsidR="009A47BF" w:rsidRPr="00046271">
        <w:rPr>
          <w:sz w:val="20"/>
          <w:szCs w:val="20"/>
        </w:rPr>
        <w:t xml:space="preserve"> </w:t>
      </w:r>
      <w:r w:rsidR="006A7E4A">
        <w:rPr>
          <w:sz w:val="20"/>
          <w:szCs w:val="20"/>
        </w:rPr>
        <w:t xml:space="preserve">scaling up </w:t>
      </w:r>
      <w:r w:rsidR="004917E8">
        <w:rPr>
          <w:sz w:val="20"/>
          <w:szCs w:val="20"/>
        </w:rPr>
        <w:t xml:space="preserve">the </w:t>
      </w:r>
      <w:r w:rsidR="009A47BF" w:rsidRPr="00046271">
        <w:rPr>
          <w:sz w:val="20"/>
          <w:szCs w:val="20"/>
        </w:rPr>
        <w:t>Junior Professional Officer (JPO) pro</w:t>
      </w:r>
      <w:r w:rsidR="00C34833">
        <w:rPr>
          <w:sz w:val="20"/>
          <w:szCs w:val="20"/>
        </w:rPr>
        <w:t xml:space="preserve">ject. </w:t>
      </w:r>
      <w:r w:rsidR="004917E8">
        <w:rPr>
          <w:sz w:val="20"/>
          <w:szCs w:val="20"/>
        </w:rPr>
        <w:t xml:space="preserve">The </w:t>
      </w:r>
      <w:r w:rsidR="00E51A8E">
        <w:rPr>
          <w:sz w:val="20"/>
          <w:szCs w:val="20"/>
        </w:rPr>
        <w:t xml:space="preserve">country office will continue to work with </w:t>
      </w:r>
      <w:r w:rsidR="004917E8">
        <w:rPr>
          <w:sz w:val="20"/>
          <w:szCs w:val="20"/>
        </w:rPr>
        <w:t xml:space="preserve">the </w:t>
      </w:r>
      <w:r w:rsidR="009E7AEE">
        <w:rPr>
          <w:sz w:val="20"/>
          <w:szCs w:val="20"/>
        </w:rPr>
        <w:t>UNDP JPO service centre</w:t>
      </w:r>
      <w:r w:rsidR="00066E43">
        <w:rPr>
          <w:sz w:val="20"/>
          <w:szCs w:val="20"/>
        </w:rPr>
        <w:t>, U</w:t>
      </w:r>
      <w:r w:rsidR="004917E8">
        <w:rPr>
          <w:sz w:val="20"/>
          <w:szCs w:val="20"/>
        </w:rPr>
        <w:t xml:space="preserve">nited </w:t>
      </w:r>
      <w:r w:rsidR="00066E43">
        <w:rPr>
          <w:sz w:val="20"/>
          <w:szCs w:val="20"/>
        </w:rPr>
        <w:t>N</w:t>
      </w:r>
      <w:r w:rsidR="004917E8">
        <w:rPr>
          <w:sz w:val="20"/>
          <w:szCs w:val="20"/>
        </w:rPr>
        <w:t>ations</w:t>
      </w:r>
      <w:r w:rsidR="00066E43">
        <w:rPr>
          <w:sz w:val="20"/>
          <w:szCs w:val="20"/>
        </w:rPr>
        <w:t xml:space="preserve"> </w:t>
      </w:r>
      <w:r w:rsidR="004917E8">
        <w:rPr>
          <w:sz w:val="20"/>
          <w:szCs w:val="20"/>
        </w:rPr>
        <w:t>S</w:t>
      </w:r>
      <w:r w:rsidR="00066E43">
        <w:rPr>
          <w:sz w:val="20"/>
          <w:szCs w:val="20"/>
        </w:rPr>
        <w:t>ecretariat and other entities</w:t>
      </w:r>
      <w:r w:rsidR="009A47BF" w:rsidRPr="00046271">
        <w:rPr>
          <w:sz w:val="20"/>
          <w:szCs w:val="20"/>
        </w:rPr>
        <w:t xml:space="preserve"> to give young Kuwaiti professionals </w:t>
      </w:r>
      <w:r w:rsidR="004917E8">
        <w:rPr>
          <w:sz w:val="20"/>
          <w:szCs w:val="20"/>
        </w:rPr>
        <w:t>the opportunity to serve the United Nations system</w:t>
      </w:r>
      <w:r w:rsidR="009A47BF" w:rsidRPr="00046271">
        <w:rPr>
          <w:sz w:val="20"/>
          <w:szCs w:val="20"/>
        </w:rPr>
        <w:t>.</w:t>
      </w:r>
      <w:r w:rsidR="001E03CB">
        <w:rPr>
          <w:sz w:val="20"/>
          <w:szCs w:val="20"/>
        </w:rPr>
        <w:t xml:space="preserve"> </w:t>
      </w:r>
      <w:r w:rsidR="009A47BF" w:rsidRPr="00046271">
        <w:rPr>
          <w:sz w:val="20"/>
          <w:szCs w:val="20"/>
        </w:rPr>
        <w:t xml:space="preserve"> </w:t>
      </w:r>
    </w:p>
    <w:p w14:paraId="45185BC5" w14:textId="77777777" w:rsidR="009A47BF" w:rsidRPr="00BD4D4D" w:rsidRDefault="009A47BF" w:rsidP="007F5C41">
      <w:pPr>
        <w:pStyle w:val="ListParagraph"/>
        <w:tabs>
          <w:tab w:val="left" w:pos="900"/>
        </w:tabs>
        <w:ind w:left="630" w:right="65"/>
        <w:rPr>
          <w:sz w:val="12"/>
          <w:szCs w:val="12"/>
        </w:rPr>
      </w:pPr>
    </w:p>
    <w:p w14:paraId="52856736" w14:textId="0D0C0868" w:rsidR="009A47BF" w:rsidRPr="009A00A5" w:rsidRDefault="00772A09" w:rsidP="007F5C41">
      <w:pPr>
        <w:tabs>
          <w:tab w:val="left" w:pos="900"/>
        </w:tabs>
        <w:ind w:left="630" w:right="65"/>
        <w:jc w:val="both"/>
        <w:rPr>
          <w:rFonts w:asciiTheme="majorBidi" w:hAnsiTheme="majorBidi" w:cstheme="majorBidi"/>
          <w:b/>
          <w:bCs/>
          <w:iCs/>
          <w:color w:val="000000" w:themeColor="text1"/>
          <w:sz w:val="20"/>
          <w:szCs w:val="20"/>
        </w:rPr>
      </w:pPr>
      <w:r w:rsidRPr="009A00A5">
        <w:rPr>
          <w:rFonts w:asciiTheme="majorBidi" w:hAnsiTheme="majorBidi" w:cstheme="majorBidi"/>
          <w:b/>
          <w:bCs/>
          <w:iCs/>
          <w:color w:val="000000" w:themeColor="text1"/>
          <w:sz w:val="20"/>
          <w:szCs w:val="20"/>
        </w:rPr>
        <w:t>P</w:t>
      </w:r>
      <w:r w:rsidR="00655200" w:rsidRPr="009A00A5">
        <w:rPr>
          <w:rFonts w:asciiTheme="majorBidi" w:hAnsiTheme="majorBidi" w:cstheme="majorBidi"/>
          <w:b/>
          <w:bCs/>
          <w:iCs/>
          <w:color w:val="000000" w:themeColor="text1"/>
          <w:sz w:val="20"/>
          <w:szCs w:val="20"/>
        </w:rPr>
        <w:t xml:space="preserve">artnerships with the </w:t>
      </w:r>
      <w:r w:rsidRPr="009A00A5">
        <w:rPr>
          <w:rFonts w:asciiTheme="majorBidi" w:hAnsiTheme="majorBidi" w:cstheme="majorBidi"/>
          <w:b/>
          <w:bCs/>
          <w:iCs/>
          <w:color w:val="000000" w:themeColor="text1"/>
          <w:sz w:val="20"/>
          <w:szCs w:val="20"/>
        </w:rPr>
        <w:t xml:space="preserve">private </w:t>
      </w:r>
      <w:r w:rsidR="00655200" w:rsidRPr="009A00A5">
        <w:rPr>
          <w:rFonts w:asciiTheme="majorBidi" w:hAnsiTheme="majorBidi" w:cstheme="majorBidi"/>
          <w:b/>
          <w:bCs/>
          <w:iCs/>
          <w:color w:val="000000" w:themeColor="text1"/>
          <w:sz w:val="20"/>
          <w:szCs w:val="20"/>
        </w:rPr>
        <w:t xml:space="preserve">sector </w:t>
      </w:r>
      <w:r w:rsidRPr="009A00A5">
        <w:rPr>
          <w:rFonts w:asciiTheme="majorBidi" w:hAnsiTheme="majorBidi" w:cstheme="majorBidi"/>
          <w:b/>
          <w:bCs/>
          <w:iCs/>
          <w:color w:val="000000" w:themeColor="text1"/>
          <w:sz w:val="20"/>
          <w:szCs w:val="20"/>
        </w:rPr>
        <w:t>for s</w:t>
      </w:r>
      <w:r w:rsidR="009A47BF" w:rsidRPr="009A00A5">
        <w:rPr>
          <w:rFonts w:asciiTheme="majorBidi" w:hAnsiTheme="majorBidi" w:cstheme="majorBidi"/>
          <w:b/>
          <w:bCs/>
          <w:iCs/>
          <w:color w:val="000000" w:themeColor="text1"/>
          <w:sz w:val="20"/>
          <w:szCs w:val="20"/>
        </w:rPr>
        <w:t>ustainable energy and environment</w:t>
      </w:r>
    </w:p>
    <w:p w14:paraId="62D569DE" w14:textId="77777777" w:rsidR="009A47BF" w:rsidRPr="00BD4D4D" w:rsidRDefault="009A47BF" w:rsidP="007F5C41">
      <w:pPr>
        <w:tabs>
          <w:tab w:val="left" w:pos="900"/>
        </w:tabs>
        <w:ind w:left="630" w:right="65"/>
        <w:jc w:val="both"/>
        <w:rPr>
          <w:iCs/>
          <w:sz w:val="12"/>
          <w:szCs w:val="12"/>
        </w:rPr>
      </w:pPr>
    </w:p>
    <w:p w14:paraId="304B4F07" w14:textId="36409BC9" w:rsidR="009A47BF" w:rsidRPr="00046271" w:rsidRDefault="009A47BF" w:rsidP="00E551D4">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rPr>
        <w:t xml:space="preserve">UNDP will help </w:t>
      </w:r>
      <w:r w:rsidR="009A00A5">
        <w:rPr>
          <w:sz w:val="20"/>
          <w:szCs w:val="20"/>
        </w:rPr>
        <w:t xml:space="preserve">to </w:t>
      </w:r>
      <w:r w:rsidRPr="00046271">
        <w:rPr>
          <w:sz w:val="20"/>
          <w:szCs w:val="20"/>
        </w:rPr>
        <w:t xml:space="preserve">build the national capacities required to develop the data infrastructure and policies to </w:t>
      </w:r>
      <w:r w:rsidR="00C50C22">
        <w:rPr>
          <w:sz w:val="20"/>
          <w:szCs w:val="20"/>
        </w:rPr>
        <w:t xml:space="preserve">support clean energy </w:t>
      </w:r>
      <w:r w:rsidRPr="00046271">
        <w:rPr>
          <w:sz w:val="20"/>
          <w:szCs w:val="20"/>
        </w:rPr>
        <w:t>(</w:t>
      </w:r>
      <w:r w:rsidR="009A00A5">
        <w:rPr>
          <w:sz w:val="20"/>
          <w:szCs w:val="20"/>
        </w:rPr>
        <w:t>Goal</w:t>
      </w:r>
      <w:r w:rsidR="009A00A5" w:rsidRPr="00046271">
        <w:rPr>
          <w:sz w:val="20"/>
          <w:szCs w:val="20"/>
        </w:rPr>
        <w:t xml:space="preserve">s </w:t>
      </w:r>
      <w:r w:rsidRPr="00046271">
        <w:rPr>
          <w:sz w:val="20"/>
          <w:szCs w:val="20"/>
        </w:rPr>
        <w:t>7 and 9)</w:t>
      </w:r>
      <w:r w:rsidR="00C50C22">
        <w:rPr>
          <w:sz w:val="20"/>
          <w:szCs w:val="20"/>
        </w:rPr>
        <w:t>.</w:t>
      </w:r>
      <w:r w:rsidRPr="00046271">
        <w:rPr>
          <w:sz w:val="20"/>
          <w:szCs w:val="20"/>
        </w:rPr>
        <w:t xml:space="preserve">To lay the foundations for greater diversification </w:t>
      </w:r>
      <w:r w:rsidR="009A00A5">
        <w:rPr>
          <w:sz w:val="20"/>
          <w:szCs w:val="20"/>
        </w:rPr>
        <w:t xml:space="preserve">of </w:t>
      </w:r>
      <w:r w:rsidR="004917E8">
        <w:rPr>
          <w:sz w:val="20"/>
          <w:szCs w:val="20"/>
        </w:rPr>
        <w:t xml:space="preserve">the Kuwaiti </w:t>
      </w:r>
      <w:r w:rsidR="009A00A5" w:rsidRPr="00046271">
        <w:rPr>
          <w:sz w:val="20"/>
          <w:szCs w:val="20"/>
        </w:rPr>
        <w:t>econom</w:t>
      </w:r>
      <w:r w:rsidR="009A00A5">
        <w:rPr>
          <w:sz w:val="20"/>
          <w:szCs w:val="20"/>
        </w:rPr>
        <w:t xml:space="preserve">y </w:t>
      </w:r>
      <w:r w:rsidR="009A00A5" w:rsidRPr="00046271">
        <w:rPr>
          <w:sz w:val="20"/>
          <w:szCs w:val="20"/>
        </w:rPr>
        <w:t xml:space="preserve">and energy supply </w:t>
      </w:r>
      <w:r w:rsidRPr="00046271">
        <w:rPr>
          <w:sz w:val="20"/>
          <w:szCs w:val="20"/>
        </w:rPr>
        <w:t xml:space="preserve">and </w:t>
      </w:r>
      <w:r w:rsidR="009A00A5">
        <w:rPr>
          <w:sz w:val="20"/>
          <w:szCs w:val="20"/>
        </w:rPr>
        <w:t xml:space="preserve">for </w:t>
      </w:r>
      <w:r w:rsidRPr="00046271">
        <w:rPr>
          <w:sz w:val="20"/>
          <w:szCs w:val="20"/>
        </w:rPr>
        <w:t>long-term stability, UNDP</w:t>
      </w:r>
      <w:r w:rsidR="009A00A5">
        <w:rPr>
          <w:sz w:val="20"/>
          <w:szCs w:val="20"/>
        </w:rPr>
        <w:t>,</w:t>
      </w:r>
      <w:r w:rsidRPr="00046271">
        <w:rPr>
          <w:sz w:val="20"/>
          <w:szCs w:val="20"/>
        </w:rPr>
        <w:t xml:space="preserve"> in </w:t>
      </w:r>
      <w:r w:rsidR="009A00A5">
        <w:rPr>
          <w:sz w:val="20"/>
          <w:szCs w:val="20"/>
        </w:rPr>
        <w:t xml:space="preserve">cooperation </w:t>
      </w:r>
      <w:r w:rsidR="00C50C22">
        <w:rPr>
          <w:sz w:val="20"/>
          <w:szCs w:val="20"/>
        </w:rPr>
        <w:t>with GSSCPD</w:t>
      </w:r>
      <w:r w:rsidR="009A00A5">
        <w:rPr>
          <w:sz w:val="20"/>
          <w:szCs w:val="20"/>
        </w:rPr>
        <w:t xml:space="preserve">, </w:t>
      </w:r>
      <w:r w:rsidR="00C50C22">
        <w:rPr>
          <w:sz w:val="20"/>
          <w:szCs w:val="20"/>
        </w:rPr>
        <w:t xml:space="preserve"> the Higher Council for Environm</w:t>
      </w:r>
      <w:r w:rsidR="00F66F83">
        <w:rPr>
          <w:sz w:val="20"/>
          <w:szCs w:val="20"/>
        </w:rPr>
        <w:t>e</w:t>
      </w:r>
      <w:r w:rsidR="00C50C22">
        <w:rPr>
          <w:sz w:val="20"/>
          <w:szCs w:val="20"/>
        </w:rPr>
        <w:t xml:space="preserve">nt, </w:t>
      </w:r>
      <w:r w:rsidRPr="00046271">
        <w:rPr>
          <w:sz w:val="20"/>
          <w:szCs w:val="20"/>
        </w:rPr>
        <w:t xml:space="preserve">Kuwait Institute for Scientific Research and </w:t>
      </w:r>
      <w:r w:rsidR="004917E8">
        <w:rPr>
          <w:sz w:val="20"/>
          <w:szCs w:val="20"/>
        </w:rPr>
        <w:t>NOSD</w:t>
      </w:r>
      <w:r w:rsidR="009A00A5">
        <w:rPr>
          <w:sz w:val="20"/>
          <w:szCs w:val="20"/>
        </w:rPr>
        <w:t>,</w:t>
      </w:r>
      <w:r w:rsidRPr="00046271">
        <w:rPr>
          <w:sz w:val="20"/>
          <w:szCs w:val="20"/>
        </w:rPr>
        <w:t xml:space="preserve"> </w:t>
      </w:r>
      <w:r w:rsidR="005D3E39">
        <w:rPr>
          <w:sz w:val="20"/>
          <w:szCs w:val="20"/>
        </w:rPr>
        <w:t>will</w:t>
      </w:r>
      <w:r w:rsidRPr="00046271">
        <w:rPr>
          <w:sz w:val="20"/>
          <w:szCs w:val="20"/>
        </w:rPr>
        <w:t xml:space="preserve"> fill energy data gaps building</w:t>
      </w:r>
      <w:r w:rsidR="00E60F03">
        <w:rPr>
          <w:sz w:val="20"/>
          <w:szCs w:val="20"/>
        </w:rPr>
        <w:t xml:space="preserve"> </w:t>
      </w:r>
      <w:r w:rsidRPr="00046271">
        <w:rPr>
          <w:sz w:val="20"/>
          <w:szCs w:val="20"/>
        </w:rPr>
        <w:t xml:space="preserve">on the success of the Kuwait Energy Outlook initiative. </w:t>
      </w:r>
      <w:r w:rsidR="00F66F83">
        <w:rPr>
          <w:sz w:val="20"/>
          <w:szCs w:val="20"/>
        </w:rPr>
        <w:t>To</w:t>
      </w:r>
      <w:r w:rsidRPr="00046271">
        <w:rPr>
          <w:sz w:val="20"/>
          <w:szCs w:val="20"/>
        </w:rPr>
        <w:t xml:space="preserve"> promote the innovations necessary to move Kuwait to a more low-carbon</w:t>
      </w:r>
      <w:r w:rsidR="00C50C22">
        <w:rPr>
          <w:sz w:val="20"/>
          <w:szCs w:val="20"/>
        </w:rPr>
        <w:t xml:space="preserve"> economy</w:t>
      </w:r>
      <w:r w:rsidRPr="00046271">
        <w:rPr>
          <w:sz w:val="20"/>
          <w:szCs w:val="20"/>
        </w:rPr>
        <w:t xml:space="preserve">, UNDP will </w:t>
      </w:r>
      <w:r w:rsidR="00C50C22">
        <w:rPr>
          <w:sz w:val="20"/>
          <w:szCs w:val="20"/>
        </w:rPr>
        <w:t>work with UN</w:t>
      </w:r>
      <w:r w:rsidR="009A00A5">
        <w:rPr>
          <w:sz w:val="20"/>
          <w:szCs w:val="20"/>
        </w:rPr>
        <w:t>EP</w:t>
      </w:r>
      <w:r w:rsidR="00C50C22">
        <w:rPr>
          <w:sz w:val="20"/>
          <w:szCs w:val="20"/>
        </w:rPr>
        <w:t xml:space="preserve"> to </w:t>
      </w:r>
      <w:r w:rsidRPr="00046271">
        <w:rPr>
          <w:sz w:val="20"/>
          <w:szCs w:val="20"/>
        </w:rPr>
        <w:t xml:space="preserve">support the </w:t>
      </w:r>
      <w:r w:rsidRPr="00046271">
        <w:rPr>
          <w:sz w:val="20"/>
          <w:szCs w:val="20"/>
        </w:rPr>
        <w:lastRenderedPageBreak/>
        <w:t>establishment of a knowledge platform</w:t>
      </w:r>
      <w:r w:rsidR="00C50C22">
        <w:rPr>
          <w:sz w:val="20"/>
          <w:szCs w:val="20"/>
        </w:rPr>
        <w:t>/centr</w:t>
      </w:r>
      <w:r w:rsidR="003415D1">
        <w:rPr>
          <w:sz w:val="20"/>
          <w:szCs w:val="20"/>
        </w:rPr>
        <w:t>e</w:t>
      </w:r>
      <w:r w:rsidRPr="00046271">
        <w:rPr>
          <w:sz w:val="20"/>
          <w:szCs w:val="20"/>
        </w:rPr>
        <w:t xml:space="preserve"> to raise public awareness </w:t>
      </w:r>
      <w:r w:rsidR="00F66F83">
        <w:rPr>
          <w:sz w:val="20"/>
          <w:szCs w:val="20"/>
        </w:rPr>
        <w:t>and</w:t>
      </w:r>
      <w:r w:rsidRPr="00046271">
        <w:rPr>
          <w:sz w:val="20"/>
          <w:szCs w:val="20"/>
        </w:rPr>
        <w:t xml:space="preserve"> bring public and private actors together to exchange and </w:t>
      </w:r>
      <w:r w:rsidR="00C50C22">
        <w:rPr>
          <w:sz w:val="20"/>
          <w:szCs w:val="20"/>
        </w:rPr>
        <w:t>incubate</w:t>
      </w:r>
      <w:r w:rsidRPr="00046271">
        <w:rPr>
          <w:sz w:val="20"/>
          <w:szCs w:val="20"/>
        </w:rPr>
        <w:t xml:space="preserve"> new ideas and innovative solutions </w:t>
      </w:r>
      <w:r w:rsidRPr="00046271">
        <w:rPr>
          <w:rFonts w:asciiTheme="majorBidi" w:hAnsiTheme="majorBidi" w:cstheme="majorBidi"/>
          <w:sz w:val="20"/>
          <w:szCs w:val="20"/>
        </w:rPr>
        <w:t>for sustainable energy investment</w:t>
      </w:r>
      <w:r w:rsidR="001407C5">
        <w:rPr>
          <w:rFonts w:asciiTheme="majorBidi" w:hAnsiTheme="majorBidi" w:cstheme="majorBidi"/>
          <w:sz w:val="20"/>
          <w:szCs w:val="20"/>
        </w:rPr>
        <w:t xml:space="preserve"> with a potential for scaling</w:t>
      </w:r>
      <w:r w:rsidR="004917E8">
        <w:rPr>
          <w:rFonts w:asciiTheme="majorBidi" w:hAnsiTheme="majorBidi" w:cstheme="majorBidi"/>
          <w:sz w:val="20"/>
          <w:szCs w:val="20"/>
        </w:rPr>
        <w:t>-up</w:t>
      </w:r>
      <w:r w:rsidRPr="00046271">
        <w:rPr>
          <w:rFonts w:asciiTheme="majorBidi" w:hAnsiTheme="majorBidi" w:cstheme="majorBidi"/>
          <w:sz w:val="20"/>
          <w:szCs w:val="20"/>
        </w:rPr>
        <w:t>. It aims to minimize</w:t>
      </w:r>
      <w:r w:rsidR="00E60F03">
        <w:rPr>
          <w:rFonts w:asciiTheme="majorBidi" w:hAnsiTheme="majorBidi" w:cstheme="majorBidi"/>
          <w:sz w:val="20"/>
          <w:szCs w:val="20"/>
        </w:rPr>
        <w:t xml:space="preserve"> </w:t>
      </w:r>
      <w:r w:rsidRPr="00046271">
        <w:rPr>
          <w:rFonts w:asciiTheme="majorBidi" w:hAnsiTheme="majorBidi" w:cstheme="majorBidi"/>
          <w:sz w:val="20"/>
          <w:szCs w:val="20"/>
        </w:rPr>
        <w:t xml:space="preserve">financing costs, reduce energy consumption </w:t>
      </w:r>
      <w:r w:rsidRPr="00046271">
        <w:rPr>
          <w:sz w:val="20"/>
          <w:szCs w:val="20"/>
        </w:rPr>
        <w:t>and develop new business opportunities in an expanding sustain</w:t>
      </w:r>
      <w:r w:rsidR="003415D1">
        <w:rPr>
          <w:sz w:val="20"/>
          <w:szCs w:val="20"/>
        </w:rPr>
        <w:t>able</w:t>
      </w:r>
      <w:r w:rsidRPr="00046271">
        <w:rPr>
          <w:sz w:val="20"/>
          <w:szCs w:val="20"/>
        </w:rPr>
        <w:t xml:space="preserve"> energy sector. </w:t>
      </w:r>
    </w:p>
    <w:p w14:paraId="5423902A" w14:textId="77777777" w:rsidR="009A47BF" w:rsidRPr="00BD4D4D" w:rsidRDefault="009A47BF" w:rsidP="00E551D4">
      <w:pPr>
        <w:tabs>
          <w:tab w:val="left" w:pos="990"/>
        </w:tabs>
        <w:autoSpaceDE w:val="0"/>
        <w:autoSpaceDN w:val="0"/>
        <w:adjustRightInd w:val="0"/>
        <w:ind w:left="630" w:right="65"/>
        <w:contextualSpacing/>
        <w:jc w:val="both"/>
        <w:rPr>
          <w:sz w:val="12"/>
          <w:szCs w:val="12"/>
        </w:rPr>
      </w:pPr>
    </w:p>
    <w:p w14:paraId="1C5F9980" w14:textId="67A542E9" w:rsidR="00FA3476" w:rsidRPr="00FA3476" w:rsidRDefault="009A47BF" w:rsidP="00E551D4">
      <w:pPr>
        <w:pStyle w:val="ListParagraph"/>
        <w:numPr>
          <w:ilvl w:val="0"/>
          <w:numId w:val="26"/>
        </w:numPr>
        <w:tabs>
          <w:tab w:val="left" w:pos="990"/>
        </w:tabs>
        <w:ind w:left="630" w:right="65" w:firstLine="0"/>
        <w:jc w:val="both"/>
        <w:rPr>
          <w:rFonts w:asciiTheme="majorBidi" w:hAnsiTheme="majorBidi" w:cstheme="majorBidi"/>
          <w:sz w:val="20"/>
          <w:szCs w:val="20"/>
        </w:rPr>
      </w:pPr>
      <w:r w:rsidRPr="00FA3476">
        <w:rPr>
          <w:rFonts w:asciiTheme="majorBidi" w:hAnsiTheme="majorBidi" w:cstheme="majorBidi"/>
          <w:sz w:val="20"/>
          <w:szCs w:val="20"/>
        </w:rPr>
        <w:t xml:space="preserve">UNDP will partner with </w:t>
      </w:r>
      <w:r w:rsidR="006C7483">
        <w:rPr>
          <w:rFonts w:asciiTheme="majorBidi" w:hAnsiTheme="majorBidi" w:cstheme="majorBidi"/>
          <w:sz w:val="20"/>
          <w:szCs w:val="20"/>
        </w:rPr>
        <w:t xml:space="preserve">the private sector </w:t>
      </w:r>
      <w:r w:rsidR="001726D1" w:rsidRPr="00FA3476">
        <w:rPr>
          <w:rFonts w:asciiTheme="majorBidi" w:hAnsiTheme="majorBidi" w:cstheme="majorBidi"/>
          <w:sz w:val="20"/>
          <w:szCs w:val="20"/>
        </w:rPr>
        <w:t>and NGOs</w:t>
      </w:r>
      <w:r w:rsidRPr="00FA3476">
        <w:rPr>
          <w:rFonts w:asciiTheme="majorBidi" w:hAnsiTheme="majorBidi" w:cstheme="majorBidi"/>
          <w:sz w:val="20"/>
          <w:szCs w:val="20"/>
        </w:rPr>
        <w:t xml:space="preserve"> on </w:t>
      </w:r>
      <w:r w:rsidR="00733D66">
        <w:rPr>
          <w:rFonts w:asciiTheme="majorBidi" w:hAnsiTheme="majorBidi" w:cstheme="majorBidi"/>
          <w:sz w:val="20"/>
          <w:szCs w:val="20"/>
        </w:rPr>
        <w:t xml:space="preserve">creative </w:t>
      </w:r>
      <w:r w:rsidRPr="00FA3476">
        <w:rPr>
          <w:rFonts w:asciiTheme="majorBidi" w:hAnsiTheme="majorBidi" w:cstheme="majorBidi"/>
          <w:sz w:val="20"/>
          <w:szCs w:val="20"/>
        </w:rPr>
        <w:t xml:space="preserve">advocacy </w:t>
      </w:r>
      <w:r w:rsidR="00F269F1">
        <w:rPr>
          <w:rFonts w:asciiTheme="majorBidi" w:hAnsiTheme="majorBidi" w:cstheme="majorBidi"/>
          <w:sz w:val="20"/>
          <w:szCs w:val="20"/>
        </w:rPr>
        <w:t xml:space="preserve">and communication efforts </w:t>
      </w:r>
      <w:r w:rsidRPr="00FA3476">
        <w:rPr>
          <w:rFonts w:asciiTheme="majorBidi" w:hAnsiTheme="majorBidi" w:cstheme="majorBidi"/>
          <w:sz w:val="20"/>
          <w:szCs w:val="20"/>
        </w:rPr>
        <w:t xml:space="preserve">to raise environmental awareness and </w:t>
      </w:r>
      <w:r w:rsidR="003415D1">
        <w:rPr>
          <w:rFonts w:asciiTheme="majorBidi" w:hAnsiTheme="majorBidi" w:cstheme="majorBidi"/>
          <w:sz w:val="20"/>
          <w:szCs w:val="20"/>
        </w:rPr>
        <w:t xml:space="preserve">promote </w:t>
      </w:r>
      <w:r w:rsidRPr="00FA3476">
        <w:rPr>
          <w:rFonts w:asciiTheme="majorBidi" w:hAnsiTheme="majorBidi" w:cstheme="majorBidi"/>
          <w:sz w:val="20"/>
          <w:szCs w:val="20"/>
        </w:rPr>
        <w:t xml:space="preserve">actions to </w:t>
      </w:r>
      <w:r w:rsidR="00415F1A" w:rsidRPr="00FA3476">
        <w:rPr>
          <w:rFonts w:asciiTheme="majorBidi" w:hAnsiTheme="majorBidi" w:cstheme="majorBidi"/>
          <w:sz w:val="20"/>
          <w:szCs w:val="20"/>
        </w:rPr>
        <w:t xml:space="preserve">achieve </w:t>
      </w:r>
      <w:r w:rsidR="003415D1">
        <w:rPr>
          <w:rFonts w:asciiTheme="majorBidi" w:hAnsiTheme="majorBidi" w:cstheme="majorBidi"/>
          <w:sz w:val="20"/>
          <w:szCs w:val="20"/>
        </w:rPr>
        <w:t xml:space="preserve">the </w:t>
      </w:r>
      <w:r w:rsidR="00415F1A" w:rsidRPr="00FA3476">
        <w:rPr>
          <w:rFonts w:asciiTheme="majorBidi" w:hAnsiTheme="majorBidi" w:cstheme="majorBidi"/>
          <w:sz w:val="20"/>
          <w:szCs w:val="20"/>
        </w:rPr>
        <w:t xml:space="preserve">national targets </w:t>
      </w:r>
      <w:r w:rsidR="003415D1">
        <w:rPr>
          <w:rFonts w:asciiTheme="majorBidi" w:hAnsiTheme="majorBidi" w:cstheme="majorBidi"/>
          <w:sz w:val="20"/>
          <w:szCs w:val="20"/>
        </w:rPr>
        <w:t>for Sustainable Development Goals</w:t>
      </w:r>
      <w:r w:rsidR="00415F1A" w:rsidRPr="00FA3476">
        <w:rPr>
          <w:rFonts w:asciiTheme="majorBidi" w:hAnsiTheme="majorBidi" w:cstheme="majorBidi"/>
          <w:sz w:val="20"/>
          <w:szCs w:val="20"/>
        </w:rPr>
        <w:t xml:space="preserve"> 7, 11, 12, 13 and 14</w:t>
      </w:r>
      <w:r w:rsidR="00A157E2">
        <w:rPr>
          <w:rFonts w:asciiTheme="majorBidi" w:hAnsiTheme="majorBidi" w:cstheme="majorBidi"/>
          <w:sz w:val="20"/>
          <w:szCs w:val="20"/>
        </w:rPr>
        <w:t xml:space="preserve">. This </w:t>
      </w:r>
      <w:r w:rsidR="00BE2D68">
        <w:rPr>
          <w:rFonts w:asciiTheme="majorBidi" w:hAnsiTheme="majorBidi" w:cstheme="majorBidi"/>
          <w:sz w:val="20"/>
          <w:szCs w:val="20"/>
        </w:rPr>
        <w:t>involves</w:t>
      </w:r>
      <w:r w:rsidR="009F49C4">
        <w:rPr>
          <w:rFonts w:asciiTheme="majorBidi" w:hAnsiTheme="majorBidi" w:cstheme="majorBidi"/>
          <w:sz w:val="20"/>
          <w:szCs w:val="20"/>
        </w:rPr>
        <w:t xml:space="preserve"> </w:t>
      </w:r>
      <w:r w:rsidR="003415D1">
        <w:rPr>
          <w:rFonts w:asciiTheme="majorBidi" w:hAnsiTheme="majorBidi" w:cstheme="majorBidi"/>
          <w:sz w:val="20"/>
          <w:szCs w:val="20"/>
        </w:rPr>
        <w:t>inter alia</w:t>
      </w:r>
      <w:r w:rsidR="00BE2D68">
        <w:rPr>
          <w:rFonts w:asciiTheme="majorBidi" w:hAnsiTheme="majorBidi" w:cstheme="majorBidi"/>
          <w:sz w:val="20"/>
          <w:szCs w:val="20"/>
        </w:rPr>
        <w:t xml:space="preserve"> </w:t>
      </w:r>
      <w:r w:rsidR="00FA3476" w:rsidRPr="00FA3476">
        <w:rPr>
          <w:rFonts w:asciiTheme="majorBidi" w:hAnsiTheme="majorBidi" w:cstheme="majorBidi"/>
          <w:sz w:val="20"/>
          <w:szCs w:val="20"/>
        </w:rPr>
        <w:t>addressing the policy gaps</w:t>
      </w:r>
      <w:r w:rsidR="003415D1">
        <w:rPr>
          <w:rFonts w:asciiTheme="majorBidi" w:hAnsiTheme="majorBidi" w:cstheme="majorBidi"/>
          <w:sz w:val="20"/>
          <w:szCs w:val="20"/>
        </w:rPr>
        <w:t xml:space="preserve"> </w:t>
      </w:r>
      <w:r w:rsidR="00FA3476" w:rsidRPr="00FA3476">
        <w:rPr>
          <w:rFonts w:asciiTheme="majorBidi" w:hAnsiTheme="majorBidi" w:cstheme="majorBidi"/>
          <w:sz w:val="20"/>
          <w:szCs w:val="20"/>
        </w:rPr>
        <w:t xml:space="preserve"> which have been highlighted by KPPC research papers</w:t>
      </w:r>
      <w:r w:rsidR="0065459E">
        <w:rPr>
          <w:rFonts w:asciiTheme="majorBidi" w:hAnsiTheme="majorBidi" w:cstheme="majorBidi"/>
          <w:sz w:val="20"/>
          <w:szCs w:val="20"/>
        </w:rPr>
        <w:t>;</w:t>
      </w:r>
      <w:r w:rsidR="00FC420B">
        <w:rPr>
          <w:rFonts w:asciiTheme="majorBidi" w:hAnsiTheme="majorBidi" w:cstheme="majorBidi"/>
          <w:sz w:val="20"/>
          <w:szCs w:val="20"/>
        </w:rPr>
        <w:t xml:space="preserve"> </w:t>
      </w:r>
      <w:r w:rsidRPr="00FA3476">
        <w:rPr>
          <w:rFonts w:asciiTheme="majorBidi" w:hAnsiTheme="majorBidi" w:cstheme="majorBidi"/>
          <w:sz w:val="20"/>
          <w:szCs w:val="20"/>
        </w:rPr>
        <w:t xml:space="preserve">using </w:t>
      </w:r>
      <w:r w:rsidR="00B02425" w:rsidRPr="00FA3476">
        <w:rPr>
          <w:rFonts w:asciiTheme="majorBidi" w:hAnsiTheme="majorBidi" w:cstheme="majorBidi"/>
          <w:sz w:val="20"/>
          <w:szCs w:val="20"/>
        </w:rPr>
        <w:t>behavioural</w:t>
      </w:r>
      <w:r w:rsidRPr="00FA3476">
        <w:rPr>
          <w:rFonts w:asciiTheme="majorBidi" w:hAnsiTheme="majorBidi" w:cstheme="majorBidi"/>
          <w:sz w:val="20"/>
          <w:szCs w:val="20"/>
        </w:rPr>
        <w:t xml:space="preserve"> science to raise </w:t>
      </w:r>
      <w:r w:rsidR="003415D1">
        <w:rPr>
          <w:rFonts w:asciiTheme="majorBidi" w:hAnsiTheme="majorBidi" w:cstheme="majorBidi"/>
          <w:sz w:val="20"/>
          <w:szCs w:val="20"/>
        </w:rPr>
        <w:t xml:space="preserve">the awareness of the </w:t>
      </w:r>
      <w:r w:rsidRPr="00FA3476">
        <w:rPr>
          <w:rFonts w:asciiTheme="majorBidi" w:hAnsiTheme="majorBidi" w:cstheme="majorBidi"/>
          <w:sz w:val="20"/>
          <w:szCs w:val="20"/>
        </w:rPr>
        <w:t xml:space="preserve">public and business </w:t>
      </w:r>
      <w:r w:rsidR="003415D1">
        <w:rPr>
          <w:rFonts w:asciiTheme="majorBidi" w:hAnsiTheme="majorBidi" w:cstheme="majorBidi"/>
          <w:sz w:val="20"/>
          <w:szCs w:val="20"/>
        </w:rPr>
        <w:t xml:space="preserve">of </w:t>
      </w:r>
      <w:r w:rsidRPr="00FA3476">
        <w:rPr>
          <w:rFonts w:asciiTheme="majorBidi" w:hAnsiTheme="majorBidi" w:cstheme="majorBidi"/>
          <w:sz w:val="20"/>
          <w:szCs w:val="20"/>
        </w:rPr>
        <w:t>recycling</w:t>
      </w:r>
      <w:r w:rsidR="003415D1">
        <w:rPr>
          <w:rFonts w:asciiTheme="majorBidi" w:hAnsiTheme="majorBidi" w:cstheme="majorBidi"/>
          <w:sz w:val="20"/>
          <w:szCs w:val="20"/>
        </w:rPr>
        <w:t xml:space="preserve"> </w:t>
      </w:r>
      <w:r w:rsidRPr="00FA3476">
        <w:rPr>
          <w:rFonts w:asciiTheme="majorBidi" w:hAnsiTheme="majorBidi" w:cstheme="majorBidi"/>
          <w:sz w:val="20"/>
          <w:szCs w:val="20"/>
        </w:rPr>
        <w:t>and environmental protection</w:t>
      </w:r>
      <w:r w:rsidR="00ED18CA">
        <w:rPr>
          <w:rFonts w:asciiTheme="majorBidi" w:hAnsiTheme="majorBidi" w:cstheme="majorBidi"/>
          <w:sz w:val="20"/>
          <w:szCs w:val="20"/>
        </w:rPr>
        <w:t xml:space="preserve">; and </w:t>
      </w:r>
      <w:r w:rsidRPr="00FA3476">
        <w:rPr>
          <w:rFonts w:asciiTheme="majorBidi" w:hAnsiTheme="majorBidi" w:cstheme="majorBidi"/>
          <w:sz w:val="20"/>
          <w:szCs w:val="20"/>
        </w:rPr>
        <w:t>mak</w:t>
      </w:r>
      <w:r w:rsidR="00ED18CA">
        <w:rPr>
          <w:rFonts w:asciiTheme="majorBidi" w:hAnsiTheme="majorBidi" w:cstheme="majorBidi"/>
          <w:sz w:val="20"/>
          <w:szCs w:val="20"/>
        </w:rPr>
        <w:t>ing</w:t>
      </w:r>
      <w:r w:rsidRPr="00FA3476">
        <w:rPr>
          <w:rFonts w:asciiTheme="majorBidi" w:hAnsiTheme="majorBidi" w:cstheme="majorBidi"/>
          <w:sz w:val="20"/>
          <w:szCs w:val="20"/>
        </w:rPr>
        <w:t xml:space="preserve"> </w:t>
      </w:r>
      <w:r w:rsidR="002A222D" w:rsidRPr="00FA3476">
        <w:rPr>
          <w:rFonts w:asciiTheme="majorBidi" w:hAnsiTheme="majorBidi" w:cstheme="majorBidi"/>
          <w:sz w:val="20"/>
          <w:szCs w:val="20"/>
        </w:rPr>
        <w:t>Kuwait</w:t>
      </w:r>
      <w:r w:rsidR="003415D1">
        <w:rPr>
          <w:rFonts w:asciiTheme="majorBidi" w:hAnsiTheme="majorBidi" w:cstheme="majorBidi"/>
          <w:sz w:val="20"/>
          <w:szCs w:val="20"/>
        </w:rPr>
        <w:t>i</w:t>
      </w:r>
      <w:r w:rsidR="002A222D" w:rsidRPr="00FA3476">
        <w:rPr>
          <w:rFonts w:asciiTheme="majorBidi" w:hAnsiTheme="majorBidi" w:cstheme="majorBidi"/>
          <w:sz w:val="20"/>
          <w:szCs w:val="20"/>
        </w:rPr>
        <w:t xml:space="preserve"> cities </w:t>
      </w:r>
      <w:r w:rsidRPr="00FA3476">
        <w:rPr>
          <w:rFonts w:asciiTheme="majorBidi" w:hAnsiTheme="majorBidi" w:cstheme="majorBidi"/>
          <w:sz w:val="20"/>
          <w:szCs w:val="20"/>
        </w:rPr>
        <w:t>greener</w:t>
      </w:r>
      <w:r w:rsidR="002A222D" w:rsidRPr="00FA3476">
        <w:rPr>
          <w:rFonts w:asciiTheme="majorBidi" w:hAnsiTheme="majorBidi" w:cstheme="majorBidi"/>
          <w:sz w:val="20"/>
          <w:szCs w:val="20"/>
        </w:rPr>
        <w:t xml:space="preserve"> and healthier through </w:t>
      </w:r>
      <w:r w:rsidR="003415D1">
        <w:rPr>
          <w:rFonts w:asciiTheme="majorBidi" w:hAnsiTheme="majorBidi" w:cstheme="majorBidi"/>
          <w:sz w:val="20"/>
          <w:szCs w:val="20"/>
        </w:rPr>
        <w:t>multisectoral “h</w:t>
      </w:r>
      <w:r w:rsidR="002A222D" w:rsidRPr="00FA3476">
        <w:rPr>
          <w:rFonts w:asciiTheme="majorBidi" w:hAnsiTheme="majorBidi" w:cstheme="majorBidi"/>
          <w:sz w:val="20"/>
          <w:szCs w:val="20"/>
        </w:rPr>
        <w:t xml:space="preserve">ealthy </w:t>
      </w:r>
      <w:r w:rsidR="003415D1">
        <w:rPr>
          <w:rFonts w:asciiTheme="majorBidi" w:hAnsiTheme="majorBidi" w:cstheme="majorBidi"/>
          <w:sz w:val="20"/>
          <w:szCs w:val="20"/>
        </w:rPr>
        <w:t>c</w:t>
      </w:r>
      <w:r w:rsidR="002A222D" w:rsidRPr="00FA3476">
        <w:rPr>
          <w:rFonts w:asciiTheme="majorBidi" w:hAnsiTheme="majorBidi" w:cstheme="majorBidi"/>
          <w:sz w:val="20"/>
          <w:szCs w:val="20"/>
        </w:rPr>
        <w:t>ity</w:t>
      </w:r>
      <w:r w:rsidR="003415D1">
        <w:rPr>
          <w:rFonts w:asciiTheme="majorBidi" w:hAnsiTheme="majorBidi" w:cstheme="majorBidi"/>
          <w:sz w:val="20"/>
          <w:szCs w:val="20"/>
        </w:rPr>
        <w:t>”</w:t>
      </w:r>
      <w:r w:rsidR="002A222D" w:rsidRPr="00FA3476">
        <w:rPr>
          <w:rFonts w:asciiTheme="majorBidi" w:hAnsiTheme="majorBidi" w:cstheme="majorBidi"/>
          <w:sz w:val="20"/>
          <w:szCs w:val="20"/>
        </w:rPr>
        <w:t xml:space="preserve"> initiatives</w:t>
      </w:r>
      <w:r w:rsidR="004917E8">
        <w:rPr>
          <w:rFonts w:asciiTheme="majorBidi" w:hAnsiTheme="majorBidi" w:cstheme="majorBidi"/>
          <w:sz w:val="20"/>
          <w:szCs w:val="20"/>
        </w:rPr>
        <w:t>,</w:t>
      </w:r>
      <w:r w:rsidR="00FA3476" w:rsidRPr="00FA3476">
        <w:rPr>
          <w:rFonts w:asciiTheme="majorBidi" w:hAnsiTheme="majorBidi" w:cstheme="majorBidi"/>
          <w:sz w:val="20"/>
          <w:szCs w:val="20"/>
        </w:rPr>
        <w:t xml:space="preserve"> </w:t>
      </w:r>
      <w:r w:rsidR="00081A66">
        <w:rPr>
          <w:rFonts w:asciiTheme="majorBidi" w:hAnsiTheme="majorBidi" w:cstheme="majorBidi"/>
          <w:sz w:val="20"/>
          <w:szCs w:val="20"/>
        </w:rPr>
        <w:t>upon request.</w:t>
      </w:r>
      <w:r w:rsidR="003415D1">
        <w:rPr>
          <w:rFonts w:asciiTheme="majorBidi" w:hAnsiTheme="majorBidi" w:cstheme="majorBidi"/>
          <w:sz w:val="20"/>
          <w:szCs w:val="20"/>
        </w:rPr>
        <w:t xml:space="preserve"> For example, </w:t>
      </w:r>
      <w:r w:rsidR="00F269F1">
        <w:rPr>
          <w:rFonts w:asciiTheme="majorBidi" w:hAnsiTheme="majorBidi" w:cstheme="majorBidi"/>
          <w:sz w:val="20"/>
          <w:szCs w:val="20"/>
        </w:rPr>
        <w:t>UNDP</w:t>
      </w:r>
      <w:r w:rsidR="00FA3476" w:rsidRPr="00FA3476">
        <w:rPr>
          <w:rFonts w:asciiTheme="majorBidi" w:hAnsiTheme="majorBidi" w:cstheme="majorBidi"/>
          <w:sz w:val="20"/>
          <w:szCs w:val="20"/>
        </w:rPr>
        <w:t xml:space="preserve"> will </w:t>
      </w:r>
      <w:r w:rsidR="00F66F83">
        <w:rPr>
          <w:rFonts w:asciiTheme="majorBidi" w:hAnsiTheme="majorBidi" w:cstheme="majorBidi"/>
          <w:sz w:val="20"/>
          <w:szCs w:val="20"/>
        </w:rPr>
        <w:t xml:space="preserve">help </w:t>
      </w:r>
      <w:r w:rsidR="003415D1">
        <w:rPr>
          <w:rFonts w:asciiTheme="majorBidi" w:hAnsiTheme="majorBidi" w:cstheme="majorBidi"/>
          <w:sz w:val="20"/>
          <w:szCs w:val="20"/>
        </w:rPr>
        <w:t xml:space="preserve">to </w:t>
      </w:r>
      <w:r w:rsidR="00F66F83">
        <w:rPr>
          <w:rFonts w:asciiTheme="majorBidi" w:hAnsiTheme="majorBidi" w:cstheme="majorBidi"/>
          <w:sz w:val="20"/>
          <w:szCs w:val="20"/>
        </w:rPr>
        <w:t>develop</w:t>
      </w:r>
      <w:r w:rsidR="00FA3476" w:rsidRPr="00FA3476">
        <w:rPr>
          <w:rFonts w:asciiTheme="majorBidi" w:hAnsiTheme="majorBidi" w:cstheme="majorBidi"/>
          <w:sz w:val="20"/>
          <w:szCs w:val="20"/>
        </w:rPr>
        <w:t xml:space="preserve"> a recycling strategy</w:t>
      </w:r>
      <w:r w:rsidR="00807C0E">
        <w:rPr>
          <w:rFonts w:asciiTheme="majorBidi" w:hAnsiTheme="majorBidi" w:cstheme="majorBidi"/>
          <w:sz w:val="20"/>
          <w:szCs w:val="20"/>
        </w:rPr>
        <w:t xml:space="preserve">, </w:t>
      </w:r>
      <w:r w:rsidR="00FA3476" w:rsidRPr="00FA3476">
        <w:rPr>
          <w:rFonts w:asciiTheme="majorBidi" w:hAnsiTheme="majorBidi" w:cstheme="majorBidi"/>
          <w:sz w:val="20"/>
          <w:szCs w:val="20"/>
        </w:rPr>
        <w:t xml:space="preserve">leveraging the </w:t>
      </w:r>
      <w:r w:rsidR="00B718A9">
        <w:rPr>
          <w:rFonts w:asciiTheme="majorBidi" w:hAnsiTheme="majorBidi" w:cstheme="majorBidi"/>
          <w:sz w:val="20"/>
          <w:szCs w:val="20"/>
        </w:rPr>
        <w:t xml:space="preserve">interest </w:t>
      </w:r>
      <w:r w:rsidR="00FA3476" w:rsidRPr="00FA3476">
        <w:rPr>
          <w:rFonts w:asciiTheme="majorBidi" w:hAnsiTheme="majorBidi" w:cstheme="majorBidi"/>
          <w:sz w:val="20"/>
          <w:szCs w:val="20"/>
        </w:rPr>
        <w:t>of private companies</w:t>
      </w:r>
      <w:r w:rsidR="00207A37">
        <w:rPr>
          <w:rFonts w:asciiTheme="majorBidi" w:hAnsiTheme="majorBidi" w:cstheme="majorBidi"/>
          <w:sz w:val="20"/>
          <w:szCs w:val="20"/>
        </w:rPr>
        <w:t>.</w:t>
      </w:r>
    </w:p>
    <w:p w14:paraId="38CF41B9" w14:textId="7F6FF357" w:rsidR="009A47BF" w:rsidRPr="00BD4D4D" w:rsidRDefault="009A47BF" w:rsidP="007F5C41">
      <w:pPr>
        <w:tabs>
          <w:tab w:val="left" w:pos="900"/>
        </w:tabs>
        <w:ind w:left="630" w:right="65"/>
        <w:jc w:val="both"/>
      </w:pPr>
    </w:p>
    <w:p w14:paraId="1CFB9B06" w14:textId="67029803" w:rsidR="009A47BF" w:rsidRPr="00BD4D4D" w:rsidRDefault="009A47BF" w:rsidP="00BD4D4D">
      <w:pPr>
        <w:pStyle w:val="ListParagraph"/>
        <w:numPr>
          <w:ilvl w:val="0"/>
          <w:numId w:val="33"/>
        </w:numPr>
        <w:tabs>
          <w:tab w:val="left" w:pos="630"/>
        </w:tabs>
        <w:ind w:right="65" w:hanging="1260"/>
        <w:rPr>
          <w:b/>
          <w:sz w:val="28"/>
          <w:szCs w:val="28"/>
        </w:rPr>
      </w:pPr>
      <w:r w:rsidRPr="00BD4D4D">
        <w:rPr>
          <w:b/>
          <w:sz w:val="28"/>
          <w:szCs w:val="28"/>
        </w:rPr>
        <w:t xml:space="preserve">Programme </w:t>
      </w:r>
      <w:r w:rsidR="00952E10">
        <w:rPr>
          <w:b/>
          <w:sz w:val="28"/>
          <w:szCs w:val="28"/>
        </w:rPr>
        <w:t xml:space="preserve">and risk </w:t>
      </w:r>
      <w:r w:rsidR="00BD4D4D">
        <w:rPr>
          <w:b/>
          <w:sz w:val="28"/>
          <w:szCs w:val="28"/>
        </w:rPr>
        <w:t>m</w:t>
      </w:r>
      <w:r w:rsidRPr="00BD4D4D">
        <w:rPr>
          <w:b/>
          <w:sz w:val="28"/>
          <w:szCs w:val="28"/>
        </w:rPr>
        <w:t>anagement</w:t>
      </w:r>
    </w:p>
    <w:p w14:paraId="7B76F039" w14:textId="77777777" w:rsidR="009A47BF" w:rsidRPr="00046271" w:rsidRDefault="009A47BF" w:rsidP="007F5C41">
      <w:pPr>
        <w:tabs>
          <w:tab w:val="left" w:pos="900"/>
        </w:tabs>
        <w:ind w:left="630" w:right="65"/>
        <w:rPr>
          <w:sz w:val="20"/>
          <w:szCs w:val="20"/>
        </w:rPr>
      </w:pPr>
    </w:p>
    <w:p w14:paraId="1CEAB0A6" w14:textId="077E21C9" w:rsidR="009A47BF" w:rsidRPr="00046271" w:rsidRDefault="009A47BF" w:rsidP="00226BDD">
      <w:pPr>
        <w:pStyle w:val="ListParagraph"/>
        <w:numPr>
          <w:ilvl w:val="0"/>
          <w:numId w:val="26"/>
        </w:numPr>
        <w:tabs>
          <w:tab w:val="left" w:pos="990"/>
        </w:tabs>
        <w:autoSpaceDE w:val="0"/>
        <w:autoSpaceDN w:val="0"/>
        <w:adjustRightInd w:val="0"/>
        <w:ind w:left="630" w:right="65" w:firstLine="0"/>
        <w:contextualSpacing/>
        <w:jc w:val="both"/>
        <w:rPr>
          <w:color w:val="000000" w:themeColor="text1"/>
          <w:sz w:val="20"/>
          <w:szCs w:val="20"/>
        </w:rPr>
      </w:pPr>
      <w:r w:rsidRPr="00046271">
        <w:rPr>
          <w:color w:val="000000"/>
          <w:sz w:val="20"/>
          <w:szCs w:val="20"/>
        </w:rPr>
        <w:t xml:space="preserve">This country programme document outlines </w:t>
      </w:r>
      <w:r w:rsidR="003415D1">
        <w:rPr>
          <w:color w:val="000000"/>
          <w:sz w:val="20"/>
          <w:szCs w:val="20"/>
        </w:rPr>
        <w:t xml:space="preserve">the </w:t>
      </w:r>
      <w:r w:rsidRPr="00046271">
        <w:rPr>
          <w:color w:val="000000"/>
          <w:sz w:val="20"/>
          <w:szCs w:val="20"/>
        </w:rPr>
        <w:t xml:space="preserve">UNDP contributions to national results and serves as the primary unit of accountability to the Executive Board for results alignment and resources assigned to the programme at country level. Accountabilities of managers at the country, regional and </w:t>
      </w:r>
      <w:r w:rsidRPr="00046271">
        <w:rPr>
          <w:color w:val="000000" w:themeColor="text1"/>
          <w:sz w:val="20"/>
          <w:szCs w:val="20"/>
        </w:rPr>
        <w:t>headquarter</w:t>
      </w:r>
      <w:r w:rsidR="00D22F41">
        <w:rPr>
          <w:color w:val="000000" w:themeColor="text1"/>
          <w:sz w:val="20"/>
          <w:szCs w:val="20"/>
        </w:rPr>
        <w:t>s</w:t>
      </w:r>
      <w:r w:rsidRPr="00046271">
        <w:rPr>
          <w:color w:val="000000" w:themeColor="text1"/>
          <w:sz w:val="20"/>
          <w:szCs w:val="20"/>
        </w:rPr>
        <w:t xml:space="preserve"> levels with respect to country programmes </w:t>
      </w:r>
      <w:r w:rsidR="003415D1">
        <w:rPr>
          <w:color w:val="000000" w:themeColor="text1"/>
          <w:sz w:val="20"/>
          <w:szCs w:val="20"/>
        </w:rPr>
        <w:t xml:space="preserve">are </w:t>
      </w:r>
      <w:r w:rsidRPr="00046271">
        <w:rPr>
          <w:color w:val="000000" w:themeColor="text1"/>
          <w:sz w:val="20"/>
          <w:szCs w:val="20"/>
        </w:rPr>
        <w:t xml:space="preserve">prescribed in the organization’s </w:t>
      </w:r>
      <w:hyperlink r:id="rId16" w:history="1">
        <w:r w:rsidR="003415D1">
          <w:rPr>
            <w:rStyle w:val="Hyperlink"/>
            <w:color w:val="000000" w:themeColor="text1"/>
            <w:sz w:val="20"/>
            <w:szCs w:val="20"/>
          </w:rPr>
          <w:t>p</w:t>
        </w:r>
        <w:r w:rsidRPr="00046271">
          <w:rPr>
            <w:rStyle w:val="Hyperlink"/>
            <w:color w:val="000000" w:themeColor="text1"/>
            <w:sz w:val="20"/>
            <w:szCs w:val="20"/>
          </w:rPr>
          <w:t xml:space="preserve">rogramme and </w:t>
        </w:r>
        <w:r w:rsidR="003415D1">
          <w:rPr>
            <w:rStyle w:val="Hyperlink"/>
            <w:color w:val="000000" w:themeColor="text1"/>
            <w:sz w:val="20"/>
            <w:szCs w:val="20"/>
          </w:rPr>
          <w:t>o</w:t>
        </w:r>
        <w:r w:rsidRPr="00046271">
          <w:rPr>
            <w:rStyle w:val="Hyperlink"/>
            <w:color w:val="000000" w:themeColor="text1"/>
            <w:sz w:val="20"/>
            <w:szCs w:val="20"/>
          </w:rPr>
          <w:t xml:space="preserve">perations </w:t>
        </w:r>
        <w:r w:rsidR="003415D1">
          <w:rPr>
            <w:rStyle w:val="Hyperlink"/>
            <w:color w:val="000000" w:themeColor="text1"/>
            <w:sz w:val="20"/>
            <w:szCs w:val="20"/>
          </w:rPr>
          <w:t>p</w:t>
        </w:r>
        <w:r w:rsidRPr="00046271">
          <w:rPr>
            <w:rStyle w:val="Hyperlink"/>
            <w:color w:val="000000" w:themeColor="text1"/>
            <w:sz w:val="20"/>
            <w:szCs w:val="20"/>
          </w:rPr>
          <w:t xml:space="preserve">olicies and </w:t>
        </w:r>
        <w:r w:rsidR="003415D1">
          <w:rPr>
            <w:rStyle w:val="Hyperlink"/>
            <w:color w:val="000000" w:themeColor="text1"/>
            <w:sz w:val="20"/>
            <w:szCs w:val="20"/>
          </w:rPr>
          <w:t>p</w:t>
        </w:r>
        <w:r w:rsidRPr="00046271">
          <w:rPr>
            <w:rStyle w:val="Hyperlink"/>
            <w:color w:val="000000" w:themeColor="text1"/>
            <w:sz w:val="20"/>
            <w:szCs w:val="20"/>
          </w:rPr>
          <w:t>rocedures</w:t>
        </w:r>
      </w:hyperlink>
      <w:r w:rsidRPr="00046271">
        <w:rPr>
          <w:color w:val="000000" w:themeColor="text1"/>
          <w:sz w:val="20"/>
          <w:szCs w:val="20"/>
        </w:rPr>
        <w:t xml:space="preserve"> and the </w:t>
      </w:r>
      <w:r w:rsidR="003415D1">
        <w:rPr>
          <w:color w:val="000000" w:themeColor="text1"/>
          <w:sz w:val="20"/>
          <w:szCs w:val="20"/>
        </w:rPr>
        <w:t>i</w:t>
      </w:r>
      <w:hyperlink r:id="rId17" w:history="1">
        <w:r w:rsidRPr="00046271">
          <w:rPr>
            <w:rStyle w:val="Hyperlink"/>
            <w:color w:val="000000" w:themeColor="text1"/>
            <w:sz w:val="20"/>
            <w:szCs w:val="20"/>
          </w:rPr>
          <w:t xml:space="preserve">nternal </w:t>
        </w:r>
        <w:r w:rsidR="003415D1">
          <w:rPr>
            <w:rStyle w:val="Hyperlink"/>
            <w:color w:val="000000" w:themeColor="text1"/>
            <w:sz w:val="20"/>
            <w:szCs w:val="20"/>
          </w:rPr>
          <w:t>c</w:t>
        </w:r>
        <w:r w:rsidRPr="00046271">
          <w:rPr>
            <w:rStyle w:val="Hyperlink"/>
            <w:color w:val="000000" w:themeColor="text1"/>
            <w:sz w:val="20"/>
            <w:szCs w:val="20"/>
          </w:rPr>
          <w:t xml:space="preserve">ontrol </w:t>
        </w:r>
        <w:r w:rsidR="003415D1">
          <w:rPr>
            <w:rStyle w:val="Hyperlink"/>
            <w:color w:val="000000" w:themeColor="text1"/>
            <w:sz w:val="20"/>
            <w:szCs w:val="20"/>
          </w:rPr>
          <w:t>f</w:t>
        </w:r>
        <w:r w:rsidRPr="00046271">
          <w:rPr>
            <w:rStyle w:val="Hyperlink"/>
            <w:color w:val="000000" w:themeColor="text1"/>
            <w:sz w:val="20"/>
            <w:szCs w:val="20"/>
          </w:rPr>
          <w:t>ramework</w:t>
        </w:r>
      </w:hyperlink>
      <w:r w:rsidRPr="00046271">
        <w:rPr>
          <w:rStyle w:val="Hyperlink"/>
          <w:color w:val="000000" w:themeColor="text1"/>
          <w:sz w:val="20"/>
          <w:szCs w:val="20"/>
        </w:rPr>
        <w:t xml:space="preserve">. </w:t>
      </w:r>
      <w:r w:rsidRPr="00046271">
        <w:rPr>
          <w:sz w:val="20"/>
          <w:szCs w:val="20"/>
          <w:lang w:val="en-ZW"/>
        </w:rPr>
        <w:t xml:space="preserve">The programme will be nationally executed. UNDP support to </w:t>
      </w:r>
      <w:r w:rsidR="003415D1">
        <w:rPr>
          <w:sz w:val="20"/>
          <w:szCs w:val="20"/>
          <w:lang w:val="en-ZW"/>
        </w:rPr>
        <w:t xml:space="preserve">the national execution </w:t>
      </w:r>
      <w:r w:rsidRPr="00046271">
        <w:rPr>
          <w:sz w:val="20"/>
          <w:szCs w:val="20"/>
          <w:lang w:val="en-ZW"/>
        </w:rPr>
        <w:t xml:space="preserve">modality will be continued as an added value of this programme to lessen </w:t>
      </w:r>
      <w:r w:rsidR="003415D1">
        <w:rPr>
          <w:sz w:val="20"/>
          <w:szCs w:val="20"/>
          <w:lang w:val="en-ZW"/>
        </w:rPr>
        <w:t xml:space="preserve">the </w:t>
      </w:r>
      <w:r w:rsidRPr="00046271">
        <w:rPr>
          <w:sz w:val="20"/>
          <w:szCs w:val="20"/>
          <w:lang w:val="en-ZW"/>
        </w:rPr>
        <w:t xml:space="preserve">operational burden </w:t>
      </w:r>
      <w:r w:rsidR="003415D1">
        <w:rPr>
          <w:sz w:val="20"/>
          <w:szCs w:val="20"/>
          <w:lang w:val="en-ZW"/>
        </w:rPr>
        <w:t xml:space="preserve">on </w:t>
      </w:r>
      <w:r w:rsidRPr="00046271">
        <w:rPr>
          <w:sz w:val="20"/>
          <w:szCs w:val="20"/>
          <w:lang w:val="en-ZW"/>
        </w:rPr>
        <w:t xml:space="preserve">government counterparts. </w:t>
      </w:r>
      <w:r w:rsidR="005D3E39">
        <w:rPr>
          <w:sz w:val="20"/>
          <w:szCs w:val="20"/>
          <w:lang w:val="en-ZW"/>
        </w:rPr>
        <w:t xml:space="preserve">The </w:t>
      </w:r>
      <w:r w:rsidR="003415D1">
        <w:rPr>
          <w:sz w:val="20"/>
          <w:szCs w:val="20"/>
          <w:lang w:val="en-ZW"/>
        </w:rPr>
        <w:t>h</w:t>
      </w:r>
      <w:r w:rsidR="003415D1" w:rsidRPr="00046271">
        <w:rPr>
          <w:sz w:val="20"/>
          <w:szCs w:val="20"/>
          <w:lang w:val="en-ZW"/>
        </w:rPr>
        <w:t>armoni</w:t>
      </w:r>
      <w:r w:rsidR="003415D1">
        <w:rPr>
          <w:sz w:val="20"/>
          <w:szCs w:val="20"/>
          <w:lang w:val="en-ZW"/>
        </w:rPr>
        <w:t>z</w:t>
      </w:r>
      <w:r w:rsidR="003415D1" w:rsidRPr="00046271">
        <w:rPr>
          <w:sz w:val="20"/>
          <w:szCs w:val="20"/>
          <w:lang w:val="en-ZW"/>
        </w:rPr>
        <w:t xml:space="preserve">ed </w:t>
      </w:r>
      <w:r w:rsidR="003415D1">
        <w:rPr>
          <w:sz w:val="20"/>
          <w:szCs w:val="20"/>
          <w:lang w:val="en-ZW"/>
        </w:rPr>
        <w:t>a</w:t>
      </w:r>
      <w:r w:rsidR="003415D1" w:rsidRPr="00046271">
        <w:rPr>
          <w:sz w:val="20"/>
          <w:szCs w:val="20"/>
          <w:lang w:val="en-ZW"/>
        </w:rPr>
        <w:t xml:space="preserve">pproach </w:t>
      </w:r>
      <w:r w:rsidRPr="00046271">
        <w:rPr>
          <w:sz w:val="20"/>
          <w:szCs w:val="20"/>
          <w:lang w:val="en-ZW"/>
        </w:rPr>
        <w:t xml:space="preserve">to </w:t>
      </w:r>
      <w:r w:rsidR="003415D1">
        <w:rPr>
          <w:sz w:val="20"/>
          <w:szCs w:val="20"/>
          <w:lang w:val="en-ZW"/>
        </w:rPr>
        <w:t>c</w:t>
      </w:r>
      <w:r w:rsidRPr="00046271">
        <w:rPr>
          <w:sz w:val="20"/>
          <w:szCs w:val="20"/>
          <w:lang w:val="en-ZW"/>
        </w:rPr>
        <w:t xml:space="preserve">ash </w:t>
      </w:r>
      <w:r w:rsidR="003415D1">
        <w:rPr>
          <w:sz w:val="20"/>
          <w:szCs w:val="20"/>
          <w:lang w:val="en-ZW"/>
        </w:rPr>
        <w:t>t</w:t>
      </w:r>
      <w:r w:rsidRPr="00046271">
        <w:rPr>
          <w:sz w:val="20"/>
          <w:szCs w:val="20"/>
          <w:lang w:val="en-ZW"/>
        </w:rPr>
        <w:t>ransfers may be used if a project involves advance payment to national entities.</w:t>
      </w:r>
      <w:r w:rsidR="000E0796">
        <w:rPr>
          <w:sz w:val="20"/>
          <w:szCs w:val="20"/>
          <w:lang w:val="en-ZW"/>
        </w:rPr>
        <w:t xml:space="preserve"> </w:t>
      </w:r>
      <w:r w:rsidR="000E0796" w:rsidRPr="00832E34">
        <w:rPr>
          <w:sz w:val="20"/>
          <w:szCs w:val="20"/>
          <w:lang w:val="en-ZW"/>
        </w:rPr>
        <w:t>As per Executive Board decision 2013/9</w:t>
      </w:r>
      <w:r w:rsidR="00D41926">
        <w:rPr>
          <w:sz w:val="20"/>
          <w:szCs w:val="20"/>
          <w:lang w:val="en-ZW"/>
        </w:rPr>
        <w:t>,</w:t>
      </w:r>
      <w:r w:rsidR="000E0796" w:rsidRPr="00832E34">
        <w:rPr>
          <w:sz w:val="20"/>
          <w:szCs w:val="20"/>
          <w:lang w:val="en-ZW"/>
        </w:rPr>
        <w:t xml:space="preserve"> cost definitions and classifications for programme and development effectiveness will be charged to the concerned projects</w:t>
      </w:r>
      <w:r w:rsidR="00921398">
        <w:rPr>
          <w:sz w:val="20"/>
          <w:szCs w:val="20"/>
          <w:lang w:val="en-ZW"/>
        </w:rPr>
        <w:t>.</w:t>
      </w:r>
    </w:p>
    <w:p w14:paraId="7287802E" w14:textId="77777777" w:rsidR="009A47BF" w:rsidRPr="00952E10" w:rsidRDefault="009A47BF" w:rsidP="00226BDD">
      <w:pPr>
        <w:tabs>
          <w:tab w:val="left" w:pos="990"/>
        </w:tabs>
        <w:ind w:left="630" w:right="65"/>
        <w:jc w:val="both"/>
        <w:rPr>
          <w:sz w:val="12"/>
          <w:szCs w:val="12"/>
        </w:rPr>
      </w:pPr>
    </w:p>
    <w:p w14:paraId="534D6789" w14:textId="5A6485ED" w:rsidR="009A47BF" w:rsidRPr="00046271" w:rsidRDefault="009A47BF" w:rsidP="00226BDD">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bCs/>
          <w:sz w:val="20"/>
          <w:szCs w:val="20"/>
        </w:rPr>
        <w:t xml:space="preserve">UNDP will adopt a </w:t>
      </w:r>
      <w:r w:rsidR="00B02425" w:rsidRPr="00046271">
        <w:rPr>
          <w:bCs/>
          <w:sz w:val="20"/>
          <w:szCs w:val="20"/>
        </w:rPr>
        <w:t>portfolio approach</w:t>
      </w:r>
      <w:r w:rsidRPr="00046271">
        <w:rPr>
          <w:bCs/>
          <w:sz w:val="20"/>
          <w:szCs w:val="20"/>
        </w:rPr>
        <w:t xml:space="preserve"> to managing the country programme which will shorten timelines for the design and approval of interventions. </w:t>
      </w:r>
      <w:r w:rsidR="005D3E39">
        <w:rPr>
          <w:bCs/>
          <w:sz w:val="20"/>
          <w:szCs w:val="20"/>
        </w:rPr>
        <w:t xml:space="preserve">This </w:t>
      </w:r>
      <w:r w:rsidRPr="00046271">
        <w:rPr>
          <w:bCs/>
          <w:sz w:val="20"/>
          <w:szCs w:val="20"/>
        </w:rPr>
        <w:t xml:space="preserve">will help </w:t>
      </w:r>
      <w:r w:rsidR="00D41926">
        <w:rPr>
          <w:bCs/>
          <w:sz w:val="20"/>
          <w:szCs w:val="20"/>
        </w:rPr>
        <w:t xml:space="preserve">to </w:t>
      </w:r>
      <w:r w:rsidRPr="00046271">
        <w:rPr>
          <w:bCs/>
          <w:sz w:val="20"/>
          <w:szCs w:val="20"/>
        </w:rPr>
        <w:t xml:space="preserve">ensure </w:t>
      </w:r>
      <w:r w:rsidR="00D41926">
        <w:rPr>
          <w:bCs/>
          <w:sz w:val="20"/>
          <w:szCs w:val="20"/>
        </w:rPr>
        <w:t xml:space="preserve">that </w:t>
      </w:r>
      <w:r w:rsidRPr="00046271">
        <w:rPr>
          <w:bCs/>
          <w:sz w:val="20"/>
          <w:szCs w:val="20"/>
        </w:rPr>
        <w:t xml:space="preserve">appropriate value-added linkages are made across areas of intervention for programmatic coherence. UNDP will leverage recent changes to corporate policies to streamline recruitment and procurement processes to provide responsive and timely support on policy advocacy and innovation initiatives. The demand-driven nature of </w:t>
      </w:r>
      <w:r w:rsidR="00D41926">
        <w:rPr>
          <w:bCs/>
          <w:sz w:val="20"/>
          <w:szCs w:val="20"/>
        </w:rPr>
        <w:t xml:space="preserve">the </w:t>
      </w:r>
      <w:r w:rsidRPr="00046271">
        <w:rPr>
          <w:bCs/>
          <w:sz w:val="20"/>
          <w:szCs w:val="20"/>
        </w:rPr>
        <w:t xml:space="preserve">UNDP relationship with </w:t>
      </w:r>
      <w:r w:rsidR="00D41926">
        <w:rPr>
          <w:bCs/>
          <w:sz w:val="20"/>
          <w:szCs w:val="20"/>
        </w:rPr>
        <w:t xml:space="preserve">the Government of </w:t>
      </w:r>
      <w:r w:rsidRPr="00046271">
        <w:rPr>
          <w:bCs/>
          <w:sz w:val="20"/>
          <w:szCs w:val="20"/>
        </w:rPr>
        <w:t xml:space="preserve">Kuwait in a </w:t>
      </w:r>
      <w:r w:rsidR="00D41926">
        <w:rPr>
          <w:bCs/>
          <w:sz w:val="20"/>
          <w:szCs w:val="20"/>
        </w:rPr>
        <w:t xml:space="preserve">net contributor country </w:t>
      </w:r>
      <w:r w:rsidRPr="00046271">
        <w:rPr>
          <w:bCs/>
          <w:sz w:val="20"/>
          <w:szCs w:val="20"/>
        </w:rPr>
        <w:t xml:space="preserve">context means </w:t>
      </w:r>
      <w:r w:rsidR="00D41926">
        <w:rPr>
          <w:bCs/>
          <w:sz w:val="20"/>
          <w:szCs w:val="20"/>
        </w:rPr>
        <w:t xml:space="preserve">that </w:t>
      </w:r>
      <w:r w:rsidRPr="00046271">
        <w:rPr>
          <w:bCs/>
          <w:sz w:val="20"/>
          <w:szCs w:val="20"/>
        </w:rPr>
        <w:t xml:space="preserve">UNDP will </w:t>
      </w:r>
      <w:r w:rsidRPr="00046271">
        <w:rPr>
          <w:color w:val="000000"/>
          <w:sz w:val="20"/>
          <w:szCs w:val="20"/>
          <w:shd w:val="clear" w:color="auto" w:fill="FFFFFF"/>
        </w:rPr>
        <w:t>retain programmatic and operational flexibility to respond to emerging opportunities.</w:t>
      </w:r>
    </w:p>
    <w:p w14:paraId="5B89D24D" w14:textId="77777777" w:rsidR="009A47BF" w:rsidRPr="00952E10" w:rsidRDefault="009A47BF" w:rsidP="00226BDD">
      <w:pPr>
        <w:tabs>
          <w:tab w:val="left" w:pos="492"/>
          <w:tab w:val="left" w:pos="990"/>
        </w:tabs>
        <w:ind w:left="630" w:right="65"/>
        <w:jc w:val="both"/>
        <w:rPr>
          <w:sz w:val="12"/>
          <w:szCs w:val="12"/>
        </w:rPr>
      </w:pPr>
    </w:p>
    <w:p w14:paraId="5155C484" w14:textId="7917C1C8" w:rsidR="009A47BF" w:rsidRPr="00046271" w:rsidRDefault="009A47BF" w:rsidP="00226BDD">
      <w:pPr>
        <w:pStyle w:val="ListParagraph"/>
        <w:numPr>
          <w:ilvl w:val="0"/>
          <w:numId w:val="26"/>
        </w:numPr>
        <w:tabs>
          <w:tab w:val="left" w:pos="492"/>
          <w:tab w:val="left" w:pos="990"/>
        </w:tabs>
        <w:autoSpaceDE w:val="0"/>
        <w:autoSpaceDN w:val="0"/>
        <w:adjustRightInd w:val="0"/>
        <w:ind w:left="630" w:right="65" w:firstLine="0"/>
        <w:contextualSpacing/>
        <w:jc w:val="both"/>
        <w:rPr>
          <w:sz w:val="20"/>
          <w:szCs w:val="20"/>
        </w:rPr>
      </w:pPr>
      <w:r w:rsidRPr="00046271">
        <w:rPr>
          <w:sz w:val="20"/>
          <w:szCs w:val="20"/>
        </w:rPr>
        <w:t xml:space="preserve">The successful implementation of this country programme will require the management and mitigation of several </w:t>
      </w:r>
      <w:r w:rsidR="001D3135">
        <w:rPr>
          <w:sz w:val="20"/>
          <w:szCs w:val="20"/>
        </w:rPr>
        <w:t>potential</w:t>
      </w:r>
      <w:r w:rsidRPr="00046271">
        <w:rPr>
          <w:sz w:val="20"/>
          <w:szCs w:val="20"/>
        </w:rPr>
        <w:t xml:space="preserve"> risks. The first is the risk of </w:t>
      </w:r>
      <w:r w:rsidR="0042066D" w:rsidRPr="00046271">
        <w:rPr>
          <w:sz w:val="20"/>
          <w:szCs w:val="20"/>
        </w:rPr>
        <w:t>a further drop in oil prices which may pose a challenge to implement</w:t>
      </w:r>
      <w:r w:rsidR="00D41926">
        <w:rPr>
          <w:sz w:val="20"/>
          <w:szCs w:val="20"/>
        </w:rPr>
        <w:t>ation of</w:t>
      </w:r>
      <w:r w:rsidR="0042066D" w:rsidRPr="00046271">
        <w:rPr>
          <w:sz w:val="20"/>
          <w:szCs w:val="20"/>
        </w:rPr>
        <w:t xml:space="preserve"> the KNDP</w:t>
      </w:r>
      <w:r w:rsidR="001D3135">
        <w:rPr>
          <w:sz w:val="20"/>
          <w:szCs w:val="20"/>
        </w:rPr>
        <w:t>.</w:t>
      </w:r>
      <w:r w:rsidR="0042066D" w:rsidRPr="00046271">
        <w:rPr>
          <w:sz w:val="20"/>
          <w:szCs w:val="20"/>
        </w:rPr>
        <w:t xml:space="preserve"> </w:t>
      </w:r>
      <w:r w:rsidR="00D41926">
        <w:rPr>
          <w:sz w:val="20"/>
          <w:szCs w:val="20"/>
        </w:rPr>
        <w:t>T</w:t>
      </w:r>
      <w:r w:rsidR="007C58A4">
        <w:rPr>
          <w:sz w:val="20"/>
          <w:szCs w:val="20"/>
        </w:rPr>
        <w:t xml:space="preserve">his </w:t>
      </w:r>
      <w:r w:rsidR="00D41926">
        <w:rPr>
          <w:sz w:val="20"/>
          <w:szCs w:val="20"/>
        </w:rPr>
        <w:t xml:space="preserve">might </w:t>
      </w:r>
      <w:r w:rsidR="007C58A4">
        <w:rPr>
          <w:sz w:val="20"/>
          <w:szCs w:val="20"/>
        </w:rPr>
        <w:t>also delay progress in addressing women’s labour</w:t>
      </w:r>
      <w:r w:rsidR="00AA61D5">
        <w:rPr>
          <w:sz w:val="20"/>
          <w:szCs w:val="20"/>
        </w:rPr>
        <w:t>-</w:t>
      </w:r>
      <w:r w:rsidR="007C58A4">
        <w:rPr>
          <w:sz w:val="20"/>
          <w:szCs w:val="20"/>
        </w:rPr>
        <w:t xml:space="preserve">force participation due to reduced political will for reform. </w:t>
      </w:r>
      <w:r w:rsidR="0042066D" w:rsidRPr="00046271">
        <w:rPr>
          <w:sz w:val="20"/>
          <w:szCs w:val="20"/>
        </w:rPr>
        <w:t xml:space="preserve">The second </w:t>
      </w:r>
      <w:r w:rsidR="00046C7E">
        <w:rPr>
          <w:sz w:val="20"/>
          <w:szCs w:val="20"/>
        </w:rPr>
        <w:t xml:space="preserve">potential </w:t>
      </w:r>
      <w:r w:rsidR="0042066D" w:rsidRPr="00046271">
        <w:rPr>
          <w:sz w:val="20"/>
          <w:szCs w:val="20"/>
        </w:rPr>
        <w:t xml:space="preserve">risk is </w:t>
      </w:r>
      <w:r w:rsidR="0042066D">
        <w:rPr>
          <w:sz w:val="20"/>
          <w:szCs w:val="20"/>
        </w:rPr>
        <w:t xml:space="preserve">the </w:t>
      </w:r>
      <w:r w:rsidRPr="00046271">
        <w:rPr>
          <w:sz w:val="20"/>
          <w:szCs w:val="20"/>
        </w:rPr>
        <w:t xml:space="preserve">limited awareness </w:t>
      </w:r>
      <w:r w:rsidR="00D41926">
        <w:rPr>
          <w:sz w:val="20"/>
          <w:szCs w:val="20"/>
        </w:rPr>
        <w:t xml:space="preserve">on the part of the general public of </w:t>
      </w:r>
      <w:r w:rsidRPr="00046271">
        <w:rPr>
          <w:sz w:val="20"/>
          <w:szCs w:val="20"/>
        </w:rPr>
        <w:t>environment</w:t>
      </w:r>
      <w:r w:rsidR="001D3135">
        <w:rPr>
          <w:sz w:val="20"/>
          <w:szCs w:val="20"/>
        </w:rPr>
        <w:t xml:space="preserve"> </w:t>
      </w:r>
      <w:r w:rsidRPr="00046271">
        <w:rPr>
          <w:sz w:val="20"/>
          <w:szCs w:val="20"/>
        </w:rPr>
        <w:t>and energ</w:t>
      </w:r>
      <w:r w:rsidR="00046C7E">
        <w:rPr>
          <w:sz w:val="20"/>
          <w:szCs w:val="20"/>
        </w:rPr>
        <w:t>y issues</w:t>
      </w:r>
      <w:r w:rsidRPr="00046271">
        <w:rPr>
          <w:sz w:val="20"/>
          <w:szCs w:val="20"/>
        </w:rPr>
        <w:t xml:space="preserve">. UNDP will utilize behavioural insights to design tailored public </w:t>
      </w:r>
      <w:r w:rsidR="00B02425" w:rsidRPr="00046271">
        <w:rPr>
          <w:sz w:val="20"/>
          <w:szCs w:val="20"/>
        </w:rPr>
        <w:t>awareness</w:t>
      </w:r>
      <w:r w:rsidRPr="00046271">
        <w:rPr>
          <w:sz w:val="20"/>
          <w:szCs w:val="20"/>
        </w:rPr>
        <w:t xml:space="preserve"> activities</w:t>
      </w:r>
      <w:r w:rsidR="009A5B4A">
        <w:rPr>
          <w:sz w:val="20"/>
          <w:szCs w:val="20"/>
        </w:rPr>
        <w:t xml:space="preserve"> </w:t>
      </w:r>
      <w:r w:rsidR="00046C7E">
        <w:rPr>
          <w:sz w:val="20"/>
          <w:szCs w:val="20"/>
        </w:rPr>
        <w:t>while</w:t>
      </w:r>
      <w:r w:rsidR="009A5B4A">
        <w:rPr>
          <w:sz w:val="20"/>
          <w:szCs w:val="20"/>
        </w:rPr>
        <w:t xml:space="preserve"> making an </w:t>
      </w:r>
      <w:r w:rsidR="001D3135">
        <w:rPr>
          <w:sz w:val="20"/>
          <w:szCs w:val="20"/>
        </w:rPr>
        <w:t xml:space="preserve">argument, based on data, that sustainable energy makes </w:t>
      </w:r>
      <w:r w:rsidR="009A5B4A">
        <w:rPr>
          <w:sz w:val="20"/>
          <w:szCs w:val="20"/>
        </w:rPr>
        <w:t xml:space="preserve">economic </w:t>
      </w:r>
      <w:r w:rsidR="001D3135">
        <w:rPr>
          <w:sz w:val="20"/>
          <w:szCs w:val="20"/>
        </w:rPr>
        <w:t>sense</w:t>
      </w:r>
      <w:r w:rsidRPr="00046271">
        <w:rPr>
          <w:sz w:val="20"/>
          <w:szCs w:val="20"/>
        </w:rPr>
        <w:t xml:space="preserve">. UNDP will also </w:t>
      </w:r>
      <w:r w:rsidR="0042066D">
        <w:rPr>
          <w:sz w:val="20"/>
          <w:szCs w:val="20"/>
        </w:rPr>
        <w:t>strengthen</w:t>
      </w:r>
      <w:r w:rsidRPr="00046271">
        <w:rPr>
          <w:sz w:val="20"/>
          <w:szCs w:val="20"/>
        </w:rPr>
        <w:t xml:space="preserve"> the </w:t>
      </w:r>
      <w:r w:rsidR="00D41926">
        <w:rPr>
          <w:sz w:val="20"/>
          <w:szCs w:val="20"/>
        </w:rPr>
        <w:t>G</w:t>
      </w:r>
      <w:r w:rsidR="00D41926" w:rsidRPr="00046271">
        <w:rPr>
          <w:sz w:val="20"/>
          <w:szCs w:val="20"/>
        </w:rPr>
        <w:t xml:space="preserve">overnment’s </w:t>
      </w:r>
      <w:r w:rsidRPr="00046271">
        <w:rPr>
          <w:sz w:val="20"/>
          <w:szCs w:val="20"/>
        </w:rPr>
        <w:t xml:space="preserve">capacities for </w:t>
      </w:r>
      <w:r w:rsidR="00D41926">
        <w:rPr>
          <w:sz w:val="20"/>
          <w:szCs w:val="20"/>
        </w:rPr>
        <w:t xml:space="preserve">advance </w:t>
      </w:r>
      <w:r w:rsidRPr="00046271">
        <w:rPr>
          <w:sz w:val="20"/>
          <w:szCs w:val="20"/>
        </w:rPr>
        <w:t>planning by utilizing macroeconomic modelling established</w:t>
      </w:r>
      <w:r w:rsidR="00D41926">
        <w:rPr>
          <w:sz w:val="20"/>
          <w:szCs w:val="20"/>
        </w:rPr>
        <w:t xml:space="preserve"> by the</w:t>
      </w:r>
      <w:r w:rsidR="00D41926" w:rsidRPr="00D41926">
        <w:rPr>
          <w:sz w:val="20"/>
          <w:szCs w:val="20"/>
        </w:rPr>
        <w:t xml:space="preserve"> </w:t>
      </w:r>
      <w:r w:rsidR="00D41926" w:rsidRPr="00046271">
        <w:rPr>
          <w:sz w:val="20"/>
          <w:szCs w:val="20"/>
        </w:rPr>
        <w:t>KPPC</w:t>
      </w:r>
      <w:r w:rsidRPr="00046271">
        <w:rPr>
          <w:sz w:val="20"/>
          <w:szCs w:val="20"/>
        </w:rPr>
        <w:t xml:space="preserve">. </w:t>
      </w:r>
    </w:p>
    <w:p w14:paraId="6260CF0C" w14:textId="77777777" w:rsidR="009A47BF" w:rsidRPr="00952E10" w:rsidRDefault="009A47BF" w:rsidP="00226BDD">
      <w:pPr>
        <w:tabs>
          <w:tab w:val="left" w:pos="492"/>
          <w:tab w:val="left" w:pos="990"/>
        </w:tabs>
        <w:ind w:left="630" w:right="65"/>
        <w:jc w:val="both"/>
        <w:rPr>
          <w:sz w:val="12"/>
          <w:szCs w:val="12"/>
        </w:rPr>
      </w:pPr>
    </w:p>
    <w:p w14:paraId="36F3EA0F" w14:textId="55AD3206" w:rsidR="009A47BF" w:rsidRPr="00046271" w:rsidRDefault="009A47BF" w:rsidP="00226BDD">
      <w:pPr>
        <w:pStyle w:val="ListParagraph"/>
        <w:numPr>
          <w:ilvl w:val="0"/>
          <w:numId w:val="26"/>
        </w:numPr>
        <w:tabs>
          <w:tab w:val="left" w:pos="492"/>
          <w:tab w:val="left" w:pos="990"/>
        </w:tabs>
        <w:autoSpaceDE w:val="0"/>
        <w:autoSpaceDN w:val="0"/>
        <w:adjustRightInd w:val="0"/>
        <w:ind w:left="630" w:right="65" w:firstLine="0"/>
        <w:contextualSpacing/>
        <w:jc w:val="both"/>
        <w:rPr>
          <w:sz w:val="20"/>
          <w:szCs w:val="20"/>
        </w:rPr>
      </w:pPr>
      <w:r w:rsidRPr="00046271">
        <w:rPr>
          <w:sz w:val="20"/>
          <w:szCs w:val="20"/>
        </w:rPr>
        <w:t xml:space="preserve">An internal </w:t>
      </w:r>
      <w:r w:rsidR="0066497C">
        <w:rPr>
          <w:sz w:val="20"/>
          <w:szCs w:val="20"/>
        </w:rPr>
        <w:t xml:space="preserve">risk </w:t>
      </w:r>
      <w:r w:rsidRPr="00046271">
        <w:rPr>
          <w:sz w:val="20"/>
          <w:szCs w:val="20"/>
        </w:rPr>
        <w:t xml:space="preserve">to UNDP is </w:t>
      </w:r>
      <w:r w:rsidR="0066497C">
        <w:rPr>
          <w:sz w:val="20"/>
          <w:szCs w:val="20"/>
        </w:rPr>
        <w:t>the potential un</w:t>
      </w:r>
      <w:r w:rsidRPr="00046271">
        <w:rPr>
          <w:sz w:val="20"/>
          <w:szCs w:val="20"/>
        </w:rPr>
        <w:t xml:space="preserve">availability of </w:t>
      </w:r>
      <w:r w:rsidR="0066497C">
        <w:rPr>
          <w:sz w:val="20"/>
          <w:szCs w:val="20"/>
        </w:rPr>
        <w:t xml:space="preserve">the </w:t>
      </w:r>
      <w:r w:rsidRPr="00046271">
        <w:rPr>
          <w:sz w:val="20"/>
          <w:szCs w:val="20"/>
        </w:rPr>
        <w:t xml:space="preserve">technical and substantive expertise to </w:t>
      </w:r>
      <w:r w:rsidR="0066497C" w:rsidRPr="00046271">
        <w:rPr>
          <w:sz w:val="20"/>
          <w:szCs w:val="20"/>
        </w:rPr>
        <w:t xml:space="preserve">necessary </w:t>
      </w:r>
      <w:r w:rsidR="0066497C">
        <w:rPr>
          <w:sz w:val="20"/>
          <w:szCs w:val="20"/>
        </w:rPr>
        <w:t xml:space="preserve">to </w:t>
      </w:r>
      <w:r w:rsidRPr="00046271">
        <w:rPr>
          <w:sz w:val="20"/>
          <w:szCs w:val="20"/>
        </w:rPr>
        <w:t xml:space="preserve">ensure </w:t>
      </w:r>
      <w:r w:rsidR="0066497C">
        <w:rPr>
          <w:sz w:val="20"/>
          <w:szCs w:val="20"/>
        </w:rPr>
        <w:t xml:space="preserve">that </w:t>
      </w:r>
      <w:r w:rsidRPr="00046271">
        <w:rPr>
          <w:sz w:val="20"/>
          <w:szCs w:val="20"/>
        </w:rPr>
        <w:t xml:space="preserve">UNDP policy advisory services meet the needs of Kuwait as a high-income country. This will be mitigated by increased involvement of </w:t>
      </w:r>
      <w:r w:rsidR="00046C7E">
        <w:rPr>
          <w:sz w:val="20"/>
          <w:szCs w:val="20"/>
        </w:rPr>
        <w:t xml:space="preserve">expertise sourced from </w:t>
      </w:r>
      <w:r w:rsidR="0066497C">
        <w:rPr>
          <w:sz w:val="20"/>
          <w:szCs w:val="20"/>
        </w:rPr>
        <w:t xml:space="preserve">the </w:t>
      </w:r>
      <w:r w:rsidRPr="00046271">
        <w:rPr>
          <w:sz w:val="20"/>
          <w:szCs w:val="20"/>
        </w:rPr>
        <w:t xml:space="preserve">UNDP regional and global </w:t>
      </w:r>
      <w:r w:rsidR="00046C7E">
        <w:rPr>
          <w:sz w:val="20"/>
          <w:szCs w:val="20"/>
        </w:rPr>
        <w:t>policy network</w:t>
      </w:r>
      <w:r w:rsidR="00276947">
        <w:rPr>
          <w:sz w:val="20"/>
          <w:szCs w:val="20"/>
        </w:rPr>
        <w:t>s</w:t>
      </w:r>
      <w:r w:rsidR="00046C7E">
        <w:rPr>
          <w:sz w:val="20"/>
          <w:szCs w:val="20"/>
        </w:rPr>
        <w:t xml:space="preserve"> </w:t>
      </w:r>
      <w:r w:rsidR="007C58A4">
        <w:rPr>
          <w:sz w:val="20"/>
          <w:szCs w:val="20"/>
        </w:rPr>
        <w:t xml:space="preserve">(especially related to women’s economic empowerment) </w:t>
      </w:r>
      <w:r w:rsidRPr="00046271">
        <w:rPr>
          <w:sz w:val="20"/>
          <w:szCs w:val="20"/>
        </w:rPr>
        <w:t xml:space="preserve">in designing UNDP interventions and advocacy efforts. </w:t>
      </w:r>
      <w:r w:rsidR="00046C7E">
        <w:rPr>
          <w:sz w:val="20"/>
          <w:szCs w:val="20"/>
        </w:rPr>
        <w:t xml:space="preserve">Enhanced and empowered local staff capacity would </w:t>
      </w:r>
      <w:r w:rsidRPr="00046271">
        <w:rPr>
          <w:sz w:val="20"/>
          <w:szCs w:val="20"/>
        </w:rPr>
        <w:t>also contribute to the shift toward</w:t>
      </w:r>
      <w:r w:rsidR="0066497C">
        <w:rPr>
          <w:sz w:val="20"/>
          <w:szCs w:val="20"/>
        </w:rPr>
        <w:t>s</w:t>
      </w:r>
      <w:r w:rsidRPr="00046271">
        <w:rPr>
          <w:sz w:val="20"/>
          <w:szCs w:val="20"/>
        </w:rPr>
        <w:t xml:space="preserve"> more balanced support across project </w:t>
      </w:r>
      <w:r w:rsidR="00AF5B10">
        <w:rPr>
          <w:sz w:val="20"/>
          <w:szCs w:val="20"/>
        </w:rPr>
        <w:t xml:space="preserve">planning and </w:t>
      </w:r>
      <w:r w:rsidRPr="00046271">
        <w:rPr>
          <w:sz w:val="20"/>
          <w:szCs w:val="20"/>
        </w:rPr>
        <w:t>implementation</w:t>
      </w:r>
      <w:r w:rsidR="00AF5B10">
        <w:rPr>
          <w:sz w:val="20"/>
          <w:szCs w:val="20"/>
        </w:rPr>
        <w:t xml:space="preserve">, as well as timely provision </w:t>
      </w:r>
      <w:r w:rsidR="00B02425">
        <w:rPr>
          <w:sz w:val="20"/>
          <w:szCs w:val="20"/>
        </w:rPr>
        <w:t xml:space="preserve">of </w:t>
      </w:r>
      <w:r w:rsidR="00B02425" w:rsidRPr="00046271">
        <w:rPr>
          <w:sz w:val="20"/>
          <w:szCs w:val="20"/>
        </w:rPr>
        <w:t>policy</w:t>
      </w:r>
      <w:r w:rsidRPr="00046271">
        <w:rPr>
          <w:sz w:val="20"/>
          <w:szCs w:val="20"/>
        </w:rPr>
        <w:t xml:space="preserve"> advocacy/innovation service lines</w:t>
      </w:r>
      <w:r w:rsidR="00AF5B10">
        <w:rPr>
          <w:sz w:val="20"/>
          <w:szCs w:val="20"/>
        </w:rPr>
        <w:t xml:space="preserve">. Establishment of </w:t>
      </w:r>
      <w:r w:rsidR="0066497C">
        <w:rPr>
          <w:sz w:val="20"/>
          <w:szCs w:val="20"/>
        </w:rPr>
        <w:t xml:space="preserve">a </w:t>
      </w:r>
      <w:r w:rsidR="00AF5B10">
        <w:rPr>
          <w:sz w:val="20"/>
          <w:szCs w:val="20"/>
        </w:rPr>
        <w:t xml:space="preserve">technical support office at GSSCPD will help </w:t>
      </w:r>
      <w:r w:rsidR="0066497C">
        <w:rPr>
          <w:sz w:val="20"/>
          <w:szCs w:val="20"/>
        </w:rPr>
        <w:t xml:space="preserve">to </w:t>
      </w:r>
      <w:r w:rsidR="00AF5B10">
        <w:rPr>
          <w:sz w:val="20"/>
          <w:szCs w:val="20"/>
        </w:rPr>
        <w:t>ensure timely delivery of projects under the KNDP</w:t>
      </w:r>
      <w:r w:rsidR="00046C7E">
        <w:rPr>
          <w:sz w:val="20"/>
          <w:szCs w:val="20"/>
        </w:rPr>
        <w:t xml:space="preserve"> with a capacity development principle at a core</w:t>
      </w:r>
      <w:r w:rsidRPr="00046271">
        <w:rPr>
          <w:sz w:val="20"/>
          <w:szCs w:val="20"/>
        </w:rPr>
        <w:t>.</w:t>
      </w:r>
    </w:p>
    <w:p w14:paraId="37914497" w14:textId="7DDC9E53" w:rsidR="000E76A0" w:rsidRDefault="000E76A0">
      <w:pPr>
        <w:rPr>
          <w:rStyle w:val="Hyperlink"/>
          <w:color w:val="000000" w:themeColor="text1"/>
        </w:rPr>
      </w:pPr>
      <w:r>
        <w:rPr>
          <w:rStyle w:val="Hyperlink"/>
          <w:color w:val="000000" w:themeColor="text1"/>
        </w:rPr>
        <w:br w:type="page"/>
      </w:r>
    </w:p>
    <w:p w14:paraId="39BBCF38" w14:textId="1BF1A5BE" w:rsidR="009A47BF" w:rsidRPr="007F5C41" w:rsidRDefault="009A47BF" w:rsidP="00952E10">
      <w:pPr>
        <w:pStyle w:val="ListParagraph"/>
        <w:numPr>
          <w:ilvl w:val="0"/>
          <w:numId w:val="34"/>
        </w:numPr>
        <w:tabs>
          <w:tab w:val="clear" w:pos="1296"/>
          <w:tab w:val="left" w:pos="1260"/>
        </w:tabs>
        <w:ind w:left="630" w:right="65" w:hanging="180"/>
        <w:rPr>
          <w:b/>
          <w:sz w:val="28"/>
          <w:szCs w:val="28"/>
        </w:rPr>
      </w:pPr>
      <w:r w:rsidRPr="007F5C41">
        <w:rPr>
          <w:b/>
          <w:sz w:val="28"/>
          <w:szCs w:val="28"/>
        </w:rPr>
        <w:lastRenderedPageBreak/>
        <w:t xml:space="preserve">Monitoring and </w:t>
      </w:r>
      <w:r w:rsidR="007F5C41" w:rsidRPr="007F5C41">
        <w:rPr>
          <w:b/>
          <w:sz w:val="28"/>
          <w:szCs w:val="28"/>
        </w:rPr>
        <w:t>e</w:t>
      </w:r>
      <w:r w:rsidRPr="007F5C41">
        <w:rPr>
          <w:b/>
          <w:sz w:val="28"/>
          <w:szCs w:val="28"/>
        </w:rPr>
        <w:t>valuation</w:t>
      </w:r>
    </w:p>
    <w:p w14:paraId="7509706E" w14:textId="77777777" w:rsidR="009A47BF" w:rsidRPr="00226BDD" w:rsidRDefault="009A47BF" w:rsidP="007F5C41">
      <w:pPr>
        <w:tabs>
          <w:tab w:val="left" w:pos="900"/>
        </w:tabs>
        <w:ind w:left="630" w:right="65"/>
        <w:rPr>
          <w:sz w:val="20"/>
          <w:szCs w:val="20"/>
        </w:rPr>
      </w:pPr>
    </w:p>
    <w:p w14:paraId="062B2B0B" w14:textId="295F5651" w:rsidR="009A47BF" w:rsidRPr="00046271" w:rsidRDefault="009A47BF" w:rsidP="00226BDD">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rStyle w:val="Hyperlink"/>
          <w:color w:val="000000" w:themeColor="text1"/>
          <w:sz w:val="20"/>
          <w:szCs w:val="20"/>
        </w:rPr>
        <w:t>Monitoring and reporting of th</w:t>
      </w:r>
      <w:r w:rsidR="00691E48">
        <w:rPr>
          <w:rStyle w:val="Hyperlink"/>
          <w:color w:val="000000" w:themeColor="text1"/>
          <w:sz w:val="20"/>
          <w:szCs w:val="20"/>
        </w:rPr>
        <w:t>e</w:t>
      </w:r>
      <w:r w:rsidRPr="00046271">
        <w:rPr>
          <w:rStyle w:val="Hyperlink"/>
          <w:color w:val="000000" w:themeColor="text1"/>
          <w:sz w:val="20"/>
          <w:szCs w:val="20"/>
        </w:rPr>
        <w:t xml:space="preserve"> country programme will be done in a more integrated fashion within the broader context of U</w:t>
      </w:r>
      <w:r w:rsidR="0066497C">
        <w:rPr>
          <w:rStyle w:val="Hyperlink"/>
          <w:color w:val="000000" w:themeColor="text1"/>
          <w:sz w:val="20"/>
          <w:szCs w:val="20"/>
        </w:rPr>
        <w:t xml:space="preserve">nited </w:t>
      </w:r>
      <w:r w:rsidRPr="00046271">
        <w:rPr>
          <w:rStyle w:val="Hyperlink"/>
          <w:color w:val="000000" w:themeColor="text1"/>
          <w:sz w:val="20"/>
          <w:szCs w:val="20"/>
        </w:rPr>
        <w:t>N</w:t>
      </w:r>
      <w:r w:rsidR="0066497C">
        <w:rPr>
          <w:rStyle w:val="Hyperlink"/>
          <w:color w:val="000000" w:themeColor="text1"/>
          <w:sz w:val="20"/>
          <w:szCs w:val="20"/>
        </w:rPr>
        <w:t>ations</w:t>
      </w:r>
      <w:r w:rsidRPr="00046271">
        <w:rPr>
          <w:rStyle w:val="Hyperlink"/>
          <w:color w:val="000000" w:themeColor="text1"/>
          <w:sz w:val="20"/>
          <w:szCs w:val="20"/>
        </w:rPr>
        <w:t xml:space="preserve"> support to Kuwait. </w:t>
      </w:r>
      <w:r w:rsidRPr="00046271">
        <w:rPr>
          <w:sz w:val="20"/>
          <w:szCs w:val="20"/>
        </w:rPr>
        <w:t xml:space="preserve">UNDP will ensure that monitoring and evaluation frameworks are aligned with programme priorities, including strengthening the capacities of implementing partners in data collection and usage. UNDP will develop results frameworks aligned with </w:t>
      </w:r>
      <w:r w:rsidR="00387A0F">
        <w:rPr>
          <w:sz w:val="20"/>
          <w:szCs w:val="20"/>
        </w:rPr>
        <w:t xml:space="preserve">the </w:t>
      </w:r>
      <w:r w:rsidRPr="00046271">
        <w:rPr>
          <w:sz w:val="20"/>
          <w:szCs w:val="20"/>
        </w:rPr>
        <w:t xml:space="preserve">KNDP </w:t>
      </w:r>
      <w:r w:rsidR="003C4AC3">
        <w:rPr>
          <w:sz w:val="20"/>
          <w:szCs w:val="20"/>
        </w:rPr>
        <w:t xml:space="preserve">and UNDP </w:t>
      </w:r>
      <w:r w:rsidR="0066497C">
        <w:rPr>
          <w:sz w:val="20"/>
          <w:szCs w:val="20"/>
        </w:rPr>
        <w:t>Strategic Plan</w:t>
      </w:r>
      <w:r w:rsidR="003C4AC3">
        <w:rPr>
          <w:sz w:val="20"/>
          <w:szCs w:val="20"/>
        </w:rPr>
        <w:t xml:space="preserve">. </w:t>
      </w:r>
    </w:p>
    <w:p w14:paraId="411EFADF" w14:textId="77777777" w:rsidR="009A47BF" w:rsidRPr="00952E10" w:rsidRDefault="009A47BF" w:rsidP="00226BDD">
      <w:pPr>
        <w:tabs>
          <w:tab w:val="left" w:pos="990"/>
        </w:tabs>
        <w:ind w:left="630" w:right="65"/>
        <w:contextualSpacing/>
        <w:jc w:val="both"/>
        <w:rPr>
          <w:sz w:val="12"/>
          <w:szCs w:val="12"/>
        </w:rPr>
      </w:pPr>
    </w:p>
    <w:p w14:paraId="5C8B077D" w14:textId="64599C22" w:rsidR="009A47BF" w:rsidRPr="00046271" w:rsidRDefault="009A47BF" w:rsidP="00226BDD">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rPr>
        <w:t xml:space="preserve">Outcome-level </w:t>
      </w:r>
      <w:r w:rsidR="0066497C">
        <w:rPr>
          <w:sz w:val="20"/>
          <w:szCs w:val="20"/>
        </w:rPr>
        <w:t>r</w:t>
      </w:r>
      <w:r w:rsidRPr="00046271">
        <w:rPr>
          <w:sz w:val="20"/>
          <w:szCs w:val="20"/>
        </w:rPr>
        <w:t xml:space="preserve">esults </w:t>
      </w:r>
      <w:r w:rsidR="0066497C">
        <w:rPr>
          <w:sz w:val="20"/>
          <w:szCs w:val="20"/>
        </w:rPr>
        <w:t>g</w:t>
      </w:r>
      <w:r w:rsidRPr="00046271">
        <w:rPr>
          <w:sz w:val="20"/>
          <w:szCs w:val="20"/>
        </w:rPr>
        <w:t xml:space="preserve">roups </w:t>
      </w:r>
      <w:r w:rsidR="00547A88">
        <w:rPr>
          <w:sz w:val="20"/>
          <w:szCs w:val="20"/>
        </w:rPr>
        <w:t>for the</w:t>
      </w:r>
      <w:r w:rsidR="0066497C">
        <w:rPr>
          <w:sz w:val="20"/>
          <w:szCs w:val="20"/>
        </w:rPr>
        <w:t xml:space="preserve"> UNSDCF</w:t>
      </w:r>
      <w:r w:rsidRPr="00046271">
        <w:rPr>
          <w:sz w:val="20"/>
          <w:szCs w:val="20"/>
        </w:rPr>
        <w:t xml:space="preserve"> will be utilized for monitoring progress under the country programme. The </w:t>
      </w:r>
      <w:r w:rsidR="006C094B">
        <w:rPr>
          <w:sz w:val="20"/>
          <w:szCs w:val="20"/>
        </w:rPr>
        <w:t>r</w:t>
      </w:r>
      <w:r w:rsidRPr="00046271">
        <w:rPr>
          <w:sz w:val="20"/>
          <w:szCs w:val="20"/>
        </w:rPr>
        <w:t xml:space="preserve">esults </w:t>
      </w:r>
      <w:r w:rsidR="006C094B">
        <w:rPr>
          <w:sz w:val="20"/>
          <w:szCs w:val="20"/>
        </w:rPr>
        <w:t>g</w:t>
      </w:r>
      <w:r w:rsidRPr="00046271">
        <w:rPr>
          <w:sz w:val="20"/>
          <w:szCs w:val="20"/>
        </w:rPr>
        <w:t>roups will prepare multi-year work</w:t>
      </w:r>
      <w:r w:rsidR="00AA61D5">
        <w:rPr>
          <w:sz w:val="20"/>
          <w:szCs w:val="20"/>
        </w:rPr>
        <w:t>plans</w:t>
      </w:r>
      <w:r w:rsidRPr="00046271">
        <w:rPr>
          <w:sz w:val="20"/>
          <w:szCs w:val="20"/>
        </w:rPr>
        <w:t xml:space="preserve"> for each outcome</w:t>
      </w:r>
      <w:r w:rsidR="00547A88">
        <w:rPr>
          <w:sz w:val="20"/>
          <w:szCs w:val="20"/>
        </w:rPr>
        <w:t xml:space="preserve"> in consultation with </w:t>
      </w:r>
      <w:r w:rsidR="0071769A">
        <w:rPr>
          <w:sz w:val="20"/>
          <w:szCs w:val="20"/>
        </w:rPr>
        <w:t>GSSCPD</w:t>
      </w:r>
      <w:r w:rsidR="0071769A" w:rsidRPr="00046271">
        <w:rPr>
          <w:sz w:val="20"/>
          <w:szCs w:val="20"/>
        </w:rPr>
        <w:t xml:space="preserve"> and</w:t>
      </w:r>
      <w:r w:rsidR="00691E48">
        <w:rPr>
          <w:sz w:val="20"/>
          <w:szCs w:val="20"/>
        </w:rPr>
        <w:t xml:space="preserve"> </w:t>
      </w:r>
      <w:r w:rsidRPr="00046271">
        <w:rPr>
          <w:sz w:val="20"/>
          <w:szCs w:val="20"/>
        </w:rPr>
        <w:t xml:space="preserve">engage partners in identifying key implementation issues and emerging opportunities, undertake capacity assessments for achievement of results, and monitor </w:t>
      </w:r>
      <w:r w:rsidRPr="00046271">
        <w:rPr>
          <w:color w:val="000000"/>
          <w:sz w:val="20"/>
          <w:szCs w:val="20"/>
        </w:rPr>
        <w:t>outputs and their contribution</w:t>
      </w:r>
      <w:r w:rsidR="006C094B">
        <w:rPr>
          <w:color w:val="000000"/>
          <w:sz w:val="20"/>
          <w:szCs w:val="20"/>
        </w:rPr>
        <w:t>s</w:t>
      </w:r>
      <w:r w:rsidRPr="00046271">
        <w:rPr>
          <w:color w:val="000000"/>
          <w:sz w:val="20"/>
          <w:szCs w:val="20"/>
        </w:rPr>
        <w:t xml:space="preserve"> toward</w:t>
      </w:r>
      <w:r w:rsidR="006C094B">
        <w:rPr>
          <w:color w:val="000000"/>
          <w:sz w:val="20"/>
          <w:szCs w:val="20"/>
        </w:rPr>
        <w:t>s</w:t>
      </w:r>
      <w:r w:rsidRPr="00046271">
        <w:rPr>
          <w:color w:val="000000"/>
          <w:sz w:val="20"/>
          <w:szCs w:val="20"/>
        </w:rPr>
        <w:t xml:space="preserve"> </w:t>
      </w:r>
      <w:r w:rsidR="006C094B">
        <w:rPr>
          <w:color w:val="000000"/>
          <w:sz w:val="20"/>
          <w:szCs w:val="20"/>
        </w:rPr>
        <w:t xml:space="preserve">the outcomes of the </w:t>
      </w:r>
      <w:r w:rsidRPr="00046271">
        <w:rPr>
          <w:color w:val="000000"/>
          <w:sz w:val="20"/>
          <w:szCs w:val="20"/>
        </w:rPr>
        <w:t>country programme, UN</w:t>
      </w:r>
      <w:r w:rsidR="006C094B">
        <w:rPr>
          <w:color w:val="000000"/>
          <w:sz w:val="20"/>
          <w:szCs w:val="20"/>
        </w:rPr>
        <w:t>SDCF</w:t>
      </w:r>
      <w:r w:rsidRPr="00046271">
        <w:rPr>
          <w:color w:val="000000"/>
          <w:sz w:val="20"/>
          <w:szCs w:val="20"/>
        </w:rPr>
        <w:t xml:space="preserve"> and KNDP.</w:t>
      </w:r>
    </w:p>
    <w:p w14:paraId="5CAB3561" w14:textId="77777777" w:rsidR="009A47BF" w:rsidRPr="00952E10" w:rsidRDefault="009A47BF" w:rsidP="00226BDD">
      <w:pPr>
        <w:pStyle w:val="ListParagraph"/>
        <w:tabs>
          <w:tab w:val="left" w:pos="990"/>
        </w:tabs>
        <w:ind w:left="630" w:right="65"/>
        <w:rPr>
          <w:sz w:val="12"/>
          <w:szCs w:val="12"/>
        </w:rPr>
      </w:pPr>
    </w:p>
    <w:p w14:paraId="2F2BA474" w14:textId="742F9C40" w:rsidR="009A47BF" w:rsidRPr="00046271" w:rsidRDefault="009A47BF" w:rsidP="00226BDD">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rPr>
        <w:t xml:space="preserve">UNDP will work with the </w:t>
      </w:r>
      <w:r w:rsidR="00AF5B10">
        <w:rPr>
          <w:sz w:val="20"/>
          <w:szCs w:val="20"/>
        </w:rPr>
        <w:t xml:space="preserve">GSSCPD, </w:t>
      </w:r>
      <w:r w:rsidR="008236A9">
        <w:rPr>
          <w:sz w:val="20"/>
          <w:szCs w:val="20"/>
        </w:rPr>
        <w:t>NOSD</w:t>
      </w:r>
      <w:r w:rsidRPr="00046271">
        <w:rPr>
          <w:sz w:val="20"/>
          <w:szCs w:val="20"/>
        </w:rPr>
        <w:t>, CSB and K</w:t>
      </w:r>
      <w:r w:rsidR="00AF5B10">
        <w:rPr>
          <w:sz w:val="20"/>
          <w:szCs w:val="20"/>
        </w:rPr>
        <w:t>PCC</w:t>
      </w:r>
      <w:r w:rsidRPr="00046271">
        <w:rPr>
          <w:sz w:val="20"/>
          <w:szCs w:val="20"/>
        </w:rPr>
        <w:t xml:space="preserve"> to strengthen capacities for the collection, dissemination</w:t>
      </w:r>
      <w:r w:rsidR="00E07CA7">
        <w:rPr>
          <w:sz w:val="20"/>
          <w:szCs w:val="20"/>
        </w:rPr>
        <w:t xml:space="preserve"> and</w:t>
      </w:r>
      <w:r w:rsidRPr="00046271">
        <w:rPr>
          <w:sz w:val="20"/>
          <w:szCs w:val="20"/>
        </w:rPr>
        <w:t xml:space="preserve"> use of data and statistics. The emphasis will be on data disaggregation for monitoring impacts on target groups, prioritizing youth, women and persons with disabilities.  The country office will ensure consistent use of the UNDP gender marker to monitor expenditure</w:t>
      </w:r>
      <w:r w:rsidR="006C094B">
        <w:rPr>
          <w:sz w:val="20"/>
          <w:szCs w:val="20"/>
        </w:rPr>
        <w:t>s</w:t>
      </w:r>
      <w:r w:rsidRPr="00046271">
        <w:rPr>
          <w:sz w:val="20"/>
          <w:szCs w:val="20"/>
        </w:rPr>
        <w:t xml:space="preserve"> and improve gender-based planning and decision-making.</w:t>
      </w:r>
      <w:r w:rsidRPr="00046271">
        <w:rPr>
          <w:color w:val="000000"/>
          <w:sz w:val="20"/>
          <w:szCs w:val="20"/>
        </w:rPr>
        <w:t xml:space="preserve"> UNDP social and environmental standards will be rigorously applied to ensure that development remains inclusive, human rights-based and environmentally sustainable.</w:t>
      </w:r>
    </w:p>
    <w:p w14:paraId="3850C44B" w14:textId="77777777" w:rsidR="009A47BF" w:rsidRPr="00952E10" w:rsidRDefault="009A47BF" w:rsidP="00226BDD">
      <w:pPr>
        <w:tabs>
          <w:tab w:val="left" w:pos="990"/>
        </w:tabs>
        <w:ind w:left="630" w:right="65"/>
        <w:jc w:val="both"/>
        <w:rPr>
          <w:sz w:val="12"/>
          <w:szCs w:val="12"/>
        </w:rPr>
      </w:pPr>
    </w:p>
    <w:p w14:paraId="0D873609" w14:textId="0FB5F044" w:rsidR="009A47BF" w:rsidRPr="00046271" w:rsidRDefault="009A47BF" w:rsidP="00226BDD">
      <w:pPr>
        <w:pStyle w:val="ListParagraph"/>
        <w:numPr>
          <w:ilvl w:val="0"/>
          <w:numId w:val="26"/>
        </w:numPr>
        <w:tabs>
          <w:tab w:val="left" w:pos="990"/>
        </w:tabs>
        <w:autoSpaceDE w:val="0"/>
        <w:autoSpaceDN w:val="0"/>
        <w:adjustRightInd w:val="0"/>
        <w:ind w:left="630" w:right="65" w:firstLine="0"/>
        <w:contextualSpacing/>
        <w:jc w:val="both"/>
        <w:rPr>
          <w:sz w:val="20"/>
          <w:szCs w:val="20"/>
        </w:rPr>
      </w:pPr>
      <w:r w:rsidRPr="00046271">
        <w:rPr>
          <w:sz w:val="20"/>
          <w:szCs w:val="20"/>
          <w:lang w:eastAsia="ja-JP"/>
        </w:rPr>
        <w:t>To facilitate evidence-based programme design and support the U</w:t>
      </w:r>
      <w:r w:rsidR="006C094B">
        <w:rPr>
          <w:sz w:val="20"/>
          <w:szCs w:val="20"/>
          <w:lang w:eastAsia="ja-JP"/>
        </w:rPr>
        <w:t xml:space="preserve">nited </w:t>
      </w:r>
      <w:r w:rsidRPr="00046271">
        <w:rPr>
          <w:sz w:val="20"/>
          <w:szCs w:val="20"/>
          <w:lang w:eastAsia="ja-JP"/>
        </w:rPr>
        <w:t>N</w:t>
      </w:r>
      <w:r w:rsidR="006C094B">
        <w:rPr>
          <w:sz w:val="20"/>
          <w:szCs w:val="20"/>
          <w:lang w:eastAsia="ja-JP"/>
        </w:rPr>
        <w:t>ations</w:t>
      </w:r>
      <w:r w:rsidRPr="00046271">
        <w:rPr>
          <w:sz w:val="20"/>
          <w:szCs w:val="20"/>
          <w:lang w:eastAsia="ja-JP"/>
        </w:rPr>
        <w:t xml:space="preserve">-wide engagement to broaden the debate on the national development agenda and the </w:t>
      </w:r>
      <w:r w:rsidR="006C094B">
        <w:rPr>
          <w:sz w:val="20"/>
          <w:szCs w:val="20"/>
        </w:rPr>
        <w:t>Sustainable Development Goal</w:t>
      </w:r>
      <w:r w:rsidRPr="00046271">
        <w:rPr>
          <w:sz w:val="20"/>
          <w:szCs w:val="20"/>
          <w:lang w:eastAsia="ja-JP"/>
        </w:rPr>
        <w:t xml:space="preserve">s, </w:t>
      </w:r>
      <w:r w:rsidRPr="00046271">
        <w:rPr>
          <w:sz w:val="20"/>
          <w:szCs w:val="20"/>
        </w:rPr>
        <w:t>a multi-year research agenda will produce policy briefs, discussion papers and periodic reports, including the Kuwait Energy Outlook</w:t>
      </w:r>
      <w:r w:rsidR="006C094B">
        <w:rPr>
          <w:sz w:val="20"/>
          <w:szCs w:val="20"/>
        </w:rPr>
        <w:t xml:space="preserve"> and </w:t>
      </w:r>
      <w:r w:rsidRPr="00046271">
        <w:rPr>
          <w:sz w:val="20"/>
          <w:szCs w:val="20"/>
        </w:rPr>
        <w:t xml:space="preserve">national </w:t>
      </w:r>
      <w:r w:rsidR="006C094B">
        <w:rPr>
          <w:sz w:val="20"/>
          <w:szCs w:val="20"/>
        </w:rPr>
        <w:t>Sustainable Development Goal</w:t>
      </w:r>
      <w:r w:rsidR="006C094B" w:rsidRPr="00046271">
        <w:rPr>
          <w:sz w:val="20"/>
          <w:szCs w:val="20"/>
        </w:rPr>
        <w:t xml:space="preserve"> </w:t>
      </w:r>
      <w:r w:rsidR="006C094B">
        <w:rPr>
          <w:sz w:val="20"/>
          <w:szCs w:val="20"/>
        </w:rPr>
        <w:t>a</w:t>
      </w:r>
      <w:r w:rsidRPr="00046271">
        <w:rPr>
          <w:sz w:val="20"/>
          <w:szCs w:val="20"/>
        </w:rPr>
        <w:t xml:space="preserve">nd </w:t>
      </w:r>
      <w:r w:rsidR="006C094B">
        <w:rPr>
          <w:sz w:val="20"/>
          <w:szCs w:val="20"/>
        </w:rPr>
        <w:t>h</w:t>
      </w:r>
      <w:r w:rsidRPr="00046271">
        <w:rPr>
          <w:sz w:val="20"/>
          <w:szCs w:val="20"/>
        </w:rPr>
        <w:t xml:space="preserve">uman </w:t>
      </w:r>
      <w:r w:rsidR="006C094B">
        <w:rPr>
          <w:sz w:val="20"/>
          <w:szCs w:val="20"/>
        </w:rPr>
        <w:t>d</w:t>
      </w:r>
      <w:r w:rsidRPr="00046271">
        <w:rPr>
          <w:sz w:val="20"/>
          <w:szCs w:val="20"/>
        </w:rPr>
        <w:t xml:space="preserve">evelopment </w:t>
      </w:r>
      <w:r w:rsidR="006C094B">
        <w:rPr>
          <w:sz w:val="20"/>
          <w:szCs w:val="20"/>
        </w:rPr>
        <w:t>r</w:t>
      </w:r>
      <w:r w:rsidRPr="00046271">
        <w:rPr>
          <w:sz w:val="20"/>
          <w:szCs w:val="20"/>
        </w:rPr>
        <w:t>eports</w:t>
      </w:r>
      <w:r w:rsidR="006C094B">
        <w:rPr>
          <w:sz w:val="20"/>
          <w:szCs w:val="20"/>
        </w:rPr>
        <w:t>,</w:t>
      </w:r>
      <w:r w:rsidRPr="00046271">
        <w:rPr>
          <w:sz w:val="20"/>
          <w:szCs w:val="20"/>
        </w:rPr>
        <w:t xml:space="preserve"> on themes related to economic and public administration transformation. </w:t>
      </w:r>
    </w:p>
    <w:p w14:paraId="1730A102" w14:textId="77777777" w:rsidR="009A47BF" w:rsidRPr="00952E10" w:rsidRDefault="009A47BF" w:rsidP="007F5C41">
      <w:pPr>
        <w:pStyle w:val="ListParagraph"/>
        <w:tabs>
          <w:tab w:val="left" w:pos="900"/>
        </w:tabs>
        <w:ind w:left="630" w:right="65"/>
        <w:rPr>
          <w:sz w:val="12"/>
          <w:szCs w:val="12"/>
        </w:rPr>
      </w:pPr>
    </w:p>
    <w:p w14:paraId="3F9D83DF" w14:textId="69275746" w:rsidR="009A47BF" w:rsidRPr="00046271" w:rsidRDefault="009A47BF" w:rsidP="007F5C41">
      <w:pPr>
        <w:pStyle w:val="ListParagraph"/>
        <w:numPr>
          <w:ilvl w:val="0"/>
          <w:numId w:val="26"/>
        </w:numPr>
        <w:tabs>
          <w:tab w:val="left" w:pos="900"/>
        </w:tabs>
        <w:autoSpaceDE w:val="0"/>
        <w:autoSpaceDN w:val="0"/>
        <w:adjustRightInd w:val="0"/>
        <w:ind w:left="630" w:right="65" w:firstLine="0"/>
        <w:contextualSpacing/>
        <w:jc w:val="both"/>
        <w:rPr>
          <w:sz w:val="20"/>
          <w:szCs w:val="20"/>
        </w:rPr>
      </w:pPr>
      <w:r w:rsidRPr="00046271">
        <w:rPr>
          <w:sz w:val="20"/>
          <w:szCs w:val="20"/>
        </w:rPr>
        <w:t xml:space="preserve">In order to increase the transparency, visibility and impact of </w:t>
      </w:r>
      <w:r w:rsidR="00AF5B10">
        <w:rPr>
          <w:sz w:val="20"/>
          <w:szCs w:val="20"/>
        </w:rPr>
        <w:t xml:space="preserve">the </w:t>
      </w:r>
      <w:r w:rsidR="006C094B">
        <w:rPr>
          <w:sz w:val="20"/>
          <w:szCs w:val="20"/>
        </w:rPr>
        <w:t>partnerships between</w:t>
      </w:r>
      <w:r w:rsidR="0040693F">
        <w:rPr>
          <w:sz w:val="20"/>
          <w:szCs w:val="20"/>
        </w:rPr>
        <w:t xml:space="preserve"> </w:t>
      </w:r>
      <w:r w:rsidR="008236A9">
        <w:rPr>
          <w:sz w:val="20"/>
          <w:szCs w:val="20"/>
        </w:rPr>
        <w:t>UNDP and</w:t>
      </w:r>
      <w:r w:rsidR="006C094B">
        <w:rPr>
          <w:sz w:val="20"/>
          <w:szCs w:val="20"/>
        </w:rPr>
        <w:t xml:space="preserve"> </w:t>
      </w:r>
      <w:r w:rsidR="0071769A">
        <w:rPr>
          <w:sz w:val="20"/>
          <w:szCs w:val="20"/>
        </w:rPr>
        <w:t>the</w:t>
      </w:r>
      <w:r w:rsidR="006C094B">
        <w:rPr>
          <w:sz w:val="20"/>
          <w:szCs w:val="20"/>
        </w:rPr>
        <w:t xml:space="preserve"> </w:t>
      </w:r>
      <w:r w:rsidR="00AF5B10">
        <w:rPr>
          <w:sz w:val="20"/>
          <w:szCs w:val="20"/>
        </w:rPr>
        <w:t>State of Kuwait</w:t>
      </w:r>
      <w:r w:rsidR="0022234A">
        <w:rPr>
          <w:sz w:val="20"/>
          <w:szCs w:val="20"/>
        </w:rPr>
        <w:t>.</w:t>
      </w:r>
      <w:r w:rsidR="0071769A">
        <w:rPr>
          <w:sz w:val="20"/>
          <w:szCs w:val="20"/>
        </w:rPr>
        <w:t xml:space="preserve"> </w:t>
      </w:r>
      <w:r w:rsidR="0071769A" w:rsidRPr="00046271">
        <w:rPr>
          <w:sz w:val="20"/>
          <w:szCs w:val="20"/>
        </w:rPr>
        <w:t>UNDP</w:t>
      </w:r>
      <w:r w:rsidRPr="00046271">
        <w:rPr>
          <w:sz w:val="20"/>
          <w:szCs w:val="20"/>
        </w:rPr>
        <w:t xml:space="preserve"> will intensify efforts to communicate its </w:t>
      </w:r>
      <w:r w:rsidR="00AF5B10">
        <w:rPr>
          <w:sz w:val="20"/>
          <w:szCs w:val="20"/>
        </w:rPr>
        <w:t xml:space="preserve">achievements and </w:t>
      </w:r>
      <w:r w:rsidRPr="00046271">
        <w:rPr>
          <w:sz w:val="20"/>
          <w:szCs w:val="20"/>
        </w:rPr>
        <w:t xml:space="preserve">results to </w:t>
      </w:r>
      <w:r w:rsidR="00AF5B10">
        <w:rPr>
          <w:sz w:val="20"/>
          <w:szCs w:val="20"/>
        </w:rPr>
        <w:t>the general public inside Kuwait and beyond</w:t>
      </w:r>
      <w:r w:rsidR="00F269F1">
        <w:rPr>
          <w:sz w:val="20"/>
          <w:szCs w:val="20"/>
        </w:rPr>
        <w:t xml:space="preserve"> </w:t>
      </w:r>
      <w:r w:rsidRPr="00046271">
        <w:rPr>
          <w:sz w:val="20"/>
          <w:szCs w:val="20"/>
        </w:rPr>
        <w:t xml:space="preserve">through </w:t>
      </w:r>
      <w:r w:rsidR="00AF5B10">
        <w:rPr>
          <w:sz w:val="20"/>
          <w:szCs w:val="20"/>
        </w:rPr>
        <w:t xml:space="preserve">traditional and non-traditional media with </w:t>
      </w:r>
      <w:r w:rsidRPr="00046271">
        <w:rPr>
          <w:sz w:val="20"/>
          <w:szCs w:val="20"/>
        </w:rPr>
        <w:t xml:space="preserve">real-life </w:t>
      </w:r>
      <w:r w:rsidR="0040693F">
        <w:rPr>
          <w:sz w:val="20"/>
          <w:szCs w:val="20"/>
        </w:rPr>
        <w:t xml:space="preserve">stories, </w:t>
      </w:r>
      <w:r w:rsidR="0040693F" w:rsidRPr="00046271">
        <w:rPr>
          <w:sz w:val="20"/>
          <w:szCs w:val="20"/>
        </w:rPr>
        <w:t>innovative</w:t>
      </w:r>
      <w:r w:rsidR="00AF5B10">
        <w:rPr>
          <w:sz w:val="20"/>
          <w:szCs w:val="20"/>
        </w:rPr>
        <w:t xml:space="preserve"> and</w:t>
      </w:r>
      <w:r w:rsidRPr="00046271">
        <w:rPr>
          <w:sz w:val="20"/>
          <w:szCs w:val="20"/>
        </w:rPr>
        <w:t xml:space="preserve"> user-friendly formats and social media tools to reach diverse audiences</w:t>
      </w:r>
      <w:r w:rsidR="00691E48">
        <w:rPr>
          <w:sz w:val="20"/>
          <w:szCs w:val="20"/>
        </w:rPr>
        <w:t>.</w:t>
      </w:r>
      <w:r w:rsidRPr="00046271">
        <w:rPr>
          <w:color w:val="000000" w:themeColor="text1"/>
          <w:sz w:val="20"/>
          <w:szCs w:val="20"/>
        </w:rPr>
        <w:t xml:space="preserve"> </w:t>
      </w:r>
    </w:p>
    <w:p w14:paraId="18D8DA0E" w14:textId="77777777" w:rsidR="009A47BF" w:rsidRPr="00046271" w:rsidRDefault="009A47BF" w:rsidP="009A47BF"/>
    <w:p w14:paraId="52320EF8" w14:textId="77777777" w:rsidR="000B2DCA" w:rsidRPr="009D7AE5" w:rsidRDefault="000B2DCA" w:rsidP="00443D38">
      <w:pPr>
        <w:tabs>
          <w:tab w:val="left" w:pos="1440"/>
        </w:tabs>
        <w:rPr>
          <w:sz w:val="20"/>
          <w:szCs w:val="20"/>
        </w:rPr>
        <w:sectPr w:rsidR="000B2DCA" w:rsidRPr="009D7AE5" w:rsidSect="00962DC4">
          <w:headerReference w:type="even" r:id="rId18"/>
          <w:headerReference w:type="default" r:id="rId19"/>
          <w:pgSz w:w="12240" w:h="15840"/>
          <w:pgMar w:top="1166" w:right="2070" w:bottom="1440" w:left="1195" w:header="720" w:footer="720" w:gutter="0"/>
          <w:cols w:space="720"/>
          <w:docGrid w:linePitch="326"/>
        </w:sectPr>
      </w:pPr>
    </w:p>
    <w:p w14:paraId="3B9F88F8" w14:textId="7822C536" w:rsidR="002110C5" w:rsidRPr="009D7AE5" w:rsidRDefault="002110C5" w:rsidP="002110C5">
      <w:pPr>
        <w:jc w:val="both"/>
        <w:rPr>
          <w:b/>
          <w:bCs/>
          <w:color w:val="000000"/>
        </w:rPr>
      </w:pPr>
      <w:r w:rsidRPr="009D7AE5">
        <w:rPr>
          <w:b/>
          <w:bCs/>
          <w:color w:val="000000"/>
        </w:rPr>
        <w:lastRenderedPageBreak/>
        <w:t xml:space="preserve">Annex. Results and resources framework for </w:t>
      </w:r>
      <w:r>
        <w:rPr>
          <w:b/>
          <w:bCs/>
          <w:color w:val="000000"/>
        </w:rPr>
        <w:t>the State of Kuwait</w:t>
      </w:r>
      <w:r w:rsidRPr="009D7AE5">
        <w:rPr>
          <w:b/>
          <w:bCs/>
          <w:color w:val="000000"/>
        </w:rPr>
        <w:t xml:space="preserve"> (20</w:t>
      </w:r>
      <w:r>
        <w:rPr>
          <w:b/>
          <w:bCs/>
          <w:color w:val="000000"/>
        </w:rPr>
        <w:t>20</w:t>
      </w:r>
      <w:r w:rsidRPr="009D7AE5">
        <w:rPr>
          <w:b/>
          <w:bCs/>
          <w:color w:val="000000"/>
        </w:rPr>
        <w:t>-202</w:t>
      </w:r>
      <w:r w:rsidR="0056519E">
        <w:rPr>
          <w:b/>
          <w:bCs/>
          <w:color w:val="000000"/>
        </w:rPr>
        <w:t>4</w:t>
      </w:r>
      <w:r w:rsidR="00F86B3F">
        <w:rPr>
          <w:b/>
          <w:bCs/>
          <w:color w:val="000000"/>
        </w:rPr>
        <w:t>)</w:t>
      </w:r>
    </w:p>
    <w:p w14:paraId="72567106" w14:textId="77777777" w:rsidR="002110C5" w:rsidRPr="009D7AE5" w:rsidRDefault="002110C5" w:rsidP="002110C5">
      <w:pPr>
        <w:tabs>
          <w:tab w:val="left" w:pos="900"/>
          <w:tab w:val="left" w:pos="990"/>
          <w:tab w:val="left" w:pos="8640"/>
          <w:tab w:val="left" w:pos="9180"/>
        </w:tabs>
        <w:ind w:left="450"/>
        <w:rPr>
          <w:sz w:val="20"/>
          <w:szCs w:val="20"/>
        </w:rPr>
      </w:pP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154"/>
        <w:gridCol w:w="2120"/>
      </w:tblGrid>
      <w:tr w:rsidR="000E76A0" w:rsidRPr="000E76A0" w14:paraId="20781CE0" w14:textId="77777777" w:rsidTr="005F67DD">
        <w:tc>
          <w:tcPr>
            <w:tcW w:w="5000" w:type="pct"/>
            <w:gridSpan w:val="5"/>
            <w:shd w:val="clear" w:color="auto" w:fill="auto"/>
            <w:tcMar>
              <w:top w:w="72" w:type="dxa"/>
              <w:left w:w="144" w:type="dxa"/>
              <w:bottom w:w="72" w:type="dxa"/>
              <w:right w:w="144" w:type="dxa"/>
            </w:tcMar>
          </w:tcPr>
          <w:p w14:paraId="5A4BC7B7" w14:textId="6054D49D" w:rsidR="00C741B4" w:rsidRPr="000E76A0" w:rsidRDefault="002110C5" w:rsidP="007D451C">
            <w:pPr>
              <w:spacing w:before="40" w:after="120"/>
              <w:rPr>
                <w:b/>
                <w:bCs/>
                <w:sz w:val="16"/>
                <w:szCs w:val="16"/>
              </w:rPr>
            </w:pPr>
            <w:r w:rsidRPr="000E76A0">
              <w:rPr>
                <w:b/>
                <w:bCs/>
                <w:sz w:val="16"/>
                <w:szCs w:val="16"/>
              </w:rPr>
              <w:t>Kuwait National Development Plan (</w:t>
            </w:r>
            <w:r w:rsidR="00EE4ED0" w:rsidRPr="000E76A0">
              <w:rPr>
                <w:b/>
                <w:bCs/>
                <w:sz w:val="16"/>
                <w:szCs w:val="16"/>
              </w:rPr>
              <w:t>KNDP) Goal</w:t>
            </w:r>
            <w:r w:rsidRPr="000E76A0">
              <w:rPr>
                <w:b/>
                <w:bCs/>
                <w:sz w:val="16"/>
                <w:szCs w:val="16"/>
              </w:rPr>
              <w:t xml:space="preserve">: </w:t>
            </w:r>
          </w:p>
          <w:p w14:paraId="793AF8B3" w14:textId="0C0EDBB9" w:rsidR="002110C5" w:rsidRPr="000E76A0" w:rsidRDefault="002110C5" w:rsidP="007D451C">
            <w:pPr>
              <w:spacing w:before="40" w:after="120"/>
              <w:rPr>
                <w:rFonts w:cstheme="minorHAnsi"/>
                <w:sz w:val="16"/>
                <w:szCs w:val="16"/>
              </w:rPr>
            </w:pPr>
            <w:r w:rsidRPr="000E76A0">
              <w:rPr>
                <w:rFonts w:cstheme="minorHAnsi"/>
                <w:sz w:val="16"/>
                <w:szCs w:val="16"/>
                <w:u w:val="single"/>
              </w:rPr>
              <w:t>Effective Public Administration</w:t>
            </w:r>
            <w:r w:rsidRPr="000E76A0">
              <w:rPr>
                <w:rFonts w:cstheme="minorHAnsi"/>
                <w:sz w:val="16"/>
                <w:szCs w:val="16"/>
              </w:rPr>
              <w:t xml:space="preserve">: </w:t>
            </w:r>
            <w:r w:rsidRPr="000E76A0">
              <w:t xml:space="preserve"> </w:t>
            </w:r>
            <w:r w:rsidRPr="000E76A0">
              <w:rPr>
                <w:rFonts w:cstheme="minorHAnsi"/>
                <w:sz w:val="16"/>
                <w:szCs w:val="16"/>
              </w:rPr>
              <w:t>Reform administrative and bureaucratic practices to reinforce transparency, accountability</w:t>
            </w:r>
            <w:r w:rsidR="00E07CA7" w:rsidRPr="000E76A0">
              <w:rPr>
                <w:rFonts w:cstheme="minorHAnsi"/>
                <w:sz w:val="16"/>
                <w:szCs w:val="16"/>
              </w:rPr>
              <w:t xml:space="preserve"> and</w:t>
            </w:r>
            <w:r w:rsidRPr="000E76A0">
              <w:rPr>
                <w:rFonts w:cstheme="minorHAnsi"/>
                <w:sz w:val="16"/>
                <w:szCs w:val="16"/>
              </w:rPr>
              <w:t xml:space="preserve"> efficiency in the government.</w:t>
            </w:r>
          </w:p>
          <w:p w14:paraId="6663DF3D" w14:textId="77777777" w:rsidR="002110C5" w:rsidRPr="000E76A0" w:rsidRDefault="002110C5" w:rsidP="007D451C">
            <w:pPr>
              <w:rPr>
                <w:sz w:val="16"/>
                <w:szCs w:val="16"/>
              </w:rPr>
            </w:pPr>
            <w:r w:rsidRPr="000E76A0">
              <w:rPr>
                <w:rFonts w:cstheme="minorHAnsi"/>
                <w:sz w:val="16"/>
                <w:szCs w:val="16"/>
                <w:u w:val="single"/>
              </w:rPr>
              <w:t>Sustainable Diversified Economy</w:t>
            </w:r>
            <w:r w:rsidRPr="000E76A0">
              <w:rPr>
                <w:rFonts w:cstheme="minorHAnsi"/>
                <w:sz w:val="16"/>
                <w:szCs w:val="16"/>
              </w:rPr>
              <w:t xml:space="preserve">: </w:t>
            </w:r>
            <w:r w:rsidRPr="000E76A0">
              <w:t xml:space="preserve"> </w:t>
            </w:r>
            <w:r w:rsidRPr="000E76A0">
              <w:rPr>
                <w:rFonts w:cstheme="minorHAnsi"/>
                <w:sz w:val="16"/>
                <w:szCs w:val="16"/>
              </w:rPr>
              <w:t>Develop a prosperous and diversified economy to reduce the country’s dependence on oil export revenues.</w:t>
            </w:r>
          </w:p>
        </w:tc>
      </w:tr>
      <w:tr w:rsidR="000E76A0" w:rsidRPr="000E76A0" w14:paraId="6A1C3533" w14:textId="77777777" w:rsidTr="005F67DD">
        <w:tc>
          <w:tcPr>
            <w:tcW w:w="5000" w:type="pct"/>
            <w:gridSpan w:val="5"/>
            <w:shd w:val="clear" w:color="auto" w:fill="auto"/>
            <w:tcMar>
              <w:top w:w="72" w:type="dxa"/>
              <w:left w:w="144" w:type="dxa"/>
              <w:bottom w:w="72" w:type="dxa"/>
              <w:right w:w="144" w:type="dxa"/>
            </w:tcMar>
          </w:tcPr>
          <w:p w14:paraId="3AF87E90" w14:textId="37CF9B4B" w:rsidR="002110C5" w:rsidRPr="000E76A0" w:rsidRDefault="002110C5" w:rsidP="007D451C">
            <w:pPr>
              <w:rPr>
                <w:rFonts w:cstheme="minorHAnsi"/>
                <w:b/>
                <w:sz w:val="20"/>
                <w:szCs w:val="20"/>
              </w:rPr>
            </w:pPr>
            <w:r w:rsidRPr="000E76A0">
              <w:rPr>
                <w:b/>
                <w:bCs/>
                <w:sz w:val="16"/>
                <w:szCs w:val="16"/>
              </w:rPr>
              <w:t>UNS</w:t>
            </w:r>
            <w:r w:rsidR="00E433C6" w:rsidRPr="000E76A0">
              <w:rPr>
                <w:b/>
                <w:bCs/>
                <w:sz w:val="16"/>
                <w:szCs w:val="16"/>
              </w:rPr>
              <w:t>DC</w:t>
            </w:r>
            <w:r w:rsidR="00744331" w:rsidRPr="000E76A0">
              <w:rPr>
                <w:b/>
                <w:bCs/>
                <w:sz w:val="16"/>
                <w:szCs w:val="16"/>
              </w:rPr>
              <w:t>F</w:t>
            </w:r>
            <w:r w:rsidRPr="000E76A0">
              <w:t xml:space="preserve"> </w:t>
            </w:r>
            <w:r w:rsidRPr="000E76A0">
              <w:rPr>
                <w:b/>
                <w:bCs/>
                <w:sz w:val="16"/>
                <w:szCs w:val="16"/>
              </w:rPr>
              <w:t>OUTCOME INVOLVING UNDP #1:</w:t>
            </w:r>
            <w:r w:rsidRPr="000E76A0">
              <w:rPr>
                <w:sz w:val="16"/>
                <w:szCs w:val="16"/>
              </w:rPr>
              <w:t xml:space="preserve"> </w:t>
            </w:r>
            <w:r w:rsidRPr="000E76A0">
              <w:rPr>
                <w:bCs/>
                <w:sz w:val="16"/>
                <w:szCs w:val="16"/>
              </w:rPr>
              <w:t xml:space="preserve"> </w:t>
            </w:r>
            <w:r w:rsidRPr="000E76A0">
              <w:rPr>
                <w:sz w:val="16"/>
                <w:szCs w:val="16"/>
              </w:rPr>
              <w:t xml:space="preserve"> By 2023, there is a policy and regulatory environment for private-sector-led economic diversification that is transparent and promotes fairness and technological innovation</w:t>
            </w:r>
            <w:r w:rsidRPr="000E76A0">
              <w:rPr>
                <w:rFonts w:cstheme="minorHAnsi"/>
                <w:b/>
                <w:sz w:val="20"/>
                <w:szCs w:val="20"/>
              </w:rPr>
              <w:t xml:space="preserve"> </w:t>
            </w:r>
          </w:p>
        </w:tc>
      </w:tr>
      <w:tr w:rsidR="000E76A0" w:rsidRPr="000E76A0" w14:paraId="2C6D14F7" w14:textId="77777777" w:rsidTr="005F67DD">
        <w:tc>
          <w:tcPr>
            <w:tcW w:w="5000" w:type="pct"/>
            <w:gridSpan w:val="5"/>
            <w:shd w:val="clear" w:color="auto" w:fill="auto"/>
            <w:tcMar>
              <w:top w:w="72" w:type="dxa"/>
              <w:left w:w="144" w:type="dxa"/>
              <w:bottom w:w="72" w:type="dxa"/>
              <w:right w:w="144" w:type="dxa"/>
            </w:tcMar>
          </w:tcPr>
          <w:p w14:paraId="5731CC07" w14:textId="77777777" w:rsidR="002110C5" w:rsidRPr="000E76A0" w:rsidRDefault="002110C5" w:rsidP="007D451C">
            <w:pPr>
              <w:rPr>
                <w:b/>
                <w:bCs/>
                <w:sz w:val="16"/>
                <w:szCs w:val="16"/>
              </w:rPr>
            </w:pPr>
            <w:r w:rsidRPr="000E76A0">
              <w:rPr>
                <w:b/>
                <w:bCs/>
                <w:sz w:val="16"/>
                <w:szCs w:val="16"/>
              </w:rPr>
              <w:t xml:space="preserve">RELATED STRATEGIC PLAN OUTCOME: </w:t>
            </w:r>
            <w:r w:rsidRPr="000E76A0">
              <w:rPr>
                <w:b/>
                <w:sz w:val="16"/>
                <w:szCs w:val="16"/>
              </w:rPr>
              <w:t xml:space="preserve"> </w:t>
            </w:r>
            <w:r w:rsidRPr="000E76A0">
              <w:rPr>
                <w:sz w:val="16"/>
                <w:szCs w:val="16"/>
              </w:rPr>
              <w:t>Accelerate structural transformations for sustainable development.</w:t>
            </w:r>
          </w:p>
        </w:tc>
      </w:tr>
      <w:tr w:rsidR="000E76A0" w:rsidRPr="000E76A0" w14:paraId="436DF9BE" w14:textId="77777777" w:rsidTr="005F67DD">
        <w:tc>
          <w:tcPr>
            <w:tcW w:w="1097" w:type="pct"/>
            <w:shd w:val="clear" w:color="auto" w:fill="auto"/>
            <w:tcMar>
              <w:top w:w="72" w:type="dxa"/>
              <w:left w:w="144" w:type="dxa"/>
              <w:bottom w:w="72" w:type="dxa"/>
              <w:right w:w="144" w:type="dxa"/>
            </w:tcMar>
            <w:vAlign w:val="center"/>
          </w:tcPr>
          <w:p w14:paraId="6FCA1B33" w14:textId="629FB72C" w:rsidR="002110C5" w:rsidRPr="000E76A0" w:rsidRDefault="00E433C6" w:rsidP="007D451C">
            <w:pPr>
              <w:jc w:val="center"/>
              <w:rPr>
                <w:sz w:val="16"/>
                <w:szCs w:val="16"/>
              </w:rPr>
            </w:pPr>
            <w:r w:rsidRPr="000E76A0">
              <w:rPr>
                <w:b/>
                <w:bCs/>
                <w:sz w:val="16"/>
                <w:szCs w:val="16"/>
              </w:rPr>
              <w:t xml:space="preserve">UNSDCF </w:t>
            </w:r>
            <w:r w:rsidR="00496EB4" w:rsidRPr="000E76A0">
              <w:rPr>
                <w:b/>
                <w:bCs/>
                <w:sz w:val="16"/>
                <w:szCs w:val="16"/>
              </w:rPr>
              <w:t>outcome indicator(s), baselines, target(s)</w:t>
            </w:r>
            <w:r w:rsidR="00E6051D" w:rsidRPr="000E76A0">
              <w:rPr>
                <w:rStyle w:val="FootnoteReference"/>
                <w:b/>
                <w:bCs/>
                <w:sz w:val="16"/>
                <w:szCs w:val="16"/>
              </w:rPr>
              <w:footnoteReference w:id="34"/>
            </w:r>
          </w:p>
        </w:tc>
        <w:tc>
          <w:tcPr>
            <w:tcW w:w="1178" w:type="pct"/>
            <w:shd w:val="clear" w:color="auto" w:fill="auto"/>
            <w:vAlign w:val="center"/>
          </w:tcPr>
          <w:p w14:paraId="37825AB4" w14:textId="0FC5753A" w:rsidR="002110C5" w:rsidRPr="000E76A0" w:rsidRDefault="00496EB4" w:rsidP="007D451C">
            <w:pPr>
              <w:jc w:val="center"/>
              <w:rPr>
                <w:b/>
                <w:sz w:val="16"/>
                <w:szCs w:val="16"/>
              </w:rPr>
            </w:pPr>
            <w:r w:rsidRPr="000E76A0">
              <w:rPr>
                <w:b/>
                <w:sz w:val="16"/>
                <w:szCs w:val="16"/>
              </w:rPr>
              <w:t>Data source and frequency of data collection, and responsibilities</w:t>
            </w:r>
          </w:p>
        </w:tc>
        <w:tc>
          <w:tcPr>
            <w:tcW w:w="1092" w:type="pct"/>
            <w:shd w:val="clear" w:color="auto" w:fill="auto"/>
            <w:tcMar>
              <w:top w:w="72" w:type="dxa"/>
              <w:left w:w="144" w:type="dxa"/>
              <w:bottom w:w="72" w:type="dxa"/>
              <w:right w:w="144" w:type="dxa"/>
            </w:tcMar>
            <w:vAlign w:val="center"/>
          </w:tcPr>
          <w:p w14:paraId="1EDE89E1" w14:textId="121DA990" w:rsidR="002110C5" w:rsidRPr="000E76A0" w:rsidRDefault="00496EB4" w:rsidP="007D451C">
            <w:pPr>
              <w:jc w:val="center"/>
              <w:rPr>
                <w:sz w:val="16"/>
                <w:szCs w:val="16"/>
              </w:rPr>
            </w:pPr>
            <w:r w:rsidRPr="000E76A0">
              <w:rPr>
                <w:b/>
                <w:bCs/>
                <w:sz w:val="16"/>
                <w:szCs w:val="16"/>
              </w:rPr>
              <w:t xml:space="preserve">Indicative country programme outputs </w:t>
            </w:r>
            <w:r w:rsidRPr="000E76A0">
              <w:rPr>
                <w:b/>
                <w:bCs/>
                <w:i/>
                <w:sz w:val="16"/>
                <w:szCs w:val="16"/>
              </w:rPr>
              <w:t>(including indicators, baselines targets)</w:t>
            </w:r>
          </w:p>
        </w:tc>
        <w:tc>
          <w:tcPr>
            <w:tcW w:w="823" w:type="pct"/>
            <w:shd w:val="clear" w:color="auto" w:fill="auto"/>
            <w:vAlign w:val="center"/>
          </w:tcPr>
          <w:p w14:paraId="5A5C3216" w14:textId="4317F47A" w:rsidR="002110C5" w:rsidRPr="000E76A0" w:rsidRDefault="00496EB4" w:rsidP="007D451C">
            <w:pPr>
              <w:jc w:val="center"/>
              <w:rPr>
                <w:b/>
                <w:bCs/>
                <w:sz w:val="16"/>
                <w:szCs w:val="16"/>
              </w:rPr>
            </w:pPr>
            <w:r w:rsidRPr="000E76A0">
              <w:rPr>
                <w:b/>
                <w:bCs/>
                <w:sz w:val="16"/>
                <w:szCs w:val="16"/>
              </w:rPr>
              <w:t>Major partners / partnerships</w:t>
            </w:r>
          </w:p>
          <w:p w14:paraId="1DFA5C6C" w14:textId="0816649E" w:rsidR="002110C5" w:rsidRPr="000E76A0" w:rsidRDefault="00496EB4" w:rsidP="007D451C">
            <w:pPr>
              <w:jc w:val="center"/>
              <w:rPr>
                <w:b/>
                <w:bCs/>
                <w:sz w:val="16"/>
                <w:szCs w:val="16"/>
              </w:rPr>
            </w:pPr>
            <w:r w:rsidRPr="000E76A0">
              <w:rPr>
                <w:b/>
                <w:bCs/>
                <w:sz w:val="16"/>
                <w:szCs w:val="16"/>
              </w:rPr>
              <w:t>frameworks</w:t>
            </w:r>
          </w:p>
        </w:tc>
        <w:tc>
          <w:tcPr>
            <w:tcW w:w="810" w:type="pct"/>
            <w:shd w:val="clear" w:color="auto" w:fill="auto"/>
            <w:tcMar>
              <w:top w:w="15" w:type="dxa"/>
              <w:left w:w="108" w:type="dxa"/>
              <w:bottom w:w="0" w:type="dxa"/>
              <w:right w:w="108" w:type="dxa"/>
            </w:tcMar>
            <w:vAlign w:val="center"/>
          </w:tcPr>
          <w:p w14:paraId="28B85A53" w14:textId="04C8F157" w:rsidR="002110C5" w:rsidRPr="000E76A0" w:rsidRDefault="00496EB4" w:rsidP="007D451C">
            <w:pPr>
              <w:jc w:val="center"/>
              <w:rPr>
                <w:i/>
                <w:sz w:val="16"/>
                <w:szCs w:val="16"/>
              </w:rPr>
            </w:pPr>
            <w:r w:rsidRPr="000E76A0">
              <w:rPr>
                <w:b/>
                <w:bCs/>
                <w:sz w:val="16"/>
                <w:szCs w:val="16"/>
              </w:rPr>
              <w:t>Indicative resources by outcome ($)</w:t>
            </w:r>
            <w:r w:rsidR="00CC24F1" w:rsidRPr="000E76A0">
              <w:rPr>
                <w:rStyle w:val="FootnoteReference"/>
                <w:b/>
                <w:bCs/>
                <w:sz w:val="16"/>
                <w:szCs w:val="16"/>
              </w:rPr>
              <w:footnoteReference w:id="35"/>
            </w:r>
          </w:p>
        </w:tc>
      </w:tr>
      <w:tr w:rsidR="000E76A0" w:rsidRPr="000E76A0" w14:paraId="4C71A67E" w14:textId="77777777" w:rsidTr="005F67DD">
        <w:tc>
          <w:tcPr>
            <w:tcW w:w="1097" w:type="pct"/>
            <w:vMerge w:val="restart"/>
            <w:shd w:val="clear" w:color="auto" w:fill="auto"/>
            <w:tcMar>
              <w:top w:w="72" w:type="dxa"/>
              <w:left w:w="144" w:type="dxa"/>
              <w:bottom w:w="72" w:type="dxa"/>
              <w:right w:w="144" w:type="dxa"/>
            </w:tcMar>
          </w:tcPr>
          <w:p w14:paraId="6D12D4D3" w14:textId="54021587" w:rsidR="002110C5" w:rsidRPr="000E76A0" w:rsidRDefault="002110C5" w:rsidP="007D451C">
            <w:pPr>
              <w:rPr>
                <w:b/>
                <w:bCs/>
                <w:i/>
                <w:sz w:val="16"/>
                <w:szCs w:val="16"/>
              </w:rPr>
            </w:pPr>
            <w:r w:rsidRPr="000E76A0">
              <w:rPr>
                <w:i/>
                <w:iCs/>
                <w:sz w:val="16"/>
                <w:szCs w:val="16"/>
              </w:rPr>
              <w:t xml:space="preserve">Indicator: </w:t>
            </w:r>
            <w:r w:rsidRPr="000E76A0">
              <w:rPr>
                <w:rFonts w:cs="Myriad Pro"/>
                <w:sz w:val="16"/>
                <w:szCs w:val="16"/>
              </w:rPr>
              <w:t xml:space="preserve"> </w:t>
            </w:r>
            <w:r w:rsidRPr="000E76A0">
              <w:rPr>
                <w:rFonts w:cstheme="minorHAnsi"/>
                <w:sz w:val="16"/>
                <w:szCs w:val="16"/>
              </w:rPr>
              <w:t xml:space="preserve"> Existence of new/revised regulations to facilitate key aspects of </w:t>
            </w:r>
            <w:r w:rsidRPr="000E76A0">
              <w:rPr>
                <w:sz w:val="16"/>
                <w:szCs w:val="16"/>
              </w:rPr>
              <w:t>business regulations and enforcement (e.g. starting a business, construction permits, credit access</w:t>
            </w:r>
            <w:r w:rsidR="009B553B" w:rsidRPr="000E76A0">
              <w:rPr>
                <w:sz w:val="16"/>
                <w:szCs w:val="16"/>
              </w:rPr>
              <w:t>)</w:t>
            </w:r>
          </w:p>
          <w:p w14:paraId="067B8496" w14:textId="77777777" w:rsidR="002110C5" w:rsidRPr="000E76A0" w:rsidRDefault="002110C5" w:rsidP="007D451C">
            <w:pPr>
              <w:rPr>
                <w:i/>
                <w:iCs/>
                <w:sz w:val="16"/>
                <w:szCs w:val="16"/>
              </w:rPr>
            </w:pPr>
            <w:r w:rsidRPr="000E76A0">
              <w:rPr>
                <w:i/>
                <w:iCs/>
                <w:sz w:val="16"/>
                <w:szCs w:val="16"/>
              </w:rPr>
              <w:t>Baseline:</w:t>
            </w:r>
            <w:r w:rsidRPr="000E76A0">
              <w:rPr>
                <w:rFonts w:cs="Myriad Pro"/>
                <w:sz w:val="16"/>
                <w:szCs w:val="16"/>
              </w:rPr>
              <w:t xml:space="preserve"> </w:t>
            </w:r>
          </w:p>
          <w:p w14:paraId="4B9A318D" w14:textId="77777777" w:rsidR="002110C5" w:rsidRPr="000E76A0" w:rsidRDefault="002110C5" w:rsidP="007D451C">
            <w:pPr>
              <w:rPr>
                <w:i/>
                <w:iCs/>
                <w:sz w:val="16"/>
                <w:szCs w:val="16"/>
              </w:rPr>
            </w:pPr>
            <w:r w:rsidRPr="000E76A0">
              <w:rPr>
                <w:bCs/>
                <w:i/>
                <w:sz w:val="16"/>
                <w:szCs w:val="16"/>
              </w:rPr>
              <w:t>Target:</w:t>
            </w:r>
            <w:r w:rsidRPr="000E76A0">
              <w:rPr>
                <w:i/>
                <w:iCs/>
                <w:sz w:val="16"/>
                <w:szCs w:val="16"/>
                <w:u w:val="single"/>
              </w:rPr>
              <w:t xml:space="preserve"> </w:t>
            </w:r>
          </w:p>
          <w:p w14:paraId="756BDDDD" w14:textId="77777777" w:rsidR="002110C5" w:rsidRPr="000E76A0" w:rsidRDefault="002110C5" w:rsidP="005F67DD">
            <w:pPr>
              <w:rPr>
                <w:bCs/>
                <w:i/>
                <w:sz w:val="16"/>
                <w:szCs w:val="16"/>
              </w:rPr>
            </w:pPr>
          </w:p>
          <w:p w14:paraId="462B59DA" w14:textId="72937972" w:rsidR="002110C5" w:rsidRPr="000E76A0" w:rsidRDefault="002110C5" w:rsidP="007D451C">
            <w:pPr>
              <w:rPr>
                <w:i/>
                <w:iCs/>
                <w:sz w:val="16"/>
                <w:szCs w:val="16"/>
              </w:rPr>
            </w:pPr>
            <w:r w:rsidRPr="000E76A0">
              <w:rPr>
                <w:i/>
                <w:iCs/>
                <w:sz w:val="16"/>
                <w:szCs w:val="16"/>
              </w:rPr>
              <w:t>Indicator:</w:t>
            </w:r>
            <w:r w:rsidRPr="000E76A0">
              <w:rPr>
                <w:rFonts w:cs="Myriad Pro"/>
                <w:sz w:val="16"/>
                <w:szCs w:val="16"/>
              </w:rPr>
              <w:t xml:space="preserve"> </w:t>
            </w:r>
            <w:r w:rsidRPr="000E76A0">
              <w:rPr>
                <w:rFonts w:cstheme="minorHAnsi"/>
                <w:sz w:val="20"/>
                <w:szCs w:val="20"/>
              </w:rPr>
              <w:t xml:space="preserve"> </w:t>
            </w:r>
            <w:r w:rsidRPr="000E76A0">
              <w:rPr>
                <w:rFonts w:cstheme="minorHAnsi"/>
                <w:sz w:val="16"/>
                <w:szCs w:val="16"/>
              </w:rPr>
              <w:t>N</w:t>
            </w:r>
            <w:r w:rsidRPr="000E76A0">
              <w:rPr>
                <w:rFonts w:cstheme="minorHAnsi"/>
                <w:sz w:val="16"/>
                <w:szCs w:val="16"/>
                <w:u w:val="single"/>
                <w:vertAlign w:val="superscript"/>
              </w:rPr>
              <w:t>o.</w:t>
            </w:r>
            <w:r w:rsidRPr="000E76A0">
              <w:rPr>
                <w:rFonts w:cstheme="minorHAnsi"/>
                <w:sz w:val="16"/>
                <w:szCs w:val="16"/>
              </w:rPr>
              <w:t xml:space="preserve"> New </w:t>
            </w:r>
            <w:r w:rsidR="00744331" w:rsidRPr="000E76A0">
              <w:rPr>
                <w:rFonts w:cstheme="minorHAnsi"/>
                <w:sz w:val="16"/>
                <w:szCs w:val="16"/>
              </w:rPr>
              <w:t xml:space="preserve">micro-, small and medium-sized </w:t>
            </w:r>
            <w:r w:rsidR="0040693F" w:rsidRPr="000E76A0">
              <w:rPr>
                <w:rFonts w:cstheme="minorHAnsi"/>
                <w:sz w:val="16"/>
                <w:szCs w:val="16"/>
              </w:rPr>
              <w:t>enterprises</w:t>
            </w:r>
            <w:r w:rsidRPr="000E76A0">
              <w:rPr>
                <w:rFonts w:cstheme="minorHAnsi"/>
                <w:sz w:val="16"/>
                <w:szCs w:val="16"/>
              </w:rPr>
              <w:t xml:space="preserve"> registered (non-hydrocarbon sectors)</w:t>
            </w:r>
          </w:p>
          <w:p w14:paraId="0822CFB3" w14:textId="77777777" w:rsidR="002110C5" w:rsidRPr="000E76A0" w:rsidRDefault="002110C5" w:rsidP="007D451C">
            <w:pPr>
              <w:rPr>
                <w:i/>
                <w:iCs/>
                <w:sz w:val="16"/>
                <w:szCs w:val="16"/>
              </w:rPr>
            </w:pPr>
            <w:r w:rsidRPr="000E76A0">
              <w:rPr>
                <w:i/>
                <w:iCs/>
                <w:sz w:val="16"/>
                <w:szCs w:val="16"/>
              </w:rPr>
              <w:t xml:space="preserve">Baseline: </w:t>
            </w:r>
          </w:p>
          <w:p w14:paraId="3A86AECA" w14:textId="77777777" w:rsidR="002110C5" w:rsidRPr="000E76A0" w:rsidRDefault="002110C5" w:rsidP="007D451C">
            <w:pPr>
              <w:rPr>
                <w:i/>
                <w:iCs/>
                <w:sz w:val="16"/>
                <w:szCs w:val="16"/>
              </w:rPr>
            </w:pPr>
            <w:r w:rsidRPr="000E76A0">
              <w:rPr>
                <w:bCs/>
                <w:i/>
                <w:sz w:val="16"/>
                <w:szCs w:val="16"/>
              </w:rPr>
              <w:t>Target:</w:t>
            </w:r>
            <w:r w:rsidRPr="000E76A0">
              <w:rPr>
                <w:i/>
                <w:iCs/>
                <w:sz w:val="16"/>
                <w:szCs w:val="16"/>
                <w:u w:val="single"/>
              </w:rPr>
              <w:t xml:space="preserve"> </w:t>
            </w:r>
          </w:p>
          <w:p w14:paraId="5BEC4E07" w14:textId="77777777" w:rsidR="002110C5" w:rsidRPr="000E76A0" w:rsidRDefault="002110C5" w:rsidP="007D451C">
            <w:pPr>
              <w:rPr>
                <w:bCs/>
                <w:i/>
                <w:sz w:val="16"/>
                <w:szCs w:val="16"/>
              </w:rPr>
            </w:pPr>
          </w:p>
          <w:p w14:paraId="137A49CC" w14:textId="77777777" w:rsidR="002110C5" w:rsidRPr="000E76A0" w:rsidRDefault="002110C5" w:rsidP="007D451C">
            <w:pPr>
              <w:rPr>
                <w:bCs/>
                <w:i/>
                <w:sz w:val="16"/>
                <w:szCs w:val="16"/>
              </w:rPr>
            </w:pPr>
          </w:p>
          <w:p w14:paraId="556DD620" w14:textId="2E7E27BA" w:rsidR="002110C5" w:rsidRPr="000E76A0" w:rsidRDefault="002110C5" w:rsidP="007D451C">
            <w:pPr>
              <w:rPr>
                <w:i/>
                <w:iCs/>
                <w:sz w:val="16"/>
                <w:szCs w:val="16"/>
              </w:rPr>
            </w:pPr>
            <w:r w:rsidRPr="000E76A0">
              <w:rPr>
                <w:i/>
                <w:iCs/>
                <w:sz w:val="16"/>
                <w:szCs w:val="16"/>
              </w:rPr>
              <w:t>Indicator:</w:t>
            </w:r>
            <w:r w:rsidRPr="000E76A0">
              <w:rPr>
                <w:rFonts w:cs="Myriad Pro"/>
                <w:sz w:val="16"/>
                <w:szCs w:val="16"/>
              </w:rPr>
              <w:t xml:space="preserve"> </w:t>
            </w:r>
            <w:r w:rsidRPr="000E76A0">
              <w:rPr>
                <w:rFonts w:cstheme="minorHAnsi"/>
                <w:sz w:val="20"/>
                <w:szCs w:val="20"/>
              </w:rPr>
              <w:t xml:space="preserve"> </w:t>
            </w:r>
            <w:r w:rsidRPr="000E76A0">
              <w:rPr>
                <w:rFonts w:cstheme="minorHAnsi"/>
                <w:sz w:val="16"/>
                <w:szCs w:val="16"/>
              </w:rPr>
              <w:t>Manufacturing value added (as proportion of GDP and per capita) (</w:t>
            </w:r>
            <w:r w:rsidR="008236A9" w:rsidRPr="000E76A0">
              <w:rPr>
                <w:rFonts w:cstheme="minorHAnsi"/>
                <w:sz w:val="16"/>
                <w:szCs w:val="16"/>
              </w:rPr>
              <w:t>Goal</w:t>
            </w:r>
            <w:r w:rsidRPr="000E76A0">
              <w:rPr>
                <w:rFonts w:cstheme="minorHAnsi"/>
                <w:sz w:val="16"/>
                <w:szCs w:val="16"/>
              </w:rPr>
              <w:t xml:space="preserve"> 9.2.1) – </w:t>
            </w:r>
            <w:r w:rsidRPr="000E76A0">
              <w:rPr>
                <w:rFonts w:cstheme="minorHAnsi"/>
                <w:b/>
                <w:sz w:val="16"/>
                <w:szCs w:val="16"/>
              </w:rPr>
              <w:t>or</w:t>
            </w:r>
            <w:r w:rsidRPr="000E76A0">
              <w:rPr>
                <w:rFonts w:cstheme="minorHAnsi"/>
                <w:sz w:val="16"/>
                <w:szCs w:val="16"/>
              </w:rPr>
              <w:t xml:space="preserve"> - % Medium and </w:t>
            </w:r>
            <w:r w:rsidR="00EE4ED0" w:rsidRPr="000E76A0">
              <w:rPr>
                <w:rFonts w:cstheme="minorHAnsi"/>
                <w:sz w:val="16"/>
                <w:szCs w:val="16"/>
              </w:rPr>
              <w:t>High-tech</w:t>
            </w:r>
            <w:r w:rsidRPr="000E76A0">
              <w:rPr>
                <w:rFonts w:cstheme="minorHAnsi"/>
                <w:sz w:val="16"/>
                <w:szCs w:val="16"/>
              </w:rPr>
              <w:t xml:space="preserve"> industry value</w:t>
            </w:r>
            <w:r w:rsidR="00AA61D5" w:rsidRPr="000E76A0">
              <w:rPr>
                <w:rFonts w:cstheme="minorHAnsi"/>
                <w:sz w:val="16"/>
                <w:szCs w:val="16"/>
              </w:rPr>
              <w:t xml:space="preserve"> </w:t>
            </w:r>
            <w:r w:rsidRPr="000E76A0">
              <w:rPr>
                <w:rFonts w:cstheme="minorHAnsi"/>
                <w:sz w:val="16"/>
                <w:szCs w:val="16"/>
              </w:rPr>
              <w:t>added in total value added (targeted sectors) (</w:t>
            </w:r>
            <w:r w:rsidR="008236A9" w:rsidRPr="000E76A0">
              <w:rPr>
                <w:rFonts w:cstheme="minorHAnsi"/>
                <w:sz w:val="16"/>
                <w:szCs w:val="16"/>
              </w:rPr>
              <w:t>Goal</w:t>
            </w:r>
            <w:r w:rsidRPr="000E76A0">
              <w:rPr>
                <w:rFonts w:cstheme="minorHAnsi"/>
                <w:sz w:val="16"/>
                <w:szCs w:val="16"/>
              </w:rPr>
              <w:t xml:space="preserve"> 9.b.1) </w:t>
            </w:r>
          </w:p>
          <w:p w14:paraId="71BC5A3F" w14:textId="77777777" w:rsidR="002110C5" w:rsidRPr="000E76A0" w:rsidRDefault="002110C5" w:rsidP="007D451C">
            <w:pPr>
              <w:rPr>
                <w:i/>
                <w:iCs/>
                <w:sz w:val="16"/>
                <w:szCs w:val="16"/>
              </w:rPr>
            </w:pPr>
            <w:r w:rsidRPr="000E76A0">
              <w:rPr>
                <w:i/>
                <w:iCs/>
                <w:sz w:val="16"/>
                <w:szCs w:val="16"/>
              </w:rPr>
              <w:t xml:space="preserve">Baseline: </w:t>
            </w:r>
          </w:p>
          <w:p w14:paraId="61DF0DCF" w14:textId="77777777" w:rsidR="002110C5" w:rsidRPr="000E76A0" w:rsidRDefault="002110C5" w:rsidP="007D451C">
            <w:pPr>
              <w:rPr>
                <w:i/>
                <w:iCs/>
                <w:sz w:val="16"/>
                <w:szCs w:val="16"/>
              </w:rPr>
            </w:pPr>
            <w:r w:rsidRPr="000E76A0">
              <w:rPr>
                <w:bCs/>
                <w:i/>
                <w:sz w:val="16"/>
                <w:szCs w:val="16"/>
              </w:rPr>
              <w:t>Target:</w:t>
            </w:r>
            <w:r w:rsidRPr="000E76A0">
              <w:rPr>
                <w:i/>
                <w:iCs/>
                <w:sz w:val="16"/>
                <w:szCs w:val="16"/>
                <w:u w:val="single"/>
              </w:rPr>
              <w:t xml:space="preserve"> </w:t>
            </w:r>
          </w:p>
          <w:p w14:paraId="45219FD5" w14:textId="77777777" w:rsidR="002110C5" w:rsidRPr="000E76A0" w:rsidRDefault="002110C5" w:rsidP="007D451C">
            <w:pPr>
              <w:rPr>
                <w:bCs/>
                <w:i/>
                <w:sz w:val="16"/>
                <w:szCs w:val="16"/>
              </w:rPr>
            </w:pPr>
          </w:p>
          <w:p w14:paraId="35FD7BDB" w14:textId="77777777" w:rsidR="002110C5" w:rsidRPr="000E76A0" w:rsidRDefault="002110C5" w:rsidP="007D451C">
            <w:pPr>
              <w:rPr>
                <w:bCs/>
                <w:i/>
                <w:sz w:val="16"/>
                <w:szCs w:val="16"/>
              </w:rPr>
            </w:pPr>
          </w:p>
          <w:p w14:paraId="5885535A" w14:textId="5C92E501" w:rsidR="002110C5" w:rsidRPr="000E76A0" w:rsidRDefault="002110C5" w:rsidP="007D451C">
            <w:pPr>
              <w:rPr>
                <w:i/>
                <w:iCs/>
                <w:sz w:val="16"/>
                <w:szCs w:val="16"/>
              </w:rPr>
            </w:pPr>
            <w:r w:rsidRPr="000E76A0">
              <w:rPr>
                <w:i/>
                <w:iCs/>
                <w:sz w:val="16"/>
                <w:szCs w:val="16"/>
              </w:rPr>
              <w:t>Indicator:</w:t>
            </w:r>
            <w:r w:rsidRPr="000E76A0">
              <w:rPr>
                <w:rFonts w:cs="Myriad Pro"/>
                <w:sz w:val="16"/>
                <w:szCs w:val="16"/>
              </w:rPr>
              <w:t xml:space="preserve"> </w:t>
            </w:r>
            <w:r w:rsidRPr="000E76A0">
              <w:rPr>
                <w:rFonts w:cstheme="minorHAnsi"/>
                <w:sz w:val="20"/>
                <w:szCs w:val="20"/>
              </w:rPr>
              <w:t xml:space="preserve"> </w:t>
            </w:r>
            <w:r w:rsidRPr="000E76A0">
              <w:rPr>
                <w:rFonts w:cstheme="minorHAnsi"/>
                <w:sz w:val="16"/>
                <w:szCs w:val="16"/>
              </w:rPr>
              <w:t>Firms with female participation in leadership (% of firms) (W</w:t>
            </w:r>
            <w:r w:rsidR="000B24C1" w:rsidRPr="000E76A0">
              <w:rPr>
                <w:rFonts w:cstheme="minorHAnsi"/>
                <w:sz w:val="16"/>
                <w:szCs w:val="16"/>
              </w:rPr>
              <w:t xml:space="preserve">orld </w:t>
            </w:r>
            <w:r w:rsidRPr="000E76A0">
              <w:rPr>
                <w:rFonts w:cstheme="minorHAnsi"/>
                <w:sz w:val="16"/>
                <w:szCs w:val="16"/>
              </w:rPr>
              <w:t>B</w:t>
            </w:r>
            <w:r w:rsidR="000B24C1" w:rsidRPr="000E76A0">
              <w:rPr>
                <w:rFonts w:cstheme="minorHAnsi"/>
                <w:sz w:val="16"/>
                <w:szCs w:val="16"/>
              </w:rPr>
              <w:t>ank</w:t>
            </w:r>
            <w:r w:rsidRPr="000E76A0">
              <w:rPr>
                <w:rFonts w:cstheme="minorHAnsi"/>
                <w:sz w:val="16"/>
                <w:szCs w:val="16"/>
              </w:rPr>
              <w:t>)</w:t>
            </w:r>
          </w:p>
          <w:p w14:paraId="0DDB98E3" w14:textId="77777777" w:rsidR="002110C5" w:rsidRPr="000E76A0" w:rsidRDefault="002110C5" w:rsidP="007D451C">
            <w:pPr>
              <w:rPr>
                <w:i/>
                <w:iCs/>
                <w:sz w:val="16"/>
                <w:szCs w:val="16"/>
              </w:rPr>
            </w:pPr>
            <w:r w:rsidRPr="000E76A0">
              <w:rPr>
                <w:i/>
                <w:iCs/>
                <w:sz w:val="16"/>
                <w:szCs w:val="16"/>
              </w:rPr>
              <w:lastRenderedPageBreak/>
              <w:t xml:space="preserve">Baseline: </w:t>
            </w:r>
          </w:p>
          <w:p w14:paraId="3D5E29D8" w14:textId="77777777" w:rsidR="002110C5" w:rsidRPr="000E76A0" w:rsidRDefault="002110C5" w:rsidP="007D451C">
            <w:pPr>
              <w:rPr>
                <w:rFonts w:cstheme="minorHAnsi"/>
                <w:sz w:val="20"/>
                <w:szCs w:val="20"/>
              </w:rPr>
            </w:pPr>
            <w:r w:rsidRPr="000E76A0">
              <w:rPr>
                <w:bCs/>
                <w:i/>
                <w:sz w:val="16"/>
                <w:szCs w:val="16"/>
              </w:rPr>
              <w:t>Target</w:t>
            </w:r>
            <w:r w:rsidRPr="000E76A0">
              <w:rPr>
                <w:rFonts w:cstheme="minorHAnsi"/>
                <w:sz w:val="20"/>
                <w:szCs w:val="20"/>
              </w:rPr>
              <w:t xml:space="preserve"> </w:t>
            </w:r>
          </w:p>
          <w:p w14:paraId="7CE93BC5" w14:textId="77777777" w:rsidR="00C46CD3" w:rsidRPr="000E76A0" w:rsidRDefault="00C46CD3" w:rsidP="00C46CD3">
            <w:pPr>
              <w:jc w:val="center"/>
              <w:rPr>
                <w:sz w:val="16"/>
                <w:szCs w:val="16"/>
              </w:rPr>
            </w:pPr>
          </w:p>
          <w:p w14:paraId="140ACB0C" w14:textId="030F3BE3" w:rsidR="00C46CD3" w:rsidRPr="000E76A0" w:rsidRDefault="00C46CD3" w:rsidP="00C46CD3">
            <w:pPr>
              <w:pStyle w:val="NormalWeb"/>
              <w:spacing w:before="0" w:beforeAutospacing="0" w:after="0" w:afterAutospacing="0"/>
              <w:rPr>
                <w:rFonts w:ascii="TimesNewRomanPSMT" w:hAnsi="TimesNewRomanPSMT" w:hint="eastAsia"/>
                <w:sz w:val="16"/>
                <w:szCs w:val="16"/>
              </w:rPr>
            </w:pPr>
            <w:r w:rsidRPr="000E76A0">
              <w:rPr>
                <w:rFonts w:ascii="TimesNewRomanPSMT" w:hAnsi="TimesNewRomanPSMT" w:hint="eastAsia"/>
                <w:b/>
                <w:bCs/>
                <w:i/>
                <w:iCs/>
                <w:sz w:val="16"/>
                <w:szCs w:val="16"/>
              </w:rPr>
              <w:t>Indicator:</w:t>
            </w:r>
            <w:r w:rsidRPr="000E76A0">
              <w:rPr>
                <w:rFonts w:ascii="TimesNewRomanPSMT" w:hAnsi="TimesNewRomanPSMT" w:hint="eastAsia"/>
                <w:sz w:val="16"/>
                <w:szCs w:val="16"/>
              </w:rPr>
              <w:t xml:space="preserve">  16.7.2 Proportion of population who believe decision- making is inclusive and responsive, by sex, age, disability and population group </w:t>
            </w:r>
          </w:p>
          <w:p w14:paraId="7A79146E" w14:textId="668C0A60" w:rsidR="00C46CD3" w:rsidRPr="000E76A0" w:rsidRDefault="00C46CD3" w:rsidP="00C46CD3">
            <w:pPr>
              <w:pStyle w:val="NormalWeb"/>
              <w:spacing w:before="0" w:beforeAutospacing="0" w:after="0" w:afterAutospacing="0"/>
              <w:rPr>
                <w:rFonts w:ascii="TimesNewRomanPSMT" w:hAnsi="TimesNewRomanPSMT" w:hint="eastAsia"/>
                <w:sz w:val="16"/>
                <w:szCs w:val="16"/>
              </w:rPr>
            </w:pPr>
            <w:r w:rsidRPr="000E76A0">
              <w:rPr>
                <w:rFonts w:ascii="TimesNewRomanPSMT" w:hAnsi="TimesNewRomanPSMT"/>
                <w:sz w:val="16"/>
                <w:szCs w:val="16"/>
              </w:rPr>
              <w:t>Baseline:</w:t>
            </w:r>
          </w:p>
          <w:p w14:paraId="3C84F33D" w14:textId="4AF0F86A" w:rsidR="00C46CD3" w:rsidRPr="000E76A0" w:rsidRDefault="00C46CD3" w:rsidP="003D7264">
            <w:pPr>
              <w:pStyle w:val="NormalWeb"/>
              <w:spacing w:before="0" w:beforeAutospacing="0" w:after="0" w:afterAutospacing="0"/>
              <w:rPr>
                <w:rFonts w:ascii="TimesNewRomanPSMT" w:hAnsi="TimesNewRomanPSMT" w:hint="eastAsia"/>
                <w:sz w:val="16"/>
                <w:szCs w:val="16"/>
              </w:rPr>
            </w:pPr>
            <w:r w:rsidRPr="000E76A0">
              <w:rPr>
                <w:rFonts w:ascii="TimesNewRomanPSMT" w:hAnsi="TimesNewRomanPSMT"/>
                <w:sz w:val="16"/>
                <w:szCs w:val="16"/>
              </w:rPr>
              <w:t>Target:</w:t>
            </w:r>
          </w:p>
        </w:tc>
        <w:tc>
          <w:tcPr>
            <w:tcW w:w="1178" w:type="pct"/>
            <w:vMerge w:val="restart"/>
            <w:shd w:val="clear" w:color="auto" w:fill="auto"/>
          </w:tcPr>
          <w:p w14:paraId="0C91D6B9" w14:textId="2C288C2D" w:rsidR="00801648" w:rsidRPr="000E76A0" w:rsidRDefault="00801648" w:rsidP="00801648">
            <w:pPr>
              <w:rPr>
                <w:bCs/>
                <w:sz w:val="16"/>
                <w:szCs w:val="16"/>
              </w:rPr>
            </w:pPr>
            <w:r w:rsidRPr="000E76A0">
              <w:rPr>
                <w:bCs/>
                <w:sz w:val="16"/>
                <w:szCs w:val="16"/>
              </w:rPr>
              <w:lastRenderedPageBreak/>
              <w:t>World Economic Forum, Transparency of government policy</w:t>
            </w:r>
            <w:r w:rsidR="00AA61D5" w:rsidRPr="000E76A0">
              <w:rPr>
                <w:bCs/>
                <w:sz w:val="16"/>
                <w:szCs w:val="16"/>
              </w:rPr>
              <w:t>making</w:t>
            </w:r>
            <w:r w:rsidRPr="000E76A0">
              <w:rPr>
                <w:bCs/>
                <w:sz w:val="16"/>
                <w:szCs w:val="16"/>
              </w:rPr>
              <w:t xml:space="preserve"> (annual) </w:t>
            </w:r>
          </w:p>
          <w:p w14:paraId="6185AF11" w14:textId="77777777" w:rsidR="001A5D13" w:rsidRPr="000E76A0" w:rsidRDefault="001A5D13" w:rsidP="007D451C">
            <w:pPr>
              <w:rPr>
                <w:b/>
                <w:bCs/>
                <w:i/>
                <w:sz w:val="16"/>
                <w:szCs w:val="16"/>
              </w:rPr>
            </w:pPr>
          </w:p>
          <w:p w14:paraId="1079A308" w14:textId="77777777" w:rsidR="001A5D13" w:rsidRPr="000E76A0" w:rsidRDefault="001A5D13" w:rsidP="007D451C">
            <w:pPr>
              <w:rPr>
                <w:b/>
                <w:bCs/>
                <w:i/>
                <w:sz w:val="16"/>
                <w:szCs w:val="16"/>
              </w:rPr>
            </w:pPr>
          </w:p>
          <w:p w14:paraId="5818B64D" w14:textId="77777777" w:rsidR="001A5D13" w:rsidRPr="000E76A0" w:rsidRDefault="001A5D13" w:rsidP="007D451C">
            <w:pPr>
              <w:rPr>
                <w:b/>
                <w:bCs/>
                <w:i/>
                <w:sz w:val="16"/>
                <w:szCs w:val="16"/>
              </w:rPr>
            </w:pPr>
          </w:p>
          <w:p w14:paraId="455F3BA8" w14:textId="77777777" w:rsidR="001A5D13" w:rsidRPr="000E76A0" w:rsidRDefault="001A5D13" w:rsidP="007D451C">
            <w:pPr>
              <w:rPr>
                <w:b/>
                <w:bCs/>
                <w:i/>
                <w:sz w:val="16"/>
                <w:szCs w:val="16"/>
              </w:rPr>
            </w:pPr>
          </w:p>
          <w:p w14:paraId="6930D26E" w14:textId="77777777" w:rsidR="001A5D13" w:rsidRPr="000E76A0" w:rsidRDefault="001A5D13" w:rsidP="007D451C">
            <w:pPr>
              <w:rPr>
                <w:b/>
                <w:bCs/>
                <w:i/>
                <w:sz w:val="16"/>
                <w:szCs w:val="16"/>
              </w:rPr>
            </w:pPr>
          </w:p>
          <w:p w14:paraId="2384E278" w14:textId="77777777" w:rsidR="001A5D13" w:rsidRPr="000E76A0" w:rsidRDefault="001A5D13" w:rsidP="007D451C">
            <w:pPr>
              <w:rPr>
                <w:b/>
                <w:bCs/>
                <w:i/>
                <w:sz w:val="16"/>
                <w:szCs w:val="16"/>
              </w:rPr>
            </w:pPr>
          </w:p>
          <w:p w14:paraId="2277E585" w14:textId="77777777" w:rsidR="001A5D13" w:rsidRPr="000E76A0" w:rsidRDefault="001A5D13" w:rsidP="007D451C">
            <w:pPr>
              <w:rPr>
                <w:b/>
                <w:bCs/>
                <w:i/>
                <w:sz w:val="16"/>
                <w:szCs w:val="16"/>
              </w:rPr>
            </w:pPr>
          </w:p>
          <w:p w14:paraId="3F13B0EA" w14:textId="77777777" w:rsidR="001A5D13" w:rsidRPr="000E76A0" w:rsidRDefault="001A5D13" w:rsidP="007D451C">
            <w:pPr>
              <w:rPr>
                <w:b/>
                <w:bCs/>
                <w:i/>
                <w:sz w:val="16"/>
                <w:szCs w:val="16"/>
              </w:rPr>
            </w:pPr>
          </w:p>
          <w:p w14:paraId="796B74D8" w14:textId="77777777" w:rsidR="001A5D13" w:rsidRPr="000E76A0" w:rsidRDefault="001A5D13" w:rsidP="007D451C">
            <w:pPr>
              <w:rPr>
                <w:b/>
                <w:bCs/>
                <w:i/>
                <w:sz w:val="16"/>
                <w:szCs w:val="16"/>
              </w:rPr>
            </w:pPr>
          </w:p>
          <w:p w14:paraId="6AA96879" w14:textId="77777777" w:rsidR="001A5D13" w:rsidRPr="000E76A0" w:rsidRDefault="001A5D13" w:rsidP="007D451C">
            <w:pPr>
              <w:rPr>
                <w:b/>
                <w:bCs/>
                <w:i/>
                <w:sz w:val="16"/>
                <w:szCs w:val="16"/>
              </w:rPr>
            </w:pPr>
          </w:p>
          <w:p w14:paraId="7B30AFF9" w14:textId="77777777" w:rsidR="001A5D13" w:rsidRPr="000E76A0" w:rsidRDefault="001A5D13" w:rsidP="007D451C">
            <w:pPr>
              <w:rPr>
                <w:b/>
                <w:bCs/>
                <w:i/>
                <w:sz w:val="16"/>
                <w:szCs w:val="16"/>
              </w:rPr>
            </w:pPr>
          </w:p>
          <w:p w14:paraId="2C752F7D" w14:textId="77777777" w:rsidR="001A5D13" w:rsidRPr="000E76A0" w:rsidRDefault="001A5D13" w:rsidP="007D451C">
            <w:pPr>
              <w:rPr>
                <w:b/>
                <w:bCs/>
                <w:i/>
                <w:sz w:val="16"/>
                <w:szCs w:val="16"/>
              </w:rPr>
            </w:pPr>
          </w:p>
          <w:p w14:paraId="207CA6C8" w14:textId="77777777" w:rsidR="001A5D13" w:rsidRPr="000E76A0" w:rsidRDefault="001A5D13" w:rsidP="007D451C">
            <w:pPr>
              <w:rPr>
                <w:b/>
                <w:bCs/>
                <w:i/>
                <w:sz w:val="16"/>
                <w:szCs w:val="16"/>
              </w:rPr>
            </w:pPr>
          </w:p>
          <w:p w14:paraId="32589295" w14:textId="77777777" w:rsidR="001A5D13" w:rsidRPr="000E76A0" w:rsidRDefault="001A5D13" w:rsidP="007D451C">
            <w:pPr>
              <w:rPr>
                <w:b/>
                <w:bCs/>
                <w:i/>
                <w:sz w:val="16"/>
                <w:szCs w:val="16"/>
              </w:rPr>
            </w:pPr>
          </w:p>
          <w:p w14:paraId="09D38D12" w14:textId="77777777" w:rsidR="001A5D13" w:rsidRPr="000E76A0" w:rsidRDefault="001A5D13" w:rsidP="007D451C">
            <w:pPr>
              <w:rPr>
                <w:b/>
                <w:bCs/>
                <w:i/>
                <w:sz w:val="16"/>
                <w:szCs w:val="16"/>
              </w:rPr>
            </w:pPr>
          </w:p>
          <w:p w14:paraId="519792A7" w14:textId="77777777" w:rsidR="001A5D13" w:rsidRPr="000E76A0" w:rsidRDefault="001A5D13" w:rsidP="007D451C">
            <w:pPr>
              <w:rPr>
                <w:b/>
                <w:bCs/>
                <w:i/>
                <w:sz w:val="16"/>
                <w:szCs w:val="16"/>
              </w:rPr>
            </w:pPr>
          </w:p>
          <w:p w14:paraId="7A7B7F94" w14:textId="77777777" w:rsidR="001A5D13" w:rsidRPr="000E76A0" w:rsidRDefault="001A5D13" w:rsidP="007D451C">
            <w:pPr>
              <w:rPr>
                <w:b/>
                <w:bCs/>
                <w:i/>
                <w:sz w:val="16"/>
                <w:szCs w:val="16"/>
              </w:rPr>
            </w:pPr>
          </w:p>
          <w:p w14:paraId="477DF5FB" w14:textId="77777777" w:rsidR="001A5D13" w:rsidRPr="000E76A0" w:rsidRDefault="001A5D13" w:rsidP="007D451C">
            <w:pPr>
              <w:rPr>
                <w:b/>
                <w:bCs/>
                <w:i/>
                <w:sz w:val="16"/>
                <w:szCs w:val="16"/>
              </w:rPr>
            </w:pPr>
          </w:p>
          <w:p w14:paraId="6790B04B" w14:textId="77777777" w:rsidR="001A5D13" w:rsidRPr="000E76A0" w:rsidRDefault="001A5D13" w:rsidP="007D451C">
            <w:pPr>
              <w:rPr>
                <w:b/>
                <w:bCs/>
                <w:i/>
                <w:sz w:val="16"/>
                <w:szCs w:val="16"/>
              </w:rPr>
            </w:pPr>
          </w:p>
          <w:p w14:paraId="7D3CB530" w14:textId="77777777" w:rsidR="001A5D13" w:rsidRPr="000E76A0" w:rsidRDefault="001A5D13" w:rsidP="007D451C">
            <w:pPr>
              <w:rPr>
                <w:b/>
                <w:bCs/>
                <w:i/>
                <w:sz w:val="16"/>
                <w:szCs w:val="16"/>
              </w:rPr>
            </w:pPr>
          </w:p>
          <w:p w14:paraId="23653FCF" w14:textId="77777777" w:rsidR="001A5D13" w:rsidRPr="000E76A0" w:rsidRDefault="001A5D13" w:rsidP="007D451C">
            <w:pPr>
              <w:rPr>
                <w:b/>
                <w:bCs/>
                <w:i/>
                <w:sz w:val="16"/>
                <w:szCs w:val="16"/>
              </w:rPr>
            </w:pPr>
          </w:p>
          <w:p w14:paraId="03F51B08" w14:textId="77777777" w:rsidR="001A5D13" w:rsidRPr="000E76A0" w:rsidRDefault="001A5D13" w:rsidP="007D451C">
            <w:pPr>
              <w:rPr>
                <w:b/>
                <w:bCs/>
                <w:i/>
                <w:sz w:val="16"/>
                <w:szCs w:val="16"/>
              </w:rPr>
            </w:pPr>
          </w:p>
          <w:p w14:paraId="328B1AD9" w14:textId="77777777" w:rsidR="001A5D13" w:rsidRPr="000E76A0" w:rsidRDefault="001A5D13" w:rsidP="007D451C">
            <w:pPr>
              <w:rPr>
                <w:b/>
                <w:bCs/>
                <w:i/>
                <w:sz w:val="16"/>
                <w:szCs w:val="16"/>
              </w:rPr>
            </w:pPr>
          </w:p>
          <w:p w14:paraId="7A89CFFC" w14:textId="77777777" w:rsidR="001A5D13" w:rsidRPr="000E76A0" w:rsidRDefault="001A5D13" w:rsidP="007D451C">
            <w:pPr>
              <w:rPr>
                <w:b/>
                <w:bCs/>
                <w:i/>
                <w:sz w:val="16"/>
                <w:szCs w:val="16"/>
              </w:rPr>
            </w:pPr>
          </w:p>
          <w:p w14:paraId="6B003095" w14:textId="77777777" w:rsidR="001A5D13" w:rsidRPr="000E76A0" w:rsidRDefault="001A5D13" w:rsidP="007D451C">
            <w:pPr>
              <w:rPr>
                <w:b/>
                <w:bCs/>
                <w:i/>
                <w:sz w:val="16"/>
                <w:szCs w:val="16"/>
              </w:rPr>
            </w:pPr>
          </w:p>
          <w:p w14:paraId="26BE5EF3" w14:textId="77777777" w:rsidR="001A5D13" w:rsidRPr="000E76A0" w:rsidRDefault="001A5D13" w:rsidP="007D451C">
            <w:pPr>
              <w:rPr>
                <w:b/>
                <w:bCs/>
                <w:i/>
                <w:sz w:val="16"/>
                <w:szCs w:val="16"/>
              </w:rPr>
            </w:pPr>
          </w:p>
          <w:p w14:paraId="60103611" w14:textId="77777777" w:rsidR="001A5D13" w:rsidRPr="000E76A0" w:rsidRDefault="001A5D13" w:rsidP="007D451C">
            <w:pPr>
              <w:rPr>
                <w:b/>
                <w:bCs/>
                <w:i/>
                <w:sz w:val="16"/>
                <w:szCs w:val="16"/>
              </w:rPr>
            </w:pPr>
          </w:p>
          <w:p w14:paraId="6C7AE469" w14:textId="77777777" w:rsidR="001A5D13" w:rsidRPr="000E76A0" w:rsidRDefault="001A5D13" w:rsidP="007D451C">
            <w:pPr>
              <w:rPr>
                <w:b/>
                <w:bCs/>
                <w:i/>
                <w:sz w:val="16"/>
                <w:szCs w:val="16"/>
              </w:rPr>
            </w:pPr>
          </w:p>
          <w:p w14:paraId="36C5ABCF" w14:textId="77777777" w:rsidR="001A5D13" w:rsidRPr="000E76A0" w:rsidRDefault="001A5D13" w:rsidP="007D451C">
            <w:pPr>
              <w:rPr>
                <w:b/>
                <w:bCs/>
                <w:i/>
                <w:sz w:val="16"/>
                <w:szCs w:val="16"/>
              </w:rPr>
            </w:pPr>
          </w:p>
          <w:p w14:paraId="0356AE20" w14:textId="77777777" w:rsidR="001A5D13" w:rsidRPr="000E76A0" w:rsidRDefault="001A5D13" w:rsidP="007D451C">
            <w:pPr>
              <w:rPr>
                <w:b/>
                <w:bCs/>
                <w:i/>
                <w:sz w:val="16"/>
                <w:szCs w:val="16"/>
              </w:rPr>
            </w:pPr>
          </w:p>
          <w:p w14:paraId="7ADE4030" w14:textId="77777777" w:rsidR="001A5D13" w:rsidRPr="000E76A0" w:rsidRDefault="001A5D13" w:rsidP="007D451C">
            <w:pPr>
              <w:rPr>
                <w:b/>
                <w:bCs/>
                <w:i/>
                <w:sz w:val="16"/>
                <w:szCs w:val="16"/>
              </w:rPr>
            </w:pPr>
          </w:p>
          <w:p w14:paraId="35C2C6D6" w14:textId="77777777" w:rsidR="001A5D13" w:rsidRPr="000E76A0" w:rsidRDefault="001A5D13" w:rsidP="007D451C">
            <w:pPr>
              <w:rPr>
                <w:b/>
                <w:bCs/>
                <w:i/>
                <w:sz w:val="16"/>
                <w:szCs w:val="16"/>
              </w:rPr>
            </w:pPr>
          </w:p>
          <w:p w14:paraId="50F63FBD" w14:textId="77777777" w:rsidR="006B1B20" w:rsidRPr="000E76A0" w:rsidRDefault="006B1B20" w:rsidP="007D451C">
            <w:pPr>
              <w:rPr>
                <w:b/>
                <w:bCs/>
                <w:i/>
                <w:sz w:val="16"/>
                <w:szCs w:val="16"/>
              </w:rPr>
            </w:pPr>
          </w:p>
          <w:p w14:paraId="76D8D7C0" w14:textId="79F2BC13" w:rsidR="006B1B20" w:rsidRPr="000E76A0" w:rsidRDefault="00801648" w:rsidP="007D451C">
            <w:pPr>
              <w:rPr>
                <w:bCs/>
                <w:sz w:val="16"/>
                <w:szCs w:val="16"/>
              </w:rPr>
            </w:pPr>
            <w:r w:rsidRPr="000E76A0">
              <w:rPr>
                <w:bCs/>
                <w:sz w:val="16"/>
                <w:szCs w:val="16"/>
              </w:rPr>
              <w:t xml:space="preserve">GSSCPD (annual) </w:t>
            </w:r>
          </w:p>
          <w:p w14:paraId="7DD3F428" w14:textId="77777777" w:rsidR="006B1B20" w:rsidRPr="000E76A0" w:rsidRDefault="006B1B20" w:rsidP="007D451C">
            <w:pPr>
              <w:rPr>
                <w:b/>
                <w:bCs/>
                <w:i/>
                <w:sz w:val="16"/>
                <w:szCs w:val="16"/>
              </w:rPr>
            </w:pPr>
          </w:p>
          <w:p w14:paraId="746D2543" w14:textId="77777777" w:rsidR="001A5D13" w:rsidRPr="000E76A0" w:rsidRDefault="001A5D13" w:rsidP="007D451C">
            <w:pPr>
              <w:rPr>
                <w:b/>
                <w:bCs/>
                <w:i/>
                <w:sz w:val="16"/>
                <w:szCs w:val="16"/>
              </w:rPr>
            </w:pPr>
          </w:p>
          <w:p w14:paraId="749830EA" w14:textId="77777777" w:rsidR="001A5D13" w:rsidRPr="000E76A0" w:rsidRDefault="001A5D13" w:rsidP="007D451C">
            <w:pPr>
              <w:rPr>
                <w:b/>
                <w:bCs/>
                <w:i/>
                <w:sz w:val="16"/>
                <w:szCs w:val="16"/>
              </w:rPr>
            </w:pPr>
          </w:p>
          <w:p w14:paraId="55E79BD0" w14:textId="77777777" w:rsidR="001A5D13" w:rsidRPr="000E76A0" w:rsidRDefault="001A5D13" w:rsidP="007D451C">
            <w:pPr>
              <w:rPr>
                <w:b/>
                <w:bCs/>
                <w:i/>
                <w:sz w:val="16"/>
                <w:szCs w:val="16"/>
              </w:rPr>
            </w:pPr>
          </w:p>
          <w:p w14:paraId="19C65215" w14:textId="77777777" w:rsidR="001A5D13" w:rsidRPr="000E76A0" w:rsidRDefault="001A5D13" w:rsidP="007D451C">
            <w:pPr>
              <w:rPr>
                <w:b/>
                <w:bCs/>
                <w:i/>
                <w:sz w:val="16"/>
                <w:szCs w:val="16"/>
              </w:rPr>
            </w:pPr>
          </w:p>
          <w:p w14:paraId="206B676C" w14:textId="77777777" w:rsidR="001A5D13" w:rsidRPr="000E76A0" w:rsidRDefault="001A5D13" w:rsidP="007D451C">
            <w:pPr>
              <w:rPr>
                <w:b/>
                <w:bCs/>
                <w:i/>
                <w:sz w:val="16"/>
                <w:szCs w:val="16"/>
              </w:rPr>
            </w:pPr>
          </w:p>
          <w:p w14:paraId="575D279B" w14:textId="77777777" w:rsidR="001A5D13" w:rsidRPr="000E76A0" w:rsidRDefault="001A5D13" w:rsidP="007D451C">
            <w:pPr>
              <w:rPr>
                <w:b/>
                <w:bCs/>
                <w:i/>
                <w:sz w:val="16"/>
                <w:szCs w:val="16"/>
              </w:rPr>
            </w:pPr>
          </w:p>
          <w:p w14:paraId="4B282E8D" w14:textId="77777777" w:rsidR="001A5D13" w:rsidRPr="000E76A0" w:rsidRDefault="001A5D13" w:rsidP="007D451C">
            <w:pPr>
              <w:rPr>
                <w:b/>
                <w:bCs/>
                <w:i/>
                <w:sz w:val="16"/>
                <w:szCs w:val="16"/>
              </w:rPr>
            </w:pPr>
          </w:p>
          <w:p w14:paraId="00D51CDC" w14:textId="77777777" w:rsidR="001A5D13" w:rsidRPr="000E76A0" w:rsidRDefault="001A5D13" w:rsidP="007D451C">
            <w:pPr>
              <w:rPr>
                <w:b/>
                <w:bCs/>
                <w:i/>
                <w:sz w:val="16"/>
                <w:szCs w:val="16"/>
              </w:rPr>
            </w:pPr>
          </w:p>
          <w:p w14:paraId="2111ACE1" w14:textId="77777777" w:rsidR="001A5D13" w:rsidRPr="000E76A0" w:rsidRDefault="001A5D13" w:rsidP="007D451C">
            <w:pPr>
              <w:rPr>
                <w:b/>
                <w:bCs/>
                <w:i/>
                <w:sz w:val="16"/>
                <w:szCs w:val="16"/>
              </w:rPr>
            </w:pPr>
          </w:p>
          <w:p w14:paraId="38A84872" w14:textId="77777777" w:rsidR="001A5D13" w:rsidRPr="000E76A0" w:rsidRDefault="001A5D13" w:rsidP="007D451C">
            <w:pPr>
              <w:rPr>
                <w:b/>
                <w:bCs/>
                <w:i/>
                <w:sz w:val="16"/>
                <w:szCs w:val="16"/>
              </w:rPr>
            </w:pPr>
          </w:p>
          <w:p w14:paraId="5829053E" w14:textId="77777777" w:rsidR="001A5D13" w:rsidRPr="000E76A0" w:rsidRDefault="001A5D13" w:rsidP="007D451C">
            <w:pPr>
              <w:rPr>
                <w:b/>
                <w:bCs/>
                <w:i/>
                <w:sz w:val="16"/>
                <w:szCs w:val="16"/>
              </w:rPr>
            </w:pPr>
          </w:p>
          <w:p w14:paraId="763BAFC6" w14:textId="77777777" w:rsidR="001A5D13" w:rsidRPr="000E76A0" w:rsidRDefault="001A5D13" w:rsidP="007D451C">
            <w:pPr>
              <w:rPr>
                <w:b/>
                <w:bCs/>
                <w:i/>
                <w:sz w:val="16"/>
                <w:szCs w:val="16"/>
              </w:rPr>
            </w:pPr>
          </w:p>
          <w:p w14:paraId="457769AE" w14:textId="77777777" w:rsidR="001A5D13" w:rsidRPr="000E76A0" w:rsidRDefault="001A5D13" w:rsidP="007D451C">
            <w:pPr>
              <w:rPr>
                <w:b/>
                <w:bCs/>
                <w:i/>
                <w:sz w:val="16"/>
                <w:szCs w:val="16"/>
              </w:rPr>
            </w:pPr>
          </w:p>
          <w:p w14:paraId="4C423064" w14:textId="77777777" w:rsidR="001A5D13" w:rsidRPr="000E76A0" w:rsidRDefault="001A5D13" w:rsidP="007D451C">
            <w:pPr>
              <w:rPr>
                <w:b/>
                <w:bCs/>
                <w:i/>
                <w:sz w:val="16"/>
                <w:szCs w:val="16"/>
              </w:rPr>
            </w:pPr>
          </w:p>
          <w:p w14:paraId="23BD6CE6" w14:textId="77777777" w:rsidR="001A5D13" w:rsidRPr="000E76A0" w:rsidRDefault="001A5D13" w:rsidP="007D451C">
            <w:pPr>
              <w:rPr>
                <w:b/>
                <w:bCs/>
                <w:i/>
                <w:sz w:val="16"/>
                <w:szCs w:val="16"/>
              </w:rPr>
            </w:pPr>
          </w:p>
          <w:p w14:paraId="79F6D955" w14:textId="77777777" w:rsidR="001A5D13" w:rsidRPr="000E76A0" w:rsidRDefault="001A5D13" w:rsidP="007D451C">
            <w:pPr>
              <w:rPr>
                <w:b/>
                <w:bCs/>
                <w:i/>
                <w:sz w:val="16"/>
                <w:szCs w:val="16"/>
              </w:rPr>
            </w:pPr>
          </w:p>
          <w:p w14:paraId="2AAE61B5" w14:textId="77777777" w:rsidR="001A5D13" w:rsidRPr="000E76A0" w:rsidRDefault="001A5D13" w:rsidP="007D451C">
            <w:pPr>
              <w:rPr>
                <w:b/>
                <w:bCs/>
                <w:i/>
                <w:sz w:val="16"/>
                <w:szCs w:val="16"/>
              </w:rPr>
            </w:pPr>
          </w:p>
          <w:p w14:paraId="074B9537" w14:textId="77777777" w:rsidR="001A5D13" w:rsidRPr="000E76A0" w:rsidRDefault="001A5D13" w:rsidP="007D451C">
            <w:pPr>
              <w:rPr>
                <w:b/>
                <w:bCs/>
                <w:i/>
                <w:sz w:val="16"/>
                <w:szCs w:val="16"/>
              </w:rPr>
            </w:pPr>
          </w:p>
          <w:p w14:paraId="3D82FF13" w14:textId="77777777" w:rsidR="001A5D13" w:rsidRPr="000E76A0" w:rsidRDefault="001A5D13" w:rsidP="007D451C">
            <w:pPr>
              <w:rPr>
                <w:b/>
                <w:bCs/>
                <w:i/>
                <w:sz w:val="16"/>
                <w:szCs w:val="16"/>
              </w:rPr>
            </w:pPr>
          </w:p>
          <w:p w14:paraId="09549574" w14:textId="77777777" w:rsidR="001A5D13" w:rsidRPr="000E76A0" w:rsidRDefault="001A5D13" w:rsidP="007D451C">
            <w:pPr>
              <w:rPr>
                <w:b/>
                <w:bCs/>
                <w:i/>
                <w:sz w:val="16"/>
                <w:szCs w:val="16"/>
              </w:rPr>
            </w:pPr>
          </w:p>
          <w:p w14:paraId="5F8B3B2F" w14:textId="77777777" w:rsidR="001A5D13" w:rsidRPr="000E76A0" w:rsidRDefault="001A5D13" w:rsidP="007D451C">
            <w:pPr>
              <w:rPr>
                <w:b/>
                <w:bCs/>
                <w:i/>
                <w:sz w:val="16"/>
                <w:szCs w:val="16"/>
              </w:rPr>
            </w:pPr>
          </w:p>
          <w:p w14:paraId="3DFBD1D0" w14:textId="77777777" w:rsidR="001A5D13" w:rsidRPr="000E76A0" w:rsidRDefault="001A5D13" w:rsidP="007D451C">
            <w:pPr>
              <w:rPr>
                <w:b/>
                <w:bCs/>
                <w:i/>
                <w:sz w:val="16"/>
                <w:szCs w:val="16"/>
              </w:rPr>
            </w:pPr>
          </w:p>
          <w:p w14:paraId="037AC683" w14:textId="77777777" w:rsidR="001A5D13" w:rsidRPr="000E76A0" w:rsidRDefault="001A5D13" w:rsidP="007D451C">
            <w:pPr>
              <w:rPr>
                <w:b/>
                <w:bCs/>
                <w:i/>
                <w:sz w:val="16"/>
                <w:szCs w:val="16"/>
              </w:rPr>
            </w:pPr>
          </w:p>
          <w:p w14:paraId="5AA1101F" w14:textId="77777777" w:rsidR="001A5D13" w:rsidRPr="000E76A0" w:rsidRDefault="001A5D13" w:rsidP="007D451C">
            <w:pPr>
              <w:rPr>
                <w:b/>
                <w:bCs/>
                <w:i/>
                <w:sz w:val="16"/>
                <w:szCs w:val="16"/>
              </w:rPr>
            </w:pPr>
          </w:p>
          <w:p w14:paraId="0C22DFCF" w14:textId="77777777" w:rsidR="001A5D13" w:rsidRPr="000E76A0" w:rsidRDefault="001A5D13" w:rsidP="007D451C">
            <w:pPr>
              <w:rPr>
                <w:b/>
                <w:bCs/>
                <w:i/>
                <w:sz w:val="16"/>
                <w:szCs w:val="16"/>
              </w:rPr>
            </w:pPr>
          </w:p>
          <w:p w14:paraId="1D42FA32" w14:textId="77777777" w:rsidR="001A5D13" w:rsidRPr="000E76A0" w:rsidRDefault="001A5D13" w:rsidP="007D451C">
            <w:pPr>
              <w:rPr>
                <w:b/>
                <w:bCs/>
                <w:i/>
                <w:sz w:val="16"/>
                <w:szCs w:val="16"/>
              </w:rPr>
            </w:pPr>
          </w:p>
          <w:p w14:paraId="65E05A1B" w14:textId="77777777" w:rsidR="001A5D13" w:rsidRPr="000E76A0" w:rsidRDefault="001A5D13" w:rsidP="007D451C">
            <w:pPr>
              <w:rPr>
                <w:b/>
                <w:bCs/>
                <w:i/>
                <w:sz w:val="16"/>
                <w:szCs w:val="16"/>
              </w:rPr>
            </w:pPr>
          </w:p>
          <w:p w14:paraId="3B7D2356" w14:textId="77777777" w:rsidR="001A5D13" w:rsidRPr="000E76A0" w:rsidRDefault="001A5D13" w:rsidP="007D451C">
            <w:pPr>
              <w:rPr>
                <w:b/>
                <w:bCs/>
                <w:i/>
                <w:sz w:val="16"/>
                <w:szCs w:val="16"/>
              </w:rPr>
            </w:pPr>
          </w:p>
          <w:p w14:paraId="7719C321" w14:textId="77777777" w:rsidR="001A5D13" w:rsidRPr="000E76A0" w:rsidRDefault="001A5D13" w:rsidP="007D451C">
            <w:pPr>
              <w:rPr>
                <w:b/>
                <w:bCs/>
                <w:i/>
                <w:sz w:val="16"/>
                <w:szCs w:val="16"/>
              </w:rPr>
            </w:pPr>
          </w:p>
          <w:p w14:paraId="202369A3" w14:textId="77777777" w:rsidR="001A5D13" w:rsidRPr="000E76A0" w:rsidRDefault="001A5D13" w:rsidP="007D451C">
            <w:pPr>
              <w:rPr>
                <w:b/>
                <w:bCs/>
                <w:i/>
                <w:sz w:val="16"/>
                <w:szCs w:val="16"/>
              </w:rPr>
            </w:pPr>
          </w:p>
          <w:p w14:paraId="3237C327" w14:textId="77777777" w:rsidR="001A5D13" w:rsidRPr="000E76A0" w:rsidRDefault="001A5D13" w:rsidP="007D451C">
            <w:pPr>
              <w:rPr>
                <w:b/>
                <w:bCs/>
                <w:i/>
                <w:sz w:val="16"/>
                <w:szCs w:val="16"/>
              </w:rPr>
            </w:pPr>
          </w:p>
          <w:p w14:paraId="4DE5F92E" w14:textId="77777777" w:rsidR="001A5D13" w:rsidRPr="000E76A0" w:rsidRDefault="001A5D13" w:rsidP="007D451C">
            <w:pPr>
              <w:rPr>
                <w:b/>
                <w:bCs/>
                <w:i/>
                <w:sz w:val="16"/>
                <w:szCs w:val="16"/>
              </w:rPr>
            </w:pPr>
          </w:p>
          <w:p w14:paraId="1BCA38A9" w14:textId="77777777" w:rsidR="001A5D13" w:rsidRPr="000E76A0" w:rsidRDefault="001A5D13" w:rsidP="007D451C">
            <w:pPr>
              <w:rPr>
                <w:b/>
                <w:bCs/>
                <w:i/>
                <w:sz w:val="16"/>
                <w:szCs w:val="16"/>
              </w:rPr>
            </w:pPr>
          </w:p>
          <w:p w14:paraId="0430E978" w14:textId="77777777" w:rsidR="001A5D13" w:rsidRPr="000E76A0" w:rsidRDefault="001A5D13" w:rsidP="007D451C">
            <w:pPr>
              <w:rPr>
                <w:b/>
                <w:bCs/>
                <w:i/>
                <w:sz w:val="16"/>
                <w:szCs w:val="16"/>
              </w:rPr>
            </w:pPr>
          </w:p>
          <w:p w14:paraId="40D7657F" w14:textId="77777777" w:rsidR="001A5D13" w:rsidRPr="000E76A0" w:rsidRDefault="001A5D13" w:rsidP="007D451C">
            <w:pPr>
              <w:rPr>
                <w:b/>
                <w:bCs/>
                <w:i/>
                <w:sz w:val="16"/>
                <w:szCs w:val="16"/>
              </w:rPr>
            </w:pPr>
          </w:p>
          <w:p w14:paraId="6857D30E" w14:textId="77777777" w:rsidR="005A4285" w:rsidRPr="000E76A0" w:rsidRDefault="005A4285" w:rsidP="007D451C">
            <w:pPr>
              <w:rPr>
                <w:bCs/>
                <w:sz w:val="16"/>
                <w:szCs w:val="16"/>
              </w:rPr>
            </w:pPr>
          </w:p>
          <w:p w14:paraId="02CEEA1C" w14:textId="77777777" w:rsidR="00801648" w:rsidRPr="000E76A0" w:rsidRDefault="00801648" w:rsidP="007D451C">
            <w:pPr>
              <w:rPr>
                <w:bCs/>
                <w:sz w:val="16"/>
                <w:szCs w:val="16"/>
              </w:rPr>
            </w:pPr>
          </w:p>
          <w:p w14:paraId="0DE9E3DC" w14:textId="259A6581" w:rsidR="00E74315" w:rsidRPr="000E76A0" w:rsidRDefault="00801648" w:rsidP="007D451C">
            <w:pPr>
              <w:rPr>
                <w:bCs/>
                <w:sz w:val="16"/>
                <w:szCs w:val="16"/>
              </w:rPr>
            </w:pPr>
            <w:r w:rsidRPr="000E76A0">
              <w:rPr>
                <w:bCs/>
                <w:sz w:val="16"/>
                <w:szCs w:val="16"/>
              </w:rPr>
              <w:t>GSSCPD (biannual)</w:t>
            </w:r>
          </w:p>
          <w:p w14:paraId="3A467E18" w14:textId="3D603FD4" w:rsidR="00E74315" w:rsidRPr="000E76A0" w:rsidRDefault="00E74315" w:rsidP="007D451C">
            <w:pPr>
              <w:rPr>
                <w:bCs/>
                <w:i/>
                <w:sz w:val="16"/>
                <w:szCs w:val="16"/>
              </w:rPr>
            </w:pPr>
          </w:p>
          <w:p w14:paraId="307D6B14" w14:textId="5681A78B" w:rsidR="00E74315" w:rsidRPr="000E76A0" w:rsidRDefault="00E74315" w:rsidP="007D451C">
            <w:pPr>
              <w:rPr>
                <w:bCs/>
                <w:i/>
                <w:sz w:val="16"/>
                <w:szCs w:val="16"/>
              </w:rPr>
            </w:pPr>
          </w:p>
          <w:p w14:paraId="47057210" w14:textId="36F59F3D" w:rsidR="00E74315" w:rsidRPr="000E76A0" w:rsidRDefault="00E74315" w:rsidP="007D451C">
            <w:pPr>
              <w:rPr>
                <w:bCs/>
                <w:i/>
                <w:sz w:val="16"/>
                <w:szCs w:val="16"/>
              </w:rPr>
            </w:pPr>
          </w:p>
          <w:p w14:paraId="07EAAF52" w14:textId="51548D31" w:rsidR="00E74315" w:rsidRPr="000E76A0" w:rsidRDefault="00E74315" w:rsidP="007D451C">
            <w:pPr>
              <w:rPr>
                <w:bCs/>
                <w:i/>
                <w:sz w:val="16"/>
                <w:szCs w:val="16"/>
              </w:rPr>
            </w:pPr>
          </w:p>
          <w:p w14:paraId="33B977AE" w14:textId="6D3110BF" w:rsidR="00E74315" w:rsidRPr="000E76A0" w:rsidRDefault="00E74315" w:rsidP="007D451C">
            <w:pPr>
              <w:rPr>
                <w:bCs/>
                <w:i/>
                <w:sz w:val="16"/>
                <w:szCs w:val="16"/>
              </w:rPr>
            </w:pPr>
          </w:p>
          <w:p w14:paraId="0E5C549E" w14:textId="0726F42A" w:rsidR="00E74315" w:rsidRPr="000E76A0" w:rsidRDefault="00E74315" w:rsidP="007D451C">
            <w:pPr>
              <w:rPr>
                <w:bCs/>
                <w:i/>
                <w:sz w:val="16"/>
                <w:szCs w:val="16"/>
              </w:rPr>
            </w:pPr>
          </w:p>
          <w:p w14:paraId="7C719CA9" w14:textId="2D940272" w:rsidR="00E74315" w:rsidRPr="000E76A0" w:rsidRDefault="00E74315" w:rsidP="007D451C">
            <w:pPr>
              <w:rPr>
                <w:bCs/>
                <w:i/>
                <w:sz w:val="16"/>
                <w:szCs w:val="16"/>
              </w:rPr>
            </w:pPr>
          </w:p>
          <w:p w14:paraId="222E9D6B" w14:textId="7159C8B7" w:rsidR="00E74315" w:rsidRPr="000E76A0" w:rsidRDefault="00E74315" w:rsidP="007D451C">
            <w:pPr>
              <w:rPr>
                <w:bCs/>
                <w:i/>
                <w:sz w:val="16"/>
                <w:szCs w:val="16"/>
              </w:rPr>
            </w:pPr>
          </w:p>
          <w:p w14:paraId="1C761330" w14:textId="78CAD1E8" w:rsidR="00E74315" w:rsidRPr="000E76A0" w:rsidRDefault="00E74315" w:rsidP="007D451C">
            <w:pPr>
              <w:rPr>
                <w:bCs/>
                <w:i/>
                <w:sz w:val="16"/>
                <w:szCs w:val="16"/>
              </w:rPr>
            </w:pPr>
          </w:p>
          <w:p w14:paraId="17E39756" w14:textId="11318102" w:rsidR="00E74315" w:rsidRPr="000E76A0" w:rsidRDefault="00E74315" w:rsidP="007D451C">
            <w:pPr>
              <w:rPr>
                <w:bCs/>
                <w:i/>
                <w:sz w:val="16"/>
                <w:szCs w:val="16"/>
              </w:rPr>
            </w:pPr>
          </w:p>
          <w:p w14:paraId="332ED722" w14:textId="2700100A" w:rsidR="00E74315" w:rsidRPr="000E76A0" w:rsidRDefault="00E74315" w:rsidP="007D451C">
            <w:pPr>
              <w:rPr>
                <w:bCs/>
                <w:i/>
                <w:sz w:val="16"/>
                <w:szCs w:val="16"/>
              </w:rPr>
            </w:pPr>
          </w:p>
          <w:p w14:paraId="48741D8F" w14:textId="299ECD32" w:rsidR="00E74315" w:rsidRPr="000E76A0" w:rsidRDefault="00E74315" w:rsidP="007D451C">
            <w:pPr>
              <w:rPr>
                <w:bCs/>
                <w:i/>
                <w:sz w:val="16"/>
                <w:szCs w:val="16"/>
              </w:rPr>
            </w:pPr>
          </w:p>
          <w:p w14:paraId="4C32AD43" w14:textId="4F2DC2B9" w:rsidR="00E74315" w:rsidRPr="000E76A0" w:rsidRDefault="00E74315" w:rsidP="007D451C">
            <w:pPr>
              <w:rPr>
                <w:bCs/>
                <w:i/>
                <w:sz w:val="16"/>
                <w:szCs w:val="16"/>
              </w:rPr>
            </w:pPr>
          </w:p>
          <w:p w14:paraId="299415D0" w14:textId="3115A7E7" w:rsidR="00E74315" w:rsidRPr="000E76A0" w:rsidRDefault="00E74315" w:rsidP="007D451C">
            <w:pPr>
              <w:rPr>
                <w:bCs/>
                <w:i/>
                <w:sz w:val="16"/>
                <w:szCs w:val="16"/>
              </w:rPr>
            </w:pPr>
          </w:p>
          <w:p w14:paraId="26D70C81" w14:textId="2307848F" w:rsidR="00E74315" w:rsidRPr="000E76A0" w:rsidRDefault="00E74315" w:rsidP="007D451C">
            <w:pPr>
              <w:rPr>
                <w:bCs/>
                <w:i/>
                <w:sz w:val="16"/>
                <w:szCs w:val="16"/>
              </w:rPr>
            </w:pPr>
          </w:p>
          <w:p w14:paraId="727537AA" w14:textId="15E56D2C" w:rsidR="00E74315" w:rsidRPr="000E76A0" w:rsidRDefault="00E74315" w:rsidP="007D451C">
            <w:pPr>
              <w:rPr>
                <w:bCs/>
                <w:i/>
                <w:sz w:val="16"/>
                <w:szCs w:val="16"/>
              </w:rPr>
            </w:pPr>
          </w:p>
          <w:p w14:paraId="1D99E091" w14:textId="3348DB44" w:rsidR="00E74315" w:rsidRPr="000E76A0" w:rsidRDefault="00E74315" w:rsidP="007D451C">
            <w:pPr>
              <w:rPr>
                <w:bCs/>
                <w:i/>
                <w:sz w:val="16"/>
                <w:szCs w:val="16"/>
              </w:rPr>
            </w:pPr>
          </w:p>
          <w:p w14:paraId="0D108936" w14:textId="4E6C975C" w:rsidR="00E74315" w:rsidRPr="000E76A0" w:rsidRDefault="00E74315" w:rsidP="007D451C">
            <w:pPr>
              <w:rPr>
                <w:bCs/>
                <w:i/>
                <w:sz w:val="16"/>
                <w:szCs w:val="16"/>
              </w:rPr>
            </w:pPr>
          </w:p>
          <w:p w14:paraId="36F78DD9" w14:textId="5209871C" w:rsidR="00E74315" w:rsidRPr="000E76A0" w:rsidRDefault="00E74315" w:rsidP="007D451C">
            <w:pPr>
              <w:rPr>
                <w:bCs/>
                <w:i/>
                <w:sz w:val="16"/>
                <w:szCs w:val="16"/>
              </w:rPr>
            </w:pPr>
          </w:p>
          <w:p w14:paraId="52912FBD" w14:textId="26E13516" w:rsidR="00E74315" w:rsidRPr="000E76A0" w:rsidRDefault="00E74315" w:rsidP="007D451C">
            <w:pPr>
              <w:rPr>
                <w:bCs/>
                <w:i/>
                <w:sz w:val="16"/>
                <w:szCs w:val="16"/>
              </w:rPr>
            </w:pPr>
          </w:p>
          <w:p w14:paraId="28BE5526" w14:textId="28D56993" w:rsidR="00E74315" w:rsidRPr="000E76A0" w:rsidRDefault="00E74315" w:rsidP="007D451C">
            <w:pPr>
              <w:rPr>
                <w:bCs/>
                <w:i/>
                <w:sz w:val="16"/>
                <w:szCs w:val="16"/>
              </w:rPr>
            </w:pPr>
          </w:p>
          <w:p w14:paraId="1E3FECEB" w14:textId="1570B5E9" w:rsidR="00E74315" w:rsidRPr="000E76A0" w:rsidRDefault="00E74315" w:rsidP="007D451C">
            <w:pPr>
              <w:rPr>
                <w:bCs/>
                <w:i/>
                <w:sz w:val="16"/>
                <w:szCs w:val="16"/>
              </w:rPr>
            </w:pPr>
          </w:p>
          <w:p w14:paraId="1FFF6A83" w14:textId="24A5E647" w:rsidR="00E74315" w:rsidRPr="000E76A0" w:rsidRDefault="00E74315" w:rsidP="007D451C">
            <w:pPr>
              <w:rPr>
                <w:bCs/>
                <w:i/>
                <w:sz w:val="16"/>
                <w:szCs w:val="16"/>
              </w:rPr>
            </w:pPr>
          </w:p>
          <w:p w14:paraId="0B7FFE99" w14:textId="4856EE07" w:rsidR="00E74315" w:rsidRPr="000E76A0" w:rsidRDefault="00E74315" w:rsidP="007D451C">
            <w:pPr>
              <w:rPr>
                <w:bCs/>
                <w:i/>
                <w:sz w:val="16"/>
                <w:szCs w:val="16"/>
              </w:rPr>
            </w:pPr>
          </w:p>
          <w:p w14:paraId="49F65018" w14:textId="096B827D" w:rsidR="00E74315" w:rsidRPr="000E76A0" w:rsidRDefault="00E74315" w:rsidP="007D451C">
            <w:pPr>
              <w:rPr>
                <w:bCs/>
                <w:i/>
                <w:sz w:val="16"/>
                <w:szCs w:val="16"/>
              </w:rPr>
            </w:pPr>
          </w:p>
          <w:p w14:paraId="7C7999BF" w14:textId="600C3842" w:rsidR="00E74315" w:rsidRPr="000E76A0" w:rsidRDefault="00E74315" w:rsidP="007D451C">
            <w:pPr>
              <w:rPr>
                <w:bCs/>
                <w:i/>
                <w:sz w:val="16"/>
                <w:szCs w:val="16"/>
              </w:rPr>
            </w:pPr>
          </w:p>
          <w:p w14:paraId="4FD73031" w14:textId="0D609714" w:rsidR="00E74315" w:rsidRPr="000E76A0" w:rsidRDefault="00E74315" w:rsidP="007D451C">
            <w:pPr>
              <w:rPr>
                <w:bCs/>
                <w:i/>
                <w:sz w:val="16"/>
                <w:szCs w:val="16"/>
              </w:rPr>
            </w:pPr>
          </w:p>
          <w:p w14:paraId="4D90947C" w14:textId="3E9D380E" w:rsidR="00E74315" w:rsidRPr="000E76A0" w:rsidRDefault="00E74315" w:rsidP="007D451C">
            <w:pPr>
              <w:rPr>
                <w:bCs/>
                <w:i/>
                <w:sz w:val="16"/>
                <w:szCs w:val="16"/>
              </w:rPr>
            </w:pPr>
          </w:p>
          <w:p w14:paraId="307C5737" w14:textId="2D2AA290" w:rsidR="00E74315" w:rsidRPr="000E76A0" w:rsidRDefault="00E74315" w:rsidP="007D451C">
            <w:pPr>
              <w:rPr>
                <w:bCs/>
                <w:i/>
                <w:sz w:val="16"/>
                <w:szCs w:val="16"/>
              </w:rPr>
            </w:pPr>
          </w:p>
          <w:p w14:paraId="57AB3006" w14:textId="5D5E3B7B" w:rsidR="00E74315" w:rsidRPr="000E76A0" w:rsidRDefault="00E74315" w:rsidP="007D451C">
            <w:pPr>
              <w:rPr>
                <w:bCs/>
                <w:i/>
                <w:sz w:val="16"/>
                <w:szCs w:val="16"/>
              </w:rPr>
            </w:pPr>
          </w:p>
          <w:p w14:paraId="031CCDB5" w14:textId="030C3B13" w:rsidR="00E74315" w:rsidRPr="000E76A0" w:rsidRDefault="00E74315" w:rsidP="007D451C">
            <w:pPr>
              <w:rPr>
                <w:bCs/>
                <w:i/>
                <w:sz w:val="16"/>
                <w:szCs w:val="16"/>
              </w:rPr>
            </w:pPr>
          </w:p>
          <w:p w14:paraId="074302BA" w14:textId="30CC543C" w:rsidR="00E74315" w:rsidRPr="000E76A0" w:rsidRDefault="00E74315" w:rsidP="007D451C">
            <w:pPr>
              <w:rPr>
                <w:bCs/>
                <w:i/>
                <w:sz w:val="16"/>
                <w:szCs w:val="16"/>
              </w:rPr>
            </w:pPr>
          </w:p>
          <w:p w14:paraId="29C85CA1" w14:textId="06966429" w:rsidR="00E74315" w:rsidRPr="000E76A0" w:rsidRDefault="00E74315" w:rsidP="007D451C">
            <w:pPr>
              <w:rPr>
                <w:bCs/>
                <w:i/>
                <w:sz w:val="16"/>
                <w:szCs w:val="16"/>
              </w:rPr>
            </w:pPr>
          </w:p>
          <w:p w14:paraId="528D19F0" w14:textId="0A28EA00" w:rsidR="00E74315" w:rsidRPr="000E76A0" w:rsidRDefault="00E74315" w:rsidP="007D451C">
            <w:pPr>
              <w:rPr>
                <w:bCs/>
                <w:i/>
                <w:sz w:val="16"/>
                <w:szCs w:val="16"/>
              </w:rPr>
            </w:pPr>
          </w:p>
          <w:p w14:paraId="5EA5C55C" w14:textId="18913F94" w:rsidR="00E74315" w:rsidRPr="000E76A0" w:rsidRDefault="00E74315" w:rsidP="007D451C">
            <w:pPr>
              <w:rPr>
                <w:bCs/>
                <w:i/>
                <w:sz w:val="16"/>
                <w:szCs w:val="16"/>
              </w:rPr>
            </w:pPr>
          </w:p>
          <w:p w14:paraId="1740CC7C" w14:textId="2BF181F9" w:rsidR="00E74315" w:rsidRPr="000E76A0" w:rsidRDefault="00E74315" w:rsidP="007D451C">
            <w:pPr>
              <w:rPr>
                <w:bCs/>
                <w:i/>
                <w:sz w:val="16"/>
                <w:szCs w:val="16"/>
              </w:rPr>
            </w:pPr>
          </w:p>
          <w:p w14:paraId="6B13E786" w14:textId="75A5F71D" w:rsidR="00E74315" w:rsidRPr="000E76A0" w:rsidRDefault="00E74315" w:rsidP="007D451C">
            <w:pPr>
              <w:rPr>
                <w:bCs/>
                <w:i/>
                <w:sz w:val="16"/>
                <w:szCs w:val="16"/>
              </w:rPr>
            </w:pPr>
          </w:p>
          <w:p w14:paraId="7B06020D" w14:textId="3089A9EE" w:rsidR="00E74315" w:rsidRPr="000E76A0" w:rsidRDefault="00E74315" w:rsidP="007D451C">
            <w:pPr>
              <w:rPr>
                <w:bCs/>
                <w:i/>
                <w:sz w:val="16"/>
                <w:szCs w:val="16"/>
              </w:rPr>
            </w:pPr>
          </w:p>
          <w:p w14:paraId="2C48D705" w14:textId="016DA034" w:rsidR="00E74315" w:rsidRPr="000E76A0" w:rsidRDefault="00E74315" w:rsidP="007D451C">
            <w:pPr>
              <w:rPr>
                <w:bCs/>
                <w:i/>
                <w:sz w:val="16"/>
                <w:szCs w:val="16"/>
              </w:rPr>
            </w:pPr>
          </w:p>
          <w:p w14:paraId="65A7A602" w14:textId="6B9880A1" w:rsidR="00E74315" w:rsidRPr="000E76A0" w:rsidRDefault="00E74315" w:rsidP="007D451C">
            <w:pPr>
              <w:rPr>
                <w:bCs/>
                <w:i/>
                <w:sz w:val="16"/>
                <w:szCs w:val="16"/>
              </w:rPr>
            </w:pPr>
          </w:p>
          <w:p w14:paraId="548B86FD" w14:textId="07C68456" w:rsidR="00E74315" w:rsidRPr="000E76A0" w:rsidRDefault="00E74315" w:rsidP="007D451C">
            <w:pPr>
              <w:rPr>
                <w:bCs/>
                <w:i/>
                <w:sz w:val="16"/>
                <w:szCs w:val="16"/>
              </w:rPr>
            </w:pPr>
          </w:p>
          <w:p w14:paraId="65CF8459" w14:textId="65153182" w:rsidR="00E74315" w:rsidRPr="000E76A0" w:rsidRDefault="00E74315" w:rsidP="007D451C">
            <w:pPr>
              <w:rPr>
                <w:bCs/>
                <w:i/>
                <w:sz w:val="16"/>
                <w:szCs w:val="16"/>
              </w:rPr>
            </w:pPr>
          </w:p>
          <w:p w14:paraId="791926A2" w14:textId="54EC0FF5" w:rsidR="00E74315" w:rsidRPr="000E76A0" w:rsidRDefault="00E74315" w:rsidP="007D451C">
            <w:pPr>
              <w:rPr>
                <w:bCs/>
                <w:i/>
                <w:sz w:val="16"/>
                <w:szCs w:val="16"/>
              </w:rPr>
            </w:pPr>
          </w:p>
          <w:p w14:paraId="7F2D14A0" w14:textId="7F7D2A2B" w:rsidR="00E74315" w:rsidRPr="000E76A0" w:rsidRDefault="00E74315" w:rsidP="007D451C">
            <w:pPr>
              <w:rPr>
                <w:bCs/>
                <w:i/>
                <w:sz w:val="16"/>
                <w:szCs w:val="16"/>
              </w:rPr>
            </w:pPr>
          </w:p>
          <w:p w14:paraId="7FC7B11F" w14:textId="2AE2FC0E" w:rsidR="00E74315" w:rsidRPr="000E76A0" w:rsidRDefault="00E74315" w:rsidP="007D451C">
            <w:pPr>
              <w:rPr>
                <w:bCs/>
                <w:i/>
                <w:sz w:val="16"/>
                <w:szCs w:val="16"/>
              </w:rPr>
            </w:pPr>
          </w:p>
          <w:p w14:paraId="60EC806C" w14:textId="6C07992E" w:rsidR="00E74315" w:rsidRPr="000E76A0" w:rsidRDefault="00E74315" w:rsidP="007D451C">
            <w:pPr>
              <w:rPr>
                <w:bCs/>
                <w:i/>
                <w:sz w:val="16"/>
                <w:szCs w:val="16"/>
              </w:rPr>
            </w:pPr>
          </w:p>
          <w:p w14:paraId="7A8C73C4" w14:textId="7942225B" w:rsidR="00E74315" w:rsidRPr="000E76A0" w:rsidRDefault="00E74315" w:rsidP="007D451C">
            <w:pPr>
              <w:rPr>
                <w:bCs/>
                <w:i/>
                <w:sz w:val="16"/>
                <w:szCs w:val="16"/>
              </w:rPr>
            </w:pPr>
          </w:p>
          <w:p w14:paraId="792CFC82" w14:textId="4DE00661" w:rsidR="00E74315" w:rsidRPr="000E76A0" w:rsidRDefault="00E74315" w:rsidP="007D451C">
            <w:pPr>
              <w:rPr>
                <w:bCs/>
                <w:i/>
                <w:sz w:val="16"/>
                <w:szCs w:val="16"/>
              </w:rPr>
            </w:pPr>
          </w:p>
          <w:p w14:paraId="26619A85" w14:textId="0971ADA5" w:rsidR="00E74315" w:rsidRPr="000E76A0" w:rsidRDefault="00E74315" w:rsidP="007D451C">
            <w:pPr>
              <w:rPr>
                <w:bCs/>
                <w:i/>
                <w:sz w:val="16"/>
                <w:szCs w:val="16"/>
              </w:rPr>
            </w:pPr>
          </w:p>
          <w:p w14:paraId="691F57CC" w14:textId="72782A89" w:rsidR="00E74315" w:rsidRPr="000E76A0" w:rsidRDefault="00E74315" w:rsidP="007D451C">
            <w:pPr>
              <w:rPr>
                <w:bCs/>
                <w:i/>
                <w:sz w:val="16"/>
                <w:szCs w:val="16"/>
              </w:rPr>
            </w:pPr>
          </w:p>
          <w:p w14:paraId="0704CC86" w14:textId="5E26E2CE" w:rsidR="00E74315" w:rsidRPr="000E76A0" w:rsidRDefault="00E74315" w:rsidP="007D451C">
            <w:pPr>
              <w:rPr>
                <w:bCs/>
                <w:i/>
                <w:sz w:val="16"/>
                <w:szCs w:val="16"/>
              </w:rPr>
            </w:pPr>
          </w:p>
          <w:p w14:paraId="14D7E689" w14:textId="39B3C640" w:rsidR="00E74315" w:rsidRPr="000E76A0" w:rsidRDefault="00E74315" w:rsidP="007D451C">
            <w:pPr>
              <w:rPr>
                <w:bCs/>
                <w:i/>
                <w:sz w:val="16"/>
                <w:szCs w:val="16"/>
              </w:rPr>
            </w:pPr>
          </w:p>
          <w:p w14:paraId="40C94CBB" w14:textId="059186B7" w:rsidR="00E74315" w:rsidRPr="000E76A0" w:rsidRDefault="00E74315" w:rsidP="007D451C">
            <w:pPr>
              <w:rPr>
                <w:bCs/>
                <w:i/>
                <w:sz w:val="16"/>
                <w:szCs w:val="16"/>
              </w:rPr>
            </w:pPr>
          </w:p>
          <w:p w14:paraId="3AE9D9B8" w14:textId="38524D5F" w:rsidR="00E74315" w:rsidRPr="000E76A0" w:rsidRDefault="00E74315" w:rsidP="007D451C">
            <w:pPr>
              <w:rPr>
                <w:bCs/>
                <w:i/>
                <w:sz w:val="16"/>
                <w:szCs w:val="16"/>
              </w:rPr>
            </w:pPr>
          </w:p>
          <w:p w14:paraId="486F1412" w14:textId="6861D938" w:rsidR="00E74315" w:rsidRPr="000E76A0" w:rsidRDefault="00E74315" w:rsidP="007D451C">
            <w:pPr>
              <w:rPr>
                <w:bCs/>
                <w:i/>
                <w:sz w:val="16"/>
                <w:szCs w:val="16"/>
              </w:rPr>
            </w:pPr>
          </w:p>
          <w:p w14:paraId="0CD71BA7" w14:textId="334C9522" w:rsidR="00E74315" w:rsidRPr="000E76A0" w:rsidRDefault="00E74315" w:rsidP="007D451C">
            <w:pPr>
              <w:rPr>
                <w:bCs/>
                <w:i/>
                <w:sz w:val="16"/>
                <w:szCs w:val="16"/>
              </w:rPr>
            </w:pPr>
          </w:p>
          <w:p w14:paraId="1C020D6C" w14:textId="15C9BA6F" w:rsidR="00E74315" w:rsidRPr="000E76A0" w:rsidRDefault="00E74315" w:rsidP="007D451C">
            <w:pPr>
              <w:rPr>
                <w:bCs/>
                <w:i/>
                <w:sz w:val="16"/>
                <w:szCs w:val="16"/>
              </w:rPr>
            </w:pPr>
          </w:p>
          <w:p w14:paraId="7701F1C3" w14:textId="20A4C3F2" w:rsidR="00E74315" w:rsidRPr="000E76A0" w:rsidRDefault="00E74315" w:rsidP="007D451C">
            <w:pPr>
              <w:rPr>
                <w:bCs/>
                <w:i/>
                <w:sz w:val="16"/>
                <w:szCs w:val="16"/>
              </w:rPr>
            </w:pPr>
          </w:p>
          <w:p w14:paraId="6BFDE95D" w14:textId="06EE7572" w:rsidR="00E74315" w:rsidRPr="000E76A0" w:rsidRDefault="00E74315" w:rsidP="007D451C">
            <w:pPr>
              <w:rPr>
                <w:bCs/>
                <w:i/>
                <w:sz w:val="16"/>
                <w:szCs w:val="16"/>
              </w:rPr>
            </w:pPr>
          </w:p>
          <w:p w14:paraId="051C562F" w14:textId="2B22EC4B" w:rsidR="00E74315" w:rsidRPr="000E76A0" w:rsidRDefault="00E74315" w:rsidP="007D451C">
            <w:pPr>
              <w:rPr>
                <w:bCs/>
                <w:i/>
                <w:sz w:val="16"/>
                <w:szCs w:val="16"/>
              </w:rPr>
            </w:pPr>
          </w:p>
          <w:p w14:paraId="75CFBAF5" w14:textId="3D442E4F" w:rsidR="00E74315" w:rsidRPr="000E76A0" w:rsidRDefault="00E74315" w:rsidP="007D451C">
            <w:pPr>
              <w:rPr>
                <w:bCs/>
                <w:i/>
                <w:sz w:val="16"/>
                <w:szCs w:val="16"/>
              </w:rPr>
            </w:pPr>
          </w:p>
          <w:p w14:paraId="7BB1565A" w14:textId="5D4AA9BD" w:rsidR="00E74315" w:rsidRPr="000E76A0" w:rsidRDefault="00E74315" w:rsidP="007D451C">
            <w:pPr>
              <w:rPr>
                <w:bCs/>
                <w:i/>
                <w:sz w:val="16"/>
                <w:szCs w:val="16"/>
              </w:rPr>
            </w:pPr>
          </w:p>
          <w:p w14:paraId="145E98FF" w14:textId="0C20203E" w:rsidR="00E74315" w:rsidRPr="000E76A0" w:rsidRDefault="00E74315" w:rsidP="007D451C">
            <w:pPr>
              <w:rPr>
                <w:bCs/>
                <w:i/>
                <w:sz w:val="16"/>
                <w:szCs w:val="16"/>
              </w:rPr>
            </w:pPr>
          </w:p>
          <w:p w14:paraId="4781A771" w14:textId="54016760" w:rsidR="00E74315" w:rsidRPr="000E76A0" w:rsidRDefault="00E74315" w:rsidP="007D451C">
            <w:pPr>
              <w:rPr>
                <w:bCs/>
                <w:i/>
                <w:sz w:val="16"/>
                <w:szCs w:val="16"/>
              </w:rPr>
            </w:pPr>
          </w:p>
          <w:p w14:paraId="54E7B919" w14:textId="58B4CB26" w:rsidR="00E74315" w:rsidRPr="000E76A0" w:rsidRDefault="00E74315" w:rsidP="007D451C">
            <w:pPr>
              <w:rPr>
                <w:bCs/>
                <w:i/>
                <w:sz w:val="16"/>
                <w:szCs w:val="16"/>
              </w:rPr>
            </w:pPr>
          </w:p>
          <w:p w14:paraId="2AE24D31" w14:textId="46B82937" w:rsidR="00E74315" w:rsidRPr="000E76A0" w:rsidRDefault="00E74315" w:rsidP="007D451C">
            <w:pPr>
              <w:rPr>
                <w:bCs/>
                <w:i/>
                <w:sz w:val="16"/>
                <w:szCs w:val="16"/>
              </w:rPr>
            </w:pPr>
          </w:p>
          <w:p w14:paraId="003B0D4D" w14:textId="77777777" w:rsidR="00801648" w:rsidRPr="000E76A0" w:rsidRDefault="00801648" w:rsidP="007D451C">
            <w:pPr>
              <w:rPr>
                <w:bCs/>
                <w:sz w:val="16"/>
                <w:szCs w:val="16"/>
              </w:rPr>
            </w:pPr>
          </w:p>
          <w:p w14:paraId="06692606" w14:textId="77777777" w:rsidR="00801648" w:rsidRPr="000E76A0" w:rsidRDefault="00801648" w:rsidP="007D451C">
            <w:pPr>
              <w:rPr>
                <w:bCs/>
                <w:sz w:val="16"/>
                <w:szCs w:val="16"/>
              </w:rPr>
            </w:pPr>
          </w:p>
          <w:p w14:paraId="768EF387" w14:textId="77777777" w:rsidR="00801648" w:rsidRPr="000E76A0" w:rsidRDefault="00801648" w:rsidP="007D451C">
            <w:pPr>
              <w:rPr>
                <w:bCs/>
                <w:sz w:val="16"/>
                <w:szCs w:val="16"/>
              </w:rPr>
            </w:pPr>
          </w:p>
          <w:p w14:paraId="526EB28C" w14:textId="77777777" w:rsidR="00801648" w:rsidRPr="000E76A0" w:rsidRDefault="00801648" w:rsidP="007D451C">
            <w:pPr>
              <w:rPr>
                <w:bCs/>
                <w:sz w:val="16"/>
                <w:szCs w:val="16"/>
              </w:rPr>
            </w:pPr>
          </w:p>
          <w:p w14:paraId="60173BBA" w14:textId="31DAC93C" w:rsidR="00801648" w:rsidRPr="000E76A0" w:rsidRDefault="00C87CAD" w:rsidP="007D451C">
            <w:pPr>
              <w:rPr>
                <w:bCs/>
                <w:sz w:val="16"/>
                <w:szCs w:val="16"/>
              </w:rPr>
            </w:pPr>
            <w:r w:rsidRPr="000E76A0">
              <w:rPr>
                <w:bCs/>
                <w:sz w:val="16"/>
                <w:szCs w:val="16"/>
              </w:rPr>
              <w:t>WRSC</w:t>
            </w:r>
            <w:r w:rsidR="00801648" w:rsidRPr="000E76A0">
              <w:rPr>
                <w:bCs/>
                <w:sz w:val="16"/>
                <w:szCs w:val="16"/>
              </w:rPr>
              <w:t xml:space="preserve"> (Annually)</w:t>
            </w:r>
          </w:p>
          <w:p w14:paraId="3F37DCC6" w14:textId="5D1D7ECE" w:rsidR="00E74315" w:rsidRPr="000E76A0" w:rsidRDefault="00E74315" w:rsidP="007D451C">
            <w:pPr>
              <w:rPr>
                <w:bCs/>
                <w:i/>
                <w:sz w:val="16"/>
                <w:szCs w:val="16"/>
              </w:rPr>
            </w:pPr>
          </w:p>
          <w:p w14:paraId="4F968DBC" w14:textId="5E8266E7" w:rsidR="00E74315" w:rsidRPr="000E76A0" w:rsidRDefault="00E74315" w:rsidP="007D451C">
            <w:pPr>
              <w:rPr>
                <w:bCs/>
                <w:i/>
                <w:sz w:val="16"/>
                <w:szCs w:val="16"/>
              </w:rPr>
            </w:pPr>
          </w:p>
          <w:p w14:paraId="4BB2859B" w14:textId="77777777" w:rsidR="005F67DD" w:rsidRPr="000E76A0" w:rsidRDefault="005F67DD" w:rsidP="007D451C">
            <w:pPr>
              <w:rPr>
                <w:bCs/>
                <w:i/>
                <w:sz w:val="16"/>
                <w:szCs w:val="16"/>
              </w:rPr>
            </w:pPr>
          </w:p>
          <w:p w14:paraId="170A1582" w14:textId="77777777" w:rsidR="00801648" w:rsidRPr="000E76A0" w:rsidRDefault="00801648" w:rsidP="007D451C">
            <w:pPr>
              <w:rPr>
                <w:bCs/>
                <w:sz w:val="16"/>
                <w:szCs w:val="16"/>
              </w:rPr>
            </w:pPr>
          </w:p>
          <w:p w14:paraId="53743C88" w14:textId="78931361" w:rsidR="001A5D13" w:rsidRPr="000E76A0" w:rsidRDefault="00E07CA7" w:rsidP="007D451C">
            <w:pPr>
              <w:rPr>
                <w:bCs/>
                <w:sz w:val="16"/>
                <w:szCs w:val="16"/>
              </w:rPr>
            </w:pPr>
            <w:r w:rsidRPr="000E76A0">
              <w:rPr>
                <w:bCs/>
                <w:sz w:val="16"/>
                <w:szCs w:val="16"/>
              </w:rPr>
              <w:t>KPPC</w:t>
            </w:r>
            <w:r w:rsidR="00E74315" w:rsidRPr="000E76A0">
              <w:rPr>
                <w:bCs/>
                <w:sz w:val="16"/>
                <w:szCs w:val="16"/>
              </w:rPr>
              <w:t xml:space="preserve"> (Annually) </w:t>
            </w:r>
          </w:p>
        </w:tc>
        <w:tc>
          <w:tcPr>
            <w:tcW w:w="1092" w:type="pct"/>
            <w:vMerge w:val="restart"/>
            <w:shd w:val="clear" w:color="auto" w:fill="auto"/>
            <w:tcMar>
              <w:top w:w="72" w:type="dxa"/>
              <w:left w:w="144" w:type="dxa"/>
              <w:bottom w:w="72" w:type="dxa"/>
              <w:right w:w="144" w:type="dxa"/>
            </w:tcMar>
          </w:tcPr>
          <w:p w14:paraId="2D43114A" w14:textId="77777777" w:rsidR="002110C5" w:rsidRPr="000E76A0" w:rsidRDefault="002110C5" w:rsidP="007D451C">
            <w:pPr>
              <w:rPr>
                <w:b/>
                <w:sz w:val="16"/>
                <w:szCs w:val="16"/>
              </w:rPr>
            </w:pPr>
            <w:r w:rsidRPr="000E76A0">
              <w:rPr>
                <w:b/>
                <w:sz w:val="16"/>
                <w:szCs w:val="16"/>
              </w:rPr>
              <w:lastRenderedPageBreak/>
              <w:t>Output 1.1:</w:t>
            </w:r>
            <w:r w:rsidRPr="000E76A0" w:rsidDel="0069323C">
              <w:rPr>
                <w:b/>
                <w:sz w:val="16"/>
                <w:szCs w:val="16"/>
              </w:rPr>
              <w:t xml:space="preserve"> </w:t>
            </w:r>
            <w:r w:rsidRPr="000E76A0">
              <w:rPr>
                <w:b/>
                <w:sz w:val="16"/>
                <w:szCs w:val="16"/>
              </w:rPr>
              <w:t>Effective public institutions enabled to develop evidence-based policies and systems that respond to the needs of the people.</w:t>
            </w:r>
          </w:p>
          <w:p w14:paraId="00FAFC3C" w14:textId="77777777" w:rsidR="002110C5" w:rsidRPr="000E76A0" w:rsidRDefault="002110C5" w:rsidP="007D451C">
            <w:pPr>
              <w:rPr>
                <w:sz w:val="16"/>
                <w:szCs w:val="16"/>
              </w:rPr>
            </w:pPr>
          </w:p>
          <w:p w14:paraId="37AB2DB0" w14:textId="6811EE17" w:rsidR="002110C5" w:rsidRPr="000E76A0" w:rsidRDefault="002110C5" w:rsidP="007D451C">
            <w:pPr>
              <w:rPr>
                <w:sz w:val="16"/>
                <w:szCs w:val="16"/>
              </w:rPr>
            </w:pPr>
            <w:r w:rsidRPr="000E76A0">
              <w:rPr>
                <w:b/>
                <w:sz w:val="16"/>
                <w:szCs w:val="16"/>
              </w:rPr>
              <w:t>Indicator 1.1.1:</w:t>
            </w:r>
            <w:r w:rsidR="004F1377" w:rsidRPr="000E76A0">
              <w:rPr>
                <w:rFonts w:cstheme="minorHAnsi"/>
                <w:sz w:val="16"/>
                <w:szCs w:val="16"/>
              </w:rPr>
              <w:t xml:space="preserve"> Number of </w:t>
            </w:r>
            <w:r w:rsidRPr="000E76A0">
              <w:rPr>
                <w:sz w:val="16"/>
                <w:szCs w:val="16"/>
              </w:rPr>
              <w:t xml:space="preserve">policy papers for public discussions and implementation for KNDP. </w:t>
            </w:r>
          </w:p>
          <w:p w14:paraId="3D049301" w14:textId="77777777" w:rsidR="002110C5" w:rsidRPr="000E76A0" w:rsidRDefault="002110C5" w:rsidP="007D451C">
            <w:pPr>
              <w:rPr>
                <w:sz w:val="16"/>
                <w:szCs w:val="16"/>
              </w:rPr>
            </w:pPr>
            <w:r w:rsidRPr="000E76A0">
              <w:rPr>
                <w:sz w:val="16"/>
                <w:szCs w:val="16"/>
              </w:rPr>
              <w:t>Baseline:10</w:t>
            </w:r>
          </w:p>
          <w:p w14:paraId="7388590A" w14:textId="77777777" w:rsidR="002110C5" w:rsidRPr="000E76A0" w:rsidRDefault="002110C5" w:rsidP="007D451C">
            <w:pPr>
              <w:rPr>
                <w:sz w:val="16"/>
                <w:szCs w:val="16"/>
              </w:rPr>
            </w:pPr>
            <w:r w:rsidRPr="000E76A0">
              <w:rPr>
                <w:sz w:val="16"/>
                <w:szCs w:val="16"/>
              </w:rPr>
              <w:t>Target: 20</w:t>
            </w:r>
          </w:p>
          <w:p w14:paraId="50CCC001" w14:textId="77777777" w:rsidR="002110C5" w:rsidRPr="000E76A0" w:rsidRDefault="002110C5" w:rsidP="007D451C">
            <w:pPr>
              <w:rPr>
                <w:sz w:val="16"/>
                <w:szCs w:val="16"/>
              </w:rPr>
            </w:pPr>
            <w:r w:rsidRPr="000E76A0">
              <w:rPr>
                <w:sz w:val="16"/>
                <w:szCs w:val="16"/>
              </w:rPr>
              <w:t>Source: GSSCPD</w:t>
            </w:r>
          </w:p>
          <w:p w14:paraId="59EECB71" w14:textId="77777777" w:rsidR="002110C5" w:rsidRPr="000E76A0" w:rsidRDefault="002110C5" w:rsidP="007D451C">
            <w:pPr>
              <w:rPr>
                <w:sz w:val="16"/>
                <w:szCs w:val="16"/>
              </w:rPr>
            </w:pPr>
          </w:p>
          <w:p w14:paraId="38FF892A" w14:textId="51446330" w:rsidR="002110C5" w:rsidRPr="000E76A0" w:rsidRDefault="002110C5" w:rsidP="007D451C">
            <w:pPr>
              <w:rPr>
                <w:sz w:val="16"/>
                <w:szCs w:val="16"/>
              </w:rPr>
            </w:pPr>
            <w:r w:rsidRPr="000E76A0">
              <w:rPr>
                <w:b/>
                <w:sz w:val="16"/>
                <w:szCs w:val="16"/>
              </w:rPr>
              <w:t>Indicator 1.1.2</w:t>
            </w:r>
            <w:r w:rsidRPr="000E76A0">
              <w:rPr>
                <w:sz w:val="16"/>
                <w:szCs w:val="16"/>
              </w:rPr>
              <w:t xml:space="preserve">:  Number of KNDP pillars where </w:t>
            </w:r>
            <w:r w:rsidR="00EE4ED0" w:rsidRPr="000E76A0">
              <w:rPr>
                <w:sz w:val="16"/>
                <w:szCs w:val="16"/>
              </w:rPr>
              <w:t>behavioural</w:t>
            </w:r>
            <w:r w:rsidRPr="000E76A0">
              <w:rPr>
                <w:sz w:val="16"/>
                <w:szCs w:val="16"/>
              </w:rPr>
              <w:t xml:space="preserve"> insig</w:t>
            </w:r>
            <w:r w:rsidR="007E2CB3" w:rsidRPr="000E76A0">
              <w:rPr>
                <w:sz w:val="16"/>
                <w:szCs w:val="16"/>
              </w:rPr>
              <w:t>h</w:t>
            </w:r>
            <w:r w:rsidRPr="000E76A0">
              <w:rPr>
                <w:sz w:val="16"/>
                <w:szCs w:val="16"/>
              </w:rPr>
              <w:t>ts is applied.</w:t>
            </w:r>
          </w:p>
          <w:p w14:paraId="3E3DE54D" w14:textId="77777777" w:rsidR="002110C5" w:rsidRPr="000E76A0" w:rsidRDefault="002110C5" w:rsidP="007D451C">
            <w:pPr>
              <w:rPr>
                <w:sz w:val="16"/>
                <w:szCs w:val="16"/>
              </w:rPr>
            </w:pPr>
            <w:r w:rsidRPr="000E76A0">
              <w:rPr>
                <w:sz w:val="16"/>
                <w:szCs w:val="16"/>
              </w:rPr>
              <w:t>Baseline:0</w:t>
            </w:r>
          </w:p>
          <w:p w14:paraId="67929B07" w14:textId="77777777" w:rsidR="002110C5" w:rsidRPr="000E76A0" w:rsidRDefault="002110C5" w:rsidP="007D451C">
            <w:pPr>
              <w:rPr>
                <w:sz w:val="16"/>
                <w:szCs w:val="16"/>
              </w:rPr>
            </w:pPr>
            <w:r w:rsidRPr="000E76A0">
              <w:rPr>
                <w:sz w:val="16"/>
                <w:szCs w:val="16"/>
              </w:rPr>
              <w:t>Target: 5</w:t>
            </w:r>
          </w:p>
          <w:p w14:paraId="7E52567F" w14:textId="77777777" w:rsidR="002110C5" w:rsidRPr="000E76A0" w:rsidRDefault="002110C5" w:rsidP="007D451C">
            <w:pPr>
              <w:rPr>
                <w:sz w:val="16"/>
                <w:szCs w:val="16"/>
              </w:rPr>
            </w:pPr>
            <w:r w:rsidRPr="000E76A0">
              <w:rPr>
                <w:sz w:val="16"/>
                <w:szCs w:val="16"/>
              </w:rPr>
              <w:t>Source: KPPC</w:t>
            </w:r>
          </w:p>
          <w:p w14:paraId="37CD491D" w14:textId="77777777" w:rsidR="002110C5" w:rsidRPr="000E76A0" w:rsidRDefault="002110C5" w:rsidP="007D451C">
            <w:pPr>
              <w:rPr>
                <w:sz w:val="16"/>
                <w:szCs w:val="16"/>
              </w:rPr>
            </w:pPr>
          </w:p>
          <w:p w14:paraId="51055023" w14:textId="5FAB0CEF" w:rsidR="002110C5" w:rsidRPr="000E76A0" w:rsidRDefault="002110C5" w:rsidP="007D451C">
            <w:pPr>
              <w:rPr>
                <w:sz w:val="16"/>
                <w:szCs w:val="16"/>
              </w:rPr>
            </w:pPr>
            <w:r w:rsidRPr="000E76A0">
              <w:rPr>
                <w:b/>
                <w:sz w:val="16"/>
                <w:szCs w:val="16"/>
              </w:rPr>
              <w:t xml:space="preserve">Indicator </w:t>
            </w:r>
            <w:r w:rsidR="004F1377" w:rsidRPr="000E76A0">
              <w:rPr>
                <w:b/>
                <w:sz w:val="16"/>
                <w:szCs w:val="16"/>
              </w:rPr>
              <w:t>1.1.3</w:t>
            </w:r>
            <w:r w:rsidRPr="000E76A0">
              <w:rPr>
                <w:sz w:val="16"/>
                <w:szCs w:val="16"/>
              </w:rPr>
              <w:t xml:space="preserve">:  </w:t>
            </w:r>
            <w:r w:rsidR="004F1377" w:rsidRPr="000E76A0">
              <w:rPr>
                <w:sz w:val="16"/>
                <w:szCs w:val="16"/>
              </w:rPr>
              <w:t xml:space="preserve">Number of full-time </w:t>
            </w:r>
            <w:r w:rsidRPr="000E76A0">
              <w:rPr>
                <w:sz w:val="16"/>
                <w:szCs w:val="16"/>
              </w:rPr>
              <w:t xml:space="preserve">KPPC </w:t>
            </w:r>
            <w:r w:rsidR="004F1377" w:rsidRPr="000E76A0">
              <w:rPr>
                <w:sz w:val="16"/>
                <w:szCs w:val="16"/>
              </w:rPr>
              <w:t xml:space="preserve">personnel </w:t>
            </w:r>
          </w:p>
          <w:p w14:paraId="53E02ACD" w14:textId="543E830B" w:rsidR="002110C5" w:rsidRPr="000E76A0" w:rsidRDefault="002110C5" w:rsidP="007D451C">
            <w:pPr>
              <w:rPr>
                <w:sz w:val="16"/>
                <w:szCs w:val="16"/>
              </w:rPr>
            </w:pPr>
            <w:r w:rsidRPr="000E76A0">
              <w:rPr>
                <w:sz w:val="16"/>
                <w:szCs w:val="16"/>
              </w:rPr>
              <w:t xml:space="preserve">Baseline: </w:t>
            </w:r>
            <w:r w:rsidR="004F1377" w:rsidRPr="000E76A0">
              <w:rPr>
                <w:sz w:val="16"/>
                <w:szCs w:val="16"/>
              </w:rPr>
              <w:t>2</w:t>
            </w:r>
            <w:r w:rsidRPr="000E76A0">
              <w:rPr>
                <w:sz w:val="16"/>
                <w:szCs w:val="16"/>
              </w:rPr>
              <w:t>No</w:t>
            </w:r>
          </w:p>
          <w:p w14:paraId="59D6DD60" w14:textId="401C2502" w:rsidR="002110C5" w:rsidRPr="000E76A0" w:rsidRDefault="002110C5" w:rsidP="007D451C">
            <w:pPr>
              <w:rPr>
                <w:sz w:val="16"/>
                <w:szCs w:val="16"/>
              </w:rPr>
            </w:pPr>
            <w:r w:rsidRPr="000E76A0">
              <w:rPr>
                <w:sz w:val="16"/>
                <w:szCs w:val="16"/>
              </w:rPr>
              <w:t xml:space="preserve">Target: </w:t>
            </w:r>
            <w:r w:rsidR="004F1377" w:rsidRPr="000E76A0">
              <w:rPr>
                <w:sz w:val="16"/>
                <w:szCs w:val="16"/>
              </w:rPr>
              <w:t>5</w:t>
            </w:r>
          </w:p>
          <w:p w14:paraId="22F7A317" w14:textId="1348D54A" w:rsidR="002110C5" w:rsidRPr="000E76A0" w:rsidRDefault="00EE4ED0" w:rsidP="007D451C">
            <w:pPr>
              <w:rPr>
                <w:sz w:val="16"/>
                <w:szCs w:val="16"/>
              </w:rPr>
            </w:pPr>
            <w:r w:rsidRPr="000E76A0">
              <w:rPr>
                <w:sz w:val="16"/>
                <w:szCs w:val="16"/>
              </w:rPr>
              <w:t>Source: UNDP</w:t>
            </w:r>
            <w:r w:rsidR="004F1377" w:rsidRPr="000E76A0">
              <w:rPr>
                <w:sz w:val="16"/>
                <w:szCs w:val="16"/>
              </w:rPr>
              <w:t xml:space="preserve"> </w:t>
            </w:r>
          </w:p>
          <w:p w14:paraId="11385C76" w14:textId="77777777" w:rsidR="002110C5" w:rsidRPr="000E76A0" w:rsidRDefault="002110C5" w:rsidP="007D451C">
            <w:pPr>
              <w:rPr>
                <w:sz w:val="16"/>
                <w:szCs w:val="16"/>
              </w:rPr>
            </w:pPr>
          </w:p>
          <w:p w14:paraId="38AD96C0" w14:textId="25B9CB89" w:rsidR="002110C5" w:rsidRPr="000E76A0" w:rsidRDefault="002110C5" w:rsidP="00046C7E">
            <w:pPr>
              <w:rPr>
                <w:sz w:val="16"/>
                <w:szCs w:val="16"/>
              </w:rPr>
            </w:pPr>
          </w:p>
          <w:p w14:paraId="767D03A9" w14:textId="77777777" w:rsidR="002110C5" w:rsidRPr="000E76A0" w:rsidRDefault="002110C5" w:rsidP="007D451C">
            <w:pPr>
              <w:rPr>
                <w:sz w:val="16"/>
                <w:szCs w:val="16"/>
              </w:rPr>
            </w:pPr>
          </w:p>
          <w:p w14:paraId="38672544" w14:textId="77777777" w:rsidR="002110C5" w:rsidRPr="000E76A0" w:rsidRDefault="002110C5" w:rsidP="007D451C">
            <w:pPr>
              <w:rPr>
                <w:b/>
                <w:sz w:val="16"/>
                <w:szCs w:val="16"/>
              </w:rPr>
            </w:pPr>
            <w:r w:rsidRPr="000E76A0">
              <w:rPr>
                <w:b/>
                <w:bCs/>
                <w:sz w:val="16"/>
                <w:szCs w:val="16"/>
              </w:rPr>
              <w:lastRenderedPageBreak/>
              <w:t>Output  1.2:</w:t>
            </w:r>
            <w:r w:rsidRPr="000E76A0">
              <w:rPr>
                <w:b/>
                <w:sz w:val="16"/>
                <w:szCs w:val="16"/>
              </w:rPr>
              <w:t xml:space="preserve"> Effective KNDP monitoring and reporting systems established. </w:t>
            </w:r>
          </w:p>
          <w:p w14:paraId="680D6164" w14:textId="77777777" w:rsidR="002110C5" w:rsidRPr="000E76A0" w:rsidRDefault="002110C5" w:rsidP="007D451C">
            <w:pPr>
              <w:rPr>
                <w:b/>
                <w:sz w:val="16"/>
                <w:szCs w:val="16"/>
              </w:rPr>
            </w:pPr>
          </w:p>
          <w:p w14:paraId="645E224D" w14:textId="1558E023" w:rsidR="002110C5" w:rsidRPr="000E76A0" w:rsidRDefault="002110C5" w:rsidP="007D451C">
            <w:pPr>
              <w:rPr>
                <w:sz w:val="16"/>
                <w:szCs w:val="16"/>
              </w:rPr>
            </w:pPr>
            <w:r w:rsidRPr="000E76A0">
              <w:rPr>
                <w:b/>
                <w:bCs/>
                <w:sz w:val="16"/>
                <w:szCs w:val="16"/>
              </w:rPr>
              <w:t>Indicator 1.2.1</w:t>
            </w:r>
            <w:r w:rsidRPr="000E76A0">
              <w:rPr>
                <w:sz w:val="16"/>
                <w:szCs w:val="16"/>
              </w:rPr>
              <w:t xml:space="preserve">: Use of </w:t>
            </w:r>
            <w:r w:rsidR="006B1B20" w:rsidRPr="000E76A0">
              <w:rPr>
                <w:sz w:val="16"/>
                <w:szCs w:val="16"/>
              </w:rPr>
              <w:t xml:space="preserve">big </w:t>
            </w:r>
            <w:r w:rsidR="006F461B" w:rsidRPr="000E76A0">
              <w:rPr>
                <w:sz w:val="16"/>
                <w:szCs w:val="16"/>
              </w:rPr>
              <w:t>data to</w:t>
            </w:r>
            <w:r w:rsidR="006B1B20" w:rsidRPr="000E76A0">
              <w:rPr>
                <w:sz w:val="16"/>
                <w:szCs w:val="16"/>
              </w:rPr>
              <w:t xml:space="preserve"> monitor </w:t>
            </w:r>
            <w:r w:rsidRPr="000E76A0">
              <w:rPr>
                <w:sz w:val="16"/>
                <w:szCs w:val="16"/>
              </w:rPr>
              <w:t>KNDP</w:t>
            </w:r>
          </w:p>
          <w:p w14:paraId="0A56D02C" w14:textId="77777777" w:rsidR="002110C5" w:rsidRPr="000E76A0" w:rsidRDefault="002110C5" w:rsidP="007D451C">
            <w:pPr>
              <w:rPr>
                <w:sz w:val="16"/>
                <w:szCs w:val="16"/>
              </w:rPr>
            </w:pPr>
            <w:r w:rsidRPr="000E76A0">
              <w:rPr>
                <w:sz w:val="16"/>
                <w:szCs w:val="16"/>
              </w:rPr>
              <w:t>Baseline: 0</w:t>
            </w:r>
          </w:p>
          <w:p w14:paraId="3F7CE68D" w14:textId="72587C2D" w:rsidR="002110C5" w:rsidRPr="000E76A0" w:rsidRDefault="002110C5" w:rsidP="007D451C">
            <w:pPr>
              <w:rPr>
                <w:sz w:val="16"/>
                <w:szCs w:val="16"/>
              </w:rPr>
            </w:pPr>
            <w:r w:rsidRPr="000E76A0">
              <w:rPr>
                <w:sz w:val="16"/>
                <w:szCs w:val="16"/>
              </w:rPr>
              <w:t xml:space="preserve">Target: </w:t>
            </w:r>
            <w:r w:rsidR="006B1B20" w:rsidRPr="000E76A0">
              <w:rPr>
                <w:sz w:val="16"/>
                <w:szCs w:val="16"/>
              </w:rPr>
              <w:t>2</w:t>
            </w:r>
          </w:p>
          <w:p w14:paraId="35A57C66" w14:textId="77777777" w:rsidR="002110C5" w:rsidRPr="000E76A0" w:rsidRDefault="002110C5" w:rsidP="007D451C">
            <w:pPr>
              <w:rPr>
                <w:sz w:val="16"/>
                <w:szCs w:val="16"/>
              </w:rPr>
            </w:pPr>
            <w:r w:rsidRPr="000E76A0">
              <w:rPr>
                <w:sz w:val="16"/>
                <w:szCs w:val="16"/>
              </w:rPr>
              <w:t>Source: CSB</w:t>
            </w:r>
          </w:p>
          <w:p w14:paraId="63C383EA" w14:textId="77777777" w:rsidR="002110C5" w:rsidRPr="000E76A0" w:rsidRDefault="002110C5" w:rsidP="007D451C">
            <w:pPr>
              <w:rPr>
                <w:sz w:val="16"/>
                <w:szCs w:val="16"/>
              </w:rPr>
            </w:pPr>
          </w:p>
          <w:p w14:paraId="5EA89B05" w14:textId="47A0AD54" w:rsidR="002110C5" w:rsidRPr="000E76A0" w:rsidRDefault="002110C5" w:rsidP="007D451C">
            <w:pPr>
              <w:rPr>
                <w:sz w:val="16"/>
                <w:szCs w:val="16"/>
              </w:rPr>
            </w:pPr>
            <w:r w:rsidRPr="000E76A0">
              <w:rPr>
                <w:b/>
                <w:sz w:val="16"/>
                <w:szCs w:val="16"/>
              </w:rPr>
              <w:t xml:space="preserve">Indicator </w:t>
            </w:r>
            <w:r w:rsidR="006B1B20" w:rsidRPr="000E76A0">
              <w:rPr>
                <w:b/>
                <w:sz w:val="16"/>
                <w:szCs w:val="16"/>
              </w:rPr>
              <w:t>1.2.2</w:t>
            </w:r>
            <w:r w:rsidRPr="000E76A0">
              <w:rPr>
                <w:sz w:val="16"/>
                <w:szCs w:val="16"/>
              </w:rPr>
              <w:t>:  KNDP reporting system in place and improved</w:t>
            </w:r>
          </w:p>
          <w:p w14:paraId="0550080E" w14:textId="77777777" w:rsidR="002110C5" w:rsidRPr="000E76A0" w:rsidRDefault="002110C5" w:rsidP="007D451C">
            <w:pPr>
              <w:rPr>
                <w:sz w:val="16"/>
                <w:szCs w:val="16"/>
              </w:rPr>
            </w:pPr>
            <w:r w:rsidRPr="000E76A0">
              <w:rPr>
                <w:sz w:val="16"/>
                <w:szCs w:val="16"/>
              </w:rPr>
              <w:t>Baseline: No</w:t>
            </w:r>
          </w:p>
          <w:p w14:paraId="6A51B083" w14:textId="77777777" w:rsidR="002110C5" w:rsidRPr="000E76A0" w:rsidRDefault="002110C5" w:rsidP="007D451C">
            <w:pPr>
              <w:rPr>
                <w:sz w:val="16"/>
                <w:szCs w:val="16"/>
              </w:rPr>
            </w:pPr>
            <w:r w:rsidRPr="000E76A0">
              <w:rPr>
                <w:sz w:val="16"/>
                <w:szCs w:val="16"/>
              </w:rPr>
              <w:t>Target: Yes</w:t>
            </w:r>
          </w:p>
          <w:p w14:paraId="5AED90F7" w14:textId="77777777" w:rsidR="002110C5" w:rsidRPr="000E76A0" w:rsidRDefault="002110C5" w:rsidP="007D451C">
            <w:pPr>
              <w:rPr>
                <w:sz w:val="16"/>
                <w:szCs w:val="16"/>
              </w:rPr>
            </w:pPr>
            <w:r w:rsidRPr="000E76A0">
              <w:rPr>
                <w:sz w:val="16"/>
                <w:szCs w:val="16"/>
              </w:rPr>
              <w:t>Source: GSSCPD</w:t>
            </w:r>
          </w:p>
          <w:p w14:paraId="66DF4BD7" w14:textId="77777777" w:rsidR="002110C5" w:rsidRPr="000E76A0" w:rsidRDefault="002110C5" w:rsidP="007D451C">
            <w:pPr>
              <w:rPr>
                <w:sz w:val="16"/>
                <w:szCs w:val="16"/>
              </w:rPr>
            </w:pPr>
          </w:p>
          <w:p w14:paraId="1F6D5777" w14:textId="7D438C7E" w:rsidR="002110C5" w:rsidRPr="000E76A0" w:rsidRDefault="002110C5" w:rsidP="007D451C">
            <w:pPr>
              <w:rPr>
                <w:sz w:val="16"/>
                <w:szCs w:val="16"/>
              </w:rPr>
            </w:pPr>
            <w:r w:rsidRPr="000E76A0">
              <w:rPr>
                <w:b/>
                <w:sz w:val="16"/>
                <w:szCs w:val="16"/>
              </w:rPr>
              <w:t xml:space="preserve">Indicator </w:t>
            </w:r>
            <w:r w:rsidR="006B1B20" w:rsidRPr="000E76A0">
              <w:rPr>
                <w:b/>
                <w:sz w:val="16"/>
                <w:szCs w:val="16"/>
              </w:rPr>
              <w:t>1.2.3</w:t>
            </w:r>
            <w:r w:rsidRPr="000E76A0">
              <w:rPr>
                <w:sz w:val="16"/>
                <w:szCs w:val="16"/>
              </w:rPr>
              <w:t xml:space="preserve">: KNDP </w:t>
            </w:r>
            <w:r w:rsidR="006B1B20" w:rsidRPr="000E76A0">
              <w:rPr>
                <w:sz w:val="16"/>
                <w:szCs w:val="16"/>
              </w:rPr>
              <w:t>c</w:t>
            </w:r>
            <w:r w:rsidRPr="000E76A0">
              <w:rPr>
                <w:sz w:val="16"/>
                <w:szCs w:val="16"/>
              </w:rPr>
              <w:t xml:space="preserve">ommunication strategy in line with </w:t>
            </w:r>
            <w:r w:rsidR="008236A9" w:rsidRPr="000E76A0">
              <w:rPr>
                <w:sz w:val="16"/>
                <w:szCs w:val="16"/>
              </w:rPr>
              <w:t xml:space="preserve">Sustainable Development Goals </w:t>
            </w:r>
            <w:r w:rsidRPr="000E76A0">
              <w:rPr>
                <w:sz w:val="16"/>
                <w:szCs w:val="16"/>
              </w:rPr>
              <w:t>in</w:t>
            </w:r>
            <w:r w:rsidR="00B218F2" w:rsidRPr="000E76A0">
              <w:rPr>
                <w:sz w:val="16"/>
                <w:szCs w:val="16"/>
              </w:rPr>
              <w:t xml:space="preserve"> </w:t>
            </w:r>
            <w:r w:rsidRPr="000E76A0">
              <w:rPr>
                <w:sz w:val="16"/>
                <w:szCs w:val="16"/>
              </w:rPr>
              <w:t>place and implemented.</w:t>
            </w:r>
          </w:p>
          <w:p w14:paraId="40C13A56" w14:textId="77777777" w:rsidR="002110C5" w:rsidRPr="000E76A0" w:rsidRDefault="002110C5" w:rsidP="007D451C">
            <w:pPr>
              <w:rPr>
                <w:sz w:val="16"/>
                <w:szCs w:val="16"/>
              </w:rPr>
            </w:pPr>
            <w:r w:rsidRPr="000E76A0">
              <w:rPr>
                <w:sz w:val="16"/>
                <w:szCs w:val="16"/>
              </w:rPr>
              <w:t>Baseline:0</w:t>
            </w:r>
          </w:p>
          <w:p w14:paraId="4FE7C15E" w14:textId="227CCC52" w:rsidR="002110C5" w:rsidRPr="000E76A0" w:rsidRDefault="002110C5" w:rsidP="007D451C">
            <w:pPr>
              <w:rPr>
                <w:sz w:val="16"/>
                <w:szCs w:val="16"/>
              </w:rPr>
            </w:pPr>
            <w:r w:rsidRPr="000E76A0">
              <w:rPr>
                <w:sz w:val="16"/>
                <w:szCs w:val="16"/>
              </w:rPr>
              <w:t>Target: 1 (in</w:t>
            </w:r>
            <w:r w:rsidR="00B218F2" w:rsidRPr="000E76A0">
              <w:rPr>
                <w:sz w:val="16"/>
                <w:szCs w:val="16"/>
              </w:rPr>
              <w:t xml:space="preserve"> </w:t>
            </w:r>
            <w:r w:rsidRPr="000E76A0">
              <w:rPr>
                <w:sz w:val="16"/>
                <w:szCs w:val="16"/>
              </w:rPr>
              <w:t>place), 2 (Implemented)</w:t>
            </w:r>
          </w:p>
          <w:p w14:paraId="08F221F9" w14:textId="3BFDF2DE" w:rsidR="002110C5" w:rsidRPr="000E76A0" w:rsidRDefault="002110C5" w:rsidP="007D451C">
            <w:pPr>
              <w:rPr>
                <w:sz w:val="16"/>
                <w:szCs w:val="16"/>
              </w:rPr>
            </w:pPr>
            <w:r w:rsidRPr="000E76A0">
              <w:rPr>
                <w:sz w:val="16"/>
                <w:szCs w:val="16"/>
              </w:rPr>
              <w:t>Source</w:t>
            </w:r>
            <w:r w:rsidR="00B218F2" w:rsidRPr="000E76A0">
              <w:rPr>
                <w:sz w:val="16"/>
                <w:szCs w:val="16"/>
              </w:rPr>
              <w:t xml:space="preserve">: GSSCPD </w:t>
            </w:r>
          </w:p>
          <w:p w14:paraId="490BDD51" w14:textId="77777777" w:rsidR="002110C5" w:rsidRPr="000E76A0" w:rsidRDefault="002110C5" w:rsidP="007D451C">
            <w:pPr>
              <w:rPr>
                <w:sz w:val="16"/>
                <w:szCs w:val="16"/>
              </w:rPr>
            </w:pPr>
          </w:p>
          <w:p w14:paraId="67364391" w14:textId="75A3EF65" w:rsidR="002110C5" w:rsidRPr="000E76A0" w:rsidRDefault="002110C5" w:rsidP="007D451C">
            <w:pPr>
              <w:rPr>
                <w:sz w:val="16"/>
                <w:szCs w:val="16"/>
              </w:rPr>
            </w:pPr>
            <w:r w:rsidRPr="000E76A0">
              <w:rPr>
                <w:b/>
                <w:bCs/>
                <w:sz w:val="16"/>
                <w:szCs w:val="16"/>
              </w:rPr>
              <w:t>Indicator 1.2.</w:t>
            </w:r>
            <w:r w:rsidR="005A4285" w:rsidRPr="000E76A0">
              <w:rPr>
                <w:b/>
                <w:bCs/>
                <w:sz w:val="16"/>
                <w:szCs w:val="16"/>
              </w:rPr>
              <w:t>4</w:t>
            </w:r>
            <w:r w:rsidRPr="000E76A0">
              <w:rPr>
                <w:b/>
                <w:bCs/>
                <w:sz w:val="16"/>
                <w:szCs w:val="16"/>
              </w:rPr>
              <w:t>:</w:t>
            </w:r>
            <w:r w:rsidRPr="000E76A0">
              <w:rPr>
                <w:sz w:val="16"/>
                <w:szCs w:val="16"/>
              </w:rPr>
              <w:t xml:space="preserve"> Number of </w:t>
            </w:r>
            <w:r w:rsidR="005A4285" w:rsidRPr="000E76A0">
              <w:rPr>
                <w:sz w:val="16"/>
                <w:szCs w:val="16"/>
              </w:rPr>
              <w:t xml:space="preserve">KNDP policies and strategies </w:t>
            </w:r>
            <w:r w:rsidRPr="000E76A0">
              <w:rPr>
                <w:sz w:val="16"/>
                <w:szCs w:val="16"/>
              </w:rPr>
              <w:t xml:space="preserve">implemented with UNDP support. </w:t>
            </w:r>
          </w:p>
          <w:p w14:paraId="27CAF508" w14:textId="73892160" w:rsidR="002110C5" w:rsidRPr="000E76A0" w:rsidRDefault="002110C5" w:rsidP="007D451C">
            <w:pPr>
              <w:rPr>
                <w:sz w:val="16"/>
                <w:szCs w:val="16"/>
              </w:rPr>
            </w:pPr>
            <w:r w:rsidRPr="000E76A0">
              <w:rPr>
                <w:sz w:val="16"/>
                <w:szCs w:val="16"/>
              </w:rPr>
              <w:t xml:space="preserve">Baseline: </w:t>
            </w:r>
            <w:r w:rsidR="005A4285" w:rsidRPr="000E76A0">
              <w:rPr>
                <w:sz w:val="16"/>
                <w:szCs w:val="16"/>
              </w:rPr>
              <w:t>0</w:t>
            </w:r>
          </w:p>
          <w:p w14:paraId="30270834" w14:textId="77777777" w:rsidR="002110C5" w:rsidRPr="000E76A0" w:rsidRDefault="002110C5" w:rsidP="007D451C">
            <w:pPr>
              <w:rPr>
                <w:sz w:val="16"/>
                <w:szCs w:val="16"/>
              </w:rPr>
            </w:pPr>
            <w:r w:rsidRPr="000E76A0">
              <w:rPr>
                <w:sz w:val="16"/>
                <w:szCs w:val="16"/>
              </w:rPr>
              <w:t>Target: 10</w:t>
            </w:r>
          </w:p>
          <w:p w14:paraId="647273A0" w14:textId="20E73E3A" w:rsidR="002110C5" w:rsidRPr="000E76A0" w:rsidRDefault="002110C5" w:rsidP="007D451C">
            <w:pPr>
              <w:rPr>
                <w:sz w:val="16"/>
                <w:szCs w:val="16"/>
              </w:rPr>
            </w:pPr>
            <w:r w:rsidRPr="000E76A0">
              <w:rPr>
                <w:sz w:val="16"/>
                <w:szCs w:val="16"/>
              </w:rPr>
              <w:t xml:space="preserve">Source: </w:t>
            </w:r>
            <w:r w:rsidR="00B218F2" w:rsidRPr="000E76A0">
              <w:rPr>
                <w:sz w:val="16"/>
                <w:szCs w:val="16"/>
              </w:rPr>
              <w:t xml:space="preserve">GSSCPD and UNDP </w:t>
            </w:r>
          </w:p>
          <w:p w14:paraId="3BA01F54" w14:textId="77777777" w:rsidR="002110C5" w:rsidRPr="000E76A0" w:rsidRDefault="002110C5" w:rsidP="007D451C">
            <w:pPr>
              <w:rPr>
                <w:sz w:val="16"/>
                <w:szCs w:val="16"/>
              </w:rPr>
            </w:pPr>
          </w:p>
          <w:p w14:paraId="08DE9BC2" w14:textId="2371B270" w:rsidR="002110C5" w:rsidRPr="000E76A0" w:rsidRDefault="002110C5" w:rsidP="007D451C">
            <w:pPr>
              <w:rPr>
                <w:sz w:val="16"/>
                <w:szCs w:val="16"/>
              </w:rPr>
            </w:pPr>
            <w:r w:rsidRPr="000E76A0">
              <w:rPr>
                <w:b/>
                <w:bCs/>
                <w:sz w:val="16"/>
                <w:szCs w:val="16"/>
              </w:rPr>
              <w:t>Indicator 1.2.</w:t>
            </w:r>
            <w:r w:rsidR="005A4285" w:rsidRPr="000E76A0">
              <w:rPr>
                <w:b/>
                <w:bCs/>
                <w:sz w:val="16"/>
                <w:szCs w:val="16"/>
              </w:rPr>
              <w:t>5</w:t>
            </w:r>
            <w:r w:rsidRPr="000E76A0">
              <w:rPr>
                <w:sz w:val="16"/>
                <w:szCs w:val="16"/>
              </w:rPr>
              <w:t xml:space="preserve">: Number of reports developed that track </w:t>
            </w:r>
            <w:r w:rsidR="008236A9" w:rsidRPr="000E76A0">
              <w:rPr>
                <w:sz w:val="16"/>
                <w:szCs w:val="16"/>
              </w:rPr>
              <w:t>Sustainable Development Goal</w:t>
            </w:r>
            <w:r w:rsidRPr="000E76A0">
              <w:rPr>
                <w:sz w:val="16"/>
                <w:szCs w:val="16"/>
              </w:rPr>
              <w:t xml:space="preserve"> </w:t>
            </w:r>
            <w:r w:rsidR="006F461B" w:rsidRPr="000E76A0">
              <w:rPr>
                <w:sz w:val="16"/>
                <w:szCs w:val="16"/>
              </w:rPr>
              <w:t>achievements</w:t>
            </w:r>
          </w:p>
          <w:p w14:paraId="5F0A0477" w14:textId="77777777" w:rsidR="002110C5" w:rsidRPr="000E76A0" w:rsidRDefault="002110C5" w:rsidP="007D451C">
            <w:pPr>
              <w:rPr>
                <w:sz w:val="16"/>
                <w:szCs w:val="16"/>
              </w:rPr>
            </w:pPr>
            <w:r w:rsidRPr="000E76A0">
              <w:rPr>
                <w:sz w:val="16"/>
                <w:szCs w:val="16"/>
              </w:rPr>
              <w:t>Baseline: 2</w:t>
            </w:r>
          </w:p>
          <w:p w14:paraId="1E5A42C4" w14:textId="77777777" w:rsidR="002110C5" w:rsidRPr="000E76A0" w:rsidRDefault="002110C5" w:rsidP="007D451C">
            <w:pPr>
              <w:rPr>
                <w:sz w:val="16"/>
                <w:szCs w:val="16"/>
              </w:rPr>
            </w:pPr>
            <w:r w:rsidRPr="000E76A0">
              <w:rPr>
                <w:sz w:val="16"/>
                <w:szCs w:val="16"/>
              </w:rPr>
              <w:t>Target: 4</w:t>
            </w:r>
          </w:p>
          <w:p w14:paraId="07C02483" w14:textId="58A15118" w:rsidR="002110C5" w:rsidRPr="000E76A0" w:rsidRDefault="002110C5" w:rsidP="007D451C">
            <w:pPr>
              <w:rPr>
                <w:sz w:val="16"/>
                <w:szCs w:val="16"/>
              </w:rPr>
            </w:pPr>
            <w:r w:rsidRPr="000E76A0">
              <w:rPr>
                <w:sz w:val="16"/>
                <w:szCs w:val="16"/>
              </w:rPr>
              <w:t>Source: National Observatory for Sustainable Development</w:t>
            </w:r>
            <w:r w:rsidR="005A4285" w:rsidRPr="000E76A0">
              <w:rPr>
                <w:sz w:val="16"/>
                <w:szCs w:val="16"/>
              </w:rPr>
              <w:t xml:space="preserve"> </w:t>
            </w:r>
          </w:p>
          <w:p w14:paraId="5ECF4478" w14:textId="77777777" w:rsidR="002110C5" w:rsidRPr="000E76A0" w:rsidRDefault="002110C5" w:rsidP="007D451C">
            <w:pPr>
              <w:rPr>
                <w:b/>
                <w:bCs/>
              </w:rPr>
            </w:pPr>
          </w:p>
          <w:p w14:paraId="508294F9" w14:textId="4C59E434" w:rsidR="002110C5" w:rsidRPr="000E76A0" w:rsidRDefault="002110C5" w:rsidP="007D451C">
            <w:pPr>
              <w:rPr>
                <w:b/>
                <w:bCs/>
                <w:sz w:val="16"/>
                <w:szCs w:val="16"/>
              </w:rPr>
            </w:pPr>
            <w:r w:rsidRPr="000E76A0">
              <w:rPr>
                <w:b/>
                <w:bCs/>
                <w:sz w:val="16"/>
                <w:szCs w:val="16"/>
              </w:rPr>
              <w:t>Output 1.3: Government, CSOs</w:t>
            </w:r>
            <w:r w:rsidR="00E07CA7" w:rsidRPr="000E76A0">
              <w:rPr>
                <w:b/>
                <w:bCs/>
                <w:sz w:val="16"/>
                <w:szCs w:val="16"/>
              </w:rPr>
              <w:t xml:space="preserve"> and</w:t>
            </w:r>
            <w:r w:rsidRPr="000E76A0">
              <w:rPr>
                <w:b/>
                <w:bCs/>
                <w:sz w:val="16"/>
                <w:szCs w:val="16"/>
              </w:rPr>
              <w:t xml:space="preserve"> private sector entities have improved capacities to enable sustainable development. </w:t>
            </w:r>
          </w:p>
          <w:p w14:paraId="3C99E515" w14:textId="77777777" w:rsidR="002110C5" w:rsidRPr="000E76A0" w:rsidRDefault="002110C5" w:rsidP="007D451C">
            <w:pPr>
              <w:rPr>
                <w:sz w:val="16"/>
                <w:szCs w:val="16"/>
              </w:rPr>
            </w:pPr>
          </w:p>
          <w:p w14:paraId="76F61B2F" w14:textId="6C518D8A" w:rsidR="002110C5" w:rsidRPr="000E76A0" w:rsidRDefault="002110C5" w:rsidP="007D451C">
            <w:pPr>
              <w:rPr>
                <w:sz w:val="16"/>
                <w:szCs w:val="16"/>
              </w:rPr>
            </w:pPr>
            <w:r w:rsidRPr="000E76A0">
              <w:rPr>
                <w:b/>
                <w:bCs/>
                <w:sz w:val="16"/>
                <w:szCs w:val="16"/>
              </w:rPr>
              <w:t xml:space="preserve">Indicator </w:t>
            </w:r>
            <w:r w:rsidR="005A4285" w:rsidRPr="000E76A0">
              <w:rPr>
                <w:b/>
                <w:bCs/>
                <w:sz w:val="16"/>
                <w:szCs w:val="16"/>
              </w:rPr>
              <w:t>1.3.1</w:t>
            </w:r>
            <w:r w:rsidRPr="000E76A0">
              <w:rPr>
                <w:b/>
                <w:bCs/>
                <w:sz w:val="16"/>
                <w:szCs w:val="16"/>
              </w:rPr>
              <w:t>:</w:t>
            </w:r>
            <w:r w:rsidRPr="000E76A0">
              <w:rPr>
                <w:sz w:val="16"/>
                <w:szCs w:val="16"/>
              </w:rPr>
              <w:t xml:space="preserve"> number of entities with </w:t>
            </w:r>
            <w:r w:rsidR="007E2CB3" w:rsidRPr="000E76A0">
              <w:rPr>
                <w:sz w:val="16"/>
                <w:szCs w:val="16"/>
              </w:rPr>
              <w:t xml:space="preserve">performance </w:t>
            </w:r>
            <w:r w:rsidRPr="000E76A0">
              <w:rPr>
                <w:sz w:val="16"/>
                <w:szCs w:val="16"/>
              </w:rPr>
              <w:t xml:space="preserve">reviews and </w:t>
            </w:r>
            <w:r w:rsidR="00C072BF" w:rsidRPr="000E76A0">
              <w:rPr>
                <w:sz w:val="16"/>
                <w:szCs w:val="16"/>
              </w:rPr>
              <w:lastRenderedPageBreak/>
              <w:t>improved institutional</w:t>
            </w:r>
            <w:r w:rsidRPr="000E76A0">
              <w:rPr>
                <w:sz w:val="16"/>
                <w:szCs w:val="16"/>
              </w:rPr>
              <w:t xml:space="preserve"> governance structure </w:t>
            </w:r>
          </w:p>
          <w:p w14:paraId="5A7DE1FE" w14:textId="77777777" w:rsidR="002110C5" w:rsidRPr="000E76A0" w:rsidRDefault="002110C5" w:rsidP="007D451C">
            <w:pPr>
              <w:rPr>
                <w:b/>
                <w:bCs/>
                <w:sz w:val="16"/>
                <w:szCs w:val="16"/>
              </w:rPr>
            </w:pPr>
            <w:r w:rsidRPr="000E76A0">
              <w:rPr>
                <w:b/>
                <w:bCs/>
                <w:sz w:val="16"/>
                <w:szCs w:val="16"/>
              </w:rPr>
              <w:t>Baseline: 0</w:t>
            </w:r>
          </w:p>
          <w:p w14:paraId="2A53BA4C" w14:textId="77777777" w:rsidR="002110C5" w:rsidRPr="000E76A0" w:rsidRDefault="002110C5" w:rsidP="007D451C">
            <w:pPr>
              <w:rPr>
                <w:b/>
                <w:bCs/>
                <w:sz w:val="16"/>
                <w:szCs w:val="16"/>
              </w:rPr>
            </w:pPr>
            <w:r w:rsidRPr="000E76A0">
              <w:rPr>
                <w:b/>
                <w:bCs/>
                <w:sz w:val="16"/>
                <w:szCs w:val="16"/>
              </w:rPr>
              <w:t>Target: 10</w:t>
            </w:r>
          </w:p>
          <w:p w14:paraId="691EB419" w14:textId="10FD15A5" w:rsidR="002110C5" w:rsidRPr="000E76A0" w:rsidRDefault="002110C5" w:rsidP="007D451C">
            <w:pPr>
              <w:rPr>
                <w:b/>
                <w:bCs/>
                <w:sz w:val="16"/>
                <w:szCs w:val="16"/>
              </w:rPr>
            </w:pPr>
            <w:r w:rsidRPr="000E76A0">
              <w:rPr>
                <w:b/>
                <w:bCs/>
                <w:sz w:val="16"/>
                <w:szCs w:val="16"/>
              </w:rPr>
              <w:t>Source:</w:t>
            </w:r>
            <w:r w:rsidR="00B218F2" w:rsidRPr="000E76A0">
              <w:rPr>
                <w:b/>
                <w:bCs/>
                <w:sz w:val="16"/>
                <w:szCs w:val="16"/>
              </w:rPr>
              <w:t xml:space="preserve"> GSSCPD </w:t>
            </w:r>
          </w:p>
          <w:p w14:paraId="59F00FA7" w14:textId="77777777" w:rsidR="002110C5" w:rsidRPr="000E76A0" w:rsidRDefault="002110C5" w:rsidP="007D451C">
            <w:pPr>
              <w:rPr>
                <w:sz w:val="16"/>
                <w:szCs w:val="16"/>
              </w:rPr>
            </w:pPr>
          </w:p>
          <w:p w14:paraId="69955B13" w14:textId="509FB6DF" w:rsidR="002110C5" w:rsidRPr="000E76A0" w:rsidRDefault="002110C5" w:rsidP="007D451C">
            <w:pPr>
              <w:rPr>
                <w:sz w:val="16"/>
                <w:szCs w:val="16"/>
              </w:rPr>
            </w:pPr>
            <w:r w:rsidRPr="000E76A0">
              <w:rPr>
                <w:b/>
                <w:sz w:val="16"/>
                <w:szCs w:val="16"/>
              </w:rPr>
              <w:t xml:space="preserve">Indicator </w:t>
            </w:r>
            <w:r w:rsidR="005A4285" w:rsidRPr="000E76A0">
              <w:rPr>
                <w:b/>
                <w:sz w:val="16"/>
                <w:szCs w:val="16"/>
              </w:rPr>
              <w:t>1.3.2</w:t>
            </w:r>
            <w:r w:rsidRPr="000E76A0">
              <w:rPr>
                <w:sz w:val="16"/>
                <w:szCs w:val="16"/>
              </w:rPr>
              <w:t>: Functional GSSCPD Technical Support Office in place.</w:t>
            </w:r>
          </w:p>
          <w:p w14:paraId="21D3C6D7" w14:textId="77777777" w:rsidR="002110C5" w:rsidRPr="000E76A0" w:rsidRDefault="002110C5" w:rsidP="007D451C">
            <w:pPr>
              <w:rPr>
                <w:sz w:val="16"/>
                <w:szCs w:val="16"/>
              </w:rPr>
            </w:pPr>
            <w:r w:rsidRPr="000E76A0">
              <w:rPr>
                <w:sz w:val="16"/>
                <w:szCs w:val="16"/>
              </w:rPr>
              <w:t>Baseline: No</w:t>
            </w:r>
          </w:p>
          <w:p w14:paraId="547FDEE6" w14:textId="6755C278" w:rsidR="002110C5" w:rsidRPr="000E76A0" w:rsidRDefault="002110C5" w:rsidP="007D451C">
            <w:pPr>
              <w:rPr>
                <w:sz w:val="16"/>
                <w:szCs w:val="16"/>
              </w:rPr>
            </w:pPr>
            <w:r w:rsidRPr="000E76A0">
              <w:rPr>
                <w:sz w:val="16"/>
                <w:szCs w:val="16"/>
              </w:rPr>
              <w:t>Target: Yes</w:t>
            </w:r>
            <w:r w:rsidR="005A4285" w:rsidRPr="000E76A0">
              <w:rPr>
                <w:sz w:val="16"/>
                <w:szCs w:val="16"/>
              </w:rPr>
              <w:t xml:space="preserve"> (2020)</w:t>
            </w:r>
          </w:p>
          <w:p w14:paraId="668BC219" w14:textId="1A3757EA" w:rsidR="002110C5" w:rsidRPr="000E76A0" w:rsidRDefault="002110C5" w:rsidP="007D451C">
            <w:pPr>
              <w:rPr>
                <w:sz w:val="16"/>
                <w:szCs w:val="16"/>
              </w:rPr>
            </w:pPr>
            <w:r w:rsidRPr="000E76A0">
              <w:rPr>
                <w:sz w:val="16"/>
                <w:szCs w:val="16"/>
              </w:rPr>
              <w:t>Source: GSSCPD</w:t>
            </w:r>
          </w:p>
          <w:p w14:paraId="1AA221E9" w14:textId="77777777" w:rsidR="002110C5" w:rsidRPr="000E76A0" w:rsidRDefault="002110C5" w:rsidP="007D451C">
            <w:pPr>
              <w:rPr>
                <w:sz w:val="16"/>
                <w:szCs w:val="16"/>
              </w:rPr>
            </w:pPr>
          </w:p>
          <w:p w14:paraId="58FB9F8A" w14:textId="5BD7457B" w:rsidR="002110C5" w:rsidRPr="000E76A0" w:rsidRDefault="002110C5" w:rsidP="007D451C">
            <w:pPr>
              <w:rPr>
                <w:sz w:val="16"/>
                <w:szCs w:val="16"/>
              </w:rPr>
            </w:pPr>
            <w:r w:rsidRPr="000E76A0">
              <w:rPr>
                <w:b/>
                <w:sz w:val="16"/>
                <w:szCs w:val="16"/>
              </w:rPr>
              <w:t xml:space="preserve">Indicator </w:t>
            </w:r>
            <w:r w:rsidR="005A4285" w:rsidRPr="000E76A0">
              <w:rPr>
                <w:b/>
                <w:sz w:val="16"/>
                <w:szCs w:val="16"/>
              </w:rPr>
              <w:t>1.3.3</w:t>
            </w:r>
            <w:r w:rsidRPr="000E76A0">
              <w:rPr>
                <w:sz w:val="16"/>
                <w:szCs w:val="16"/>
              </w:rPr>
              <w:t xml:space="preserve">: Number of people with disabilities benefiting from UNDP-private sector partnerships </w:t>
            </w:r>
          </w:p>
          <w:p w14:paraId="48245E4E" w14:textId="77777777" w:rsidR="002110C5" w:rsidRPr="000E76A0" w:rsidRDefault="002110C5" w:rsidP="007D451C">
            <w:pPr>
              <w:rPr>
                <w:sz w:val="16"/>
                <w:szCs w:val="16"/>
              </w:rPr>
            </w:pPr>
            <w:r w:rsidRPr="000E76A0">
              <w:rPr>
                <w:sz w:val="16"/>
                <w:szCs w:val="16"/>
              </w:rPr>
              <w:t>Baseline: 0</w:t>
            </w:r>
          </w:p>
          <w:p w14:paraId="3642A2C4" w14:textId="77777777" w:rsidR="002110C5" w:rsidRPr="000E76A0" w:rsidRDefault="002110C5" w:rsidP="007D451C">
            <w:pPr>
              <w:rPr>
                <w:sz w:val="16"/>
                <w:szCs w:val="16"/>
              </w:rPr>
            </w:pPr>
            <w:r w:rsidRPr="000E76A0">
              <w:rPr>
                <w:sz w:val="16"/>
                <w:szCs w:val="16"/>
              </w:rPr>
              <w:t>Target: 250</w:t>
            </w:r>
          </w:p>
          <w:p w14:paraId="356AF72B" w14:textId="77777777" w:rsidR="002110C5" w:rsidRPr="000E76A0" w:rsidRDefault="002110C5" w:rsidP="007D451C">
            <w:pPr>
              <w:rPr>
                <w:sz w:val="16"/>
                <w:szCs w:val="16"/>
              </w:rPr>
            </w:pPr>
            <w:r w:rsidRPr="000E76A0">
              <w:rPr>
                <w:sz w:val="16"/>
                <w:szCs w:val="16"/>
              </w:rPr>
              <w:t xml:space="preserve">Source: </w:t>
            </w:r>
          </w:p>
          <w:p w14:paraId="63990EC6" w14:textId="77777777" w:rsidR="002110C5" w:rsidRPr="000E76A0" w:rsidRDefault="002110C5" w:rsidP="007D451C">
            <w:pPr>
              <w:rPr>
                <w:sz w:val="16"/>
                <w:szCs w:val="16"/>
              </w:rPr>
            </w:pPr>
          </w:p>
          <w:p w14:paraId="01D8C030" w14:textId="6C9174DE" w:rsidR="002110C5" w:rsidRPr="000E76A0" w:rsidRDefault="002110C5" w:rsidP="007D451C">
            <w:pPr>
              <w:rPr>
                <w:sz w:val="16"/>
                <w:szCs w:val="16"/>
              </w:rPr>
            </w:pPr>
            <w:r w:rsidRPr="000E76A0">
              <w:rPr>
                <w:b/>
                <w:sz w:val="16"/>
                <w:szCs w:val="16"/>
              </w:rPr>
              <w:t xml:space="preserve">Indicator </w:t>
            </w:r>
            <w:r w:rsidR="005A4285" w:rsidRPr="000E76A0">
              <w:rPr>
                <w:b/>
                <w:sz w:val="16"/>
                <w:szCs w:val="16"/>
              </w:rPr>
              <w:t>1.3.4</w:t>
            </w:r>
            <w:r w:rsidRPr="000E76A0">
              <w:rPr>
                <w:sz w:val="16"/>
                <w:szCs w:val="16"/>
              </w:rPr>
              <w:t xml:space="preserve">: Number of innovation initiatives for </w:t>
            </w:r>
            <w:r w:rsidR="008236A9" w:rsidRPr="000E76A0">
              <w:rPr>
                <w:sz w:val="16"/>
                <w:szCs w:val="16"/>
              </w:rPr>
              <w:t>Sustainable Development Goal</w:t>
            </w:r>
            <w:r w:rsidRPr="000E76A0">
              <w:rPr>
                <w:sz w:val="16"/>
                <w:szCs w:val="16"/>
              </w:rPr>
              <w:t>s jointly implemented with the private sector</w:t>
            </w:r>
            <w:r w:rsidR="005A4285" w:rsidRPr="000E76A0">
              <w:rPr>
                <w:sz w:val="16"/>
                <w:szCs w:val="16"/>
              </w:rPr>
              <w:t xml:space="preserve"> and KFAS</w:t>
            </w:r>
            <w:r w:rsidRPr="000E76A0">
              <w:rPr>
                <w:sz w:val="16"/>
                <w:szCs w:val="16"/>
              </w:rPr>
              <w:t xml:space="preserve"> </w:t>
            </w:r>
          </w:p>
          <w:p w14:paraId="7351A762" w14:textId="77777777" w:rsidR="002110C5" w:rsidRPr="000E76A0" w:rsidRDefault="002110C5" w:rsidP="007D451C">
            <w:pPr>
              <w:rPr>
                <w:sz w:val="16"/>
                <w:szCs w:val="16"/>
              </w:rPr>
            </w:pPr>
            <w:r w:rsidRPr="000E76A0">
              <w:rPr>
                <w:sz w:val="16"/>
                <w:szCs w:val="16"/>
              </w:rPr>
              <w:t>Baseline: 0</w:t>
            </w:r>
          </w:p>
          <w:p w14:paraId="1E8F526B" w14:textId="77777777" w:rsidR="002110C5" w:rsidRPr="000E76A0" w:rsidRDefault="002110C5" w:rsidP="007D451C">
            <w:pPr>
              <w:rPr>
                <w:sz w:val="16"/>
                <w:szCs w:val="16"/>
              </w:rPr>
            </w:pPr>
            <w:r w:rsidRPr="000E76A0">
              <w:rPr>
                <w:sz w:val="16"/>
                <w:szCs w:val="16"/>
              </w:rPr>
              <w:t>Target: 8</w:t>
            </w:r>
          </w:p>
          <w:p w14:paraId="1EA2F9D2" w14:textId="568B27BB" w:rsidR="002110C5" w:rsidRPr="000E76A0" w:rsidRDefault="002110C5" w:rsidP="007D451C">
            <w:pPr>
              <w:rPr>
                <w:sz w:val="16"/>
                <w:szCs w:val="16"/>
              </w:rPr>
            </w:pPr>
            <w:r w:rsidRPr="000E76A0">
              <w:rPr>
                <w:sz w:val="16"/>
                <w:szCs w:val="16"/>
              </w:rPr>
              <w:t>Source: GSSCPD</w:t>
            </w:r>
          </w:p>
          <w:p w14:paraId="6D56C2A1" w14:textId="77777777" w:rsidR="002110C5" w:rsidRPr="000E76A0" w:rsidRDefault="002110C5" w:rsidP="007D451C">
            <w:pPr>
              <w:rPr>
                <w:sz w:val="16"/>
                <w:szCs w:val="16"/>
              </w:rPr>
            </w:pPr>
          </w:p>
          <w:p w14:paraId="3475966C" w14:textId="0FAFEADC" w:rsidR="002110C5" w:rsidRPr="000E76A0" w:rsidRDefault="002110C5" w:rsidP="007D451C">
            <w:pPr>
              <w:rPr>
                <w:sz w:val="16"/>
                <w:szCs w:val="16"/>
              </w:rPr>
            </w:pPr>
            <w:r w:rsidRPr="000E76A0">
              <w:rPr>
                <w:b/>
                <w:sz w:val="16"/>
                <w:szCs w:val="16"/>
              </w:rPr>
              <w:t xml:space="preserve">Output </w:t>
            </w:r>
            <w:r w:rsidR="00801648" w:rsidRPr="000E76A0">
              <w:rPr>
                <w:b/>
                <w:sz w:val="16"/>
                <w:szCs w:val="16"/>
              </w:rPr>
              <w:t>1.4</w:t>
            </w:r>
            <w:r w:rsidRPr="000E76A0">
              <w:rPr>
                <w:b/>
                <w:sz w:val="16"/>
                <w:szCs w:val="16"/>
              </w:rPr>
              <w:t xml:space="preserve">:  Public institutions’ </w:t>
            </w:r>
            <w:r w:rsidR="00D53BBB" w:rsidRPr="000E76A0">
              <w:rPr>
                <w:b/>
                <w:sz w:val="16"/>
                <w:szCs w:val="16"/>
              </w:rPr>
              <w:t>capacities strengthened</w:t>
            </w:r>
            <w:r w:rsidRPr="000E76A0">
              <w:rPr>
                <w:b/>
                <w:sz w:val="16"/>
                <w:szCs w:val="16"/>
              </w:rPr>
              <w:t xml:space="preserve"> for improved talent management and performance measurement</w:t>
            </w:r>
            <w:r w:rsidRPr="000E76A0">
              <w:rPr>
                <w:sz w:val="16"/>
                <w:szCs w:val="16"/>
              </w:rPr>
              <w:t xml:space="preserve">. </w:t>
            </w:r>
          </w:p>
          <w:p w14:paraId="1E18717F" w14:textId="77777777" w:rsidR="002110C5" w:rsidRPr="000E76A0" w:rsidRDefault="002110C5" w:rsidP="007D451C">
            <w:pPr>
              <w:rPr>
                <w:sz w:val="16"/>
                <w:szCs w:val="16"/>
              </w:rPr>
            </w:pPr>
          </w:p>
          <w:p w14:paraId="6C21B08A" w14:textId="77777777" w:rsidR="002110C5" w:rsidRPr="000E76A0" w:rsidRDefault="002110C5" w:rsidP="007D451C">
            <w:pPr>
              <w:rPr>
                <w:sz w:val="16"/>
                <w:szCs w:val="16"/>
              </w:rPr>
            </w:pPr>
          </w:p>
          <w:p w14:paraId="637E7C9E" w14:textId="5290D164" w:rsidR="002110C5" w:rsidRPr="000E76A0" w:rsidRDefault="002110C5" w:rsidP="007D451C">
            <w:pPr>
              <w:rPr>
                <w:sz w:val="16"/>
                <w:szCs w:val="16"/>
              </w:rPr>
            </w:pPr>
            <w:r w:rsidRPr="000E76A0">
              <w:rPr>
                <w:b/>
                <w:sz w:val="16"/>
                <w:szCs w:val="16"/>
              </w:rPr>
              <w:t>Indicator</w:t>
            </w:r>
            <w:r w:rsidR="00801648" w:rsidRPr="000E76A0">
              <w:rPr>
                <w:b/>
                <w:sz w:val="16"/>
                <w:szCs w:val="16"/>
              </w:rPr>
              <w:t xml:space="preserve"> 1.4.1</w:t>
            </w:r>
            <w:r w:rsidRPr="000E76A0">
              <w:rPr>
                <w:sz w:val="16"/>
                <w:szCs w:val="16"/>
              </w:rPr>
              <w:t xml:space="preserve">: Government </w:t>
            </w:r>
            <w:r w:rsidR="00B218F2" w:rsidRPr="000E76A0">
              <w:rPr>
                <w:sz w:val="16"/>
                <w:szCs w:val="16"/>
              </w:rPr>
              <w:t>p</w:t>
            </w:r>
            <w:r w:rsidRPr="000E76A0">
              <w:rPr>
                <w:sz w:val="16"/>
                <w:szCs w:val="16"/>
              </w:rPr>
              <w:t xml:space="preserve">erformance management strategy in place </w:t>
            </w:r>
          </w:p>
          <w:p w14:paraId="067F9530" w14:textId="77777777" w:rsidR="002110C5" w:rsidRPr="000E76A0" w:rsidRDefault="002110C5" w:rsidP="007D451C">
            <w:pPr>
              <w:rPr>
                <w:sz w:val="16"/>
                <w:szCs w:val="16"/>
              </w:rPr>
            </w:pPr>
            <w:r w:rsidRPr="000E76A0">
              <w:rPr>
                <w:sz w:val="16"/>
                <w:szCs w:val="16"/>
              </w:rPr>
              <w:t>Baseline: No</w:t>
            </w:r>
          </w:p>
          <w:p w14:paraId="678B1978" w14:textId="77777777" w:rsidR="002110C5" w:rsidRPr="000E76A0" w:rsidRDefault="002110C5" w:rsidP="007D451C">
            <w:pPr>
              <w:rPr>
                <w:sz w:val="16"/>
                <w:szCs w:val="16"/>
              </w:rPr>
            </w:pPr>
            <w:r w:rsidRPr="000E76A0">
              <w:rPr>
                <w:sz w:val="16"/>
                <w:szCs w:val="16"/>
              </w:rPr>
              <w:t>Target: Yes</w:t>
            </w:r>
          </w:p>
          <w:p w14:paraId="5E5CF1ED" w14:textId="6AD1B9FC" w:rsidR="002110C5" w:rsidRPr="000E76A0" w:rsidRDefault="00D53BBB" w:rsidP="007D451C">
            <w:pPr>
              <w:rPr>
                <w:sz w:val="16"/>
                <w:szCs w:val="16"/>
              </w:rPr>
            </w:pPr>
            <w:r w:rsidRPr="000E76A0">
              <w:rPr>
                <w:sz w:val="16"/>
                <w:szCs w:val="16"/>
              </w:rPr>
              <w:t>Source: UNDP</w:t>
            </w:r>
          </w:p>
          <w:p w14:paraId="2EB9E911" w14:textId="77777777" w:rsidR="002110C5" w:rsidRPr="000E76A0" w:rsidRDefault="002110C5" w:rsidP="007D451C">
            <w:pPr>
              <w:rPr>
                <w:sz w:val="16"/>
                <w:szCs w:val="16"/>
              </w:rPr>
            </w:pPr>
          </w:p>
          <w:p w14:paraId="2D2EEE18" w14:textId="41ED598A" w:rsidR="002110C5" w:rsidRPr="000E76A0" w:rsidRDefault="002110C5" w:rsidP="007D451C">
            <w:pPr>
              <w:rPr>
                <w:sz w:val="16"/>
                <w:szCs w:val="16"/>
              </w:rPr>
            </w:pPr>
            <w:r w:rsidRPr="000E76A0">
              <w:rPr>
                <w:b/>
                <w:sz w:val="16"/>
                <w:szCs w:val="16"/>
              </w:rPr>
              <w:t>Indicator</w:t>
            </w:r>
            <w:r w:rsidR="00801648" w:rsidRPr="000E76A0">
              <w:rPr>
                <w:b/>
                <w:sz w:val="16"/>
                <w:szCs w:val="16"/>
              </w:rPr>
              <w:t xml:space="preserve"> 1.4.2</w:t>
            </w:r>
            <w:r w:rsidRPr="000E76A0">
              <w:rPr>
                <w:b/>
                <w:sz w:val="16"/>
                <w:szCs w:val="16"/>
              </w:rPr>
              <w:t>:</w:t>
            </w:r>
            <w:r w:rsidRPr="000E76A0">
              <w:rPr>
                <w:sz w:val="16"/>
                <w:szCs w:val="16"/>
              </w:rPr>
              <w:t xml:space="preserve"> National Integrity and Anti</w:t>
            </w:r>
            <w:r w:rsidR="00AA61D5" w:rsidRPr="000E76A0">
              <w:rPr>
                <w:sz w:val="16"/>
                <w:szCs w:val="16"/>
              </w:rPr>
              <w:t>-corruption</w:t>
            </w:r>
            <w:r w:rsidRPr="000E76A0">
              <w:rPr>
                <w:sz w:val="16"/>
                <w:szCs w:val="16"/>
              </w:rPr>
              <w:t xml:space="preserve"> Strategy implemented.</w:t>
            </w:r>
          </w:p>
          <w:p w14:paraId="7C70DC0B" w14:textId="77777777" w:rsidR="002110C5" w:rsidRPr="000E76A0" w:rsidRDefault="002110C5" w:rsidP="007D451C">
            <w:pPr>
              <w:rPr>
                <w:sz w:val="16"/>
                <w:szCs w:val="16"/>
              </w:rPr>
            </w:pPr>
            <w:r w:rsidRPr="000E76A0">
              <w:rPr>
                <w:sz w:val="16"/>
                <w:szCs w:val="16"/>
              </w:rPr>
              <w:t xml:space="preserve">Baseline: No </w:t>
            </w:r>
          </w:p>
          <w:p w14:paraId="10B67D39" w14:textId="77777777" w:rsidR="002110C5" w:rsidRPr="000E76A0" w:rsidRDefault="002110C5" w:rsidP="007D451C">
            <w:pPr>
              <w:rPr>
                <w:sz w:val="16"/>
                <w:szCs w:val="16"/>
              </w:rPr>
            </w:pPr>
            <w:r w:rsidRPr="000E76A0">
              <w:rPr>
                <w:sz w:val="16"/>
                <w:szCs w:val="16"/>
              </w:rPr>
              <w:t>Target: Yes</w:t>
            </w:r>
          </w:p>
          <w:p w14:paraId="43EEA47C" w14:textId="40D6E4F3" w:rsidR="002110C5" w:rsidRPr="000E76A0" w:rsidRDefault="002110C5" w:rsidP="007D451C">
            <w:pPr>
              <w:rPr>
                <w:sz w:val="16"/>
                <w:szCs w:val="16"/>
              </w:rPr>
            </w:pPr>
            <w:r w:rsidRPr="000E76A0">
              <w:rPr>
                <w:sz w:val="16"/>
                <w:szCs w:val="16"/>
              </w:rPr>
              <w:t xml:space="preserve">Source: </w:t>
            </w:r>
            <w:r w:rsidR="00801648" w:rsidRPr="000E76A0">
              <w:rPr>
                <w:sz w:val="16"/>
                <w:szCs w:val="16"/>
              </w:rPr>
              <w:t>GSSCPD</w:t>
            </w:r>
          </w:p>
          <w:p w14:paraId="39E9FE93" w14:textId="684BE3BD" w:rsidR="002110C5" w:rsidRPr="000E76A0" w:rsidRDefault="002110C5" w:rsidP="007D451C">
            <w:pPr>
              <w:rPr>
                <w:sz w:val="16"/>
                <w:szCs w:val="16"/>
              </w:rPr>
            </w:pPr>
            <w:r w:rsidRPr="000E76A0">
              <w:rPr>
                <w:sz w:val="16"/>
                <w:szCs w:val="16"/>
              </w:rPr>
              <w:t xml:space="preserve"> </w:t>
            </w:r>
          </w:p>
          <w:p w14:paraId="60D81076" w14:textId="233D6C26" w:rsidR="002110C5" w:rsidRPr="000E76A0" w:rsidRDefault="002110C5" w:rsidP="007D451C">
            <w:pPr>
              <w:rPr>
                <w:sz w:val="16"/>
                <w:szCs w:val="16"/>
              </w:rPr>
            </w:pPr>
            <w:r w:rsidRPr="000E76A0">
              <w:rPr>
                <w:b/>
                <w:sz w:val="16"/>
                <w:szCs w:val="16"/>
              </w:rPr>
              <w:lastRenderedPageBreak/>
              <w:t>Indicator</w:t>
            </w:r>
            <w:r w:rsidR="00801648" w:rsidRPr="000E76A0">
              <w:rPr>
                <w:b/>
                <w:sz w:val="16"/>
                <w:szCs w:val="16"/>
              </w:rPr>
              <w:t xml:space="preserve"> 1.4.3</w:t>
            </w:r>
            <w:r w:rsidRPr="000E76A0">
              <w:rPr>
                <w:sz w:val="16"/>
                <w:szCs w:val="16"/>
              </w:rPr>
              <w:t xml:space="preserve">: National Strategy to Combat Violence against Women </w:t>
            </w:r>
            <w:r w:rsidR="00744331" w:rsidRPr="000E76A0">
              <w:rPr>
                <w:sz w:val="16"/>
                <w:szCs w:val="16"/>
              </w:rPr>
              <w:t>d</w:t>
            </w:r>
            <w:r w:rsidRPr="000E76A0">
              <w:rPr>
                <w:sz w:val="16"/>
                <w:szCs w:val="16"/>
              </w:rPr>
              <w:t>eveloped</w:t>
            </w:r>
          </w:p>
          <w:p w14:paraId="5BFC6E82" w14:textId="77777777" w:rsidR="002110C5" w:rsidRPr="000E76A0" w:rsidRDefault="002110C5" w:rsidP="007D451C">
            <w:pPr>
              <w:rPr>
                <w:sz w:val="16"/>
                <w:szCs w:val="16"/>
              </w:rPr>
            </w:pPr>
            <w:r w:rsidRPr="000E76A0">
              <w:rPr>
                <w:sz w:val="16"/>
                <w:szCs w:val="16"/>
              </w:rPr>
              <w:t>Baseline: No</w:t>
            </w:r>
          </w:p>
          <w:p w14:paraId="7E2863CA" w14:textId="77777777" w:rsidR="002110C5" w:rsidRPr="000E76A0" w:rsidRDefault="002110C5" w:rsidP="007D451C">
            <w:pPr>
              <w:rPr>
                <w:sz w:val="16"/>
                <w:szCs w:val="16"/>
              </w:rPr>
            </w:pPr>
            <w:r w:rsidRPr="000E76A0">
              <w:rPr>
                <w:sz w:val="16"/>
                <w:szCs w:val="16"/>
              </w:rPr>
              <w:t xml:space="preserve">Target: Yes </w:t>
            </w:r>
          </w:p>
          <w:p w14:paraId="6E89322B" w14:textId="16A7D9E2" w:rsidR="002110C5" w:rsidRPr="000E76A0" w:rsidRDefault="002110C5" w:rsidP="007D451C">
            <w:pPr>
              <w:rPr>
                <w:sz w:val="16"/>
                <w:szCs w:val="16"/>
              </w:rPr>
            </w:pPr>
            <w:r w:rsidRPr="000E76A0">
              <w:rPr>
                <w:sz w:val="16"/>
                <w:szCs w:val="16"/>
              </w:rPr>
              <w:t xml:space="preserve">Source: </w:t>
            </w:r>
            <w:r w:rsidR="00801648" w:rsidRPr="000E76A0">
              <w:rPr>
                <w:sz w:val="16"/>
                <w:szCs w:val="16"/>
              </w:rPr>
              <w:t>Women</w:t>
            </w:r>
            <w:r w:rsidR="00C87CAD" w:rsidRPr="000E76A0">
              <w:rPr>
                <w:sz w:val="16"/>
                <w:szCs w:val="16"/>
              </w:rPr>
              <w:t>’s</w:t>
            </w:r>
            <w:r w:rsidR="00801648" w:rsidRPr="000E76A0">
              <w:rPr>
                <w:sz w:val="16"/>
                <w:szCs w:val="16"/>
              </w:rPr>
              <w:t xml:space="preserve"> Research and Study Centr</w:t>
            </w:r>
            <w:r w:rsidR="00C87CAD" w:rsidRPr="000E76A0">
              <w:rPr>
                <w:sz w:val="16"/>
                <w:szCs w:val="16"/>
              </w:rPr>
              <w:t>e</w:t>
            </w:r>
            <w:r w:rsidR="00801648" w:rsidRPr="000E76A0">
              <w:rPr>
                <w:sz w:val="16"/>
                <w:szCs w:val="16"/>
              </w:rPr>
              <w:t xml:space="preserve"> (WRSC) </w:t>
            </w:r>
          </w:p>
          <w:p w14:paraId="20568A25" w14:textId="77777777" w:rsidR="002110C5" w:rsidRPr="000E76A0" w:rsidRDefault="002110C5" w:rsidP="007D451C">
            <w:pPr>
              <w:rPr>
                <w:sz w:val="16"/>
                <w:szCs w:val="16"/>
              </w:rPr>
            </w:pPr>
          </w:p>
          <w:p w14:paraId="32FE5DEC" w14:textId="07D8ED20" w:rsidR="002110C5" w:rsidRPr="000E76A0" w:rsidRDefault="002110C5" w:rsidP="007D451C">
            <w:pPr>
              <w:rPr>
                <w:sz w:val="16"/>
                <w:szCs w:val="16"/>
              </w:rPr>
            </w:pPr>
            <w:r w:rsidRPr="000E76A0">
              <w:rPr>
                <w:b/>
                <w:sz w:val="16"/>
                <w:szCs w:val="16"/>
              </w:rPr>
              <w:t>Indicator</w:t>
            </w:r>
            <w:r w:rsidR="00801648" w:rsidRPr="000E76A0">
              <w:rPr>
                <w:b/>
                <w:sz w:val="16"/>
                <w:szCs w:val="16"/>
              </w:rPr>
              <w:t xml:space="preserve"> 1.4.4</w:t>
            </w:r>
            <w:r w:rsidRPr="000E76A0">
              <w:rPr>
                <w:sz w:val="16"/>
                <w:szCs w:val="16"/>
              </w:rPr>
              <w:t xml:space="preserve">: Number of private institutions that adopt the </w:t>
            </w:r>
            <w:r w:rsidR="00801648" w:rsidRPr="000E76A0">
              <w:rPr>
                <w:sz w:val="16"/>
                <w:szCs w:val="16"/>
              </w:rPr>
              <w:t xml:space="preserve">inclusion of </w:t>
            </w:r>
            <w:r w:rsidR="00D53BBB" w:rsidRPr="000E76A0">
              <w:rPr>
                <w:sz w:val="16"/>
                <w:szCs w:val="16"/>
              </w:rPr>
              <w:t xml:space="preserve">persons </w:t>
            </w:r>
            <w:r w:rsidR="00801648" w:rsidRPr="000E76A0">
              <w:rPr>
                <w:sz w:val="16"/>
                <w:szCs w:val="16"/>
              </w:rPr>
              <w:t xml:space="preserve">with </w:t>
            </w:r>
            <w:r w:rsidR="00363704" w:rsidRPr="000E76A0">
              <w:rPr>
                <w:sz w:val="16"/>
                <w:szCs w:val="16"/>
              </w:rPr>
              <w:t>disabilities strategy</w:t>
            </w:r>
            <w:r w:rsidRPr="000E76A0">
              <w:rPr>
                <w:sz w:val="16"/>
                <w:szCs w:val="16"/>
              </w:rPr>
              <w:t xml:space="preserve"> </w:t>
            </w:r>
          </w:p>
          <w:p w14:paraId="6365EE37" w14:textId="77777777" w:rsidR="002110C5" w:rsidRPr="000E76A0" w:rsidRDefault="002110C5" w:rsidP="007D451C">
            <w:pPr>
              <w:rPr>
                <w:sz w:val="16"/>
                <w:szCs w:val="16"/>
              </w:rPr>
            </w:pPr>
            <w:r w:rsidRPr="000E76A0">
              <w:rPr>
                <w:sz w:val="16"/>
                <w:szCs w:val="16"/>
              </w:rPr>
              <w:t>Baseline: 1</w:t>
            </w:r>
          </w:p>
          <w:p w14:paraId="587098C2" w14:textId="77777777" w:rsidR="002110C5" w:rsidRPr="000E76A0" w:rsidRDefault="002110C5" w:rsidP="007D451C">
            <w:pPr>
              <w:rPr>
                <w:sz w:val="16"/>
                <w:szCs w:val="16"/>
              </w:rPr>
            </w:pPr>
            <w:r w:rsidRPr="000E76A0">
              <w:rPr>
                <w:sz w:val="16"/>
                <w:szCs w:val="16"/>
              </w:rPr>
              <w:t>Target: 10</w:t>
            </w:r>
          </w:p>
          <w:p w14:paraId="72A13014" w14:textId="4C6A1F08" w:rsidR="002110C5" w:rsidRPr="000E76A0" w:rsidRDefault="002110C5" w:rsidP="007D451C">
            <w:pPr>
              <w:rPr>
                <w:sz w:val="16"/>
                <w:szCs w:val="16"/>
              </w:rPr>
            </w:pPr>
            <w:r w:rsidRPr="000E76A0">
              <w:rPr>
                <w:sz w:val="16"/>
                <w:szCs w:val="16"/>
              </w:rPr>
              <w:t xml:space="preserve">Source: </w:t>
            </w:r>
            <w:r w:rsidR="00801648" w:rsidRPr="000E76A0">
              <w:rPr>
                <w:sz w:val="16"/>
                <w:szCs w:val="16"/>
              </w:rPr>
              <w:t xml:space="preserve">PADA and </w:t>
            </w:r>
            <w:r w:rsidRPr="000E76A0">
              <w:rPr>
                <w:sz w:val="16"/>
                <w:szCs w:val="16"/>
              </w:rPr>
              <w:t>UNDP</w:t>
            </w:r>
          </w:p>
          <w:p w14:paraId="1CC7CE62" w14:textId="77777777" w:rsidR="002110C5" w:rsidRPr="000E76A0" w:rsidRDefault="002110C5" w:rsidP="007D451C">
            <w:pPr>
              <w:rPr>
                <w:sz w:val="16"/>
                <w:szCs w:val="16"/>
              </w:rPr>
            </w:pPr>
          </w:p>
          <w:p w14:paraId="384548E3" w14:textId="77777777" w:rsidR="002110C5" w:rsidRPr="000E76A0" w:rsidRDefault="002110C5" w:rsidP="007D451C">
            <w:pPr>
              <w:rPr>
                <w:sz w:val="16"/>
                <w:szCs w:val="16"/>
              </w:rPr>
            </w:pPr>
          </w:p>
          <w:p w14:paraId="550A0AA6" w14:textId="6ECEA8C3" w:rsidR="002110C5" w:rsidRPr="000E76A0" w:rsidRDefault="002110C5" w:rsidP="007D451C">
            <w:pPr>
              <w:rPr>
                <w:b/>
                <w:bCs/>
                <w:sz w:val="16"/>
                <w:szCs w:val="16"/>
              </w:rPr>
            </w:pPr>
            <w:r w:rsidRPr="000E76A0">
              <w:rPr>
                <w:b/>
                <w:bCs/>
                <w:sz w:val="16"/>
                <w:szCs w:val="16"/>
              </w:rPr>
              <w:t xml:space="preserve">Output </w:t>
            </w:r>
            <w:r w:rsidR="00801648" w:rsidRPr="000E76A0">
              <w:rPr>
                <w:b/>
                <w:bCs/>
                <w:sz w:val="16"/>
                <w:szCs w:val="16"/>
              </w:rPr>
              <w:t>1.5</w:t>
            </w:r>
            <w:r w:rsidRPr="000E76A0">
              <w:rPr>
                <w:b/>
                <w:bCs/>
                <w:sz w:val="16"/>
                <w:szCs w:val="16"/>
              </w:rPr>
              <w:t xml:space="preserve">: Female leadership enhanced  </w:t>
            </w:r>
          </w:p>
          <w:p w14:paraId="7D476881" w14:textId="77777777" w:rsidR="002110C5" w:rsidRPr="000E76A0" w:rsidRDefault="002110C5" w:rsidP="007D451C">
            <w:pPr>
              <w:rPr>
                <w:sz w:val="16"/>
                <w:szCs w:val="16"/>
              </w:rPr>
            </w:pPr>
          </w:p>
          <w:p w14:paraId="378113C6" w14:textId="092D2E77" w:rsidR="002110C5" w:rsidRPr="000E76A0" w:rsidRDefault="002110C5" w:rsidP="007D451C">
            <w:pPr>
              <w:rPr>
                <w:sz w:val="16"/>
                <w:szCs w:val="16"/>
              </w:rPr>
            </w:pPr>
            <w:r w:rsidRPr="000E76A0">
              <w:rPr>
                <w:b/>
                <w:sz w:val="16"/>
                <w:szCs w:val="16"/>
              </w:rPr>
              <w:t>Indicator</w:t>
            </w:r>
            <w:r w:rsidR="00801648" w:rsidRPr="000E76A0">
              <w:rPr>
                <w:b/>
                <w:sz w:val="16"/>
                <w:szCs w:val="16"/>
              </w:rPr>
              <w:t xml:space="preserve"> 1.5.1</w:t>
            </w:r>
            <w:r w:rsidRPr="000E76A0">
              <w:rPr>
                <w:sz w:val="16"/>
                <w:szCs w:val="16"/>
              </w:rPr>
              <w:t xml:space="preserve">: % of </w:t>
            </w:r>
            <w:r w:rsidR="00801648" w:rsidRPr="000E76A0">
              <w:rPr>
                <w:sz w:val="16"/>
                <w:szCs w:val="16"/>
              </w:rPr>
              <w:t>f</w:t>
            </w:r>
            <w:r w:rsidRPr="000E76A0">
              <w:rPr>
                <w:sz w:val="16"/>
                <w:szCs w:val="16"/>
              </w:rPr>
              <w:t xml:space="preserve">emale leaders in legislative, executive and judicial branches </w:t>
            </w:r>
          </w:p>
          <w:p w14:paraId="6DE076F5" w14:textId="35F1FCA1" w:rsidR="002110C5" w:rsidRPr="000E76A0" w:rsidRDefault="002110C5" w:rsidP="007D451C">
            <w:pPr>
              <w:rPr>
                <w:sz w:val="16"/>
                <w:szCs w:val="16"/>
              </w:rPr>
            </w:pPr>
            <w:r w:rsidRPr="000E76A0">
              <w:rPr>
                <w:sz w:val="16"/>
                <w:szCs w:val="16"/>
              </w:rPr>
              <w:t xml:space="preserve">Baseline:   12%      </w:t>
            </w:r>
          </w:p>
          <w:p w14:paraId="574081A6" w14:textId="6BD4EA29" w:rsidR="002110C5" w:rsidRPr="000E76A0" w:rsidRDefault="002110C5" w:rsidP="007D451C">
            <w:pPr>
              <w:rPr>
                <w:sz w:val="16"/>
                <w:szCs w:val="16"/>
              </w:rPr>
            </w:pPr>
            <w:r w:rsidRPr="000E76A0">
              <w:rPr>
                <w:sz w:val="16"/>
                <w:szCs w:val="16"/>
              </w:rPr>
              <w:t xml:space="preserve">Target: </w:t>
            </w:r>
            <w:r w:rsidR="00B218F2" w:rsidRPr="000E76A0">
              <w:rPr>
                <w:sz w:val="16"/>
                <w:szCs w:val="16"/>
              </w:rPr>
              <w:t xml:space="preserve"> </w:t>
            </w:r>
            <w:r w:rsidRPr="000E76A0">
              <w:rPr>
                <w:sz w:val="16"/>
                <w:szCs w:val="16"/>
              </w:rPr>
              <w:t xml:space="preserve">20%      </w:t>
            </w:r>
          </w:p>
          <w:p w14:paraId="60BAA5D4" w14:textId="3B49D06C" w:rsidR="002110C5" w:rsidRPr="000E76A0" w:rsidRDefault="002110C5" w:rsidP="007D451C">
            <w:pPr>
              <w:rPr>
                <w:sz w:val="16"/>
                <w:szCs w:val="16"/>
              </w:rPr>
            </w:pPr>
            <w:r w:rsidRPr="000E76A0">
              <w:rPr>
                <w:sz w:val="16"/>
                <w:szCs w:val="16"/>
              </w:rPr>
              <w:t>Source:  W</w:t>
            </w:r>
            <w:r w:rsidR="00801648" w:rsidRPr="000E76A0">
              <w:rPr>
                <w:sz w:val="16"/>
                <w:szCs w:val="16"/>
              </w:rPr>
              <w:t>RSC</w:t>
            </w:r>
          </w:p>
          <w:p w14:paraId="73789EC3" w14:textId="77777777" w:rsidR="002110C5" w:rsidRPr="000E76A0" w:rsidRDefault="002110C5" w:rsidP="007D451C">
            <w:pPr>
              <w:rPr>
                <w:sz w:val="16"/>
                <w:szCs w:val="16"/>
              </w:rPr>
            </w:pPr>
          </w:p>
          <w:p w14:paraId="756F9C7E" w14:textId="6A384324" w:rsidR="002110C5" w:rsidRPr="000E76A0" w:rsidRDefault="002110C5" w:rsidP="007D451C">
            <w:pPr>
              <w:rPr>
                <w:sz w:val="16"/>
                <w:szCs w:val="16"/>
              </w:rPr>
            </w:pPr>
            <w:r w:rsidRPr="000E76A0">
              <w:rPr>
                <w:b/>
                <w:sz w:val="16"/>
                <w:szCs w:val="16"/>
              </w:rPr>
              <w:t>Indicator</w:t>
            </w:r>
            <w:r w:rsidR="00801648" w:rsidRPr="000E76A0">
              <w:rPr>
                <w:b/>
                <w:sz w:val="16"/>
                <w:szCs w:val="16"/>
              </w:rPr>
              <w:t xml:space="preserve"> 1.5.2</w:t>
            </w:r>
            <w:r w:rsidRPr="000E76A0">
              <w:rPr>
                <w:sz w:val="16"/>
                <w:szCs w:val="16"/>
              </w:rPr>
              <w:t xml:space="preserve">: </w:t>
            </w:r>
            <w:r w:rsidR="00801648" w:rsidRPr="000E76A0">
              <w:rPr>
                <w:sz w:val="16"/>
                <w:szCs w:val="16"/>
              </w:rPr>
              <w:t>% of</w:t>
            </w:r>
            <w:r w:rsidRPr="000E76A0">
              <w:rPr>
                <w:sz w:val="16"/>
                <w:szCs w:val="16"/>
              </w:rPr>
              <w:t xml:space="preserve"> female </w:t>
            </w:r>
            <w:r w:rsidR="000B24C1" w:rsidRPr="000E76A0">
              <w:rPr>
                <w:sz w:val="16"/>
                <w:szCs w:val="16"/>
              </w:rPr>
              <w:t>chief executive officers (</w:t>
            </w:r>
            <w:r w:rsidRPr="000E76A0">
              <w:rPr>
                <w:sz w:val="16"/>
                <w:szCs w:val="16"/>
              </w:rPr>
              <w:t>CEOs</w:t>
            </w:r>
            <w:r w:rsidR="000B24C1" w:rsidRPr="000E76A0">
              <w:rPr>
                <w:sz w:val="16"/>
                <w:szCs w:val="16"/>
              </w:rPr>
              <w:t>)</w:t>
            </w:r>
            <w:r w:rsidRPr="000E76A0">
              <w:rPr>
                <w:sz w:val="16"/>
                <w:szCs w:val="16"/>
              </w:rPr>
              <w:t xml:space="preserve"> and deputy CEOs in the private sector </w:t>
            </w:r>
          </w:p>
          <w:p w14:paraId="55D37F24" w14:textId="77777777" w:rsidR="002110C5" w:rsidRPr="000E76A0" w:rsidRDefault="002110C5" w:rsidP="007D451C">
            <w:pPr>
              <w:rPr>
                <w:sz w:val="16"/>
                <w:szCs w:val="16"/>
              </w:rPr>
            </w:pPr>
            <w:r w:rsidRPr="000E76A0">
              <w:rPr>
                <w:sz w:val="16"/>
                <w:szCs w:val="16"/>
              </w:rPr>
              <w:t>Baseline: 15%</w:t>
            </w:r>
          </w:p>
          <w:p w14:paraId="2DC15B2D" w14:textId="77777777" w:rsidR="002110C5" w:rsidRPr="000E76A0" w:rsidRDefault="002110C5" w:rsidP="007D451C">
            <w:pPr>
              <w:rPr>
                <w:sz w:val="16"/>
                <w:szCs w:val="16"/>
              </w:rPr>
            </w:pPr>
            <w:r w:rsidRPr="000E76A0">
              <w:rPr>
                <w:sz w:val="16"/>
                <w:szCs w:val="16"/>
              </w:rPr>
              <w:t>Target: 20%</w:t>
            </w:r>
          </w:p>
          <w:p w14:paraId="6DD391AE" w14:textId="054BC339" w:rsidR="002110C5" w:rsidRPr="000E76A0" w:rsidRDefault="002110C5" w:rsidP="007D451C">
            <w:pPr>
              <w:rPr>
                <w:sz w:val="16"/>
                <w:szCs w:val="16"/>
              </w:rPr>
            </w:pPr>
            <w:r w:rsidRPr="000E76A0">
              <w:rPr>
                <w:sz w:val="16"/>
                <w:szCs w:val="16"/>
              </w:rPr>
              <w:t xml:space="preserve">Source: </w:t>
            </w:r>
            <w:r w:rsidR="00801648" w:rsidRPr="000E76A0">
              <w:rPr>
                <w:sz w:val="16"/>
                <w:szCs w:val="16"/>
              </w:rPr>
              <w:t xml:space="preserve">WRSC </w:t>
            </w:r>
          </w:p>
          <w:p w14:paraId="746AAC45" w14:textId="77777777" w:rsidR="00801648" w:rsidRPr="000E76A0" w:rsidRDefault="00801648" w:rsidP="007D451C">
            <w:pPr>
              <w:rPr>
                <w:b/>
                <w:sz w:val="16"/>
                <w:szCs w:val="16"/>
              </w:rPr>
            </w:pPr>
          </w:p>
          <w:p w14:paraId="6888B339" w14:textId="1F721244" w:rsidR="002110C5" w:rsidRPr="000E76A0" w:rsidRDefault="002110C5" w:rsidP="007D451C">
            <w:pPr>
              <w:rPr>
                <w:b/>
                <w:sz w:val="16"/>
                <w:szCs w:val="16"/>
              </w:rPr>
            </w:pPr>
            <w:r w:rsidRPr="000E76A0">
              <w:rPr>
                <w:b/>
                <w:sz w:val="16"/>
                <w:szCs w:val="16"/>
              </w:rPr>
              <w:t>Output 1.</w:t>
            </w:r>
            <w:r w:rsidR="00801648" w:rsidRPr="000E76A0">
              <w:rPr>
                <w:b/>
                <w:sz w:val="16"/>
                <w:szCs w:val="16"/>
              </w:rPr>
              <w:t>6</w:t>
            </w:r>
            <w:r w:rsidRPr="000E76A0">
              <w:rPr>
                <w:b/>
                <w:sz w:val="16"/>
                <w:szCs w:val="16"/>
              </w:rPr>
              <w:t xml:space="preserve">:  </w:t>
            </w:r>
            <w:r w:rsidRPr="000E76A0">
              <w:rPr>
                <w:b/>
                <w:sz w:val="20"/>
                <w:szCs w:val="20"/>
              </w:rPr>
              <w:t xml:space="preserve"> </w:t>
            </w:r>
            <w:r w:rsidRPr="000E76A0">
              <w:rPr>
                <w:b/>
                <w:sz w:val="16"/>
                <w:szCs w:val="16"/>
              </w:rPr>
              <w:t xml:space="preserve">National policymaking is developed and tested with the support of </w:t>
            </w:r>
            <w:r w:rsidR="00363704" w:rsidRPr="000E76A0">
              <w:rPr>
                <w:b/>
                <w:sz w:val="16"/>
                <w:szCs w:val="16"/>
              </w:rPr>
              <w:t>an</w:t>
            </w:r>
            <w:r w:rsidRPr="000E76A0">
              <w:rPr>
                <w:b/>
                <w:sz w:val="16"/>
                <w:szCs w:val="16"/>
              </w:rPr>
              <w:t xml:space="preserve"> </w:t>
            </w:r>
            <w:r w:rsidRPr="000E76A0">
              <w:rPr>
                <w:b/>
                <w:i/>
                <w:sz w:val="16"/>
                <w:szCs w:val="16"/>
              </w:rPr>
              <w:t>Innovation Unit</w:t>
            </w:r>
          </w:p>
          <w:p w14:paraId="5F508B04" w14:textId="77777777" w:rsidR="002110C5" w:rsidRPr="000E76A0" w:rsidRDefault="002110C5" w:rsidP="007D451C">
            <w:pPr>
              <w:rPr>
                <w:sz w:val="16"/>
                <w:szCs w:val="16"/>
              </w:rPr>
            </w:pPr>
          </w:p>
          <w:p w14:paraId="2FF1F537" w14:textId="4782547F" w:rsidR="002110C5" w:rsidRPr="000E76A0" w:rsidRDefault="002110C5" w:rsidP="007D451C">
            <w:pPr>
              <w:rPr>
                <w:rFonts w:cstheme="minorHAnsi"/>
                <w:sz w:val="16"/>
                <w:szCs w:val="16"/>
              </w:rPr>
            </w:pPr>
            <w:r w:rsidRPr="000E76A0">
              <w:rPr>
                <w:b/>
                <w:sz w:val="16"/>
                <w:szCs w:val="16"/>
              </w:rPr>
              <w:t>Indicator 1.</w:t>
            </w:r>
            <w:r w:rsidR="00085134" w:rsidRPr="000E76A0">
              <w:rPr>
                <w:b/>
                <w:sz w:val="16"/>
                <w:szCs w:val="16"/>
              </w:rPr>
              <w:t>6.1</w:t>
            </w:r>
            <w:r w:rsidRPr="000E76A0">
              <w:rPr>
                <w:b/>
                <w:sz w:val="16"/>
                <w:szCs w:val="16"/>
              </w:rPr>
              <w:t>:</w:t>
            </w:r>
            <w:r w:rsidRPr="000E76A0">
              <w:rPr>
                <w:sz w:val="16"/>
                <w:szCs w:val="16"/>
              </w:rPr>
              <w:t xml:space="preserve"> </w:t>
            </w:r>
            <w:r w:rsidRPr="000E76A0">
              <w:rPr>
                <w:rFonts w:cstheme="minorHAnsi"/>
                <w:sz w:val="20"/>
                <w:szCs w:val="20"/>
              </w:rPr>
              <w:t xml:space="preserve"> </w:t>
            </w:r>
            <w:r w:rsidRPr="000E76A0">
              <w:rPr>
                <w:rFonts w:cstheme="minorHAnsi"/>
                <w:sz w:val="16"/>
                <w:szCs w:val="16"/>
              </w:rPr>
              <w:t xml:space="preserve"># of policies </w:t>
            </w:r>
            <w:r w:rsidR="00085134" w:rsidRPr="000E76A0">
              <w:rPr>
                <w:rFonts w:cstheme="minorHAnsi"/>
                <w:sz w:val="16"/>
                <w:szCs w:val="16"/>
              </w:rPr>
              <w:t xml:space="preserve">which are designed and implemented by applying behavioural insights of KPAL </w:t>
            </w:r>
          </w:p>
          <w:p w14:paraId="705913DF" w14:textId="77777777" w:rsidR="002110C5" w:rsidRPr="000E76A0" w:rsidRDefault="002110C5" w:rsidP="007D451C">
            <w:pPr>
              <w:rPr>
                <w:sz w:val="16"/>
                <w:szCs w:val="16"/>
              </w:rPr>
            </w:pPr>
            <w:r w:rsidRPr="000E76A0">
              <w:rPr>
                <w:sz w:val="16"/>
                <w:szCs w:val="16"/>
              </w:rPr>
              <w:t>Baseline: 0</w:t>
            </w:r>
          </w:p>
          <w:p w14:paraId="245C4A80" w14:textId="77777777" w:rsidR="002110C5" w:rsidRPr="000E76A0" w:rsidRDefault="002110C5" w:rsidP="007D451C">
            <w:pPr>
              <w:rPr>
                <w:sz w:val="16"/>
                <w:szCs w:val="16"/>
              </w:rPr>
            </w:pPr>
            <w:r w:rsidRPr="000E76A0">
              <w:rPr>
                <w:sz w:val="16"/>
                <w:szCs w:val="16"/>
              </w:rPr>
              <w:t>Target: 10</w:t>
            </w:r>
          </w:p>
          <w:p w14:paraId="16B81A52" w14:textId="1ABC7569" w:rsidR="002110C5" w:rsidRPr="000E76A0" w:rsidRDefault="002110C5" w:rsidP="007D451C">
            <w:pPr>
              <w:rPr>
                <w:sz w:val="16"/>
                <w:szCs w:val="16"/>
              </w:rPr>
            </w:pPr>
            <w:r w:rsidRPr="000E76A0">
              <w:rPr>
                <w:sz w:val="16"/>
                <w:szCs w:val="16"/>
              </w:rPr>
              <w:t>Source: KPPC</w:t>
            </w:r>
          </w:p>
        </w:tc>
        <w:tc>
          <w:tcPr>
            <w:tcW w:w="823" w:type="pct"/>
            <w:vMerge w:val="restart"/>
            <w:shd w:val="clear" w:color="auto" w:fill="auto"/>
          </w:tcPr>
          <w:p w14:paraId="5470E798" w14:textId="77777777" w:rsidR="002110C5" w:rsidRPr="000E76A0" w:rsidRDefault="002110C5" w:rsidP="007D451C">
            <w:pPr>
              <w:rPr>
                <w:rFonts w:cstheme="minorHAnsi"/>
                <w:sz w:val="16"/>
                <w:szCs w:val="16"/>
                <w:lang w:val="en-US"/>
              </w:rPr>
            </w:pPr>
            <w:r w:rsidRPr="000E76A0">
              <w:rPr>
                <w:rFonts w:cstheme="minorHAnsi"/>
                <w:sz w:val="16"/>
                <w:szCs w:val="16"/>
                <w:u w:val="single"/>
              </w:rPr>
              <w:lastRenderedPageBreak/>
              <w:t>Government</w:t>
            </w:r>
            <w:r w:rsidRPr="000E76A0">
              <w:rPr>
                <w:rFonts w:cstheme="minorHAnsi"/>
                <w:sz w:val="16"/>
                <w:szCs w:val="16"/>
              </w:rPr>
              <w:t xml:space="preserve">: </w:t>
            </w:r>
          </w:p>
          <w:p w14:paraId="0A718A90" w14:textId="0E0EF38A" w:rsidR="002110C5" w:rsidRPr="000E76A0" w:rsidRDefault="002110C5"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lang w:val="en-CA"/>
              </w:rPr>
              <w:t xml:space="preserve">GSSCPD, </w:t>
            </w:r>
            <w:r w:rsidR="00C741B4" w:rsidRPr="000E76A0">
              <w:rPr>
                <w:rFonts w:cstheme="minorHAnsi"/>
                <w:sz w:val="16"/>
                <w:szCs w:val="16"/>
                <w:lang w:val="en-CA"/>
              </w:rPr>
              <w:t>Kuwait Environment Public Authority (</w:t>
            </w:r>
            <w:r w:rsidRPr="000E76A0">
              <w:rPr>
                <w:rFonts w:cstheme="minorHAnsi"/>
                <w:sz w:val="16"/>
                <w:szCs w:val="16"/>
                <w:lang w:val="en-CA"/>
              </w:rPr>
              <w:t>KEPA</w:t>
            </w:r>
            <w:r w:rsidR="00C741B4" w:rsidRPr="000E76A0">
              <w:rPr>
                <w:rFonts w:cstheme="minorHAnsi"/>
                <w:sz w:val="16"/>
                <w:szCs w:val="16"/>
                <w:lang w:val="en-CA"/>
              </w:rPr>
              <w:t>)</w:t>
            </w:r>
            <w:r w:rsidRPr="000E76A0">
              <w:rPr>
                <w:rFonts w:cstheme="minorHAnsi"/>
                <w:sz w:val="16"/>
                <w:szCs w:val="16"/>
                <w:lang w:val="en-CA"/>
              </w:rPr>
              <w:t xml:space="preserve">, </w:t>
            </w:r>
            <w:r w:rsidR="00C741B4" w:rsidRPr="000E76A0">
              <w:t xml:space="preserve"> </w:t>
            </w:r>
            <w:r w:rsidR="00C741B4" w:rsidRPr="000E76A0">
              <w:rPr>
                <w:rFonts w:cstheme="minorHAnsi"/>
                <w:sz w:val="16"/>
                <w:szCs w:val="16"/>
                <w:lang w:val="en-CA"/>
              </w:rPr>
              <w:t>Kuwait Foundation for the Advancement of Sciences (</w:t>
            </w:r>
            <w:r w:rsidRPr="000E76A0">
              <w:rPr>
                <w:rFonts w:cstheme="minorHAnsi"/>
                <w:sz w:val="16"/>
                <w:szCs w:val="16"/>
                <w:lang w:val="en-CA"/>
              </w:rPr>
              <w:t>KFAS</w:t>
            </w:r>
            <w:r w:rsidR="00C741B4" w:rsidRPr="000E76A0">
              <w:rPr>
                <w:rFonts w:cstheme="minorHAnsi"/>
                <w:sz w:val="16"/>
                <w:szCs w:val="16"/>
                <w:lang w:val="en-CA"/>
              </w:rPr>
              <w:t>)</w:t>
            </w:r>
            <w:r w:rsidRPr="000E76A0">
              <w:rPr>
                <w:rFonts w:cstheme="minorHAnsi"/>
                <w:sz w:val="16"/>
                <w:szCs w:val="16"/>
                <w:lang w:val="en-CA"/>
              </w:rPr>
              <w:t xml:space="preserve">, </w:t>
            </w:r>
            <w:r w:rsidR="00C741B4" w:rsidRPr="000E76A0">
              <w:t xml:space="preserve"> </w:t>
            </w:r>
            <w:r w:rsidR="00C741B4" w:rsidRPr="000E76A0">
              <w:rPr>
                <w:rFonts w:cstheme="minorHAnsi"/>
                <w:sz w:val="16"/>
                <w:szCs w:val="16"/>
                <w:lang w:val="en-CA"/>
              </w:rPr>
              <w:t>Kuwait Policy Appraisal Lab (</w:t>
            </w:r>
            <w:r w:rsidRPr="000E76A0">
              <w:rPr>
                <w:rFonts w:cstheme="minorHAnsi"/>
                <w:sz w:val="16"/>
                <w:szCs w:val="16"/>
                <w:lang w:val="en-CA"/>
              </w:rPr>
              <w:t>KPAL</w:t>
            </w:r>
            <w:r w:rsidR="00C741B4" w:rsidRPr="000E76A0">
              <w:rPr>
                <w:rFonts w:cstheme="minorHAnsi"/>
                <w:sz w:val="16"/>
                <w:szCs w:val="16"/>
                <w:lang w:val="en-CA"/>
              </w:rPr>
              <w:t>)</w:t>
            </w:r>
            <w:r w:rsidRPr="000E76A0">
              <w:rPr>
                <w:rFonts w:cstheme="minorHAnsi"/>
                <w:sz w:val="16"/>
                <w:szCs w:val="16"/>
                <w:lang w:val="en-CA"/>
              </w:rPr>
              <w:t xml:space="preserve">,  </w:t>
            </w:r>
            <w:r w:rsidR="00C741B4" w:rsidRPr="000E76A0">
              <w:t xml:space="preserve"> </w:t>
            </w:r>
            <w:r w:rsidR="00C741B4" w:rsidRPr="000E76A0">
              <w:rPr>
                <w:rFonts w:cstheme="minorHAnsi"/>
                <w:sz w:val="16"/>
                <w:szCs w:val="16"/>
                <w:lang w:val="en-CA"/>
              </w:rPr>
              <w:t>Public Authority for the Disabled (</w:t>
            </w:r>
            <w:r w:rsidRPr="000E76A0">
              <w:rPr>
                <w:rFonts w:cstheme="minorHAnsi"/>
                <w:sz w:val="16"/>
                <w:szCs w:val="16"/>
                <w:lang w:val="en-CA"/>
              </w:rPr>
              <w:t>PADA</w:t>
            </w:r>
            <w:r w:rsidR="00C741B4" w:rsidRPr="000E76A0">
              <w:rPr>
                <w:rFonts w:cstheme="minorHAnsi"/>
                <w:sz w:val="16"/>
                <w:szCs w:val="16"/>
                <w:lang w:val="en-CA"/>
              </w:rPr>
              <w:t>)</w:t>
            </w:r>
            <w:r w:rsidRPr="000E76A0">
              <w:rPr>
                <w:rFonts w:cstheme="minorHAnsi"/>
                <w:sz w:val="16"/>
                <w:szCs w:val="16"/>
                <w:lang w:val="en-CA"/>
              </w:rPr>
              <w:t>, CSB, Ministries</w:t>
            </w:r>
            <w:r w:rsidR="00C741B4" w:rsidRPr="000E76A0">
              <w:rPr>
                <w:rFonts w:cstheme="minorHAnsi"/>
                <w:sz w:val="16"/>
                <w:szCs w:val="16"/>
                <w:lang w:val="en-CA"/>
              </w:rPr>
              <w:t xml:space="preserve"> of</w:t>
            </w:r>
            <w:r w:rsidRPr="000E76A0">
              <w:rPr>
                <w:rFonts w:cstheme="minorHAnsi"/>
                <w:sz w:val="16"/>
                <w:szCs w:val="16"/>
                <w:lang w:val="en-CA"/>
              </w:rPr>
              <w:t xml:space="preserve"> Finance</w:t>
            </w:r>
            <w:r w:rsidR="00E77222" w:rsidRPr="000E76A0">
              <w:rPr>
                <w:rFonts w:cstheme="minorHAnsi"/>
                <w:sz w:val="16"/>
                <w:szCs w:val="16"/>
                <w:lang w:val="en-CA"/>
              </w:rPr>
              <w:t xml:space="preserve">; </w:t>
            </w:r>
            <w:r w:rsidRPr="000E76A0">
              <w:rPr>
                <w:rFonts w:cstheme="minorHAnsi"/>
                <w:sz w:val="16"/>
                <w:szCs w:val="16"/>
                <w:lang w:val="en-CA"/>
              </w:rPr>
              <w:t>Commerce and Industry</w:t>
            </w:r>
            <w:r w:rsidR="00E77222" w:rsidRPr="000E76A0">
              <w:rPr>
                <w:rFonts w:cstheme="minorHAnsi"/>
                <w:sz w:val="16"/>
                <w:szCs w:val="16"/>
                <w:lang w:val="en-CA"/>
              </w:rPr>
              <w:t xml:space="preserve">; </w:t>
            </w:r>
            <w:r w:rsidR="00C741B4" w:rsidRPr="000E76A0">
              <w:rPr>
                <w:rFonts w:cstheme="minorHAnsi"/>
                <w:sz w:val="16"/>
                <w:szCs w:val="16"/>
                <w:lang w:val="en-CA"/>
              </w:rPr>
              <w:t xml:space="preserve"> </w:t>
            </w:r>
            <w:r w:rsidRPr="000E76A0">
              <w:rPr>
                <w:rFonts w:cstheme="minorHAnsi"/>
                <w:sz w:val="16"/>
                <w:szCs w:val="16"/>
                <w:lang w:val="en-CA"/>
              </w:rPr>
              <w:t xml:space="preserve">Labour and Social Development, </w:t>
            </w:r>
          </w:p>
          <w:p w14:paraId="40DD6FB5" w14:textId="77777777" w:rsidR="002110C5" w:rsidRPr="000E76A0" w:rsidRDefault="002110C5" w:rsidP="000B24C1">
            <w:pPr>
              <w:autoSpaceDE w:val="0"/>
              <w:autoSpaceDN w:val="0"/>
              <w:adjustRightInd w:val="0"/>
              <w:contextualSpacing/>
              <w:rPr>
                <w:rFonts w:cstheme="minorHAnsi"/>
                <w:sz w:val="16"/>
                <w:szCs w:val="16"/>
                <w:u w:val="single"/>
              </w:rPr>
            </w:pPr>
          </w:p>
          <w:p w14:paraId="0A1351D7" w14:textId="77777777" w:rsidR="002110C5" w:rsidRPr="000E76A0" w:rsidRDefault="002110C5" w:rsidP="007D451C">
            <w:pPr>
              <w:rPr>
                <w:rFonts w:cstheme="minorHAnsi"/>
                <w:sz w:val="16"/>
                <w:szCs w:val="16"/>
                <w:lang w:val="en-US"/>
              </w:rPr>
            </w:pPr>
            <w:r w:rsidRPr="000E76A0">
              <w:rPr>
                <w:rFonts w:cstheme="minorHAnsi"/>
                <w:sz w:val="16"/>
                <w:szCs w:val="16"/>
                <w:u w:val="single"/>
              </w:rPr>
              <w:t>Civil Society/NGOs</w:t>
            </w:r>
            <w:r w:rsidRPr="000E76A0">
              <w:rPr>
                <w:rFonts w:cstheme="minorHAnsi"/>
                <w:sz w:val="16"/>
                <w:szCs w:val="16"/>
              </w:rPr>
              <w:t xml:space="preserve">: </w:t>
            </w:r>
          </w:p>
          <w:p w14:paraId="22376BD7" w14:textId="6FC2BB70" w:rsidR="002110C5" w:rsidRPr="000E76A0" w:rsidRDefault="000B24C1"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lang w:val="en-CA"/>
              </w:rPr>
              <w:t>Kuwait Institute for Scientific Research (</w:t>
            </w:r>
            <w:r w:rsidR="002110C5" w:rsidRPr="000E76A0">
              <w:rPr>
                <w:rFonts w:cstheme="minorHAnsi"/>
                <w:sz w:val="16"/>
                <w:szCs w:val="16"/>
                <w:lang w:val="en-CA"/>
              </w:rPr>
              <w:t>KISR</w:t>
            </w:r>
            <w:r w:rsidRPr="000E76A0">
              <w:rPr>
                <w:rFonts w:cstheme="minorHAnsi"/>
                <w:sz w:val="16"/>
                <w:szCs w:val="16"/>
                <w:lang w:val="en-CA"/>
              </w:rPr>
              <w:t>)</w:t>
            </w:r>
            <w:r w:rsidR="002110C5" w:rsidRPr="000E76A0">
              <w:rPr>
                <w:rFonts w:cstheme="minorHAnsi"/>
                <w:sz w:val="16"/>
                <w:szCs w:val="16"/>
                <w:lang w:val="en-CA"/>
              </w:rPr>
              <w:t xml:space="preserve">, Private sector employers and workers organizations; Chambers of Commerce; NGOs </w:t>
            </w:r>
          </w:p>
          <w:p w14:paraId="4330DC90" w14:textId="77777777" w:rsidR="002110C5" w:rsidRPr="000E76A0" w:rsidRDefault="002110C5" w:rsidP="007D451C">
            <w:pPr>
              <w:rPr>
                <w:rFonts w:cstheme="minorHAnsi"/>
                <w:sz w:val="16"/>
                <w:szCs w:val="16"/>
                <w:u w:val="single"/>
              </w:rPr>
            </w:pPr>
          </w:p>
          <w:p w14:paraId="71DB1321" w14:textId="2559D307" w:rsidR="00C741B4" w:rsidRPr="000E76A0" w:rsidRDefault="002110C5" w:rsidP="008236A9">
            <w:pPr>
              <w:rPr>
                <w:rFonts w:cstheme="minorHAnsi"/>
                <w:sz w:val="16"/>
                <w:szCs w:val="16"/>
                <w:lang w:val="es-CR"/>
              </w:rPr>
            </w:pPr>
            <w:r w:rsidRPr="000E76A0">
              <w:rPr>
                <w:rFonts w:cstheme="minorHAnsi"/>
                <w:sz w:val="16"/>
                <w:szCs w:val="16"/>
                <w:lang w:val="es-CR"/>
              </w:rPr>
              <w:t xml:space="preserve">FAO, ILO, IOM, </w:t>
            </w:r>
          </w:p>
          <w:p w14:paraId="0CE1E2A0" w14:textId="6F22FFC2" w:rsidR="002110C5" w:rsidRPr="000E76A0" w:rsidRDefault="002110C5" w:rsidP="007D451C">
            <w:pPr>
              <w:pStyle w:val="ListParagraph"/>
              <w:ind w:left="148"/>
              <w:contextualSpacing/>
              <w:rPr>
                <w:sz w:val="16"/>
                <w:szCs w:val="16"/>
              </w:rPr>
            </w:pPr>
            <w:r w:rsidRPr="000E76A0">
              <w:rPr>
                <w:rFonts w:cstheme="minorHAnsi"/>
                <w:sz w:val="16"/>
                <w:szCs w:val="16"/>
                <w:lang w:val="es-CR"/>
              </w:rPr>
              <w:t>UN</w:t>
            </w:r>
            <w:r w:rsidR="00C741B4" w:rsidRPr="000E76A0">
              <w:rPr>
                <w:rFonts w:cstheme="minorHAnsi"/>
                <w:sz w:val="16"/>
                <w:szCs w:val="16"/>
                <w:lang w:val="es-CR"/>
              </w:rPr>
              <w:t>-</w:t>
            </w:r>
            <w:r w:rsidRPr="000E76A0">
              <w:rPr>
                <w:rFonts w:cstheme="minorHAnsi"/>
                <w:sz w:val="16"/>
                <w:szCs w:val="16"/>
                <w:lang w:val="es-CR"/>
              </w:rPr>
              <w:t xml:space="preserve"> Habitat,  UNODC, World Bank </w:t>
            </w:r>
          </w:p>
          <w:p w14:paraId="50BFC92C" w14:textId="77777777" w:rsidR="002110C5" w:rsidRPr="000E76A0" w:rsidRDefault="002110C5" w:rsidP="007D451C">
            <w:pPr>
              <w:pStyle w:val="ListParagraph"/>
              <w:ind w:left="148"/>
              <w:contextualSpacing/>
              <w:rPr>
                <w:sz w:val="16"/>
                <w:szCs w:val="16"/>
              </w:rPr>
            </w:pPr>
            <w:r w:rsidRPr="000E76A0">
              <w:rPr>
                <w:sz w:val="16"/>
                <w:szCs w:val="16"/>
              </w:rPr>
              <w:t xml:space="preserve"> </w:t>
            </w:r>
          </w:p>
        </w:tc>
        <w:tc>
          <w:tcPr>
            <w:tcW w:w="810" w:type="pct"/>
            <w:shd w:val="clear" w:color="auto" w:fill="auto"/>
            <w:tcMar>
              <w:top w:w="15" w:type="dxa"/>
              <w:left w:w="108" w:type="dxa"/>
              <w:bottom w:w="0" w:type="dxa"/>
              <w:right w:w="108" w:type="dxa"/>
            </w:tcMar>
          </w:tcPr>
          <w:p w14:paraId="68958DE6" w14:textId="53357393" w:rsidR="002110C5" w:rsidRPr="000E76A0" w:rsidRDefault="002110C5" w:rsidP="007D451C">
            <w:pPr>
              <w:rPr>
                <w:b/>
                <w:sz w:val="16"/>
                <w:szCs w:val="16"/>
              </w:rPr>
            </w:pPr>
            <w:r w:rsidRPr="000E76A0">
              <w:rPr>
                <w:b/>
                <w:sz w:val="16"/>
                <w:szCs w:val="16"/>
              </w:rPr>
              <w:t>Regular   $</w:t>
            </w:r>
            <w:r w:rsidR="00B218F2" w:rsidRPr="000E76A0">
              <w:rPr>
                <w:b/>
                <w:sz w:val="16"/>
                <w:szCs w:val="16"/>
              </w:rPr>
              <w:t xml:space="preserve"> 0</w:t>
            </w:r>
          </w:p>
        </w:tc>
      </w:tr>
      <w:tr w:rsidR="000E76A0" w:rsidRPr="000E76A0" w14:paraId="7F807FEB" w14:textId="77777777" w:rsidTr="005F67DD">
        <w:tc>
          <w:tcPr>
            <w:tcW w:w="1097" w:type="pct"/>
            <w:vMerge/>
            <w:shd w:val="clear" w:color="auto" w:fill="auto"/>
            <w:tcMar>
              <w:top w:w="72" w:type="dxa"/>
              <w:left w:w="144" w:type="dxa"/>
              <w:bottom w:w="72" w:type="dxa"/>
              <w:right w:w="144" w:type="dxa"/>
            </w:tcMar>
          </w:tcPr>
          <w:p w14:paraId="3F0D05DE" w14:textId="77777777" w:rsidR="002110C5" w:rsidRPr="000E76A0" w:rsidRDefault="002110C5" w:rsidP="007D451C">
            <w:pPr>
              <w:rPr>
                <w:i/>
                <w:iCs/>
                <w:sz w:val="16"/>
                <w:szCs w:val="16"/>
              </w:rPr>
            </w:pPr>
          </w:p>
        </w:tc>
        <w:tc>
          <w:tcPr>
            <w:tcW w:w="1178" w:type="pct"/>
            <w:vMerge/>
            <w:shd w:val="clear" w:color="auto" w:fill="auto"/>
          </w:tcPr>
          <w:p w14:paraId="71A6E42C" w14:textId="77777777" w:rsidR="002110C5" w:rsidRPr="000E76A0" w:rsidRDefault="002110C5" w:rsidP="007D451C">
            <w:pPr>
              <w:rPr>
                <w:i/>
                <w:iCs/>
                <w:sz w:val="16"/>
                <w:szCs w:val="16"/>
              </w:rPr>
            </w:pPr>
          </w:p>
        </w:tc>
        <w:tc>
          <w:tcPr>
            <w:tcW w:w="1092" w:type="pct"/>
            <w:vMerge/>
            <w:shd w:val="clear" w:color="auto" w:fill="auto"/>
            <w:tcMar>
              <w:top w:w="72" w:type="dxa"/>
              <w:left w:w="144" w:type="dxa"/>
              <w:bottom w:w="72" w:type="dxa"/>
              <w:right w:w="144" w:type="dxa"/>
            </w:tcMar>
          </w:tcPr>
          <w:p w14:paraId="2A8C539D" w14:textId="77777777" w:rsidR="002110C5" w:rsidRPr="000E76A0" w:rsidRDefault="002110C5" w:rsidP="007D451C">
            <w:pPr>
              <w:rPr>
                <w:sz w:val="16"/>
                <w:szCs w:val="16"/>
              </w:rPr>
            </w:pPr>
          </w:p>
        </w:tc>
        <w:tc>
          <w:tcPr>
            <w:tcW w:w="823" w:type="pct"/>
            <w:vMerge/>
            <w:shd w:val="clear" w:color="auto" w:fill="auto"/>
          </w:tcPr>
          <w:p w14:paraId="6470699A" w14:textId="77777777" w:rsidR="002110C5" w:rsidRPr="000E76A0" w:rsidRDefault="002110C5" w:rsidP="007D451C">
            <w:pPr>
              <w:rPr>
                <w:sz w:val="16"/>
                <w:szCs w:val="16"/>
              </w:rPr>
            </w:pPr>
          </w:p>
        </w:tc>
        <w:tc>
          <w:tcPr>
            <w:tcW w:w="810" w:type="pct"/>
            <w:shd w:val="clear" w:color="auto" w:fill="auto"/>
            <w:tcMar>
              <w:top w:w="15" w:type="dxa"/>
              <w:left w:w="108" w:type="dxa"/>
              <w:bottom w:w="0" w:type="dxa"/>
              <w:right w:w="108" w:type="dxa"/>
            </w:tcMar>
          </w:tcPr>
          <w:p w14:paraId="4790224B" w14:textId="343C52AF" w:rsidR="002110C5" w:rsidRPr="000E76A0" w:rsidRDefault="002110C5" w:rsidP="007D451C">
            <w:pPr>
              <w:rPr>
                <w:b/>
                <w:sz w:val="16"/>
                <w:szCs w:val="16"/>
              </w:rPr>
            </w:pPr>
            <w:r w:rsidRPr="000E76A0">
              <w:rPr>
                <w:b/>
                <w:sz w:val="16"/>
                <w:szCs w:val="16"/>
              </w:rPr>
              <w:t xml:space="preserve">Other       </w:t>
            </w:r>
          </w:p>
        </w:tc>
      </w:tr>
    </w:tbl>
    <w:p w14:paraId="5911BAC7" w14:textId="77777777" w:rsidR="00A2014C" w:rsidRDefault="00A2014C">
      <w:r>
        <w:lastRenderedPageBreak/>
        <w:br w:type="page"/>
      </w: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154"/>
        <w:gridCol w:w="2120"/>
      </w:tblGrid>
      <w:tr w:rsidR="000E76A0" w:rsidRPr="000E76A0" w14:paraId="5D0A7B7F" w14:textId="77777777" w:rsidTr="005F67DD">
        <w:tc>
          <w:tcPr>
            <w:tcW w:w="5000" w:type="pct"/>
            <w:gridSpan w:val="5"/>
            <w:shd w:val="clear" w:color="auto" w:fill="auto"/>
            <w:tcMar>
              <w:top w:w="72" w:type="dxa"/>
              <w:left w:w="144" w:type="dxa"/>
              <w:bottom w:w="72" w:type="dxa"/>
              <w:right w:w="144" w:type="dxa"/>
            </w:tcMar>
          </w:tcPr>
          <w:p w14:paraId="7FB8510E" w14:textId="7CEADC48" w:rsidR="002110C5" w:rsidRPr="000E76A0" w:rsidRDefault="002110C5" w:rsidP="007D451C">
            <w:pPr>
              <w:rPr>
                <w:sz w:val="16"/>
                <w:szCs w:val="16"/>
              </w:rPr>
            </w:pPr>
            <w:r w:rsidRPr="000E76A0">
              <w:rPr>
                <w:b/>
                <w:bCs/>
                <w:sz w:val="16"/>
                <w:szCs w:val="16"/>
              </w:rPr>
              <w:lastRenderedPageBreak/>
              <w:t xml:space="preserve">KNDP GOAL:  </w:t>
            </w:r>
            <w:r w:rsidRPr="000E76A0">
              <w:rPr>
                <w:rFonts w:cstheme="minorHAnsi"/>
                <w:sz w:val="20"/>
                <w:szCs w:val="20"/>
              </w:rPr>
              <w:t xml:space="preserve"> </w:t>
            </w:r>
            <w:r w:rsidRPr="000E76A0">
              <w:rPr>
                <w:rFonts w:cstheme="minorHAnsi"/>
                <w:sz w:val="16"/>
                <w:szCs w:val="16"/>
                <w:u w:val="single"/>
              </w:rPr>
              <w:t>Global Positioning:</w:t>
            </w:r>
            <w:r w:rsidRPr="000E76A0">
              <w:t xml:space="preserve"> </w:t>
            </w:r>
            <w:r w:rsidRPr="000E76A0">
              <w:rPr>
                <w:rFonts w:cstheme="minorHAnsi"/>
                <w:sz w:val="16"/>
                <w:szCs w:val="16"/>
              </w:rPr>
              <w:t>Enhance Kuwait’s regional and global presence in spheres such as diplomacy, trade, culture and philanthropy.</w:t>
            </w:r>
          </w:p>
        </w:tc>
      </w:tr>
      <w:tr w:rsidR="000E76A0" w:rsidRPr="000E76A0" w14:paraId="43D9EE97" w14:textId="77777777" w:rsidTr="005F67DD">
        <w:tc>
          <w:tcPr>
            <w:tcW w:w="5000" w:type="pct"/>
            <w:gridSpan w:val="5"/>
            <w:shd w:val="clear" w:color="auto" w:fill="auto"/>
            <w:tcMar>
              <w:top w:w="72" w:type="dxa"/>
              <w:left w:w="144" w:type="dxa"/>
              <w:bottom w:w="72" w:type="dxa"/>
              <w:right w:w="144" w:type="dxa"/>
            </w:tcMar>
          </w:tcPr>
          <w:p w14:paraId="7630A940" w14:textId="235CCAAC" w:rsidR="002110C5" w:rsidRPr="000E76A0" w:rsidRDefault="002110C5" w:rsidP="007D451C">
            <w:pPr>
              <w:rPr>
                <w:sz w:val="16"/>
                <w:szCs w:val="16"/>
              </w:rPr>
            </w:pPr>
            <w:r w:rsidRPr="000E76A0">
              <w:rPr>
                <w:b/>
                <w:bCs/>
                <w:sz w:val="16"/>
                <w:szCs w:val="16"/>
              </w:rPr>
              <w:t>UNS</w:t>
            </w:r>
            <w:r w:rsidR="00744331" w:rsidRPr="000E76A0">
              <w:rPr>
                <w:b/>
                <w:bCs/>
                <w:sz w:val="16"/>
                <w:szCs w:val="16"/>
              </w:rPr>
              <w:t>DC</w:t>
            </w:r>
            <w:r w:rsidRPr="000E76A0">
              <w:rPr>
                <w:b/>
                <w:bCs/>
                <w:sz w:val="16"/>
                <w:szCs w:val="16"/>
              </w:rPr>
              <w:t>F OUTCOME INVOLVING UNDP #6:</w:t>
            </w:r>
            <w:r w:rsidRPr="000E76A0">
              <w:rPr>
                <w:sz w:val="16"/>
                <w:szCs w:val="16"/>
              </w:rPr>
              <w:t xml:space="preserve">  </w:t>
            </w:r>
            <w:r w:rsidRPr="000E76A0">
              <w:rPr>
                <w:rFonts w:cstheme="minorHAnsi"/>
                <w:sz w:val="16"/>
                <w:szCs w:val="16"/>
              </w:rPr>
              <w:t xml:space="preserve"> By 2023, the State of Kuwait is a major player in global bodies and international cooperation efforts</w:t>
            </w:r>
          </w:p>
        </w:tc>
      </w:tr>
      <w:tr w:rsidR="000E76A0" w:rsidRPr="000E76A0" w14:paraId="790CA1EB" w14:textId="77777777" w:rsidTr="005F67DD">
        <w:tc>
          <w:tcPr>
            <w:tcW w:w="5000" w:type="pct"/>
            <w:gridSpan w:val="5"/>
            <w:shd w:val="clear" w:color="auto" w:fill="auto"/>
            <w:tcMar>
              <w:top w:w="72" w:type="dxa"/>
              <w:left w:w="144" w:type="dxa"/>
              <w:bottom w:w="72" w:type="dxa"/>
              <w:right w:w="144" w:type="dxa"/>
            </w:tcMar>
          </w:tcPr>
          <w:p w14:paraId="1AA2F7E4" w14:textId="77777777" w:rsidR="002110C5" w:rsidRPr="000E76A0" w:rsidRDefault="002110C5" w:rsidP="007D451C">
            <w:pPr>
              <w:rPr>
                <w:b/>
                <w:bCs/>
                <w:sz w:val="16"/>
                <w:szCs w:val="16"/>
              </w:rPr>
            </w:pPr>
            <w:r w:rsidRPr="000E76A0">
              <w:rPr>
                <w:b/>
                <w:bCs/>
                <w:sz w:val="16"/>
                <w:szCs w:val="16"/>
              </w:rPr>
              <w:t xml:space="preserve">RELATED STRATEGIC PLAN OUTCOME: </w:t>
            </w:r>
            <w:r w:rsidRPr="000E76A0">
              <w:rPr>
                <w:b/>
              </w:rPr>
              <w:t xml:space="preserve">  </w:t>
            </w:r>
            <w:r w:rsidRPr="000E76A0">
              <w:rPr>
                <w:sz w:val="16"/>
                <w:szCs w:val="16"/>
              </w:rPr>
              <w:t xml:space="preserve"> Accelerate structural transformations for sustainable development.</w:t>
            </w:r>
          </w:p>
        </w:tc>
      </w:tr>
      <w:tr w:rsidR="000E76A0" w:rsidRPr="000E76A0" w14:paraId="6F700A01" w14:textId="77777777" w:rsidTr="005F67DD">
        <w:tc>
          <w:tcPr>
            <w:tcW w:w="1097" w:type="pct"/>
            <w:shd w:val="clear" w:color="auto" w:fill="auto"/>
            <w:tcMar>
              <w:top w:w="72" w:type="dxa"/>
              <w:left w:w="144" w:type="dxa"/>
              <w:bottom w:w="72" w:type="dxa"/>
              <w:right w:w="144" w:type="dxa"/>
            </w:tcMar>
          </w:tcPr>
          <w:p w14:paraId="23A53C4B" w14:textId="2C967614" w:rsidR="002110C5" w:rsidRPr="000E76A0" w:rsidRDefault="002110C5" w:rsidP="007D451C">
            <w:pPr>
              <w:rPr>
                <w:i/>
                <w:iCs/>
                <w:sz w:val="16"/>
                <w:szCs w:val="16"/>
              </w:rPr>
            </w:pPr>
            <w:r w:rsidRPr="000E76A0">
              <w:rPr>
                <w:b/>
                <w:i/>
                <w:iCs/>
                <w:sz w:val="16"/>
                <w:szCs w:val="16"/>
              </w:rPr>
              <w:t>Indicator:</w:t>
            </w:r>
            <w:r w:rsidRPr="000E76A0">
              <w:rPr>
                <w:rFonts w:cstheme="minorHAnsi"/>
                <w:sz w:val="16"/>
                <w:szCs w:val="16"/>
              </w:rPr>
              <w:t xml:space="preserve">  Net official development assistance (as % </w:t>
            </w:r>
            <w:r w:rsidR="00744331" w:rsidRPr="000E76A0">
              <w:rPr>
                <w:rFonts w:cstheme="minorHAnsi"/>
                <w:sz w:val="16"/>
                <w:szCs w:val="16"/>
              </w:rPr>
              <w:t>gross national income</w:t>
            </w:r>
            <w:r w:rsidRPr="000E76A0">
              <w:rPr>
                <w:rFonts w:cstheme="minorHAnsi"/>
                <w:sz w:val="16"/>
                <w:szCs w:val="16"/>
              </w:rPr>
              <w:t>) (</w:t>
            </w:r>
            <w:r w:rsidR="008236A9" w:rsidRPr="000E76A0">
              <w:rPr>
                <w:rFonts w:cstheme="minorHAnsi"/>
                <w:sz w:val="16"/>
                <w:szCs w:val="16"/>
              </w:rPr>
              <w:t>Goal</w:t>
            </w:r>
            <w:r w:rsidRPr="000E76A0">
              <w:rPr>
                <w:rFonts w:cstheme="minorHAnsi"/>
                <w:sz w:val="16"/>
                <w:szCs w:val="16"/>
              </w:rPr>
              <w:t xml:space="preserve"> 17.2.1)</w:t>
            </w:r>
          </w:p>
          <w:p w14:paraId="1506C784" w14:textId="77777777" w:rsidR="002110C5" w:rsidRPr="000E76A0" w:rsidRDefault="002110C5" w:rsidP="007D451C">
            <w:pPr>
              <w:rPr>
                <w:i/>
                <w:iCs/>
                <w:sz w:val="16"/>
                <w:szCs w:val="16"/>
              </w:rPr>
            </w:pPr>
            <w:r w:rsidRPr="000E76A0">
              <w:rPr>
                <w:i/>
                <w:iCs/>
                <w:sz w:val="16"/>
                <w:szCs w:val="16"/>
              </w:rPr>
              <w:t xml:space="preserve">Baseline: </w:t>
            </w:r>
          </w:p>
          <w:p w14:paraId="4020C442" w14:textId="77777777" w:rsidR="002110C5" w:rsidRPr="000E76A0" w:rsidRDefault="002110C5" w:rsidP="007D451C">
            <w:pPr>
              <w:rPr>
                <w:i/>
                <w:iCs/>
                <w:sz w:val="16"/>
                <w:szCs w:val="16"/>
              </w:rPr>
            </w:pPr>
            <w:r w:rsidRPr="000E76A0">
              <w:rPr>
                <w:i/>
                <w:iCs/>
                <w:sz w:val="16"/>
                <w:szCs w:val="16"/>
              </w:rPr>
              <w:t xml:space="preserve">Target: </w:t>
            </w:r>
          </w:p>
          <w:p w14:paraId="4415DF62" w14:textId="77777777" w:rsidR="002110C5" w:rsidRPr="000E76A0" w:rsidRDefault="002110C5" w:rsidP="007D451C">
            <w:pPr>
              <w:rPr>
                <w:i/>
                <w:iCs/>
                <w:sz w:val="16"/>
                <w:szCs w:val="16"/>
              </w:rPr>
            </w:pPr>
          </w:p>
          <w:p w14:paraId="1627906A" w14:textId="77777777" w:rsidR="002110C5" w:rsidRPr="000E76A0" w:rsidRDefault="002110C5" w:rsidP="007D451C">
            <w:pPr>
              <w:rPr>
                <w:i/>
                <w:iCs/>
                <w:sz w:val="16"/>
                <w:szCs w:val="16"/>
              </w:rPr>
            </w:pPr>
          </w:p>
          <w:p w14:paraId="06DBF5DF" w14:textId="77777777" w:rsidR="002110C5" w:rsidRPr="000E76A0" w:rsidRDefault="002110C5" w:rsidP="007D451C">
            <w:pPr>
              <w:rPr>
                <w:i/>
                <w:iCs/>
                <w:sz w:val="16"/>
                <w:szCs w:val="16"/>
              </w:rPr>
            </w:pPr>
          </w:p>
          <w:p w14:paraId="3F742ACD" w14:textId="4A5E01D6" w:rsidR="002110C5" w:rsidRPr="000E76A0" w:rsidRDefault="002110C5" w:rsidP="007D451C">
            <w:pPr>
              <w:rPr>
                <w:i/>
                <w:iCs/>
                <w:sz w:val="16"/>
                <w:szCs w:val="16"/>
              </w:rPr>
            </w:pPr>
            <w:r w:rsidRPr="000E76A0">
              <w:rPr>
                <w:b/>
                <w:i/>
                <w:iCs/>
                <w:sz w:val="16"/>
                <w:szCs w:val="16"/>
              </w:rPr>
              <w:t>Indicator:</w:t>
            </w:r>
            <w:r w:rsidRPr="000E76A0">
              <w:rPr>
                <w:i/>
                <w:iCs/>
                <w:sz w:val="16"/>
                <w:szCs w:val="16"/>
              </w:rPr>
              <w:t xml:space="preserve"> </w:t>
            </w:r>
            <w:r w:rsidRPr="000E76A0">
              <w:rPr>
                <w:rFonts w:cstheme="minorHAnsi"/>
                <w:sz w:val="16"/>
                <w:szCs w:val="16"/>
              </w:rPr>
              <w:t xml:space="preserve">% Change </w:t>
            </w:r>
            <w:r w:rsidR="008236A9" w:rsidRPr="000E76A0">
              <w:rPr>
                <w:rFonts w:cstheme="minorHAnsi"/>
                <w:sz w:val="16"/>
                <w:szCs w:val="16"/>
              </w:rPr>
              <w:t xml:space="preserve">foreign direct investment </w:t>
            </w:r>
            <w:r w:rsidRPr="000E76A0">
              <w:rPr>
                <w:rFonts w:cstheme="minorHAnsi"/>
                <w:sz w:val="16"/>
                <w:szCs w:val="16"/>
              </w:rPr>
              <w:t xml:space="preserve">for </w:t>
            </w:r>
            <w:r w:rsidR="008236A9" w:rsidRPr="000E76A0">
              <w:rPr>
                <w:sz w:val="16"/>
                <w:szCs w:val="16"/>
              </w:rPr>
              <w:t>Sustainable Development Goal-</w:t>
            </w:r>
            <w:r w:rsidRPr="000E76A0">
              <w:rPr>
                <w:rFonts w:cstheme="minorHAnsi"/>
                <w:sz w:val="16"/>
                <w:szCs w:val="16"/>
              </w:rPr>
              <w:t>related initiatives in partner countries (</w:t>
            </w:r>
            <w:r w:rsidR="008236A9" w:rsidRPr="000E76A0">
              <w:rPr>
                <w:rFonts w:cstheme="minorHAnsi"/>
                <w:sz w:val="16"/>
                <w:szCs w:val="16"/>
              </w:rPr>
              <w:t>Goal</w:t>
            </w:r>
            <w:r w:rsidRPr="000E76A0">
              <w:rPr>
                <w:rFonts w:cstheme="minorHAnsi"/>
                <w:sz w:val="16"/>
                <w:szCs w:val="16"/>
              </w:rPr>
              <w:t xml:space="preserve"> 17.3.1)</w:t>
            </w:r>
          </w:p>
          <w:p w14:paraId="669ADC8D" w14:textId="77777777" w:rsidR="002110C5" w:rsidRPr="000E76A0" w:rsidRDefault="002110C5" w:rsidP="007D451C">
            <w:pPr>
              <w:rPr>
                <w:i/>
                <w:iCs/>
                <w:sz w:val="16"/>
                <w:szCs w:val="16"/>
              </w:rPr>
            </w:pPr>
            <w:r w:rsidRPr="000E76A0">
              <w:rPr>
                <w:i/>
                <w:iCs/>
                <w:sz w:val="16"/>
                <w:szCs w:val="16"/>
              </w:rPr>
              <w:t xml:space="preserve">Baseline: </w:t>
            </w:r>
          </w:p>
          <w:p w14:paraId="405AA719" w14:textId="77777777" w:rsidR="002110C5" w:rsidRPr="000E76A0" w:rsidRDefault="002110C5" w:rsidP="007D451C">
            <w:pPr>
              <w:rPr>
                <w:i/>
                <w:iCs/>
                <w:sz w:val="16"/>
                <w:szCs w:val="16"/>
              </w:rPr>
            </w:pPr>
            <w:r w:rsidRPr="000E76A0">
              <w:rPr>
                <w:i/>
                <w:iCs/>
                <w:sz w:val="16"/>
                <w:szCs w:val="16"/>
              </w:rPr>
              <w:t xml:space="preserve">Target: </w:t>
            </w:r>
          </w:p>
          <w:p w14:paraId="74734413" w14:textId="77777777" w:rsidR="009B553B" w:rsidRPr="000E76A0" w:rsidRDefault="009B553B" w:rsidP="007D451C">
            <w:pPr>
              <w:rPr>
                <w:i/>
                <w:iCs/>
                <w:sz w:val="16"/>
                <w:szCs w:val="16"/>
              </w:rPr>
            </w:pPr>
          </w:p>
          <w:p w14:paraId="7E6EC724" w14:textId="13795300" w:rsidR="009B553B" w:rsidRPr="000E76A0" w:rsidRDefault="009B553B" w:rsidP="009B553B">
            <w:pPr>
              <w:pStyle w:val="NormalWeb"/>
              <w:spacing w:before="0" w:beforeAutospacing="0" w:after="0" w:afterAutospacing="0"/>
              <w:rPr>
                <w:rFonts w:ascii="TimesNewRomanPSMT" w:hAnsi="TimesNewRomanPSMT" w:hint="eastAsia"/>
                <w:sz w:val="16"/>
                <w:szCs w:val="16"/>
              </w:rPr>
            </w:pPr>
            <w:r w:rsidRPr="000E76A0">
              <w:rPr>
                <w:rFonts w:ascii="TimesNewRomanPSMT" w:hAnsi="TimesNewRomanPSMT" w:hint="eastAsia"/>
                <w:b/>
                <w:bCs/>
                <w:i/>
                <w:iCs/>
                <w:sz w:val="16"/>
                <w:szCs w:val="16"/>
              </w:rPr>
              <w:t>Indicator:</w:t>
            </w:r>
            <w:r w:rsidRPr="000E76A0">
              <w:rPr>
                <w:rFonts w:ascii="TimesNewRomanPSMT" w:hAnsi="TimesNewRomanPSMT"/>
                <w:sz w:val="16"/>
                <w:szCs w:val="16"/>
              </w:rPr>
              <w:t xml:space="preserve">  </w:t>
            </w:r>
            <w:r w:rsidRPr="000E76A0">
              <w:rPr>
                <w:rFonts w:ascii="TimesNewRomanPSMT" w:hAnsi="TimesNewRomanPSMT" w:hint="eastAsia"/>
                <w:sz w:val="16"/>
                <w:szCs w:val="16"/>
              </w:rPr>
              <w:t xml:space="preserve">Dollar value of financial and technical assistance (including through North-South, South-South and triangular cooperation) committed to developing countries </w:t>
            </w:r>
            <w:r w:rsidRPr="000E76A0">
              <w:rPr>
                <w:rFonts w:ascii="TimesNewRomanPSMT" w:hAnsi="TimesNewRomanPSMT"/>
                <w:sz w:val="16"/>
                <w:szCs w:val="16"/>
              </w:rPr>
              <w:t>(</w:t>
            </w:r>
            <w:r w:rsidR="008236A9" w:rsidRPr="000E76A0">
              <w:rPr>
                <w:rFonts w:ascii="TimesNewRomanPSMT" w:hAnsi="TimesNewRomanPSMT"/>
                <w:sz w:val="16"/>
                <w:szCs w:val="16"/>
              </w:rPr>
              <w:t>Goal</w:t>
            </w:r>
            <w:r w:rsidRPr="000E76A0">
              <w:rPr>
                <w:rFonts w:ascii="TimesNewRomanPSMT" w:hAnsi="TimesNewRomanPSMT"/>
                <w:sz w:val="16"/>
                <w:szCs w:val="16"/>
              </w:rPr>
              <w:t xml:space="preserve"> 17.9.1)</w:t>
            </w:r>
          </w:p>
          <w:p w14:paraId="48B342A7" w14:textId="2F53236B" w:rsidR="009B553B" w:rsidRPr="000E76A0" w:rsidRDefault="009B553B" w:rsidP="009B553B">
            <w:pPr>
              <w:pStyle w:val="NormalWeb"/>
              <w:spacing w:before="0" w:beforeAutospacing="0" w:after="0" w:afterAutospacing="0"/>
              <w:rPr>
                <w:rFonts w:ascii="TimesNewRomanPSMT" w:hAnsi="TimesNewRomanPSMT" w:hint="eastAsia"/>
                <w:i/>
                <w:iCs/>
                <w:sz w:val="16"/>
                <w:szCs w:val="16"/>
              </w:rPr>
            </w:pPr>
            <w:r w:rsidRPr="000E76A0">
              <w:rPr>
                <w:rFonts w:ascii="TimesNewRomanPSMT" w:hAnsi="TimesNewRomanPSMT" w:hint="eastAsia"/>
                <w:i/>
                <w:iCs/>
                <w:sz w:val="16"/>
                <w:szCs w:val="16"/>
              </w:rPr>
              <w:t>Baseline:</w:t>
            </w:r>
          </w:p>
          <w:p w14:paraId="238289D4" w14:textId="40B3FD1D" w:rsidR="009B553B" w:rsidRPr="000E76A0" w:rsidRDefault="009B553B" w:rsidP="005E2211">
            <w:pPr>
              <w:pStyle w:val="NormalWeb"/>
              <w:spacing w:before="0" w:beforeAutospacing="0" w:after="0" w:afterAutospacing="0"/>
              <w:rPr>
                <w:i/>
                <w:iCs/>
                <w:sz w:val="16"/>
                <w:szCs w:val="16"/>
              </w:rPr>
            </w:pPr>
            <w:r w:rsidRPr="000E76A0">
              <w:rPr>
                <w:i/>
                <w:iCs/>
                <w:sz w:val="16"/>
                <w:szCs w:val="16"/>
              </w:rPr>
              <w:t>Target:</w:t>
            </w:r>
          </w:p>
          <w:p w14:paraId="5E0C0482" w14:textId="70C94544" w:rsidR="009B553B" w:rsidRPr="000E76A0" w:rsidRDefault="009B553B" w:rsidP="007D451C">
            <w:pPr>
              <w:rPr>
                <w:i/>
                <w:iCs/>
                <w:sz w:val="16"/>
                <w:szCs w:val="16"/>
              </w:rPr>
            </w:pPr>
          </w:p>
        </w:tc>
        <w:tc>
          <w:tcPr>
            <w:tcW w:w="1178" w:type="pct"/>
            <w:shd w:val="clear" w:color="auto" w:fill="auto"/>
          </w:tcPr>
          <w:p w14:paraId="75CC5777" w14:textId="2CD9A8E1" w:rsidR="002110C5" w:rsidRPr="000E76A0" w:rsidRDefault="005A333B" w:rsidP="007D451C">
            <w:pPr>
              <w:rPr>
                <w:iCs/>
                <w:sz w:val="16"/>
                <w:szCs w:val="16"/>
              </w:rPr>
            </w:pPr>
            <w:r w:rsidRPr="000E76A0">
              <w:rPr>
                <w:iCs/>
                <w:sz w:val="16"/>
                <w:szCs w:val="16"/>
              </w:rPr>
              <w:t xml:space="preserve">Ministry of Foreign Affairs, </w:t>
            </w:r>
            <w:r w:rsidR="00721B2C" w:rsidRPr="000E76A0">
              <w:rPr>
                <w:iCs/>
                <w:sz w:val="16"/>
                <w:szCs w:val="16"/>
              </w:rPr>
              <w:t xml:space="preserve">GSSCPD, </w:t>
            </w:r>
            <w:r w:rsidRPr="000E76A0">
              <w:rPr>
                <w:iCs/>
                <w:sz w:val="16"/>
                <w:szCs w:val="16"/>
              </w:rPr>
              <w:t xml:space="preserve">UNDP (Biannually) </w:t>
            </w:r>
          </w:p>
          <w:p w14:paraId="309C8874" w14:textId="002BA58F" w:rsidR="005A333B" w:rsidRPr="000E76A0" w:rsidRDefault="005A333B" w:rsidP="007D451C">
            <w:pPr>
              <w:rPr>
                <w:i/>
                <w:iCs/>
                <w:sz w:val="16"/>
                <w:szCs w:val="16"/>
              </w:rPr>
            </w:pPr>
          </w:p>
          <w:p w14:paraId="257B0324" w14:textId="7B344BA6" w:rsidR="005A333B" w:rsidRPr="000E76A0" w:rsidRDefault="005A333B" w:rsidP="007D451C">
            <w:pPr>
              <w:rPr>
                <w:i/>
                <w:iCs/>
                <w:sz w:val="16"/>
                <w:szCs w:val="16"/>
              </w:rPr>
            </w:pPr>
          </w:p>
          <w:p w14:paraId="20472A26" w14:textId="6528BD9B" w:rsidR="005A333B" w:rsidRPr="000E76A0" w:rsidRDefault="005A333B" w:rsidP="007D451C">
            <w:pPr>
              <w:rPr>
                <w:i/>
                <w:iCs/>
                <w:sz w:val="16"/>
                <w:szCs w:val="16"/>
              </w:rPr>
            </w:pPr>
          </w:p>
          <w:p w14:paraId="66FEE049" w14:textId="5AEF4FD2" w:rsidR="005A333B" w:rsidRPr="000E76A0" w:rsidRDefault="005A333B" w:rsidP="007D451C">
            <w:pPr>
              <w:rPr>
                <w:i/>
                <w:iCs/>
                <w:sz w:val="16"/>
                <w:szCs w:val="16"/>
              </w:rPr>
            </w:pPr>
          </w:p>
          <w:p w14:paraId="29D61C6F" w14:textId="160D8C71" w:rsidR="005A333B" w:rsidRPr="000E76A0" w:rsidRDefault="005A333B" w:rsidP="007D451C">
            <w:pPr>
              <w:rPr>
                <w:i/>
                <w:iCs/>
                <w:sz w:val="16"/>
                <w:szCs w:val="16"/>
              </w:rPr>
            </w:pPr>
          </w:p>
          <w:p w14:paraId="20D194C8" w14:textId="23458C4F" w:rsidR="005A333B" w:rsidRPr="000E76A0" w:rsidRDefault="005A333B" w:rsidP="007D451C">
            <w:pPr>
              <w:rPr>
                <w:i/>
                <w:iCs/>
                <w:sz w:val="16"/>
                <w:szCs w:val="16"/>
              </w:rPr>
            </w:pPr>
          </w:p>
          <w:p w14:paraId="3E246966" w14:textId="15EC3876" w:rsidR="005A333B" w:rsidRPr="000E76A0" w:rsidRDefault="005A333B" w:rsidP="007D451C">
            <w:pPr>
              <w:rPr>
                <w:i/>
                <w:iCs/>
                <w:sz w:val="16"/>
                <w:szCs w:val="16"/>
              </w:rPr>
            </w:pPr>
          </w:p>
          <w:p w14:paraId="223EC882" w14:textId="5D9EDB32" w:rsidR="005A333B" w:rsidRPr="000E76A0" w:rsidRDefault="005A333B" w:rsidP="007D451C">
            <w:pPr>
              <w:rPr>
                <w:i/>
                <w:iCs/>
                <w:sz w:val="16"/>
                <w:szCs w:val="16"/>
              </w:rPr>
            </w:pPr>
          </w:p>
          <w:p w14:paraId="324C014E" w14:textId="28DAD5A5" w:rsidR="005A333B" w:rsidRPr="000E76A0" w:rsidRDefault="005A333B" w:rsidP="007D451C">
            <w:pPr>
              <w:rPr>
                <w:i/>
                <w:iCs/>
                <w:sz w:val="16"/>
                <w:szCs w:val="16"/>
              </w:rPr>
            </w:pPr>
          </w:p>
          <w:p w14:paraId="6E42D947" w14:textId="15967DCB" w:rsidR="005A333B" w:rsidRPr="000E76A0" w:rsidRDefault="005A333B" w:rsidP="007D451C">
            <w:pPr>
              <w:rPr>
                <w:i/>
                <w:iCs/>
                <w:sz w:val="16"/>
                <w:szCs w:val="16"/>
              </w:rPr>
            </w:pPr>
          </w:p>
          <w:p w14:paraId="4964981B" w14:textId="332C28F7" w:rsidR="005A333B" w:rsidRPr="000E76A0" w:rsidRDefault="005A333B" w:rsidP="007D451C">
            <w:pPr>
              <w:rPr>
                <w:i/>
                <w:iCs/>
                <w:sz w:val="16"/>
                <w:szCs w:val="16"/>
              </w:rPr>
            </w:pPr>
          </w:p>
          <w:p w14:paraId="402C4773" w14:textId="7DBDD7B2" w:rsidR="005A333B" w:rsidRPr="000E76A0" w:rsidRDefault="005A333B" w:rsidP="007D451C">
            <w:pPr>
              <w:rPr>
                <w:i/>
                <w:iCs/>
                <w:sz w:val="16"/>
                <w:szCs w:val="16"/>
              </w:rPr>
            </w:pPr>
          </w:p>
          <w:p w14:paraId="7708CE75" w14:textId="27E55604" w:rsidR="005A333B" w:rsidRPr="000E76A0" w:rsidRDefault="005A333B" w:rsidP="007D451C">
            <w:pPr>
              <w:rPr>
                <w:i/>
                <w:iCs/>
                <w:sz w:val="16"/>
                <w:szCs w:val="16"/>
              </w:rPr>
            </w:pPr>
          </w:p>
          <w:p w14:paraId="2421A681" w14:textId="39FD6E8B" w:rsidR="005A333B" w:rsidRPr="000E76A0" w:rsidRDefault="005A333B" w:rsidP="007D451C">
            <w:pPr>
              <w:rPr>
                <w:i/>
                <w:iCs/>
                <w:sz w:val="16"/>
                <w:szCs w:val="16"/>
              </w:rPr>
            </w:pPr>
          </w:p>
          <w:p w14:paraId="4A868F81" w14:textId="273C2CDE" w:rsidR="005A333B" w:rsidRPr="000E76A0" w:rsidRDefault="005A333B" w:rsidP="007D451C">
            <w:pPr>
              <w:rPr>
                <w:i/>
                <w:iCs/>
                <w:sz w:val="16"/>
                <w:szCs w:val="16"/>
              </w:rPr>
            </w:pPr>
          </w:p>
          <w:p w14:paraId="4A9214CB" w14:textId="613488E9" w:rsidR="005A333B" w:rsidRPr="000E76A0" w:rsidRDefault="005A333B" w:rsidP="007D451C">
            <w:pPr>
              <w:rPr>
                <w:i/>
                <w:iCs/>
                <w:sz w:val="16"/>
                <w:szCs w:val="16"/>
              </w:rPr>
            </w:pPr>
          </w:p>
          <w:p w14:paraId="18A449B5" w14:textId="77777777" w:rsidR="005A333B" w:rsidRPr="000E76A0" w:rsidRDefault="005A333B" w:rsidP="007D451C">
            <w:pPr>
              <w:rPr>
                <w:i/>
                <w:iCs/>
                <w:sz w:val="16"/>
                <w:szCs w:val="16"/>
              </w:rPr>
            </w:pPr>
          </w:p>
          <w:p w14:paraId="19BDCE49" w14:textId="77777777" w:rsidR="00363BCE" w:rsidRPr="000E76A0" w:rsidRDefault="00363BCE" w:rsidP="007D451C">
            <w:pPr>
              <w:rPr>
                <w:iCs/>
                <w:sz w:val="16"/>
                <w:szCs w:val="16"/>
              </w:rPr>
            </w:pPr>
          </w:p>
          <w:p w14:paraId="005123B5" w14:textId="77777777" w:rsidR="00363BCE" w:rsidRPr="000E76A0" w:rsidRDefault="00363BCE" w:rsidP="007D451C">
            <w:pPr>
              <w:rPr>
                <w:iCs/>
                <w:sz w:val="16"/>
                <w:szCs w:val="16"/>
              </w:rPr>
            </w:pPr>
          </w:p>
          <w:p w14:paraId="37E93B1F" w14:textId="0BF4F642" w:rsidR="002110C5" w:rsidRPr="000E76A0" w:rsidRDefault="005A333B" w:rsidP="002611DF">
            <w:pPr>
              <w:rPr>
                <w:iCs/>
                <w:sz w:val="16"/>
                <w:szCs w:val="16"/>
              </w:rPr>
            </w:pPr>
            <w:r w:rsidRPr="000E76A0">
              <w:rPr>
                <w:iCs/>
                <w:sz w:val="16"/>
                <w:szCs w:val="16"/>
              </w:rPr>
              <w:t xml:space="preserve">Ministry of Foreign </w:t>
            </w:r>
            <w:r w:rsidR="00FA14BD" w:rsidRPr="000E76A0">
              <w:rPr>
                <w:iCs/>
                <w:sz w:val="16"/>
                <w:szCs w:val="16"/>
              </w:rPr>
              <w:t>Affairs, GSSCPD</w:t>
            </w:r>
            <w:r w:rsidRPr="000E76A0">
              <w:rPr>
                <w:iCs/>
                <w:sz w:val="16"/>
                <w:szCs w:val="16"/>
              </w:rPr>
              <w:t xml:space="preserve"> </w:t>
            </w:r>
            <w:r w:rsidR="00FA14BD" w:rsidRPr="000E76A0">
              <w:rPr>
                <w:iCs/>
                <w:sz w:val="16"/>
                <w:szCs w:val="16"/>
              </w:rPr>
              <w:t>and UNDP</w:t>
            </w:r>
            <w:r w:rsidRPr="000E76A0">
              <w:rPr>
                <w:iCs/>
                <w:sz w:val="16"/>
                <w:szCs w:val="16"/>
              </w:rPr>
              <w:t xml:space="preserve"> (Biannually)</w:t>
            </w:r>
          </w:p>
        </w:tc>
        <w:tc>
          <w:tcPr>
            <w:tcW w:w="1092" w:type="pct"/>
            <w:shd w:val="clear" w:color="auto" w:fill="auto"/>
            <w:tcMar>
              <w:top w:w="72" w:type="dxa"/>
              <w:left w:w="144" w:type="dxa"/>
              <w:bottom w:w="72" w:type="dxa"/>
              <w:right w:w="144" w:type="dxa"/>
            </w:tcMar>
          </w:tcPr>
          <w:p w14:paraId="53A22866" w14:textId="4D6BD44A" w:rsidR="002110C5" w:rsidRPr="000E76A0" w:rsidRDefault="002110C5" w:rsidP="007D451C">
            <w:pPr>
              <w:rPr>
                <w:sz w:val="16"/>
                <w:szCs w:val="16"/>
              </w:rPr>
            </w:pPr>
            <w:r w:rsidRPr="000E76A0">
              <w:rPr>
                <w:b/>
                <w:sz w:val="16"/>
                <w:szCs w:val="16"/>
              </w:rPr>
              <w:t xml:space="preserve">Output </w:t>
            </w:r>
            <w:r w:rsidR="00065079" w:rsidRPr="000E76A0">
              <w:rPr>
                <w:b/>
                <w:sz w:val="16"/>
                <w:szCs w:val="16"/>
              </w:rPr>
              <w:t>2.1</w:t>
            </w:r>
            <w:r w:rsidRPr="000E76A0">
              <w:rPr>
                <w:b/>
                <w:sz w:val="16"/>
                <w:szCs w:val="16"/>
              </w:rPr>
              <w:t xml:space="preserve">:   Communication for Kuwait’s development assistance to other countries enhanced </w:t>
            </w:r>
          </w:p>
          <w:p w14:paraId="44ED92A0" w14:textId="77777777" w:rsidR="00065079" w:rsidRPr="000E76A0" w:rsidRDefault="00065079" w:rsidP="007D451C">
            <w:pPr>
              <w:rPr>
                <w:b/>
                <w:sz w:val="16"/>
                <w:szCs w:val="16"/>
              </w:rPr>
            </w:pPr>
          </w:p>
          <w:p w14:paraId="0EF4B9E2" w14:textId="1B0B09AB" w:rsidR="002110C5" w:rsidRPr="000E76A0" w:rsidRDefault="002110C5" w:rsidP="007D451C">
            <w:pPr>
              <w:rPr>
                <w:rFonts w:cstheme="minorHAnsi"/>
                <w:sz w:val="16"/>
                <w:szCs w:val="16"/>
              </w:rPr>
            </w:pPr>
            <w:r w:rsidRPr="000E76A0">
              <w:rPr>
                <w:b/>
                <w:sz w:val="16"/>
                <w:szCs w:val="16"/>
              </w:rPr>
              <w:t xml:space="preserve">Indicator </w:t>
            </w:r>
            <w:r w:rsidR="00065079" w:rsidRPr="000E76A0">
              <w:rPr>
                <w:b/>
                <w:sz w:val="16"/>
                <w:szCs w:val="16"/>
              </w:rPr>
              <w:t>2.1.1:</w:t>
            </w:r>
            <w:r w:rsidRPr="000E76A0">
              <w:rPr>
                <w:sz w:val="16"/>
                <w:szCs w:val="16"/>
              </w:rPr>
              <w:t xml:space="preserve"> </w:t>
            </w:r>
            <w:r w:rsidRPr="000E76A0">
              <w:rPr>
                <w:rFonts w:cstheme="minorHAnsi"/>
                <w:sz w:val="16"/>
                <w:szCs w:val="16"/>
              </w:rPr>
              <w:t xml:space="preserve"> </w:t>
            </w:r>
            <w:r w:rsidR="00065079" w:rsidRPr="000E76A0">
              <w:rPr>
                <w:rFonts w:cstheme="minorHAnsi"/>
                <w:sz w:val="16"/>
                <w:szCs w:val="16"/>
              </w:rPr>
              <w:t>Knowledge p</w:t>
            </w:r>
            <w:r w:rsidRPr="000E76A0">
              <w:rPr>
                <w:rFonts w:cstheme="minorHAnsi"/>
                <w:sz w:val="16"/>
                <w:szCs w:val="16"/>
              </w:rPr>
              <w:t>latform</w:t>
            </w:r>
            <w:r w:rsidR="00905016" w:rsidRPr="000E76A0">
              <w:rPr>
                <w:rFonts w:cstheme="minorHAnsi"/>
                <w:sz w:val="16"/>
                <w:szCs w:val="16"/>
              </w:rPr>
              <w:t>/</w:t>
            </w:r>
            <w:r w:rsidR="00FA14BD" w:rsidRPr="000E76A0">
              <w:rPr>
                <w:rFonts w:cstheme="minorHAnsi"/>
                <w:sz w:val="16"/>
                <w:szCs w:val="16"/>
              </w:rPr>
              <w:t>centre</w:t>
            </w:r>
            <w:r w:rsidRPr="000E76A0">
              <w:rPr>
                <w:rFonts w:cstheme="minorHAnsi"/>
                <w:sz w:val="16"/>
                <w:szCs w:val="16"/>
              </w:rPr>
              <w:t xml:space="preserve"> established and operational for Kuwait</w:t>
            </w:r>
            <w:r w:rsidR="00065079" w:rsidRPr="000E76A0">
              <w:rPr>
                <w:rFonts w:cstheme="minorHAnsi"/>
                <w:sz w:val="16"/>
                <w:szCs w:val="16"/>
              </w:rPr>
              <w:t xml:space="preserve"> government entities,</w:t>
            </w:r>
            <w:r w:rsidRPr="000E76A0">
              <w:rPr>
                <w:rFonts w:cstheme="minorHAnsi"/>
                <w:sz w:val="16"/>
                <w:szCs w:val="16"/>
              </w:rPr>
              <w:t xml:space="preserve"> foundations and civil society </w:t>
            </w:r>
            <w:r w:rsidR="00065079" w:rsidRPr="000E76A0">
              <w:rPr>
                <w:rFonts w:cstheme="minorHAnsi"/>
                <w:sz w:val="16"/>
                <w:szCs w:val="16"/>
              </w:rPr>
              <w:t xml:space="preserve">to help them </w:t>
            </w:r>
            <w:r w:rsidR="0040693F" w:rsidRPr="000E76A0">
              <w:rPr>
                <w:rFonts w:cstheme="minorHAnsi"/>
                <w:sz w:val="16"/>
                <w:szCs w:val="16"/>
              </w:rPr>
              <w:t>support other</w:t>
            </w:r>
            <w:r w:rsidRPr="000E76A0">
              <w:rPr>
                <w:rFonts w:cstheme="minorHAnsi"/>
                <w:sz w:val="16"/>
                <w:szCs w:val="16"/>
              </w:rPr>
              <w:t xml:space="preserve"> countries </w:t>
            </w:r>
          </w:p>
          <w:p w14:paraId="5D8BCAFF" w14:textId="77777777" w:rsidR="002110C5" w:rsidRPr="000E76A0" w:rsidRDefault="002110C5" w:rsidP="007D451C">
            <w:pPr>
              <w:rPr>
                <w:sz w:val="16"/>
                <w:szCs w:val="16"/>
              </w:rPr>
            </w:pPr>
            <w:r w:rsidRPr="000E76A0">
              <w:rPr>
                <w:sz w:val="16"/>
                <w:szCs w:val="16"/>
              </w:rPr>
              <w:t>Baseline: 0</w:t>
            </w:r>
          </w:p>
          <w:p w14:paraId="56F785CE" w14:textId="3F61DA31" w:rsidR="002110C5" w:rsidRPr="000E76A0" w:rsidRDefault="002110C5" w:rsidP="007D451C">
            <w:pPr>
              <w:rPr>
                <w:sz w:val="16"/>
                <w:szCs w:val="16"/>
              </w:rPr>
            </w:pPr>
            <w:r w:rsidRPr="000E76A0">
              <w:rPr>
                <w:sz w:val="16"/>
                <w:szCs w:val="16"/>
              </w:rPr>
              <w:t>Target: 1</w:t>
            </w:r>
            <w:r w:rsidR="00363BCE" w:rsidRPr="000E76A0">
              <w:rPr>
                <w:sz w:val="16"/>
                <w:szCs w:val="16"/>
              </w:rPr>
              <w:t xml:space="preserve"> (2020)</w:t>
            </w:r>
            <w:r w:rsidRPr="000E76A0">
              <w:rPr>
                <w:sz w:val="16"/>
                <w:szCs w:val="16"/>
              </w:rPr>
              <w:br/>
              <w:t>Source: GSSCPD</w:t>
            </w:r>
            <w:r w:rsidR="00065079" w:rsidRPr="000E76A0">
              <w:rPr>
                <w:sz w:val="16"/>
                <w:szCs w:val="16"/>
              </w:rPr>
              <w:t>, MOFA</w:t>
            </w:r>
            <w:r w:rsidR="00B218F2" w:rsidRPr="000E76A0">
              <w:rPr>
                <w:sz w:val="16"/>
                <w:szCs w:val="16"/>
              </w:rPr>
              <w:t xml:space="preserve"> and UNDP </w:t>
            </w:r>
          </w:p>
          <w:p w14:paraId="70D522A0" w14:textId="77777777" w:rsidR="002110C5" w:rsidRPr="000E76A0" w:rsidRDefault="002110C5" w:rsidP="007D451C">
            <w:pPr>
              <w:rPr>
                <w:sz w:val="16"/>
                <w:szCs w:val="16"/>
              </w:rPr>
            </w:pPr>
          </w:p>
          <w:p w14:paraId="3B9E3874" w14:textId="39600E24" w:rsidR="002110C5" w:rsidRPr="000E76A0" w:rsidRDefault="002110C5" w:rsidP="007D451C">
            <w:pPr>
              <w:rPr>
                <w:sz w:val="16"/>
                <w:szCs w:val="16"/>
              </w:rPr>
            </w:pPr>
            <w:r w:rsidRPr="000E76A0">
              <w:rPr>
                <w:b/>
                <w:sz w:val="16"/>
                <w:szCs w:val="16"/>
              </w:rPr>
              <w:t>Indicator</w:t>
            </w:r>
            <w:r w:rsidR="00363BCE" w:rsidRPr="000E76A0">
              <w:rPr>
                <w:b/>
                <w:sz w:val="16"/>
                <w:szCs w:val="16"/>
              </w:rPr>
              <w:t xml:space="preserve"> 2.1.2</w:t>
            </w:r>
            <w:r w:rsidRPr="000E76A0">
              <w:rPr>
                <w:sz w:val="16"/>
                <w:szCs w:val="16"/>
              </w:rPr>
              <w:t xml:space="preserve">: Number of reports </w:t>
            </w:r>
            <w:r w:rsidR="00363BCE" w:rsidRPr="000E76A0">
              <w:rPr>
                <w:sz w:val="16"/>
                <w:szCs w:val="16"/>
              </w:rPr>
              <w:t xml:space="preserve">developed </w:t>
            </w:r>
            <w:r w:rsidRPr="000E76A0">
              <w:rPr>
                <w:sz w:val="16"/>
                <w:szCs w:val="16"/>
              </w:rPr>
              <w:t xml:space="preserve">on Kuwait’s development assistance </w:t>
            </w:r>
          </w:p>
          <w:p w14:paraId="3FE89C5F" w14:textId="77777777" w:rsidR="002110C5" w:rsidRPr="000E76A0" w:rsidRDefault="002110C5" w:rsidP="007D451C">
            <w:pPr>
              <w:rPr>
                <w:sz w:val="16"/>
                <w:szCs w:val="16"/>
              </w:rPr>
            </w:pPr>
            <w:r w:rsidRPr="000E76A0">
              <w:rPr>
                <w:sz w:val="16"/>
                <w:szCs w:val="16"/>
              </w:rPr>
              <w:t>Baseline: 0</w:t>
            </w:r>
          </w:p>
          <w:p w14:paraId="59C3C75F" w14:textId="350B4316" w:rsidR="002110C5" w:rsidRPr="000E76A0" w:rsidRDefault="002110C5" w:rsidP="007D451C">
            <w:pPr>
              <w:rPr>
                <w:sz w:val="16"/>
                <w:szCs w:val="16"/>
              </w:rPr>
            </w:pPr>
            <w:r w:rsidRPr="000E76A0">
              <w:rPr>
                <w:sz w:val="16"/>
                <w:szCs w:val="16"/>
              </w:rPr>
              <w:t xml:space="preserve">Target: </w:t>
            </w:r>
            <w:r w:rsidR="00363BCE" w:rsidRPr="000E76A0">
              <w:rPr>
                <w:sz w:val="16"/>
                <w:szCs w:val="16"/>
              </w:rPr>
              <w:t>3</w:t>
            </w:r>
            <w:r w:rsidRPr="000E76A0">
              <w:rPr>
                <w:sz w:val="16"/>
                <w:szCs w:val="16"/>
              </w:rPr>
              <w:br/>
              <w:t>Source: GSSCPD</w:t>
            </w:r>
            <w:r w:rsidR="00B218F2" w:rsidRPr="000E76A0">
              <w:rPr>
                <w:sz w:val="16"/>
                <w:szCs w:val="16"/>
              </w:rPr>
              <w:t xml:space="preserve">, MOFA and UNDP </w:t>
            </w:r>
          </w:p>
          <w:p w14:paraId="46C45FB4" w14:textId="77777777" w:rsidR="002110C5" w:rsidRPr="000E76A0" w:rsidRDefault="002110C5" w:rsidP="007D451C">
            <w:pPr>
              <w:rPr>
                <w:sz w:val="16"/>
                <w:szCs w:val="16"/>
              </w:rPr>
            </w:pPr>
          </w:p>
          <w:p w14:paraId="76984E36" w14:textId="020173C3" w:rsidR="002110C5" w:rsidRPr="000E76A0" w:rsidRDefault="002110C5" w:rsidP="007D451C">
            <w:pPr>
              <w:rPr>
                <w:b/>
                <w:sz w:val="16"/>
                <w:szCs w:val="16"/>
              </w:rPr>
            </w:pPr>
            <w:r w:rsidRPr="000E76A0">
              <w:rPr>
                <w:b/>
                <w:sz w:val="16"/>
                <w:szCs w:val="16"/>
              </w:rPr>
              <w:t xml:space="preserve">Output </w:t>
            </w:r>
            <w:r w:rsidR="00721B2C" w:rsidRPr="000E76A0">
              <w:rPr>
                <w:b/>
                <w:sz w:val="16"/>
                <w:szCs w:val="16"/>
              </w:rPr>
              <w:t>2.2</w:t>
            </w:r>
            <w:r w:rsidRPr="000E76A0">
              <w:rPr>
                <w:b/>
                <w:sz w:val="16"/>
                <w:szCs w:val="16"/>
              </w:rPr>
              <w:t xml:space="preserve">:   </w:t>
            </w:r>
            <w:r w:rsidR="000B24C1" w:rsidRPr="000E76A0">
              <w:rPr>
                <w:b/>
                <w:sz w:val="16"/>
                <w:szCs w:val="16"/>
              </w:rPr>
              <w:t xml:space="preserve">South-South and triangular cooperation </w:t>
            </w:r>
            <w:r w:rsidRPr="000E76A0">
              <w:rPr>
                <w:b/>
                <w:sz w:val="16"/>
                <w:szCs w:val="16"/>
              </w:rPr>
              <w:t>initiatives promoted to contribute to development solutions.</w:t>
            </w:r>
          </w:p>
          <w:p w14:paraId="4BFD54F1" w14:textId="77777777" w:rsidR="002110C5" w:rsidRPr="000E76A0" w:rsidRDefault="002110C5" w:rsidP="007D451C">
            <w:pPr>
              <w:rPr>
                <w:sz w:val="16"/>
                <w:szCs w:val="16"/>
              </w:rPr>
            </w:pPr>
          </w:p>
          <w:p w14:paraId="50B08DF9" w14:textId="75AD98A7" w:rsidR="002110C5" w:rsidRPr="000E76A0" w:rsidRDefault="002110C5" w:rsidP="007D451C">
            <w:pPr>
              <w:rPr>
                <w:rFonts w:cstheme="minorHAnsi"/>
                <w:sz w:val="16"/>
                <w:szCs w:val="16"/>
              </w:rPr>
            </w:pPr>
            <w:r w:rsidRPr="000E76A0">
              <w:rPr>
                <w:b/>
                <w:sz w:val="16"/>
                <w:szCs w:val="16"/>
              </w:rPr>
              <w:t xml:space="preserve">Indicator </w:t>
            </w:r>
            <w:r w:rsidR="00721B2C" w:rsidRPr="000E76A0">
              <w:rPr>
                <w:b/>
                <w:sz w:val="16"/>
                <w:szCs w:val="16"/>
              </w:rPr>
              <w:t>2.2.1:</w:t>
            </w:r>
            <w:r w:rsidRPr="000E76A0">
              <w:rPr>
                <w:sz w:val="16"/>
                <w:szCs w:val="16"/>
              </w:rPr>
              <w:t xml:space="preserve">  </w:t>
            </w:r>
            <w:r w:rsidRPr="000E76A0">
              <w:rPr>
                <w:rFonts w:cstheme="minorHAnsi"/>
                <w:sz w:val="16"/>
                <w:szCs w:val="16"/>
              </w:rPr>
              <w:t xml:space="preserve"> Number of </w:t>
            </w:r>
            <w:r w:rsidR="009B553B" w:rsidRPr="000E76A0">
              <w:rPr>
                <w:rFonts w:cstheme="minorHAnsi"/>
                <w:sz w:val="16"/>
                <w:szCs w:val="16"/>
              </w:rPr>
              <w:t xml:space="preserve">South-South </w:t>
            </w:r>
            <w:r w:rsidRPr="000E76A0">
              <w:rPr>
                <w:rFonts w:cstheme="minorHAnsi"/>
                <w:sz w:val="16"/>
                <w:szCs w:val="16"/>
              </w:rPr>
              <w:t>initiatives established between Kuwait and counterpart entities to support</w:t>
            </w:r>
            <w:r w:rsidR="009B553B" w:rsidRPr="000E76A0">
              <w:rPr>
                <w:rFonts w:cstheme="minorHAnsi"/>
                <w:sz w:val="16"/>
                <w:szCs w:val="16"/>
              </w:rPr>
              <w:t xml:space="preserve"> </w:t>
            </w:r>
            <w:r w:rsidR="00721B2C" w:rsidRPr="000E76A0">
              <w:rPr>
                <w:rFonts w:cstheme="minorHAnsi"/>
                <w:sz w:val="16"/>
                <w:szCs w:val="16"/>
              </w:rPr>
              <w:t>HDP nexus, stabilization and conflict prevention.</w:t>
            </w:r>
          </w:p>
          <w:p w14:paraId="20435CEE" w14:textId="77777777" w:rsidR="002110C5" w:rsidRPr="000E76A0" w:rsidRDefault="002110C5" w:rsidP="007D451C">
            <w:pPr>
              <w:rPr>
                <w:sz w:val="16"/>
                <w:szCs w:val="16"/>
              </w:rPr>
            </w:pPr>
            <w:r w:rsidRPr="000E76A0">
              <w:rPr>
                <w:sz w:val="16"/>
                <w:szCs w:val="16"/>
              </w:rPr>
              <w:t>Baseline: 0</w:t>
            </w:r>
          </w:p>
          <w:p w14:paraId="5350D746" w14:textId="6F16F5BB" w:rsidR="002110C5" w:rsidRPr="000E76A0" w:rsidRDefault="002110C5" w:rsidP="007D451C">
            <w:pPr>
              <w:rPr>
                <w:sz w:val="16"/>
                <w:szCs w:val="16"/>
              </w:rPr>
            </w:pPr>
            <w:r w:rsidRPr="000E76A0">
              <w:rPr>
                <w:sz w:val="16"/>
                <w:szCs w:val="16"/>
              </w:rPr>
              <w:t xml:space="preserve">Target: </w:t>
            </w:r>
            <w:r w:rsidR="00721B2C" w:rsidRPr="000E76A0">
              <w:rPr>
                <w:sz w:val="16"/>
                <w:szCs w:val="16"/>
              </w:rPr>
              <w:t>5</w:t>
            </w:r>
          </w:p>
          <w:p w14:paraId="5F5F76D6" w14:textId="6B5536A8" w:rsidR="002110C5" w:rsidRPr="000E76A0" w:rsidRDefault="002110C5" w:rsidP="007D451C">
            <w:pPr>
              <w:rPr>
                <w:sz w:val="16"/>
                <w:szCs w:val="16"/>
              </w:rPr>
            </w:pPr>
            <w:r w:rsidRPr="000E76A0">
              <w:rPr>
                <w:sz w:val="16"/>
                <w:szCs w:val="16"/>
              </w:rPr>
              <w:t>Source: GSSCPD</w:t>
            </w:r>
            <w:r w:rsidR="00B218F2" w:rsidRPr="000E76A0">
              <w:rPr>
                <w:sz w:val="16"/>
                <w:szCs w:val="16"/>
              </w:rPr>
              <w:t xml:space="preserve">, MOFA and UNDP </w:t>
            </w:r>
          </w:p>
          <w:p w14:paraId="6C5EEAD9" w14:textId="0E27EC6E" w:rsidR="002110C5" w:rsidRPr="000E76A0" w:rsidRDefault="002110C5" w:rsidP="007D451C">
            <w:pPr>
              <w:rPr>
                <w:sz w:val="16"/>
                <w:szCs w:val="16"/>
              </w:rPr>
            </w:pPr>
          </w:p>
          <w:p w14:paraId="2CA5EF7C" w14:textId="12A52B68" w:rsidR="00721B2C" w:rsidRPr="000E76A0" w:rsidRDefault="00721B2C" w:rsidP="007D451C">
            <w:pPr>
              <w:rPr>
                <w:sz w:val="16"/>
                <w:szCs w:val="16"/>
              </w:rPr>
            </w:pPr>
            <w:r w:rsidRPr="000E76A0">
              <w:rPr>
                <w:b/>
                <w:sz w:val="16"/>
                <w:szCs w:val="16"/>
              </w:rPr>
              <w:t>Indicator 2.2.2</w:t>
            </w:r>
            <w:r w:rsidRPr="000E76A0">
              <w:rPr>
                <w:sz w:val="16"/>
                <w:szCs w:val="16"/>
              </w:rPr>
              <w:t>: Regional or global conferences hosted by Kuwait, with technical support from UNDP</w:t>
            </w:r>
          </w:p>
          <w:p w14:paraId="6FEE2171" w14:textId="26E35B2E" w:rsidR="00721B2C" w:rsidRPr="000E76A0" w:rsidRDefault="00721B2C" w:rsidP="007D451C">
            <w:pPr>
              <w:rPr>
                <w:sz w:val="16"/>
                <w:szCs w:val="16"/>
              </w:rPr>
            </w:pPr>
            <w:r w:rsidRPr="000E76A0">
              <w:rPr>
                <w:sz w:val="16"/>
                <w:szCs w:val="16"/>
              </w:rPr>
              <w:t>Baseline: 0</w:t>
            </w:r>
          </w:p>
          <w:p w14:paraId="7B2DAEAD" w14:textId="6ADFC544" w:rsidR="00721B2C" w:rsidRPr="000E76A0" w:rsidRDefault="00721B2C" w:rsidP="007D451C">
            <w:pPr>
              <w:rPr>
                <w:sz w:val="16"/>
                <w:szCs w:val="16"/>
              </w:rPr>
            </w:pPr>
            <w:r w:rsidRPr="000E76A0">
              <w:rPr>
                <w:sz w:val="16"/>
                <w:szCs w:val="16"/>
              </w:rPr>
              <w:t>Target: 3</w:t>
            </w:r>
          </w:p>
          <w:p w14:paraId="259FAD14" w14:textId="0F311CD0" w:rsidR="00721B2C" w:rsidRPr="000E76A0" w:rsidRDefault="00721B2C" w:rsidP="007D451C">
            <w:pPr>
              <w:rPr>
                <w:sz w:val="16"/>
                <w:szCs w:val="16"/>
              </w:rPr>
            </w:pPr>
            <w:r w:rsidRPr="000E76A0">
              <w:rPr>
                <w:sz w:val="16"/>
                <w:szCs w:val="16"/>
              </w:rPr>
              <w:t>Source: GSSCPD, MOFA and UNDP</w:t>
            </w:r>
          </w:p>
          <w:p w14:paraId="6A2B1407" w14:textId="77777777" w:rsidR="00721B2C" w:rsidRPr="000E76A0" w:rsidRDefault="00721B2C" w:rsidP="007D451C">
            <w:pPr>
              <w:rPr>
                <w:sz w:val="16"/>
                <w:szCs w:val="16"/>
              </w:rPr>
            </w:pPr>
          </w:p>
          <w:p w14:paraId="7DE822E0" w14:textId="560B10B0" w:rsidR="00894205" w:rsidRPr="000E76A0" w:rsidRDefault="00894205" w:rsidP="007D451C">
            <w:pPr>
              <w:rPr>
                <w:sz w:val="16"/>
                <w:szCs w:val="16"/>
              </w:rPr>
            </w:pPr>
            <w:r w:rsidRPr="000E76A0">
              <w:rPr>
                <w:b/>
                <w:sz w:val="16"/>
                <w:szCs w:val="16"/>
              </w:rPr>
              <w:lastRenderedPageBreak/>
              <w:t xml:space="preserve">Indicator 2.2.3: </w:t>
            </w:r>
            <w:r w:rsidRPr="000E76A0">
              <w:rPr>
                <w:sz w:val="16"/>
                <w:szCs w:val="16"/>
              </w:rPr>
              <w:t xml:space="preserve">Number of </w:t>
            </w:r>
            <w:r w:rsidR="009B553B" w:rsidRPr="000E76A0">
              <w:rPr>
                <w:sz w:val="16"/>
                <w:szCs w:val="16"/>
              </w:rPr>
              <w:t xml:space="preserve">South-South </w:t>
            </w:r>
            <w:r w:rsidRPr="000E76A0">
              <w:rPr>
                <w:sz w:val="16"/>
                <w:szCs w:val="16"/>
              </w:rPr>
              <w:t>renewable energy projects implemented with technical or/and financial support from Kuwait in other countries</w:t>
            </w:r>
          </w:p>
          <w:p w14:paraId="5711FC08" w14:textId="0760EBF5" w:rsidR="00894205" w:rsidRPr="000E76A0" w:rsidRDefault="00894205" w:rsidP="007D451C">
            <w:pPr>
              <w:rPr>
                <w:sz w:val="16"/>
                <w:szCs w:val="16"/>
              </w:rPr>
            </w:pPr>
            <w:r w:rsidRPr="000E76A0">
              <w:rPr>
                <w:sz w:val="16"/>
                <w:szCs w:val="16"/>
              </w:rPr>
              <w:t>Baseline: 0</w:t>
            </w:r>
          </w:p>
          <w:p w14:paraId="2C48CBCE" w14:textId="66151680" w:rsidR="00894205" w:rsidRPr="000E76A0" w:rsidRDefault="00894205" w:rsidP="007D451C">
            <w:pPr>
              <w:rPr>
                <w:sz w:val="16"/>
                <w:szCs w:val="16"/>
              </w:rPr>
            </w:pPr>
            <w:r w:rsidRPr="000E76A0">
              <w:rPr>
                <w:sz w:val="16"/>
                <w:szCs w:val="16"/>
              </w:rPr>
              <w:t>Target: 3</w:t>
            </w:r>
          </w:p>
          <w:p w14:paraId="520D12C7" w14:textId="22935841" w:rsidR="00894205" w:rsidRPr="000E76A0" w:rsidRDefault="00894205" w:rsidP="007D451C">
            <w:pPr>
              <w:rPr>
                <w:sz w:val="16"/>
                <w:szCs w:val="16"/>
              </w:rPr>
            </w:pPr>
            <w:r w:rsidRPr="000E76A0">
              <w:rPr>
                <w:sz w:val="16"/>
                <w:szCs w:val="16"/>
              </w:rPr>
              <w:t>Source: UNDP, KEPA, KPPC, KISR</w:t>
            </w:r>
          </w:p>
          <w:p w14:paraId="7D91AE49" w14:textId="77777777" w:rsidR="00894205" w:rsidRPr="000E76A0" w:rsidRDefault="00894205" w:rsidP="007D451C">
            <w:pPr>
              <w:rPr>
                <w:b/>
                <w:sz w:val="16"/>
                <w:szCs w:val="16"/>
              </w:rPr>
            </w:pPr>
          </w:p>
          <w:p w14:paraId="10647162" w14:textId="4D8EE270" w:rsidR="002110C5" w:rsidRPr="000E76A0" w:rsidRDefault="002110C5" w:rsidP="007D451C">
            <w:pPr>
              <w:rPr>
                <w:rFonts w:cstheme="minorHAnsi"/>
                <w:sz w:val="16"/>
                <w:szCs w:val="16"/>
              </w:rPr>
            </w:pPr>
            <w:r w:rsidRPr="000E76A0">
              <w:rPr>
                <w:b/>
                <w:sz w:val="16"/>
                <w:szCs w:val="16"/>
              </w:rPr>
              <w:t>Indicator</w:t>
            </w:r>
            <w:r w:rsidR="00721B2C" w:rsidRPr="000E76A0">
              <w:rPr>
                <w:b/>
                <w:sz w:val="16"/>
                <w:szCs w:val="16"/>
              </w:rPr>
              <w:t xml:space="preserve"> 2.2.</w:t>
            </w:r>
            <w:r w:rsidR="00894205" w:rsidRPr="000E76A0">
              <w:rPr>
                <w:b/>
                <w:sz w:val="16"/>
                <w:szCs w:val="16"/>
              </w:rPr>
              <w:t>4</w:t>
            </w:r>
            <w:r w:rsidRPr="000E76A0">
              <w:rPr>
                <w:b/>
                <w:sz w:val="16"/>
                <w:szCs w:val="16"/>
              </w:rPr>
              <w:t>:</w:t>
            </w:r>
            <w:r w:rsidRPr="000E76A0">
              <w:rPr>
                <w:sz w:val="16"/>
                <w:szCs w:val="16"/>
              </w:rPr>
              <w:t xml:space="preserve">  </w:t>
            </w:r>
            <w:r w:rsidRPr="000E76A0">
              <w:rPr>
                <w:rFonts w:cstheme="minorHAnsi"/>
                <w:sz w:val="16"/>
                <w:szCs w:val="16"/>
              </w:rPr>
              <w:t xml:space="preserve"> Number of JPOs deployed to international organizations </w:t>
            </w:r>
          </w:p>
          <w:p w14:paraId="785E7B77" w14:textId="77777777" w:rsidR="002110C5" w:rsidRPr="000E76A0" w:rsidRDefault="002110C5" w:rsidP="007D451C">
            <w:pPr>
              <w:rPr>
                <w:sz w:val="16"/>
                <w:szCs w:val="16"/>
              </w:rPr>
            </w:pPr>
            <w:r w:rsidRPr="000E76A0">
              <w:rPr>
                <w:sz w:val="16"/>
                <w:szCs w:val="16"/>
              </w:rPr>
              <w:t>Baseline: 9 (2019)</w:t>
            </w:r>
          </w:p>
          <w:p w14:paraId="5BB36D47" w14:textId="5EDDF2D4" w:rsidR="002110C5" w:rsidRPr="000E76A0" w:rsidRDefault="002110C5" w:rsidP="007D451C">
            <w:pPr>
              <w:rPr>
                <w:sz w:val="16"/>
                <w:szCs w:val="16"/>
              </w:rPr>
            </w:pPr>
            <w:r w:rsidRPr="000E76A0">
              <w:rPr>
                <w:sz w:val="16"/>
                <w:szCs w:val="16"/>
              </w:rPr>
              <w:t>Target: 1</w:t>
            </w:r>
            <w:r w:rsidR="00721B2C" w:rsidRPr="000E76A0">
              <w:rPr>
                <w:sz w:val="16"/>
                <w:szCs w:val="16"/>
              </w:rPr>
              <w:t>1</w:t>
            </w:r>
            <w:r w:rsidRPr="000E76A0">
              <w:rPr>
                <w:sz w:val="16"/>
                <w:szCs w:val="16"/>
              </w:rPr>
              <w:t xml:space="preserve"> per year</w:t>
            </w:r>
          </w:p>
          <w:p w14:paraId="4B5459EF" w14:textId="570FAAE0" w:rsidR="002110C5" w:rsidRPr="000E76A0" w:rsidRDefault="002110C5" w:rsidP="007D451C">
            <w:pPr>
              <w:rPr>
                <w:sz w:val="16"/>
                <w:szCs w:val="16"/>
              </w:rPr>
            </w:pPr>
            <w:r w:rsidRPr="000E76A0">
              <w:rPr>
                <w:sz w:val="16"/>
                <w:szCs w:val="16"/>
              </w:rPr>
              <w:t>Source: UNDP</w:t>
            </w:r>
          </w:p>
        </w:tc>
        <w:tc>
          <w:tcPr>
            <w:tcW w:w="823" w:type="pct"/>
            <w:shd w:val="clear" w:color="auto" w:fill="auto"/>
          </w:tcPr>
          <w:p w14:paraId="7E0B0D26" w14:textId="77777777" w:rsidR="002110C5" w:rsidRPr="000E76A0" w:rsidRDefault="002110C5" w:rsidP="007D451C">
            <w:pPr>
              <w:rPr>
                <w:rFonts w:cstheme="minorHAnsi"/>
                <w:sz w:val="16"/>
                <w:szCs w:val="16"/>
                <w:lang w:val="en-US"/>
              </w:rPr>
            </w:pPr>
            <w:r w:rsidRPr="000E76A0">
              <w:rPr>
                <w:rFonts w:cstheme="minorHAnsi"/>
                <w:sz w:val="16"/>
                <w:szCs w:val="16"/>
                <w:u w:val="single"/>
              </w:rPr>
              <w:lastRenderedPageBreak/>
              <w:t>Government</w:t>
            </w:r>
            <w:r w:rsidRPr="000E76A0">
              <w:rPr>
                <w:rFonts w:cstheme="minorHAnsi"/>
                <w:sz w:val="16"/>
                <w:szCs w:val="16"/>
              </w:rPr>
              <w:t xml:space="preserve">: </w:t>
            </w:r>
          </w:p>
          <w:p w14:paraId="09045728" w14:textId="7F980867" w:rsidR="002110C5" w:rsidRPr="000E76A0" w:rsidRDefault="00744331"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iCs/>
                <w:sz w:val="16"/>
                <w:szCs w:val="16"/>
              </w:rPr>
              <w:t>Ministry of Foreign Affairs</w:t>
            </w:r>
            <w:r w:rsidR="002110C5" w:rsidRPr="000E76A0">
              <w:rPr>
                <w:rFonts w:cstheme="minorHAnsi"/>
                <w:sz w:val="16"/>
                <w:szCs w:val="16"/>
                <w:lang w:val="en-CA"/>
              </w:rPr>
              <w:t>, GSSCPD</w:t>
            </w:r>
          </w:p>
          <w:p w14:paraId="06903FD3" w14:textId="77777777" w:rsidR="002110C5" w:rsidRPr="000E76A0" w:rsidRDefault="002110C5"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lang w:val="en"/>
              </w:rPr>
              <w:t>Ministry of Information and Kuwaiti Media</w:t>
            </w:r>
          </w:p>
          <w:p w14:paraId="66ED2E28" w14:textId="0CC2A682" w:rsidR="002110C5" w:rsidRPr="000E76A0" w:rsidRDefault="002110C5"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lang w:val="en-CA"/>
              </w:rPr>
              <w:t xml:space="preserve">KEPA, KFAS, </w:t>
            </w:r>
            <w:r w:rsidR="000B24C1" w:rsidRPr="000E76A0">
              <w:t xml:space="preserve"> </w:t>
            </w:r>
            <w:r w:rsidR="000B24C1" w:rsidRPr="000E76A0">
              <w:rPr>
                <w:rFonts w:cstheme="minorHAnsi"/>
                <w:sz w:val="16"/>
                <w:szCs w:val="16"/>
                <w:lang w:val="en-CA"/>
              </w:rPr>
              <w:t xml:space="preserve">Kuwait Fund for Arab Economic Development </w:t>
            </w:r>
          </w:p>
          <w:p w14:paraId="3410B0B0" w14:textId="77777777" w:rsidR="002110C5" w:rsidRPr="000E76A0" w:rsidRDefault="002110C5"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lang w:val="en-CA"/>
              </w:rPr>
              <w:t>Line ministries</w:t>
            </w:r>
          </w:p>
          <w:p w14:paraId="7F5728F3" w14:textId="77777777" w:rsidR="002110C5" w:rsidRPr="000E76A0" w:rsidRDefault="002110C5"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rPr>
              <w:t>Parliament</w:t>
            </w:r>
          </w:p>
          <w:p w14:paraId="4DCAEA63" w14:textId="77777777" w:rsidR="002110C5" w:rsidRPr="000E76A0" w:rsidRDefault="002110C5" w:rsidP="007D451C">
            <w:pPr>
              <w:pStyle w:val="ListParagraph"/>
              <w:numPr>
                <w:ilvl w:val="0"/>
                <w:numId w:val="24"/>
              </w:numPr>
              <w:autoSpaceDE w:val="0"/>
              <w:autoSpaceDN w:val="0"/>
              <w:adjustRightInd w:val="0"/>
              <w:ind w:left="203" w:hanging="203"/>
              <w:contextualSpacing/>
              <w:rPr>
                <w:rFonts w:cstheme="minorHAnsi"/>
                <w:sz w:val="16"/>
                <w:szCs w:val="16"/>
              </w:rPr>
            </w:pPr>
            <w:r w:rsidRPr="000E76A0">
              <w:rPr>
                <w:rFonts w:cstheme="minorHAnsi"/>
                <w:sz w:val="16"/>
                <w:szCs w:val="16"/>
                <w:lang w:val="en"/>
              </w:rPr>
              <w:t>Investment entities</w:t>
            </w:r>
          </w:p>
          <w:p w14:paraId="7C8EB865" w14:textId="77777777" w:rsidR="002110C5" w:rsidRPr="000E76A0" w:rsidRDefault="002110C5" w:rsidP="007D451C">
            <w:pPr>
              <w:autoSpaceDE w:val="0"/>
              <w:autoSpaceDN w:val="0"/>
              <w:adjustRightInd w:val="0"/>
              <w:contextualSpacing/>
              <w:rPr>
                <w:rFonts w:cstheme="minorHAnsi"/>
                <w:sz w:val="16"/>
                <w:szCs w:val="16"/>
              </w:rPr>
            </w:pPr>
          </w:p>
          <w:p w14:paraId="0A44F221" w14:textId="77777777" w:rsidR="002110C5" w:rsidRPr="000E76A0" w:rsidRDefault="002110C5" w:rsidP="007D451C">
            <w:pPr>
              <w:rPr>
                <w:rFonts w:cstheme="minorHAnsi"/>
                <w:sz w:val="16"/>
                <w:szCs w:val="16"/>
                <w:u w:val="single"/>
              </w:rPr>
            </w:pPr>
          </w:p>
          <w:p w14:paraId="1209A426" w14:textId="77777777" w:rsidR="002110C5" w:rsidRPr="000E76A0" w:rsidRDefault="002110C5" w:rsidP="007D451C">
            <w:pPr>
              <w:rPr>
                <w:rFonts w:cstheme="minorHAnsi"/>
                <w:sz w:val="16"/>
                <w:szCs w:val="16"/>
              </w:rPr>
            </w:pPr>
            <w:r w:rsidRPr="000E76A0">
              <w:rPr>
                <w:rFonts w:cstheme="minorHAnsi"/>
                <w:sz w:val="16"/>
                <w:szCs w:val="16"/>
                <w:u w:val="single"/>
              </w:rPr>
              <w:t>Civil Society/NGOs</w:t>
            </w:r>
            <w:r w:rsidRPr="000E76A0">
              <w:rPr>
                <w:rFonts w:cstheme="minorHAnsi"/>
                <w:sz w:val="16"/>
                <w:szCs w:val="16"/>
              </w:rPr>
              <w:t xml:space="preserve">: </w:t>
            </w:r>
          </w:p>
          <w:p w14:paraId="16EAF636" w14:textId="77777777" w:rsidR="002110C5" w:rsidRPr="000E76A0" w:rsidRDefault="002110C5" w:rsidP="007D451C">
            <w:pPr>
              <w:pStyle w:val="ListParagraph"/>
              <w:numPr>
                <w:ilvl w:val="0"/>
                <w:numId w:val="24"/>
              </w:numPr>
              <w:autoSpaceDE w:val="0"/>
              <w:autoSpaceDN w:val="0"/>
              <w:adjustRightInd w:val="0"/>
              <w:spacing w:before="60"/>
              <w:ind w:left="203" w:hanging="203"/>
              <w:contextualSpacing/>
              <w:rPr>
                <w:rFonts w:cstheme="minorHAnsi"/>
                <w:sz w:val="16"/>
                <w:szCs w:val="16"/>
              </w:rPr>
            </w:pPr>
            <w:r w:rsidRPr="000E76A0">
              <w:rPr>
                <w:rFonts w:cstheme="minorHAnsi"/>
                <w:sz w:val="16"/>
                <w:szCs w:val="16"/>
                <w:lang w:val="en-CA"/>
              </w:rPr>
              <w:t xml:space="preserve">KISR, </w:t>
            </w:r>
            <w:r w:rsidRPr="000E76A0">
              <w:rPr>
                <w:rFonts w:cstheme="minorHAnsi"/>
                <w:sz w:val="16"/>
                <w:szCs w:val="16"/>
                <w:lang w:val="en"/>
              </w:rPr>
              <w:t xml:space="preserve">Universities, Policy Think-tanks </w:t>
            </w:r>
          </w:p>
          <w:p w14:paraId="4EF43621" w14:textId="77777777" w:rsidR="002110C5" w:rsidRPr="000E76A0" w:rsidRDefault="002110C5" w:rsidP="007D451C">
            <w:pPr>
              <w:pStyle w:val="ListParagraph"/>
              <w:autoSpaceDE w:val="0"/>
              <w:autoSpaceDN w:val="0"/>
              <w:adjustRightInd w:val="0"/>
              <w:spacing w:before="60"/>
              <w:ind w:left="203"/>
              <w:contextualSpacing/>
              <w:rPr>
                <w:rFonts w:cstheme="minorHAnsi"/>
                <w:sz w:val="16"/>
                <w:szCs w:val="16"/>
                <w:u w:val="single"/>
              </w:rPr>
            </w:pPr>
          </w:p>
          <w:p w14:paraId="09CD78E4" w14:textId="6FBDE6F0" w:rsidR="002110C5" w:rsidRPr="000E76A0" w:rsidRDefault="002110C5" w:rsidP="007D451C">
            <w:pPr>
              <w:rPr>
                <w:rFonts w:cstheme="minorHAnsi"/>
                <w:sz w:val="16"/>
                <w:szCs w:val="16"/>
              </w:rPr>
            </w:pPr>
            <w:r w:rsidRPr="000E76A0">
              <w:rPr>
                <w:rFonts w:cstheme="minorHAnsi"/>
                <w:sz w:val="16"/>
                <w:szCs w:val="16"/>
              </w:rPr>
              <w:t xml:space="preserve"> </w:t>
            </w:r>
          </w:p>
          <w:p w14:paraId="2AA381B2" w14:textId="77777777" w:rsidR="002110C5" w:rsidRPr="000E76A0" w:rsidRDefault="002110C5" w:rsidP="000B24C1">
            <w:pPr>
              <w:pStyle w:val="ListParagraph"/>
              <w:ind w:left="160"/>
              <w:contextualSpacing/>
              <w:rPr>
                <w:sz w:val="16"/>
                <w:szCs w:val="16"/>
              </w:rPr>
            </w:pPr>
            <w:r w:rsidRPr="000E76A0">
              <w:rPr>
                <w:sz w:val="16"/>
                <w:szCs w:val="16"/>
              </w:rPr>
              <w:t>UNHCR</w:t>
            </w:r>
          </w:p>
          <w:p w14:paraId="5DB34C59" w14:textId="77777777" w:rsidR="002110C5" w:rsidRPr="000E76A0" w:rsidRDefault="002110C5" w:rsidP="000B24C1">
            <w:pPr>
              <w:pStyle w:val="ListParagraph"/>
              <w:ind w:left="160"/>
              <w:contextualSpacing/>
              <w:rPr>
                <w:sz w:val="16"/>
                <w:szCs w:val="16"/>
              </w:rPr>
            </w:pPr>
            <w:r w:rsidRPr="000E76A0">
              <w:rPr>
                <w:sz w:val="16"/>
                <w:szCs w:val="16"/>
              </w:rPr>
              <w:t>UNEP</w:t>
            </w:r>
          </w:p>
          <w:p w14:paraId="4284E57F" w14:textId="0B74B876" w:rsidR="002110C5" w:rsidRPr="000E76A0" w:rsidRDefault="002110C5" w:rsidP="008236A9">
            <w:pPr>
              <w:pStyle w:val="ListParagraph"/>
              <w:ind w:left="160"/>
              <w:contextualSpacing/>
              <w:rPr>
                <w:sz w:val="16"/>
                <w:szCs w:val="16"/>
              </w:rPr>
            </w:pPr>
            <w:r w:rsidRPr="000E76A0">
              <w:rPr>
                <w:sz w:val="16"/>
                <w:szCs w:val="16"/>
              </w:rPr>
              <w:t>UN</w:t>
            </w:r>
            <w:r w:rsidR="000B24C1" w:rsidRPr="000E76A0">
              <w:rPr>
                <w:sz w:val="16"/>
                <w:szCs w:val="16"/>
              </w:rPr>
              <w:t>-</w:t>
            </w:r>
            <w:r w:rsidRPr="000E76A0">
              <w:rPr>
                <w:sz w:val="16"/>
                <w:szCs w:val="16"/>
              </w:rPr>
              <w:t>Habitat</w:t>
            </w:r>
          </w:p>
          <w:p w14:paraId="7F6519F1" w14:textId="77777777" w:rsidR="002110C5" w:rsidRPr="000E76A0" w:rsidRDefault="002110C5" w:rsidP="007D451C">
            <w:pPr>
              <w:pStyle w:val="ListParagraph"/>
              <w:ind w:left="148"/>
              <w:contextualSpacing/>
              <w:rPr>
                <w:sz w:val="16"/>
                <w:szCs w:val="16"/>
              </w:rPr>
            </w:pPr>
          </w:p>
        </w:tc>
        <w:tc>
          <w:tcPr>
            <w:tcW w:w="810" w:type="pct"/>
            <w:shd w:val="clear" w:color="auto" w:fill="auto"/>
            <w:tcMar>
              <w:top w:w="15" w:type="dxa"/>
              <w:left w:w="108" w:type="dxa"/>
              <w:bottom w:w="0" w:type="dxa"/>
              <w:right w:w="108" w:type="dxa"/>
            </w:tcMar>
          </w:tcPr>
          <w:p w14:paraId="64A12677" w14:textId="3CFE4E1C" w:rsidR="002110C5" w:rsidRPr="000E76A0" w:rsidRDefault="002110C5" w:rsidP="007D451C">
            <w:pPr>
              <w:rPr>
                <w:b/>
                <w:sz w:val="16"/>
                <w:szCs w:val="16"/>
              </w:rPr>
            </w:pPr>
            <w:r w:rsidRPr="000E76A0">
              <w:rPr>
                <w:b/>
                <w:sz w:val="16"/>
                <w:szCs w:val="16"/>
              </w:rPr>
              <w:t>Regular    $</w:t>
            </w:r>
            <w:r w:rsidR="00905016" w:rsidRPr="000E76A0">
              <w:rPr>
                <w:b/>
                <w:sz w:val="16"/>
                <w:szCs w:val="16"/>
              </w:rPr>
              <w:t xml:space="preserve"> 0</w:t>
            </w:r>
          </w:p>
          <w:p w14:paraId="154D7D13" w14:textId="77777777" w:rsidR="002110C5" w:rsidRPr="000E76A0" w:rsidRDefault="002110C5" w:rsidP="007D451C">
            <w:pPr>
              <w:rPr>
                <w:b/>
                <w:sz w:val="16"/>
                <w:szCs w:val="16"/>
              </w:rPr>
            </w:pPr>
          </w:p>
          <w:p w14:paraId="3AB4B001" w14:textId="79E1F773" w:rsidR="002110C5" w:rsidRPr="000E76A0" w:rsidRDefault="002110C5" w:rsidP="007D451C">
            <w:pPr>
              <w:rPr>
                <w:b/>
                <w:sz w:val="16"/>
                <w:szCs w:val="16"/>
              </w:rPr>
            </w:pPr>
          </w:p>
          <w:p w14:paraId="58C3ED36" w14:textId="6981FC30" w:rsidR="0013513E" w:rsidRPr="000E76A0" w:rsidRDefault="0013513E" w:rsidP="007D451C">
            <w:pPr>
              <w:rPr>
                <w:b/>
                <w:sz w:val="16"/>
                <w:szCs w:val="16"/>
              </w:rPr>
            </w:pPr>
          </w:p>
        </w:tc>
      </w:tr>
    </w:tbl>
    <w:p w14:paraId="383CBCF4" w14:textId="77777777" w:rsidR="002110C5" w:rsidRPr="002611DF" w:rsidRDefault="002110C5" w:rsidP="002110C5">
      <w:pPr>
        <w:tabs>
          <w:tab w:val="left" w:pos="900"/>
          <w:tab w:val="left" w:pos="990"/>
          <w:tab w:val="left" w:pos="8640"/>
          <w:tab w:val="left" w:pos="9180"/>
        </w:tabs>
        <w:rPr>
          <w:sz w:val="2"/>
          <w:szCs w:val="2"/>
        </w:rPr>
      </w:pP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154"/>
        <w:gridCol w:w="2120"/>
      </w:tblGrid>
      <w:tr w:rsidR="002110C5" w:rsidRPr="009D7AE5" w14:paraId="085CDF02" w14:textId="77777777" w:rsidTr="002611DF">
        <w:tc>
          <w:tcPr>
            <w:tcW w:w="5000" w:type="pct"/>
            <w:gridSpan w:val="5"/>
            <w:shd w:val="clear" w:color="auto" w:fill="auto"/>
            <w:tcMar>
              <w:top w:w="72" w:type="dxa"/>
              <w:left w:w="144" w:type="dxa"/>
              <w:bottom w:w="72" w:type="dxa"/>
              <w:right w:w="144" w:type="dxa"/>
            </w:tcMar>
          </w:tcPr>
          <w:p w14:paraId="122DF6AC" w14:textId="32112CBC" w:rsidR="002110C5" w:rsidRPr="002611DF" w:rsidRDefault="002110C5" w:rsidP="007D451C">
            <w:pPr>
              <w:rPr>
                <w:sz w:val="16"/>
                <w:szCs w:val="16"/>
              </w:rPr>
            </w:pPr>
            <w:r>
              <w:rPr>
                <w:b/>
                <w:bCs/>
                <w:color w:val="000000"/>
                <w:sz w:val="16"/>
                <w:szCs w:val="16"/>
              </w:rPr>
              <w:t xml:space="preserve">KNDP </w:t>
            </w:r>
            <w:r w:rsidRPr="004B744D">
              <w:rPr>
                <w:b/>
                <w:bCs/>
                <w:color w:val="000000"/>
                <w:sz w:val="16"/>
                <w:szCs w:val="16"/>
              </w:rPr>
              <w:t xml:space="preserve">GOAL: </w:t>
            </w:r>
            <w:r w:rsidRPr="004B744D">
              <w:rPr>
                <w:sz w:val="16"/>
                <w:szCs w:val="16"/>
              </w:rPr>
              <w:t xml:space="preserve"> </w:t>
            </w:r>
            <w:r w:rsidRPr="004B744D">
              <w:rPr>
                <w:rFonts w:cstheme="minorHAnsi"/>
                <w:color w:val="0F243E" w:themeColor="text2" w:themeShade="80"/>
                <w:sz w:val="16"/>
                <w:szCs w:val="16"/>
                <w:u w:val="single"/>
              </w:rPr>
              <w:t xml:space="preserve"> Sustainable Living Environment</w:t>
            </w:r>
            <w:r>
              <w:rPr>
                <w:rFonts w:cstheme="minorHAnsi"/>
                <w:color w:val="0F243E" w:themeColor="text2" w:themeShade="80"/>
                <w:sz w:val="16"/>
                <w:szCs w:val="16"/>
                <w:u w:val="single"/>
              </w:rPr>
              <w:t>:</w:t>
            </w:r>
            <w:r>
              <w:t xml:space="preserve"> </w:t>
            </w:r>
            <w:r w:rsidRPr="004B744D">
              <w:rPr>
                <w:sz w:val="16"/>
                <w:szCs w:val="16"/>
              </w:rPr>
              <w:t>Ensure the availability of living accommodation through environmentally sound resources and tactics.</w:t>
            </w:r>
          </w:p>
        </w:tc>
      </w:tr>
      <w:tr w:rsidR="002110C5" w:rsidRPr="009D7AE5" w14:paraId="5E8F9CBE" w14:textId="77777777" w:rsidTr="002611DF">
        <w:tc>
          <w:tcPr>
            <w:tcW w:w="5000" w:type="pct"/>
            <w:gridSpan w:val="5"/>
            <w:shd w:val="clear" w:color="auto" w:fill="auto"/>
            <w:tcMar>
              <w:top w:w="72" w:type="dxa"/>
              <w:left w:w="144" w:type="dxa"/>
              <w:bottom w:w="72" w:type="dxa"/>
              <w:right w:w="144" w:type="dxa"/>
            </w:tcMar>
          </w:tcPr>
          <w:p w14:paraId="6DE3FDE1" w14:textId="63518444" w:rsidR="002110C5" w:rsidRPr="00A56A7D" w:rsidRDefault="002110C5" w:rsidP="007D451C">
            <w:pPr>
              <w:pStyle w:val="NormalWeb"/>
              <w:spacing w:before="0" w:beforeAutospacing="0" w:after="0" w:afterAutospacing="0"/>
            </w:pPr>
            <w:r w:rsidRPr="009D7AE5">
              <w:rPr>
                <w:b/>
                <w:bCs/>
                <w:color w:val="000000"/>
                <w:sz w:val="16"/>
                <w:szCs w:val="16"/>
              </w:rPr>
              <w:t>UN</w:t>
            </w:r>
            <w:r>
              <w:rPr>
                <w:b/>
                <w:bCs/>
                <w:color w:val="000000"/>
                <w:sz w:val="16"/>
                <w:szCs w:val="16"/>
              </w:rPr>
              <w:t>S</w:t>
            </w:r>
            <w:r w:rsidR="00744331">
              <w:rPr>
                <w:b/>
                <w:bCs/>
                <w:color w:val="000000"/>
                <w:sz w:val="16"/>
                <w:szCs w:val="16"/>
              </w:rPr>
              <w:t>DC</w:t>
            </w:r>
            <w:r>
              <w:rPr>
                <w:b/>
                <w:bCs/>
                <w:color w:val="000000"/>
                <w:sz w:val="16"/>
                <w:szCs w:val="16"/>
              </w:rPr>
              <w:t>F</w:t>
            </w:r>
            <w:r>
              <w:t xml:space="preserve"> </w:t>
            </w:r>
            <w:r w:rsidRPr="003C26C1">
              <w:rPr>
                <w:b/>
                <w:bCs/>
                <w:color w:val="000000"/>
                <w:sz w:val="16"/>
                <w:szCs w:val="16"/>
              </w:rPr>
              <w:t>OUTCOME INVOLVING UNDP</w:t>
            </w:r>
            <w:r w:rsidRPr="00D61865">
              <w:rPr>
                <w:b/>
                <w:bCs/>
                <w:color w:val="000000"/>
                <w:sz w:val="16"/>
                <w:szCs w:val="16"/>
              </w:rPr>
              <w:t>:</w:t>
            </w:r>
            <w:r w:rsidRPr="00D61865">
              <w:rPr>
                <w:color w:val="000000"/>
                <w:sz w:val="16"/>
                <w:szCs w:val="16"/>
              </w:rPr>
              <w:t xml:space="preserve"> </w:t>
            </w:r>
            <w:r w:rsidRPr="00160137">
              <w:rPr>
                <w:sz w:val="16"/>
                <w:szCs w:val="16"/>
              </w:rPr>
              <w:t xml:space="preserve">By 2023, there is stronger implementation, monitoring and enforcement of environmental andurban policies, laws, and regulations </w:t>
            </w:r>
            <w:r>
              <w:rPr>
                <w:sz w:val="16"/>
                <w:szCs w:val="16"/>
              </w:rPr>
              <w:t>.</w:t>
            </w:r>
          </w:p>
        </w:tc>
      </w:tr>
      <w:tr w:rsidR="002110C5" w:rsidRPr="009D7AE5" w14:paraId="47D68D17" w14:textId="77777777" w:rsidTr="002611DF">
        <w:tc>
          <w:tcPr>
            <w:tcW w:w="5000" w:type="pct"/>
            <w:gridSpan w:val="5"/>
            <w:shd w:val="clear" w:color="auto" w:fill="auto"/>
            <w:tcMar>
              <w:top w:w="72" w:type="dxa"/>
              <w:left w:w="144" w:type="dxa"/>
              <w:bottom w:w="72" w:type="dxa"/>
              <w:right w:w="144" w:type="dxa"/>
            </w:tcMar>
          </w:tcPr>
          <w:p w14:paraId="467D168A" w14:textId="77777777" w:rsidR="002110C5" w:rsidRPr="001228FA" w:rsidRDefault="002110C5" w:rsidP="007D451C">
            <w:pPr>
              <w:rPr>
                <w:b/>
                <w:bCs/>
                <w:color w:val="000000" w:themeColor="text1"/>
                <w:sz w:val="16"/>
                <w:szCs w:val="16"/>
              </w:rPr>
            </w:pPr>
            <w:r w:rsidRPr="001228FA">
              <w:rPr>
                <w:b/>
                <w:bCs/>
                <w:color w:val="000000" w:themeColor="text1"/>
                <w:sz w:val="16"/>
                <w:szCs w:val="16"/>
              </w:rPr>
              <w:t xml:space="preserve">RELATED STRATEGIC PLAN OUTCOME: </w:t>
            </w:r>
            <w:r w:rsidRPr="001228FA">
              <w:rPr>
                <w:b/>
                <w:color w:val="000000" w:themeColor="text1"/>
                <w:sz w:val="16"/>
                <w:szCs w:val="16"/>
              </w:rPr>
              <w:t xml:space="preserve"> </w:t>
            </w:r>
            <w:r w:rsidRPr="001228FA">
              <w:rPr>
                <w:color w:val="000000" w:themeColor="text1"/>
                <w:sz w:val="16"/>
                <w:szCs w:val="16"/>
              </w:rPr>
              <w:t xml:space="preserve"> Accelerate structural transformations for sustainable development</w:t>
            </w:r>
            <w:r>
              <w:rPr>
                <w:color w:val="000000" w:themeColor="text1"/>
                <w:sz w:val="16"/>
                <w:szCs w:val="16"/>
              </w:rPr>
              <w:t>.</w:t>
            </w:r>
          </w:p>
        </w:tc>
      </w:tr>
      <w:tr w:rsidR="002110C5" w:rsidRPr="009D7AE5" w14:paraId="59955A94" w14:textId="77777777" w:rsidTr="002611DF">
        <w:tc>
          <w:tcPr>
            <w:tcW w:w="1097" w:type="pct"/>
            <w:tcMar>
              <w:top w:w="72" w:type="dxa"/>
              <w:left w:w="144" w:type="dxa"/>
              <w:bottom w:w="72" w:type="dxa"/>
              <w:right w:w="144" w:type="dxa"/>
            </w:tcMar>
          </w:tcPr>
          <w:p w14:paraId="620964D0" w14:textId="494C00F1" w:rsidR="002110C5" w:rsidRDefault="002110C5" w:rsidP="007D451C">
            <w:pPr>
              <w:pStyle w:val="NormalWeb"/>
              <w:spacing w:before="0" w:beforeAutospacing="0" w:after="0" w:afterAutospacing="0"/>
              <w:rPr>
                <w:sz w:val="16"/>
                <w:szCs w:val="16"/>
              </w:rPr>
            </w:pPr>
            <w:r w:rsidRPr="00D61865">
              <w:rPr>
                <w:i/>
                <w:iCs/>
                <w:sz w:val="16"/>
                <w:szCs w:val="16"/>
              </w:rPr>
              <w:t>Indicator</w:t>
            </w:r>
            <w:r w:rsidRPr="005154E0">
              <w:rPr>
                <w:i/>
                <w:iCs/>
                <w:sz w:val="16"/>
                <w:szCs w:val="16"/>
              </w:rPr>
              <w:t xml:space="preserve">: </w:t>
            </w:r>
            <w:r w:rsidRPr="005154E0">
              <w:rPr>
                <w:sz w:val="16"/>
                <w:szCs w:val="16"/>
              </w:rPr>
              <w:t xml:space="preserve">  </w:t>
            </w:r>
            <w:r w:rsidRPr="00160137">
              <w:rPr>
                <w:sz w:val="16"/>
                <w:szCs w:val="16"/>
              </w:rPr>
              <w:t xml:space="preserve"> </w:t>
            </w:r>
            <w:r>
              <w:rPr>
                <w:sz w:val="16"/>
                <w:szCs w:val="16"/>
              </w:rPr>
              <w:t>I</w:t>
            </w:r>
            <w:r w:rsidRPr="00160137">
              <w:rPr>
                <w:sz w:val="16"/>
                <w:szCs w:val="16"/>
              </w:rPr>
              <w:t>nvestments in energy efficiency (public and private) as % GDP (</w:t>
            </w:r>
            <w:r w:rsidR="008236A9">
              <w:rPr>
                <w:sz w:val="16"/>
                <w:szCs w:val="16"/>
              </w:rPr>
              <w:t>Goal</w:t>
            </w:r>
            <w:r w:rsidRPr="00160137">
              <w:rPr>
                <w:sz w:val="16"/>
                <w:szCs w:val="16"/>
              </w:rPr>
              <w:t xml:space="preserve">7.b.1) </w:t>
            </w:r>
          </w:p>
          <w:p w14:paraId="1D6D786D" w14:textId="77777777" w:rsidR="002110C5" w:rsidRPr="00160137" w:rsidRDefault="002110C5" w:rsidP="007D451C">
            <w:pPr>
              <w:pStyle w:val="NormalWeb"/>
              <w:spacing w:before="0" w:beforeAutospacing="0" w:after="0" w:afterAutospacing="0"/>
              <w:rPr>
                <w:sz w:val="16"/>
                <w:szCs w:val="16"/>
              </w:rPr>
            </w:pPr>
            <w:r w:rsidRPr="00D61865">
              <w:rPr>
                <w:i/>
                <w:iCs/>
                <w:sz w:val="16"/>
                <w:szCs w:val="16"/>
              </w:rPr>
              <w:t>Baseline:</w:t>
            </w:r>
            <w:r w:rsidRPr="00D61865">
              <w:rPr>
                <w:rFonts w:cs="Myriad Pro"/>
                <w:sz w:val="16"/>
                <w:szCs w:val="16"/>
              </w:rPr>
              <w:t xml:space="preserve"> </w:t>
            </w:r>
          </w:p>
          <w:p w14:paraId="0BB1A08D" w14:textId="77777777" w:rsidR="002110C5" w:rsidRPr="00D61865" w:rsidRDefault="002110C5" w:rsidP="007D451C">
            <w:pPr>
              <w:rPr>
                <w:i/>
                <w:iCs/>
                <w:sz w:val="16"/>
                <w:szCs w:val="16"/>
              </w:rPr>
            </w:pPr>
            <w:r w:rsidRPr="00D61865">
              <w:rPr>
                <w:bCs/>
                <w:i/>
                <w:color w:val="000000"/>
                <w:sz w:val="16"/>
                <w:szCs w:val="16"/>
              </w:rPr>
              <w:t>Target:</w:t>
            </w:r>
            <w:r w:rsidRPr="00D61865">
              <w:rPr>
                <w:i/>
                <w:iCs/>
                <w:sz w:val="16"/>
                <w:szCs w:val="16"/>
                <w:u w:val="single"/>
              </w:rPr>
              <w:t xml:space="preserve"> </w:t>
            </w:r>
          </w:p>
          <w:p w14:paraId="3869087B" w14:textId="77777777" w:rsidR="002110C5" w:rsidRPr="00D61865" w:rsidRDefault="002110C5" w:rsidP="007D451C">
            <w:pPr>
              <w:ind w:left="360"/>
              <w:rPr>
                <w:bCs/>
                <w:i/>
                <w:color w:val="000000"/>
                <w:sz w:val="16"/>
                <w:szCs w:val="16"/>
              </w:rPr>
            </w:pPr>
          </w:p>
          <w:p w14:paraId="3077268F" w14:textId="03CCE809" w:rsidR="002110C5" w:rsidRPr="00160137" w:rsidRDefault="002110C5" w:rsidP="007D451C">
            <w:pPr>
              <w:pStyle w:val="NormalWeb"/>
              <w:spacing w:before="0" w:beforeAutospacing="0" w:after="0" w:afterAutospacing="0"/>
              <w:rPr>
                <w:sz w:val="16"/>
                <w:szCs w:val="16"/>
              </w:rPr>
            </w:pPr>
            <w:r w:rsidRPr="005154E0">
              <w:rPr>
                <w:i/>
                <w:iCs/>
                <w:sz w:val="16"/>
                <w:szCs w:val="16"/>
              </w:rPr>
              <w:t>Indicator:</w:t>
            </w:r>
            <w:r w:rsidRPr="005154E0">
              <w:rPr>
                <w:sz w:val="16"/>
                <w:szCs w:val="16"/>
              </w:rPr>
              <w:t xml:space="preserve"> </w:t>
            </w:r>
            <w:r w:rsidRPr="00160137">
              <w:rPr>
                <w:sz w:val="16"/>
                <w:szCs w:val="16"/>
              </w:rPr>
              <w:t xml:space="preserve">  National recycling rate/ tons of material recycled (</w:t>
            </w:r>
            <w:r w:rsidR="008236A9">
              <w:rPr>
                <w:sz w:val="16"/>
                <w:szCs w:val="16"/>
              </w:rPr>
              <w:t>Goal</w:t>
            </w:r>
            <w:r w:rsidRPr="00160137">
              <w:rPr>
                <w:sz w:val="16"/>
                <w:szCs w:val="16"/>
              </w:rPr>
              <w:t xml:space="preserve"> 12.5.1) </w:t>
            </w:r>
          </w:p>
          <w:p w14:paraId="660F078D" w14:textId="77777777" w:rsidR="002110C5" w:rsidRPr="005154E0" w:rsidRDefault="002110C5" w:rsidP="007D451C">
            <w:pPr>
              <w:rPr>
                <w:i/>
                <w:iCs/>
                <w:sz w:val="16"/>
                <w:szCs w:val="16"/>
              </w:rPr>
            </w:pPr>
            <w:r w:rsidRPr="005154E0">
              <w:rPr>
                <w:i/>
                <w:iCs/>
                <w:sz w:val="16"/>
                <w:szCs w:val="16"/>
              </w:rPr>
              <w:t xml:space="preserve">Baseline: </w:t>
            </w:r>
          </w:p>
          <w:p w14:paraId="69A190A0" w14:textId="77777777" w:rsidR="002110C5" w:rsidRPr="00D61865" w:rsidRDefault="002110C5" w:rsidP="007D451C">
            <w:pPr>
              <w:rPr>
                <w:i/>
                <w:iCs/>
                <w:sz w:val="16"/>
                <w:szCs w:val="16"/>
              </w:rPr>
            </w:pPr>
            <w:r w:rsidRPr="00D61865">
              <w:rPr>
                <w:bCs/>
                <w:i/>
                <w:color w:val="000000"/>
                <w:sz w:val="16"/>
                <w:szCs w:val="16"/>
              </w:rPr>
              <w:t>Target:</w:t>
            </w:r>
            <w:r w:rsidRPr="00D61865">
              <w:rPr>
                <w:i/>
                <w:iCs/>
                <w:sz w:val="16"/>
                <w:szCs w:val="16"/>
                <w:u w:val="single"/>
              </w:rPr>
              <w:t xml:space="preserve"> </w:t>
            </w:r>
          </w:p>
          <w:p w14:paraId="7636333F" w14:textId="77777777" w:rsidR="002110C5" w:rsidRPr="00D61865" w:rsidRDefault="002110C5" w:rsidP="007D451C">
            <w:pPr>
              <w:rPr>
                <w:bCs/>
                <w:i/>
                <w:color w:val="000000"/>
                <w:sz w:val="16"/>
                <w:szCs w:val="16"/>
              </w:rPr>
            </w:pPr>
          </w:p>
          <w:p w14:paraId="1858F206" w14:textId="77777777" w:rsidR="002110C5" w:rsidRPr="00D61865" w:rsidRDefault="002110C5" w:rsidP="007D451C">
            <w:pPr>
              <w:rPr>
                <w:bCs/>
                <w:i/>
                <w:color w:val="000000"/>
                <w:sz w:val="16"/>
                <w:szCs w:val="16"/>
              </w:rPr>
            </w:pPr>
          </w:p>
          <w:p w14:paraId="274986A8" w14:textId="66EE4382" w:rsidR="002110C5" w:rsidRPr="00160137" w:rsidRDefault="002110C5" w:rsidP="007D451C">
            <w:pPr>
              <w:pStyle w:val="NormalWeb"/>
              <w:spacing w:before="0" w:beforeAutospacing="0" w:after="0" w:afterAutospacing="0"/>
            </w:pPr>
            <w:r w:rsidRPr="005154E0">
              <w:rPr>
                <w:i/>
                <w:iCs/>
                <w:sz w:val="16"/>
                <w:szCs w:val="16"/>
              </w:rPr>
              <w:t>Indicator:</w:t>
            </w:r>
            <w:r w:rsidRPr="005154E0">
              <w:rPr>
                <w:sz w:val="16"/>
                <w:szCs w:val="16"/>
              </w:rPr>
              <w:t xml:space="preserve"> </w:t>
            </w:r>
            <w:r w:rsidRPr="00160137">
              <w:rPr>
                <w:sz w:val="16"/>
                <w:szCs w:val="16"/>
              </w:rPr>
              <w:t xml:space="preserve">  % Land area designated as nature reserves/ protected areas for biodiversity preservation (</w:t>
            </w:r>
            <w:r w:rsidRPr="00160137">
              <w:rPr>
                <w:i/>
                <w:iCs/>
                <w:sz w:val="16"/>
                <w:szCs w:val="16"/>
              </w:rPr>
              <w:t xml:space="preserve">proxy </w:t>
            </w:r>
            <w:r w:rsidR="008236A9">
              <w:rPr>
                <w:i/>
                <w:iCs/>
                <w:sz w:val="16"/>
                <w:szCs w:val="16"/>
              </w:rPr>
              <w:t>Goal</w:t>
            </w:r>
            <w:r w:rsidRPr="00160137">
              <w:rPr>
                <w:i/>
                <w:iCs/>
                <w:sz w:val="16"/>
                <w:szCs w:val="16"/>
              </w:rPr>
              <w:t>15.1.2</w:t>
            </w:r>
            <w:r w:rsidRPr="00160137">
              <w:rPr>
                <w:sz w:val="16"/>
                <w:szCs w:val="16"/>
              </w:rPr>
              <w:t>)</w:t>
            </w:r>
          </w:p>
          <w:p w14:paraId="4ABF9088" w14:textId="77777777" w:rsidR="002110C5" w:rsidRPr="00D61865" w:rsidRDefault="002110C5" w:rsidP="007D451C">
            <w:pPr>
              <w:rPr>
                <w:i/>
                <w:iCs/>
                <w:sz w:val="16"/>
                <w:szCs w:val="16"/>
              </w:rPr>
            </w:pPr>
            <w:r w:rsidRPr="00D61865">
              <w:rPr>
                <w:i/>
                <w:iCs/>
                <w:sz w:val="16"/>
                <w:szCs w:val="16"/>
              </w:rPr>
              <w:t xml:space="preserve">Baseline: </w:t>
            </w:r>
            <w:r>
              <w:rPr>
                <w:i/>
                <w:iCs/>
                <w:sz w:val="16"/>
                <w:szCs w:val="16"/>
              </w:rPr>
              <w:t>3%</w:t>
            </w:r>
          </w:p>
          <w:p w14:paraId="32187F68" w14:textId="77777777" w:rsidR="002110C5" w:rsidRPr="00D61865" w:rsidRDefault="002110C5" w:rsidP="007D451C">
            <w:pPr>
              <w:rPr>
                <w:i/>
                <w:iCs/>
                <w:sz w:val="16"/>
                <w:szCs w:val="16"/>
              </w:rPr>
            </w:pPr>
            <w:r w:rsidRPr="00D61865">
              <w:rPr>
                <w:bCs/>
                <w:i/>
                <w:color w:val="000000"/>
                <w:sz w:val="16"/>
                <w:szCs w:val="16"/>
              </w:rPr>
              <w:t>Target:</w:t>
            </w:r>
            <w:r w:rsidRPr="00D61865">
              <w:rPr>
                <w:i/>
                <w:iCs/>
                <w:sz w:val="16"/>
                <w:szCs w:val="16"/>
                <w:u w:val="single"/>
              </w:rPr>
              <w:t xml:space="preserve"> </w:t>
            </w:r>
            <w:r>
              <w:rPr>
                <w:i/>
                <w:iCs/>
                <w:sz w:val="16"/>
                <w:szCs w:val="16"/>
                <w:u w:val="single"/>
              </w:rPr>
              <w:t>20%</w:t>
            </w:r>
          </w:p>
          <w:p w14:paraId="70DC95FD" w14:textId="77777777" w:rsidR="002110C5" w:rsidRDefault="002110C5" w:rsidP="007D451C">
            <w:pPr>
              <w:rPr>
                <w:bCs/>
                <w:i/>
                <w:color w:val="000000"/>
                <w:sz w:val="16"/>
                <w:szCs w:val="16"/>
              </w:rPr>
            </w:pPr>
          </w:p>
          <w:p w14:paraId="5973099D" w14:textId="77777777" w:rsidR="002110C5" w:rsidRPr="00160137" w:rsidRDefault="002110C5" w:rsidP="007D451C">
            <w:pPr>
              <w:pStyle w:val="NormalWeb"/>
              <w:spacing w:before="0" w:beforeAutospacing="0" w:after="0" w:afterAutospacing="0"/>
              <w:rPr>
                <w:sz w:val="16"/>
                <w:szCs w:val="16"/>
              </w:rPr>
            </w:pPr>
            <w:r w:rsidRPr="005154E0">
              <w:rPr>
                <w:i/>
                <w:iCs/>
                <w:sz w:val="16"/>
                <w:szCs w:val="16"/>
              </w:rPr>
              <w:t>Indicator:</w:t>
            </w:r>
            <w:r w:rsidRPr="005154E0">
              <w:rPr>
                <w:sz w:val="16"/>
                <w:szCs w:val="16"/>
              </w:rPr>
              <w:t xml:space="preserve"> </w:t>
            </w:r>
            <w:r w:rsidRPr="00160137">
              <w:rPr>
                <w:sz w:val="16"/>
                <w:szCs w:val="16"/>
              </w:rPr>
              <w:t xml:space="preserve">  Availability of data for public expenditure on conservation and </w:t>
            </w:r>
          </w:p>
          <w:p w14:paraId="2D44ABDF" w14:textId="5DA0D2CD" w:rsidR="002110C5" w:rsidRPr="00160137" w:rsidRDefault="002110C5" w:rsidP="007D451C">
            <w:pPr>
              <w:pStyle w:val="NormalWeb"/>
              <w:spacing w:before="0" w:beforeAutospacing="0" w:after="0" w:afterAutospacing="0"/>
              <w:rPr>
                <w:sz w:val="16"/>
                <w:szCs w:val="16"/>
              </w:rPr>
            </w:pPr>
            <w:r w:rsidRPr="00160137">
              <w:rPr>
                <w:sz w:val="16"/>
                <w:szCs w:val="16"/>
              </w:rPr>
              <w:t>sustainable use of biodiversity (</w:t>
            </w:r>
            <w:r w:rsidRPr="00160137">
              <w:rPr>
                <w:i/>
                <w:iCs/>
                <w:sz w:val="16"/>
                <w:szCs w:val="16"/>
              </w:rPr>
              <w:t xml:space="preserve">proxy </w:t>
            </w:r>
            <w:r w:rsidR="008236A9">
              <w:rPr>
                <w:i/>
                <w:iCs/>
                <w:sz w:val="16"/>
                <w:szCs w:val="16"/>
              </w:rPr>
              <w:t>Goal</w:t>
            </w:r>
            <w:r w:rsidRPr="00160137">
              <w:rPr>
                <w:i/>
                <w:iCs/>
                <w:sz w:val="16"/>
                <w:szCs w:val="16"/>
              </w:rPr>
              <w:t>15.b.1</w:t>
            </w:r>
            <w:r w:rsidRPr="00160137">
              <w:rPr>
                <w:sz w:val="16"/>
                <w:szCs w:val="16"/>
              </w:rPr>
              <w:t>)</w:t>
            </w:r>
          </w:p>
          <w:p w14:paraId="3E8249B4" w14:textId="77777777" w:rsidR="002110C5" w:rsidRPr="005154E0" w:rsidRDefault="002110C5" w:rsidP="007D451C">
            <w:pPr>
              <w:rPr>
                <w:i/>
                <w:iCs/>
                <w:sz w:val="16"/>
                <w:szCs w:val="16"/>
              </w:rPr>
            </w:pPr>
            <w:r w:rsidRPr="005154E0">
              <w:rPr>
                <w:i/>
                <w:iCs/>
                <w:sz w:val="16"/>
                <w:szCs w:val="16"/>
              </w:rPr>
              <w:t xml:space="preserve">Baseline: </w:t>
            </w:r>
            <w:r>
              <w:rPr>
                <w:i/>
                <w:iCs/>
                <w:sz w:val="16"/>
                <w:szCs w:val="16"/>
              </w:rPr>
              <w:t>No (2018)</w:t>
            </w:r>
          </w:p>
          <w:p w14:paraId="27524101" w14:textId="77777777" w:rsidR="002110C5" w:rsidRPr="005154E0" w:rsidRDefault="002110C5" w:rsidP="007D451C">
            <w:pPr>
              <w:rPr>
                <w:i/>
                <w:iCs/>
                <w:sz w:val="16"/>
                <w:szCs w:val="16"/>
              </w:rPr>
            </w:pPr>
            <w:r w:rsidRPr="005154E0">
              <w:rPr>
                <w:bCs/>
                <w:i/>
                <w:color w:val="000000"/>
                <w:sz w:val="16"/>
                <w:szCs w:val="16"/>
              </w:rPr>
              <w:t>Target:</w:t>
            </w:r>
            <w:r w:rsidRPr="005154E0">
              <w:rPr>
                <w:i/>
                <w:iCs/>
                <w:sz w:val="16"/>
                <w:szCs w:val="16"/>
                <w:u w:val="single"/>
              </w:rPr>
              <w:t xml:space="preserve"> </w:t>
            </w:r>
            <w:r>
              <w:rPr>
                <w:i/>
                <w:iCs/>
                <w:sz w:val="16"/>
                <w:szCs w:val="16"/>
                <w:u w:val="single"/>
              </w:rPr>
              <w:t>Yes (2023)</w:t>
            </w:r>
          </w:p>
          <w:p w14:paraId="19948933" w14:textId="77777777" w:rsidR="002110C5" w:rsidRDefault="002110C5" w:rsidP="007D451C">
            <w:pPr>
              <w:rPr>
                <w:bCs/>
                <w:i/>
                <w:color w:val="000000"/>
                <w:sz w:val="16"/>
                <w:szCs w:val="16"/>
              </w:rPr>
            </w:pPr>
          </w:p>
          <w:p w14:paraId="72602817" w14:textId="77777777" w:rsidR="002110C5" w:rsidRDefault="002110C5" w:rsidP="007D451C">
            <w:pPr>
              <w:rPr>
                <w:bCs/>
                <w:i/>
                <w:color w:val="000000"/>
                <w:sz w:val="16"/>
                <w:szCs w:val="16"/>
              </w:rPr>
            </w:pPr>
          </w:p>
          <w:p w14:paraId="6DEEEDE4" w14:textId="77777777" w:rsidR="002110C5" w:rsidRPr="00D61865" w:rsidRDefault="002110C5" w:rsidP="007D451C">
            <w:pPr>
              <w:rPr>
                <w:i/>
                <w:iCs/>
                <w:sz w:val="16"/>
                <w:szCs w:val="16"/>
              </w:rPr>
            </w:pPr>
            <w:r w:rsidRPr="00D61865">
              <w:rPr>
                <w:i/>
                <w:iCs/>
                <w:sz w:val="16"/>
                <w:szCs w:val="16"/>
              </w:rPr>
              <w:lastRenderedPageBreak/>
              <w:t>Indicator:</w:t>
            </w:r>
            <w:r w:rsidRPr="00D61865">
              <w:rPr>
                <w:rFonts w:cs="Myriad Pro"/>
                <w:sz w:val="16"/>
                <w:szCs w:val="16"/>
              </w:rPr>
              <w:t xml:space="preserve"> </w:t>
            </w:r>
            <w:r w:rsidRPr="00887731">
              <w:rPr>
                <w:rFonts w:cstheme="minorHAnsi"/>
                <w:sz w:val="20"/>
                <w:szCs w:val="20"/>
              </w:rPr>
              <w:t xml:space="preserve"> </w:t>
            </w:r>
          </w:p>
          <w:p w14:paraId="022947A2" w14:textId="77777777" w:rsidR="002110C5" w:rsidRPr="00D61865" w:rsidRDefault="002110C5" w:rsidP="007D451C">
            <w:pPr>
              <w:rPr>
                <w:i/>
                <w:iCs/>
                <w:sz w:val="16"/>
                <w:szCs w:val="16"/>
              </w:rPr>
            </w:pPr>
            <w:r w:rsidRPr="00D61865">
              <w:rPr>
                <w:i/>
                <w:iCs/>
                <w:sz w:val="16"/>
                <w:szCs w:val="16"/>
              </w:rPr>
              <w:t xml:space="preserve">Baseline: </w:t>
            </w:r>
          </w:p>
          <w:p w14:paraId="624AB9F3" w14:textId="77777777" w:rsidR="002110C5" w:rsidRDefault="002110C5" w:rsidP="007D451C">
            <w:pPr>
              <w:rPr>
                <w:rFonts w:cstheme="minorHAnsi"/>
                <w:sz w:val="20"/>
                <w:szCs w:val="20"/>
              </w:rPr>
            </w:pPr>
            <w:r w:rsidRPr="00D61865">
              <w:rPr>
                <w:bCs/>
                <w:i/>
                <w:color w:val="000000"/>
                <w:sz w:val="16"/>
                <w:szCs w:val="16"/>
              </w:rPr>
              <w:t>Target</w:t>
            </w:r>
            <w:r w:rsidRPr="00887731">
              <w:rPr>
                <w:rFonts w:cstheme="minorHAnsi"/>
                <w:sz w:val="20"/>
                <w:szCs w:val="20"/>
              </w:rPr>
              <w:t xml:space="preserve"> </w:t>
            </w:r>
          </w:p>
          <w:p w14:paraId="2E65967F" w14:textId="77777777" w:rsidR="005F2A5A" w:rsidRDefault="005F2A5A" w:rsidP="007D451C">
            <w:pPr>
              <w:rPr>
                <w:rFonts w:cstheme="minorHAnsi"/>
                <w:b/>
                <w:bCs/>
                <w:i/>
                <w:color w:val="000000"/>
                <w:sz w:val="16"/>
                <w:szCs w:val="16"/>
              </w:rPr>
            </w:pPr>
          </w:p>
          <w:p w14:paraId="080712FF" w14:textId="77777777" w:rsidR="005F2A5A" w:rsidRDefault="005F2A5A" w:rsidP="007D451C">
            <w:pPr>
              <w:rPr>
                <w:rFonts w:cstheme="minorHAnsi"/>
                <w:b/>
                <w:bCs/>
                <w:i/>
                <w:color w:val="000000"/>
                <w:sz w:val="16"/>
                <w:szCs w:val="16"/>
              </w:rPr>
            </w:pPr>
          </w:p>
          <w:p w14:paraId="56C77F34" w14:textId="7DC3F6FC" w:rsidR="005F2A5A" w:rsidRPr="005E2211" w:rsidRDefault="005F2A5A" w:rsidP="005E2211">
            <w:pPr>
              <w:pStyle w:val="NormalWeb"/>
              <w:spacing w:before="0" w:beforeAutospacing="0" w:after="0" w:afterAutospacing="0"/>
              <w:rPr>
                <w:sz w:val="16"/>
                <w:szCs w:val="16"/>
              </w:rPr>
            </w:pPr>
            <w:r w:rsidRPr="005F2A5A">
              <w:rPr>
                <w:b/>
                <w:bCs/>
                <w:i/>
                <w:color w:val="000000"/>
                <w:sz w:val="16"/>
                <w:szCs w:val="16"/>
              </w:rPr>
              <w:t xml:space="preserve">Indicator:  </w:t>
            </w:r>
            <w:r w:rsidRPr="005E2211">
              <w:rPr>
                <w:rFonts w:hint="eastAsia"/>
                <w:sz w:val="16"/>
                <w:szCs w:val="16"/>
              </w:rPr>
              <w:t>Renewable energy share in the total final energy consumption</w:t>
            </w:r>
            <w:r>
              <w:rPr>
                <w:sz w:val="16"/>
                <w:szCs w:val="16"/>
              </w:rPr>
              <w:t xml:space="preserve">. </w:t>
            </w:r>
            <w:r w:rsidRPr="00017574">
              <w:rPr>
                <w:b/>
                <w:bCs/>
                <w:i/>
                <w:color w:val="000000"/>
                <w:sz w:val="16"/>
                <w:szCs w:val="16"/>
              </w:rPr>
              <w:t>(</w:t>
            </w:r>
            <w:r w:rsidR="008236A9">
              <w:rPr>
                <w:i/>
                <w:color w:val="000000"/>
                <w:sz w:val="16"/>
                <w:szCs w:val="16"/>
              </w:rPr>
              <w:t>Goal</w:t>
            </w:r>
            <w:r w:rsidRPr="00017574">
              <w:rPr>
                <w:b/>
                <w:bCs/>
                <w:i/>
                <w:color w:val="000000"/>
                <w:sz w:val="16"/>
                <w:szCs w:val="16"/>
              </w:rPr>
              <w:t xml:space="preserve"> </w:t>
            </w:r>
            <w:r w:rsidRPr="00017574">
              <w:rPr>
                <w:sz w:val="16"/>
                <w:szCs w:val="16"/>
              </w:rPr>
              <w:t>7.2.1)</w:t>
            </w:r>
          </w:p>
          <w:p w14:paraId="2631B915" w14:textId="77777777" w:rsidR="005F2A5A" w:rsidRPr="005E2211" w:rsidRDefault="005F2A5A" w:rsidP="005E2211">
            <w:pPr>
              <w:pStyle w:val="NormalWeb"/>
              <w:spacing w:before="0" w:beforeAutospacing="0" w:after="0" w:afterAutospacing="0"/>
              <w:rPr>
                <w:sz w:val="16"/>
                <w:szCs w:val="16"/>
              </w:rPr>
            </w:pPr>
            <w:r w:rsidRPr="005E2211">
              <w:rPr>
                <w:rFonts w:hint="eastAsia"/>
                <w:sz w:val="16"/>
                <w:szCs w:val="16"/>
              </w:rPr>
              <w:t>Baseline:</w:t>
            </w:r>
          </w:p>
          <w:p w14:paraId="70C6A8FB" w14:textId="5810552B" w:rsidR="005F2A5A" w:rsidRDefault="005F2A5A" w:rsidP="005F2A5A">
            <w:pPr>
              <w:pStyle w:val="NormalWeb"/>
              <w:spacing w:before="0" w:beforeAutospacing="0" w:after="0" w:afterAutospacing="0"/>
              <w:rPr>
                <w:sz w:val="16"/>
                <w:szCs w:val="16"/>
              </w:rPr>
            </w:pPr>
            <w:r w:rsidRPr="005E2211">
              <w:rPr>
                <w:rFonts w:hint="eastAsia"/>
                <w:sz w:val="16"/>
                <w:szCs w:val="16"/>
              </w:rPr>
              <w:t xml:space="preserve">Target: </w:t>
            </w:r>
          </w:p>
          <w:p w14:paraId="05A03468" w14:textId="77777777" w:rsidR="005F2A5A" w:rsidRPr="005E2211" w:rsidRDefault="005F2A5A" w:rsidP="005E2211">
            <w:pPr>
              <w:pStyle w:val="NormalWeb"/>
              <w:spacing w:before="0" w:beforeAutospacing="0" w:after="0" w:afterAutospacing="0"/>
              <w:rPr>
                <w:sz w:val="16"/>
                <w:szCs w:val="16"/>
              </w:rPr>
            </w:pPr>
          </w:p>
          <w:p w14:paraId="104D8E63" w14:textId="61E70CB1" w:rsidR="005F2A5A" w:rsidRPr="005E2211" w:rsidRDefault="005F2A5A" w:rsidP="005E2211">
            <w:pPr>
              <w:pStyle w:val="NormalWeb"/>
              <w:spacing w:before="0" w:beforeAutospacing="0" w:after="0" w:afterAutospacing="0"/>
              <w:rPr>
                <w:sz w:val="16"/>
                <w:szCs w:val="16"/>
              </w:rPr>
            </w:pPr>
            <w:r w:rsidRPr="005E2211">
              <w:rPr>
                <w:rFonts w:hint="eastAsia"/>
                <w:b/>
                <w:bCs/>
                <w:i/>
                <w:iCs/>
                <w:sz w:val="16"/>
                <w:szCs w:val="16"/>
              </w:rPr>
              <w:t>Indicator</w:t>
            </w:r>
            <w:r w:rsidRPr="005E2211">
              <w:rPr>
                <w:rFonts w:hint="eastAsia"/>
                <w:i/>
                <w:iCs/>
                <w:sz w:val="16"/>
                <w:szCs w:val="16"/>
              </w:rPr>
              <w:t>:</w:t>
            </w:r>
            <w:r w:rsidRPr="005E2211">
              <w:rPr>
                <w:rFonts w:hint="eastAsia"/>
                <w:sz w:val="16"/>
                <w:szCs w:val="16"/>
              </w:rPr>
              <w:t xml:space="preserve">  Energy intensity measured in terms of primary energy and GDP (</w:t>
            </w:r>
            <w:r w:rsidR="008236A9">
              <w:rPr>
                <w:rFonts w:hint="eastAsia"/>
                <w:sz w:val="16"/>
                <w:szCs w:val="16"/>
              </w:rPr>
              <w:t>Goal</w:t>
            </w:r>
            <w:r w:rsidRPr="005E2211">
              <w:rPr>
                <w:rFonts w:hint="eastAsia"/>
                <w:sz w:val="16"/>
                <w:szCs w:val="16"/>
              </w:rPr>
              <w:t xml:space="preserve"> 7.3.1)</w:t>
            </w:r>
          </w:p>
          <w:p w14:paraId="0B345E5F" w14:textId="779E483E" w:rsidR="005F2A5A" w:rsidRPr="005E2211" w:rsidRDefault="005F2A5A" w:rsidP="005E2211">
            <w:pPr>
              <w:pStyle w:val="NormalWeb"/>
              <w:spacing w:before="0" w:beforeAutospacing="0" w:after="0" w:afterAutospacing="0"/>
              <w:rPr>
                <w:sz w:val="16"/>
                <w:szCs w:val="16"/>
              </w:rPr>
            </w:pPr>
            <w:r w:rsidRPr="005E2211">
              <w:rPr>
                <w:sz w:val="16"/>
                <w:szCs w:val="16"/>
              </w:rPr>
              <w:t>Baseline:</w:t>
            </w:r>
          </w:p>
          <w:p w14:paraId="0E467BDF" w14:textId="073BD918" w:rsidR="005F2A5A" w:rsidRPr="005E2211" w:rsidRDefault="005F2A5A" w:rsidP="005E2211">
            <w:pPr>
              <w:pStyle w:val="NormalWeb"/>
              <w:spacing w:before="0" w:beforeAutospacing="0" w:after="0" w:afterAutospacing="0"/>
              <w:rPr>
                <w:sz w:val="16"/>
                <w:szCs w:val="16"/>
              </w:rPr>
            </w:pPr>
            <w:r w:rsidRPr="005E2211">
              <w:rPr>
                <w:sz w:val="16"/>
                <w:szCs w:val="16"/>
              </w:rPr>
              <w:t>Target:</w:t>
            </w:r>
          </w:p>
          <w:p w14:paraId="04ADB273" w14:textId="3896EE8D" w:rsidR="005F2A5A" w:rsidRPr="00D61865" w:rsidRDefault="005F2A5A" w:rsidP="007D451C">
            <w:pPr>
              <w:rPr>
                <w:b/>
                <w:bCs/>
                <w:i/>
                <w:color w:val="000000"/>
                <w:sz w:val="16"/>
                <w:szCs w:val="16"/>
              </w:rPr>
            </w:pPr>
          </w:p>
        </w:tc>
        <w:tc>
          <w:tcPr>
            <w:tcW w:w="1178" w:type="pct"/>
          </w:tcPr>
          <w:p w14:paraId="7CD11F9B" w14:textId="1DD601C4" w:rsidR="00D16F0B" w:rsidRPr="00EB73DE" w:rsidRDefault="00D16F0B" w:rsidP="00B64724">
            <w:pPr>
              <w:rPr>
                <w:bCs/>
                <w:color w:val="000000"/>
                <w:sz w:val="16"/>
                <w:szCs w:val="16"/>
              </w:rPr>
            </w:pPr>
            <w:r w:rsidRPr="00EB73DE">
              <w:rPr>
                <w:bCs/>
                <w:color w:val="000000"/>
                <w:sz w:val="16"/>
                <w:szCs w:val="16"/>
              </w:rPr>
              <w:lastRenderedPageBreak/>
              <w:t xml:space="preserve">KEPA, </w:t>
            </w:r>
            <w:r>
              <w:rPr>
                <w:bCs/>
                <w:color w:val="000000"/>
                <w:sz w:val="16"/>
                <w:szCs w:val="16"/>
              </w:rPr>
              <w:t xml:space="preserve">KISR, </w:t>
            </w:r>
            <w:r w:rsidRPr="00EB73DE">
              <w:rPr>
                <w:bCs/>
                <w:color w:val="000000"/>
                <w:sz w:val="16"/>
                <w:szCs w:val="16"/>
              </w:rPr>
              <w:t xml:space="preserve">CSB (annually) </w:t>
            </w:r>
          </w:p>
          <w:p w14:paraId="2473C0D9" w14:textId="07BA0353" w:rsidR="005A333B" w:rsidRDefault="005A333B" w:rsidP="007D451C">
            <w:pPr>
              <w:rPr>
                <w:b/>
                <w:bCs/>
                <w:i/>
                <w:color w:val="000000"/>
                <w:sz w:val="16"/>
                <w:szCs w:val="16"/>
              </w:rPr>
            </w:pPr>
          </w:p>
          <w:p w14:paraId="061E4D5D" w14:textId="538AA3D4" w:rsidR="005A333B" w:rsidRDefault="005A333B" w:rsidP="007D451C">
            <w:pPr>
              <w:rPr>
                <w:b/>
                <w:bCs/>
                <w:i/>
                <w:color w:val="000000"/>
                <w:sz w:val="16"/>
                <w:szCs w:val="16"/>
              </w:rPr>
            </w:pPr>
          </w:p>
          <w:p w14:paraId="08BBDAF4" w14:textId="29CB7B70" w:rsidR="005A333B" w:rsidRDefault="005A333B" w:rsidP="007D451C">
            <w:pPr>
              <w:rPr>
                <w:b/>
                <w:bCs/>
                <w:i/>
                <w:color w:val="000000"/>
                <w:sz w:val="16"/>
                <w:szCs w:val="16"/>
              </w:rPr>
            </w:pPr>
          </w:p>
          <w:p w14:paraId="7E4B4562" w14:textId="28B1CEAB" w:rsidR="005A333B" w:rsidRDefault="005A333B" w:rsidP="007D451C">
            <w:pPr>
              <w:rPr>
                <w:b/>
                <w:bCs/>
                <w:i/>
                <w:color w:val="000000"/>
                <w:sz w:val="16"/>
                <w:szCs w:val="16"/>
              </w:rPr>
            </w:pPr>
          </w:p>
          <w:p w14:paraId="48523895" w14:textId="15518A64" w:rsidR="005A333B" w:rsidRDefault="005A333B" w:rsidP="007D451C">
            <w:pPr>
              <w:rPr>
                <w:b/>
                <w:bCs/>
                <w:i/>
                <w:color w:val="000000"/>
                <w:sz w:val="16"/>
                <w:szCs w:val="16"/>
              </w:rPr>
            </w:pPr>
          </w:p>
          <w:p w14:paraId="7436E522" w14:textId="79013C23" w:rsidR="005A333B" w:rsidRDefault="005A333B" w:rsidP="007D451C">
            <w:pPr>
              <w:rPr>
                <w:b/>
                <w:bCs/>
                <w:i/>
                <w:color w:val="000000"/>
                <w:sz w:val="16"/>
                <w:szCs w:val="16"/>
              </w:rPr>
            </w:pPr>
          </w:p>
          <w:p w14:paraId="3F6D1568" w14:textId="56DB1903" w:rsidR="005A333B" w:rsidRDefault="005A333B" w:rsidP="007D451C">
            <w:pPr>
              <w:rPr>
                <w:b/>
                <w:bCs/>
                <w:i/>
                <w:color w:val="000000"/>
                <w:sz w:val="16"/>
                <w:szCs w:val="16"/>
              </w:rPr>
            </w:pPr>
          </w:p>
          <w:p w14:paraId="2E5B66F3" w14:textId="03895079" w:rsidR="005A333B" w:rsidRDefault="005A333B" w:rsidP="007D451C">
            <w:pPr>
              <w:rPr>
                <w:b/>
                <w:bCs/>
                <w:i/>
                <w:color w:val="000000"/>
                <w:sz w:val="16"/>
                <w:szCs w:val="16"/>
              </w:rPr>
            </w:pPr>
          </w:p>
          <w:p w14:paraId="45E0DD6A" w14:textId="5E9B12D5" w:rsidR="005A333B" w:rsidRDefault="005A333B" w:rsidP="007D451C">
            <w:pPr>
              <w:rPr>
                <w:b/>
                <w:bCs/>
                <w:i/>
                <w:color w:val="000000"/>
                <w:sz w:val="16"/>
                <w:szCs w:val="16"/>
              </w:rPr>
            </w:pPr>
          </w:p>
          <w:p w14:paraId="7E2E61B9" w14:textId="5467E912" w:rsidR="005A333B" w:rsidRDefault="005A333B" w:rsidP="007D451C">
            <w:pPr>
              <w:rPr>
                <w:b/>
                <w:bCs/>
                <w:i/>
                <w:color w:val="000000"/>
                <w:sz w:val="16"/>
                <w:szCs w:val="16"/>
              </w:rPr>
            </w:pPr>
          </w:p>
          <w:p w14:paraId="316542EA" w14:textId="14C4C9A7" w:rsidR="005A333B" w:rsidRDefault="005A333B" w:rsidP="007D451C">
            <w:pPr>
              <w:rPr>
                <w:b/>
                <w:bCs/>
                <w:i/>
                <w:color w:val="000000"/>
                <w:sz w:val="16"/>
                <w:szCs w:val="16"/>
              </w:rPr>
            </w:pPr>
          </w:p>
          <w:p w14:paraId="5C78B973" w14:textId="1E6F49F2" w:rsidR="005A333B" w:rsidRDefault="005A333B" w:rsidP="007D451C">
            <w:pPr>
              <w:rPr>
                <w:b/>
                <w:bCs/>
                <w:i/>
                <w:color w:val="000000"/>
                <w:sz w:val="16"/>
                <w:szCs w:val="16"/>
              </w:rPr>
            </w:pPr>
          </w:p>
          <w:p w14:paraId="2E74823C" w14:textId="46B50FEA" w:rsidR="005A333B" w:rsidRDefault="005A333B" w:rsidP="007D451C">
            <w:pPr>
              <w:rPr>
                <w:b/>
                <w:bCs/>
                <w:i/>
                <w:color w:val="000000"/>
                <w:sz w:val="16"/>
                <w:szCs w:val="16"/>
              </w:rPr>
            </w:pPr>
          </w:p>
          <w:p w14:paraId="2B304EDD" w14:textId="774E395E" w:rsidR="005A333B" w:rsidRDefault="005A333B" w:rsidP="007D451C">
            <w:pPr>
              <w:rPr>
                <w:b/>
                <w:bCs/>
                <w:i/>
                <w:color w:val="000000"/>
                <w:sz w:val="16"/>
                <w:szCs w:val="16"/>
              </w:rPr>
            </w:pPr>
          </w:p>
          <w:p w14:paraId="0EFBB720" w14:textId="69ACF05C" w:rsidR="005A333B" w:rsidRDefault="005A333B" w:rsidP="007D451C">
            <w:pPr>
              <w:rPr>
                <w:b/>
                <w:bCs/>
                <w:i/>
                <w:color w:val="000000"/>
                <w:sz w:val="16"/>
                <w:szCs w:val="16"/>
              </w:rPr>
            </w:pPr>
          </w:p>
          <w:p w14:paraId="2A8DD9EE" w14:textId="1EEE5781" w:rsidR="005A333B" w:rsidRDefault="005A333B" w:rsidP="007D451C">
            <w:pPr>
              <w:rPr>
                <w:b/>
                <w:bCs/>
                <w:i/>
                <w:color w:val="000000"/>
                <w:sz w:val="16"/>
                <w:szCs w:val="16"/>
              </w:rPr>
            </w:pPr>
          </w:p>
          <w:p w14:paraId="389FB3C0" w14:textId="61BF95F4" w:rsidR="005A333B" w:rsidRDefault="005A333B" w:rsidP="007D451C">
            <w:pPr>
              <w:rPr>
                <w:b/>
                <w:bCs/>
                <w:i/>
                <w:color w:val="000000"/>
                <w:sz w:val="16"/>
                <w:szCs w:val="16"/>
              </w:rPr>
            </w:pPr>
          </w:p>
          <w:p w14:paraId="0DE89D3E" w14:textId="2FE500B5" w:rsidR="005A333B" w:rsidRDefault="005A333B" w:rsidP="007D451C">
            <w:pPr>
              <w:rPr>
                <w:b/>
                <w:bCs/>
                <w:i/>
                <w:color w:val="000000"/>
                <w:sz w:val="16"/>
                <w:szCs w:val="16"/>
              </w:rPr>
            </w:pPr>
          </w:p>
          <w:p w14:paraId="7F58E788" w14:textId="10B74D10" w:rsidR="005A333B" w:rsidRDefault="005A333B" w:rsidP="007D451C">
            <w:pPr>
              <w:rPr>
                <w:b/>
                <w:bCs/>
                <w:i/>
                <w:color w:val="000000"/>
                <w:sz w:val="16"/>
                <w:szCs w:val="16"/>
              </w:rPr>
            </w:pPr>
          </w:p>
          <w:p w14:paraId="63140DA4" w14:textId="135C3A93" w:rsidR="005A333B" w:rsidRDefault="005A333B" w:rsidP="007D451C">
            <w:pPr>
              <w:rPr>
                <w:b/>
                <w:bCs/>
                <w:i/>
                <w:color w:val="000000"/>
                <w:sz w:val="16"/>
                <w:szCs w:val="16"/>
              </w:rPr>
            </w:pPr>
          </w:p>
          <w:p w14:paraId="543FE5C1" w14:textId="325DFA7A" w:rsidR="005A333B" w:rsidRDefault="005A333B" w:rsidP="007D451C">
            <w:pPr>
              <w:rPr>
                <w:b/>
                <w:bCs/>
                <w:i/>
                <w:color w:val="000000"/>
                <w:sz w:val="16"/>
                <w:szCs w:val="16"/>
              </w:rPr>
            </w:pPr>
          </w:p>
          <w:p w14:paraId="5A5EDA3C" w14:textId="03E70751" w:rsidR="005A333B" w:rsidRDefault="005A333B" w:rsidP="007D451C">
            <w:pPr>
              <w:rPr>
                <w:b/>
                <w:bCs/>
                <w:i/>
                <w:color w:val="000000"/>
                <w:sz w:val="16"/>
                <w:szCs w:val="16"/>
              </w:rPr>
            </w:pPr>
          </w:p>
          <w:p w14:paraId="511067E5" w14:textId="7D6EA23E" w:rsidR="005A333B" w:rsidRDefault="005A333B" w:rsidP="007D451C">
            <w:pPr>
              <w:rPr>
                <w:b/>
                <w:bCs/>
                <w:i/>
                <w:color w:val="000000"/>
                <w:sz w:val="16"/>
                <w:szCs w:val="16"/>
              </w:rPr>
            </w:pPr>
          </w:p>
          <w:p w14:paraId="18530D80" w14:textId="4539AD68" w:rsidR="005A333B" w:rsidRDefault="005A333B" w:rsidP="007D451C">
            <w:pPr>
              <w:rPr>
                <w:b/>
                <w:bCs/>
                <w:i/>
                <w:color w:val="000000"/>
                <w:sz w:val="16"/>
                <w:szCs w:val="16"/>
              </w:rPr>
            </w:pPr>
          </w:p>
          <w:p w14:paraId="50BE5AAD" w14:textId="31A98E44" w:rsidR="005A333B" w:rsidRDefault="005A333B" w:rsidP="007D451C">
            <w:pPr>
              <w:rPr>
                <w:b/>
                <w:bCs/>
                <w:i/>
                <w:color w:val="000000"/>
                <w:sz w:val="16"/>
                <w:szCs w:val="16"/>
              </w:rPr>
            </w:pPr>
          </w:p>
          <w:p w14:paraId="50C3A45D" w14:textId="7C855F92" w:rsidR="005A333B" w:rsidRDefault="005A333B" w:rsidP="007D451C">
            <w:pPr>
              <w:rPr>
                <w:b/>
                <w:bCs/>
                <w:i/>
                <w:color w:val="000000"/>
                <w:sz w:val="16"/>
                <w:szCs w:val="16"/>
              </w:rPr>
            </w:pPr>
          </w:p>
          <w:p w14:paraId="3675817A" w14:textId="1DC1574E" w:rsidR="005A333B" w:rsidRDefault="005A333B" w:rsidP="007D451C">
            <w:pPr>
              <w:rPr>
                <w:bCs/>
                <w:color w:val="000000"/>
                <w:sz w:val="16"/>
                <w:szCs w:val="16"/>
              </w:rPr>
            </w:pPr>
          </w:p>
          <w:p w14:paraId="1D3F1777" w14:textId="77777777" w:rsidR="00D16F0B" w:rsidRDefault="00D16F0B" w:rsidP="007D451C">
            <w:pPr>
              <w:rPr>
                <w:b/>
                <w:bCs/>
                <w:i/>
                <w:color w:val="000000"/>
                <w:sz w:val="16"/>
                <w:szCs w:val="16"/>
              </w:rPr>
            </w:pPr>
          </w:p>
          <w:p w14:paraId="570D0CA2" w14:textId="4A6FC904" w:rsidR="005A333B" w:rsidRPr="00EB73DE" w:rsidRDefault="00E07CA7" w:rsidP="007D451C">
            <w:pPr>
              <w:rPr>
                <w:bCs/>
                <w:color w:val="000000"/>
                <w:sz w:val="16"/>
                <w:szCs w:val="16"/>
              </w:rPr>
            </w:pPr>
            <w:r>
              <w:rPr>
                <w:bCs/>
                <w:color w:val="000000"/>
                <w:sz w:val="16"/>
                <w:szCs w:val="16"/>
              </w:rPr>
              <w:t>KPPC</w:t>
            </w:r>
            <w:r w:rsidR="00D16F0B" w:rsidRPr="00EB73DE">
              <w:rPr>
                <w:bCs/>
                <w:color w:val="000000"/>
                <w:sz w:val="16"/>
                <w:szCs w:val="16"/>
              </w:rPr>
              <w:t xml:space="preserve"> (</w:t>
            </w:r>
            <w:r w:rsidR="00D16F0B">
              <w:rPr>
                <w:bCs/>
                <w:color w:val="000000"/>
                <w:sz w:val="16"/>
                <w:szCs w:val="16"/>
              </w:rPr>
              <w:t>b</w:t>
            </w:r>
            <w:r w:rsidR="00D16F0B" w:rsidRPr="00EB73DE">
              <w:rPr>
                <w:bCs/>
                <w:color w:val="000000"/>
                <w:sz w:val="16"/>
                <w:szCs w:val="16"/>
              </w:rPr>
              <w:t>iannually)</w:t>
            </w:r>
          </w:p>
          <w:p w14:paraId="6AE893AD" w14:textId="77777777" w:rsidR="005A333B" w:rsidRDefault="005A333B" w:rsidP="007D451C">
            <w:pPr>
              <w:rPr>
                <w:b/>
                <w:bCs/>
                <w:i/>
                <w:color w:val="000000"/>
                <w:sz w:val="16"/>
                <w:szCs w:val="16"/>
              </w:rPr>
            </w:pPr>
          </w:p>
          <w:p w14:paraId="0E5E6CAF" w14:textId="77777777" w:rsidR="005A333B" w:rsidRDefault="005A333B" w:rsidP="007D451C">
            <w:pPr>
              <w:rPr>
                <w:b/>
                <w:bCs/>
                <w:i/>
                <w:color w:val="000000"/>
                <w:sz w:val="16"/>
                <w:szCs w:val="16"/>
              </w:rPr>
            </w:pPr>
          </w:p>
          <w:p w14:paraId="52AF98D7" w14:textId="77777777" w:rsidR="005A333B" w:rsidRDefault="005A333B" w:rsidP="007D451C">
            <w:pPr>
              <w:rPr>
                <w:b/>
                <w:bCs/>
                <w:i/>
                <w:color w:val="000000"/>
                <w:sz w:val="16"/>
                <w:szCs w:val="16"/>
              </w:rPr>
            </w:pPr>
          </w:p>
          <w:p w14:paraId="238B4ACF" w14:textId="77777777" w:rsidR="005A333B" w:rsidRDefault="005A333B" w:rsidP="007D451C">
            <w:pPr>
              <w:rPr>
                <w:b/>
                <w:bCs/>
                <w:i/>
                <w:color w:val="000000"/>
                <w:sz w:val="16"/>
                <w:szCs w:val="16"/>
              </w:rPr>
            </w:pPr>
          </w:p>
          <w:p w14:paraId="706AF610" w14:textId="77777777" w:rsidR="005A333B" w:rsidRDefault="005A333B" w:rsidP="007D451C">
            <w:pPr>
              <w:rPr>
                <w:b/>
                <w:bCs/>
                <w:i/>
                <w:color w:val="000000"/>
                <w:sz w:val="16"/>
                <w:szCs w:val="16"/>
              </w:rPr>
            </w:pPr>
          </w:p>
          <w:p w14:paraId="7B2104B3" w14:textId="77777777" w:rsidR="005A333B" w:rsidRDefault="005A333B" w:rsidP="007D451C">
            <w:pPr>
              <w:rPr>
                <w:b/>
                <w:bCs/>
                <w:i/>
                <w:color w:val="000000"/>
                <w:sz w:val="16"/>
                <w:szCs w:val="16"/>
              </w:rPr>
            </w:pPr>
          </w:p>
          <w:p w14:paraId="6C99BEC4" w14:textId="77777777" w:rsidR="005A333B" w:rsidRDefault="005A333B" w:rsidP="007D451C">
            <w:pPr>
              <w:rPr>
                <w:b/>
                <w:bCs/>
                <w:i/>
                <w:color w:val="000000"/>
                <w:sz w:val="16"/>
                <w:szCs w:val="16"/>
              </w:rPr>
            </w:pPr>
          </w:p>
          <w:p w14:paraId="475B695C" w14:textId="77777777" w:rsidR="005A333B" w:rsidRDefault="005A333B" w:rsidP="007D451C">
            <w:pPr>
              <w:rPr>
                <w:b/>
                <w:bCs/>
                <w:i/>
                <w:color w:val="000000"/>
                <w:sz w:val="16"/>
                <w:szCs w:val="16"/>
              </w:rPr>
            </w:pPr>
          </w:p>
          <w:p w14:paraId="41632DF8" w14:textId="77777777" w:rsidR="005A333B" w:rsidRDefault="005A333B" w:rsidP="007D451C">
            <w:pPr>
              <w:rPr>
                <w:b/>
                <w:bCs/>
                <w:i/>
                <w:color w:val="000000"/>
                <w:sz w:val="16"/>
                <w:szCs w:val="16"/>
              </w:rPr>
            </w:pPr>
          </w:p>
          <w:p w14:paraId="0C635D4D" w14:textId="77777777" w:rsidR="005A333B" w:rsidRDefault="005A333B" w:rsidP="007D451C">
            <w:pPr>
              <w:rPr>
                <w:b/>
                <w:bCs/>
                <w:i/>
                <w:color w:val="000000"/>
                <w:sz w:val="16"/>
                <w:szCs w:val="16"/>
              </w:rPr>
            </w:pPr>
          </w:p>
          <w:p w14:paraId="02EF6F3D" w14:textId="77777777" w:rsidR="005A333B" w:rsidRDefault="005A333B" w:rsidP="007D451C">
            <w:pPr>
              <w:rPr>
                <w:b/>
                <w:bCs/>
                <w:i/>
                <w:color w:val="000000"/>
                <w:sz w:val="16"/>
                <w:szCs w:val="16"/>
              </w:rPr>
            </w:pPr>
          </w:p>
          <w:p w14:paraId="165F44D4" w14:textId="77777777" w:rsidR="005A333B" w:rsidRDefault="005A333B" w:rsidP="007D451C">
            <w:pPr>
              <w:rPr>
                <w:b/>
                <w:bCs/>
                <w:i/>
                <w:color w:val="000000"/>
                <w:sz w:val="16"/>
                <w:szCs w:val="16"/>
              </w:rPr>
            </w:pPr>
          </w:p>
          <w:p w14:paraId="37AFDD15" w14:textId="77777777" w:rsidR="005A333B" w:rsidRDefault="005A333B" w:rsidP="007D451C">
            <w:pPr>
              <w:rPr>
                <w:b/>
                <w:bCs/>
                <w:i/>
                <w:color w:val="000000"/>
                <w:sz w:val="16"/>
                <w:szCs w:val="16"/>
              </w:rPr>
            </w:pPr>
          </w:p>
          <w:p w14:paraId="407F06DB" w14:textId="77777777" w:rsidR="005A333B" w:rsidRDefault="005A333B" w:rsidP="007D451C">
            <w:pPr>
              <w:rPr>
                <w:b/>
                <w:bCs/>
                <w:i/>
                <w:color w:val="000000"/>
                <w:sz w:val="16"/>
                <w:szCs w:val="16"/>
              </w:rPr>
            </w:pPr>
          </w:p>
          <w:p w14:paraId="24F48A1C" w14:textId="77777777" w:rsidR="005A333B" w:rsidRDefault="005A333B" w:rsidP="007D451C">
            <w:pPr>
              <w:rPr>
                <w:b/>
                <w:bCs/>
                <w:i/>
                <w:color w:val="000000"/>
                <w:sz w:val="16"/>
                <w:szCs w:val="16"/>
              </w:rPr>
            </w:pPr>
          </w:p>
          <w:p w14:paraId="7B59413A" w14:textId="77777777" w:rsidR="005A333B" w:rsidRDefault="005A333B" w:rsidP="007D451C">
            <w:pPr>
              <w:rPr>
                <w:b/>
                <w:bCs/>
                <w:i/>
                <w:color w:val="000000"/>
                <w:sz w:val="16"/>
                <w:szCs w:val="16"/>
              </w:rPr>
            </w:pPr>
          </w:p>
          <w:p w14:paraId="63A0CF98" w14:textId="77777777" w:rsidR="005A333B" w:rsidRDefault="005A333B" w:rsidP="007D451C">
            <w:pPr>
              <w:rPr>
                <w:b/>
                <w:bCs/>
                <w:i/>
                <w:color w:val="000000"/>
                <w:sz w:val="16"/>
                <w:szCs w:val="16"/>
              </w:rPr>
            </w:pPr>
          </w:p>
          <w:p w14:paraId="264F1A5A" w14:textId="77777777" w:rsidR="005A333B" w:rsidRDefault="005A333B" w:rsidP="007D451C">
            <w:pPr>
              <w:rPr>
                <w:b/>
                <w:bCs/>
                <w:i/>
                <w:color w:val="000000"/>
                <w:sz w:val="16"/>
                <w:szCs w:val="16"/>
              </w:rPr>
            </w:pPr>
          </w:p>
          <w:p w14:paraId="3B56F1DE" w14:textId="77777777" w:rsidR="005A333B" w:rsidRDefault="005A333B" w:rsidP="007D451C">
            <w:pPr>
              <w:rPr>
                <w:b/>
                <w:bCs/>
                <w:i/>
                <w:color w:val="000000"/>
                <w:sz w:val="16"/>
                <w:szCs w:val="16"/>
              </w:rPr>
            </w:pPr>
          </w:p>
          <w:p w14:paraId="67656486" w14:textId="77777777" w:rsidR="005A333B" w:rsidRDefault="005A333B" w:rsidP="007D451C">
            <w:pPr>
              <w:rPr>
                <w:b/>
                <w:bCs/>
                <w:i/>
                <w:color w:val="000000"/>
                <w:sz w:val="16"/>
                <w:szCs w:val="16"/>
              </w:rPr>
            </w:pPr>
          </w:p>
          <w:p w14:paraId="008706B9" w14:textId="77777777" w:rsidR="005A333B" w:rsidRDefault="005A333B" w:rsidP="007D451C">
            <w:pPr>
              <w:rPr>
                <w:b/>
                <w:bCs/>
                <w:i/>
                <w:color w:val="000000"/>
                <w:sz w:val="16"/>
                <w:szCs w:val="16"/>
              </w:rPr>
            </w:pPr>
          </w:p>
          <w:p w14:paraId="0C361E6A" w14:textId="77777777" w:rsidR="005A333B" w:rsidRDefault="005A333B" w:rsidP="007D451C">
            <w:pPr>
              <w:rPr>
                <w:b/>
                <w:bCs/>
                <w:i/>
                <w:color w:val="000000"/>
                <w:sz w:val="16"/>
                <w:szCs w:val="16"/>
              </w:rPr>
            </w:pPr>
          </w:p>
          <w:p w14:paraId="20CBF369" w14:textId="77777777" w:rsidR="005A333B" w:rsidRDefault="005A333B" w:rsidP="007D451C">
            <w:pPr>
              <w:rPr>
                <w:b/>
                <w:bCs/>
                <w:i/>
                <w:color w:val="000000"/>
                <w:sz w:val="16"/>
                <w:szCs w:val="16"/>
              </w:rPr>
            </w:pPr>
          </w:p>
          <w:p w14:paraId="4C9E41E2" w14:textId="77777777" w:rsidR="005A333B" w:rsidRDefault="005A333B" w:rsidP="007D451C">
            <w:pPr>
              <w:rPr>
                <w:b/>
                <w:bCs/>
                <w:i/>
                <w:color w:val="000000"/>
                <w:sz w:val="16"/>
                <w:szCs w:val="16"/>
              </w:rPr>
            </w:pPr>
          </w:p>
          <w:p w14:paraId="65D6C723" w14:textId="77777777" w:rsidR="005A333B" w:rsidRDefault="005A333B" w:rsidP="007D451C">
            <w:pPr>
              <w:rPr>
                <w:b/>
                <w:bCs/>
                <w:i/>
                <w:color w:val="000000"/>
                <w:sz w:val="16"/>
                <w:szCs w:val="16"/>
              </w:rPr>
            </w:pPr>
          </w:p>
          <w:p w14:paraId="25E4B85B" w14:textId="77777777" w:rsidR="005A333B" w:rsidRDefault="005A333B" w:rsidP="007D451C">
            <w:pPr>
              <w:rPr>
                <w:b/>
                <w:bCs/>
                <w:i/>
                <w:color w:val="000000"/>
                <w:sz w:val="16"/>
                <w:szCs w:val="16"/>
              </w:rPr>
            </w:pPr>
          </w:p>
          <w:p w14:paraId="44EDE0E2" w14:textId="77777777" w:rsidR="005A333B" w:rsidRDefault="005A333B" w:rsidP="007D451C">
            <w:pPr>
              <w:rPr>
                <w:b/>
                <w:bCs/>
                <w:i/>
                <w:color w:val="000000"/>
                <w:sz w:val="16"/>
                <w:szCs w:val="16"/>
              </w:rPr>
            </w:pPr>
          </w:p>
          <w:p w14:paraId="7F8DF0B7" w14:textId="77777777" w:rsidR="005A333B" w:rsidRDefault="005A333B" w:rsidP="007D451C">
            <w:pPr>
              <w:rPr>
                <w:b/>
                <w:bCs/>
                <w:i/>
                <w:color w:val="000000"/>
                <w:sz w:val="16"/>
                <w:szCs w:val="16"/>
              </w:rPr>
            </w:pPr>
            <w:bookmarkStart w:id="0" w:name="_GoBack"/>
            <w:bookmarkEnd w:id="0"/>
          </w:p>
          <w:p w14:paraId="1A1DF89B" w14:textId="70B8FE8B" w:rsidR="005A333B" w:rsidRPr="00EB73DE" w:rsidRDefault="00E07CA7" w:rsidP="007D451C">
            <w:pPr>
              <w:rPr>
                <w:bCs/>
                <w:color w:val="000000"/>
                <w:sz w:val="16"/>
                <w:szCs w:val="16"/>
              </w:rPr>
            </w:pPr>
            <w:r>
              <w:rPr>
                <w:bCs/>
                <w:color w:val="000000"/>
                <w:sz w:val="16"/>
                <w:szCs w:val="16"/>
              </w:rPr>
              <w:t>KEPA</w:t>
            </w:r>
            <w:r w:rsidR="005A333B" w:rsidRPr="00EB73DE">
              <w:rPr>
                <w:bCs/>
                <w:color w:val="000000"/>
                <w:sz w:val="16"/>
                <w:szCs w:val="16"/>
              </w:rPr>
              <w:t xml:space="preserve"> (annually), NGOs </w:t>
            </w:r>
          </w:p>
          <w:p w14:paraId="78BA8285" w14:textId="77777777" w:rsidR="005A333B" w:rsidRDefault="005A333B" w:rsidP="007D451C">
            <w:pPr>
              <w:rPr>
                <w:b/>
                <w:bCs/>
                <w:i/>
                <w:color w:val="000000"/>
                <w:sz w:val="16"/>
                <w:szCs w:val="16"/>
              </w:rPr>
            </w:pPr>
          </w:p>
          <w:p w14:paraId="5467E18B" w14:textId="77777777" w:rsidR="005A333B" w:rsidRDefault="005A333B" w:rsidP="007D451C">
            <w:pPr>
              <w:rPr>
                <w:b/>
                <w:bCs/>
                <w:i/>
                <w:color w:val="000000"/>
                <w:sz w:val="16"/>
                <w:szCs w:val="16"/>
              </w:rPr>
            </w:pPr>
          </w:p>
          <w:p w14:paraId="4B1BBC52" w14:textId="77777777" w:rsidR="005A333B" w:rsidRDefault="005A333B" w:rsidP="007D451C">
            <w:pPr>
              <w:rPr>
                <w:b/>
                <w:bCs/>
                <w:i/>
                <w:color w:val="000000"/>
                <w:sz w:val="16"/>
                <w:szCs w:val="16"/>
              </w:rPr>
            </w:pPr>
          </w:p>
          <w:p w14:paraId="64E02719" w14:textId="77777777" w:rsidR="005A333B" w:rsidRDefault="005A333B" w:rsidP="007D451C">
            <w:pPr>
              <w:rPr>
                <w:b/>
                <w:bCs/>
                <w:i/>
                <w:color w:val="000000"/>
                <w:sz w:val="16"/>
                <w:szCs w:val="16"/>
              </w:rPr>
            </w:pPr>
          </w:p>
          <w:p w14:paraId="340395B5" w14:textId="77777777" w:rsidR="005A333B" w:rsidRDefault="005A333B" w:rsidP="007D451C">
            <w:pPr>
              <w:rPr>
                <w:b/>
                <w:bCs/>
                <w:i/>
                <w:color w:val="000000"/>
                <w:sz w:val="16"/>
                <w:szCs w:val="16"/>
              </w:rPr>
            </w:pPr>
          </w:p>
          <w:p w14:paraId="0D2299E5" w14:textId="77777777" w:rsidR="005A333B" w:rsidRDefault="005A333B" w:rsidP="007D451C">
            <w:pPr>
              <w:rPr>
                <w:b/>
                <w:bCs/>
                <w:i/>
                <w:color w:val="000000"/>
                <w:sz w:val="16"/>
                <w:szCs w:val="16"/>
              </w:rPr>
            </w:pPr>
          </w:p>
          <w:p w14:paraId="7A87290B" w14:textId="77777777" w:rsidR="005A333B" w:rsidRDefault="005A333B" w:rsidP="007D451C">
            <w:pPr>
              <w:rPr>
                <w:b/>
                <w:bCs/>
                <w:i/>
                <w:color w:val="000000"/>
                <w:sz w:val="16"/>
                <w:szCs w:val="16"/>
              </w:rPr>
            </w:pPr>
          </w:p>
          <w:p w14:paraId="320CE2A7" w14:textId="77777777" w:rsidR="005A333B" w:rsidRDefault="005A333B" w:rsidP="007D451C">
            <w:pPr>
              <w:rPr>
                <w:b/>
                <w:bCs/>
                <w:i/>
                <w:color w:val="000000"/>
                <w:sz w:val="16"/>
                <w:szCs w:val="16"/>
              </w:rPr>
            </w:pPr>
          </w:p>
          <w:p w14:paraId="026252B0" w14:textId="77777777" w:rsidR="005A333B" w:rsidRDefault="005A333B" w:rsidP="007D451C">
            <w:pPr>
              <w:rPr>
                <w:b/>
                <w:bCs/>
                <w:i/>
                <w:color w:val="000000"/>
                <w:sz w:val="16"/>
                <w:szCs w:val="16"/>
              </w:rPr>
            </w:pPr>
          </w:p>
          <w:p w14:paraId="6B4CC11E" w14:textId="77777777" w:rsidR="005A333B" w:rsidRDefault="005A333B" w:rsidP="007D451C">
            <w:pPr>
              <w:rPr>
                <w:b/>
                <w:bCs/>
                <w:i/>
                <w:color w:val="000000"/>
                <w:sz w:val="16"/>
                <w:szCs w:val="16"/>
              </w:rPr>
            </w:pPr>
          </w:p>
          <w:p w14:paraId="6DDED30A" w14:textId="77777777" w:rsidR="005A333B" w:rsidRDefault="005A333B" w:rsidP="007D451C">
            <w:pPr>
              <w:rPr>
                <w:b/>
                <w:bCs/>
                <w:i/>
                <w:color w:val="000000"/>
                <w:sz w:val="16"/>
                <w:szCs w:val="16"/>
              </w:rPr>
            </w:pPr>
          </w:p>
          <w:p w14:paraId="488CF6EC" w14:textId="77777777" w:rsidR="005A333B" w:rsidRDefault="005A333B" w:rsidP="007D451C">
            <w:pPr>
              <w:rPr>
                <w:b/>
                <w:bCs/>
                <w:i/>
                <w:color w:val="000000"/>
                <w:sz w:val="16"/>
                <w:szCs w:val="16"/>
              </w:rPr>
            </w:pPr>
          </w:p>
          <w:p w14:paraId="34476F28" w14:textId="77777777" w:rsidR="005A333B" w:rsidRDefault="005A333B" w:rsidP="007D451C">
            <w:pPr>
              <w:rPr>
                <w:b/>
                <w:bCs/>
                <w:i/>
                <w:color w:val="000000"/>
                <w:sz w:val="16"/>
                <w:szCs w:val="16"/>
              </w:rPr>
            </w:pPr>
          </w:p>
          <w:p w14:paraId="5429EE6B" w14:textId="77777777" w:rsidR="005A333B" w:rsidRDefault="005A333B" w:rsidP="007D451C">
            <w:pPr>
              <w:rPr>
                <w:b/>
                <w:bCs/>
                <w:i/>
                <w:color w:val="000000"/>
                <w:sz w:val="16"/>
                <w:szCs w:val="16"/>
              </w:rPr>
            </w:pPr>
          </w:p>
          <w:p w14:paraId="5D40C858" w14:textId="77777777" w:rsidR="005A333B" w:rsidRDefault="005A333B" w:rsidP="007D451C">
            <w:pPr>
              <w:rPr>
                <w:b/>
                <w:bCs/>
                <w:i/>
                <w:color w:val="000000"/>
                <w:sz w:val="16"/>
                <w:szCs w:val="16"/>
              </w:rPr>
            </w:pPr>
          </w:p>
          <w:p w14:paraId="15C6B500" w14:textId="77777777" w:rsidR="005A333B" w:rsidRDefault="005A333B" w:rsidP="007D451C">
            <w:pPr>
              <w:rPr>
                <w:b/>
                <w:bCs/>
                <w:i/>
                <w:color w:val="000000"/>
                <w:sz w:val="16"/>
                <w:szCs w:val="16"/>
              </w:rPr>
            </w:pPr>
          </w:p>
          <w:p w14:paraId="2C9973F6" w14:textId="77777777" w:rsidR="005A333B" w:rsidRDefault="005A333B" w:rsidP="007D451C">
            <w:pPr>
              <w:rPr>
                <w:b/>
                <w:bCs/>
                <w:i/>
                <w:color w:val="000000"/>
                <w:sz w:val="16"/>
                <w:szCs w:val="16"/>
              </w:rPr>
            </w:pPr>
          </w:p>
          <w:p w14:paraId="7920BAE2" w14:textId="77777777" w:rsidR="005A333B" w:rsidRDefault="005A333B" w:rsidP="007D451C">
            <w:pPr>
              <w:rPr>
                <w:b/>
                <w:bCs/>
                <w:i/>
                <w:color w:val="000000"/>
                <w:sz w:val="16"/>
                <w:szCs w:val="16"/>
              </w:rPr>
            </w:pPr>
          </w:p>
          <w:p w14:paraId="77934F0C" w14:textId="77777777" w:rsidR="005A333B" w:rsidRDefault="005A333B" w:rsidP="007D451C">
            <w:pPr>
              <w:rPr>
                <w:b/>
                <w:bCs/>
                <w:i/>
                <w:color w:val="000000"/>
                <w:sz w:val="16"/>
                <w:szCs w:val="16"/>
              </w:rPr>
            </w:pPr>
          </w:p>
          <w:p w14:paraId="381F798A" w14:textId="77777777" w:rsidR="005A333B" w:rsidRDefault="005A333B" w:rsidP="007D451C">
            <w:pPr>
              <w:rPr>
                <w:b/>
                <w:bCs/>
                <w:i/>
                <w:color w:val="000000"/>
                <w:sz w:val="16"/>
                <w:szCs w:val="16"/>
              </w:rPr>
            </w:pPr>
          </w:p>
          <w:p w14:paraId="06103BA4" w14:textId="77777777" w:rsidR="005A333B" w:rsidRDefault="005A333B" w:rsidP="007D451C">
            <w:pPr>
              <w:rPr>
                <w:b/>
                <w:bCs/>
                <w:i/>
                <w:color w:val="000000"/>
                <w:sz w:val="16"/>
                <w:szCs w:val="16"/>
              </w:rPr>
            </w:pPr>
          </w:p>
          <w:p w14:paraId="414C0176" w14:textId="77777777" w:rsidR="005A333B" w:rsidRDefault="005A333B" w:rsidP="007D451C">
            <w:pPr>
              <w:rPr>
                <w:b/>
                <w:bCs/>
                <w:i/>
                <w:color w:val="000000"/>
                <w:sz w:val="16"/>
                <w:szCs w:val="16"/>
              </w:rPr>
            </w:pPr>
          </w:p>
          <w:p w14:paraId="1B01E326" w14:textId="77777777" w:rsidR="005A333B" w:rsidRDefault="005A333B" w:rsidP="007D451C">
            <w:pPr>
              <w:rPr>
                <w:b/>
                <w:bCs/>
                <w:i/>
                <w:color w:val="000000"/>
                <w:sz w:val="16"/>
                <w:szCs w:val="16"/>
              </w:rPr>
            </w:pPr>
          </w:p>
          <w:p w14:paraId="22CADCD6" w14:textId="77777777" w:rsidR="005A333B" w:rsidRDefault="005A333B" w:rsidP="007D451C">
            <w:pPr>
              <w:rPr>
                <w:b/>
                <w:bCs/>
                <w:i/>
                <w:color w:val="000000"/>
                <w:sz w:val="16"/>
                <w:szCs w:val="16"/>
              </w:rPr>
            </w:pPr>
          </w:p>
          <w:p w14:paraId="5E376A3D" w14:textId="77777777" w:rsidR="005A333B" w:rsidRDefault="005A333B" w:rsidP="007D451C">
            <w:pPr>
              <w:rPr>
                <w:b/>
                <w:bCs/>
                <w:i/>
                <w:color w:val="000000"/>
                <w:sz w:val="16"/>
                <w:szCs w:val="16"/>
              </w:rPr>
            </w:pPr>
          </w:p>
          <w:p w14:paraId="16A399C8" w14:textId="12D7093A" w:rsidR="005A333B" w:rsidRPr="0083144E" w:rsidRDefault="005A333B" w:rsidP="007D451C">
            <w:pPr>
              <w:rPr>
                <w:bCs/>
                <w:color w:val="000000"/>
                <w:sz w:val="16"/>
                <w:szCs w:val="16"/>
              </w:rPr>
            </w:pPr>
            <w:r w:rsidRPr="0083144E">
              <w:rPr>
                <w:bCs/>
                <w:color w:val="000000"/>
                <w:sz w:val="16"/>
                <w:szCs w:val="16"/>
              </w:rPr>
              <w:t xml:space="preserve">Kuwait </w:t>
            </w:r>
            <w:r w:rsidR="008A556A" w:rsidRPr="0083144E">
              <w:rPr>
                <w:bCs/>
                <w:color w:val="000000"/>
                <w:sz w:val="16"/>
                <w:szCs w:val="16"/>
              </w:rPr>
              <w:t>Environment</w:t>
            </w:r>
            <w:r w:rsidRPr="0083144E">
              <w:rPr>
                <w:bCs/>
                <w:color w:val="000000"/>
                <w:sz w:val="16"/>
                <w:szCs w:val="16"/>
              </w:rPr>
              <w:t xml:space="preserve"> Public Authority (annually)</w:t>
            </w:r>
            <w:r w:rsidR="00705C71">
              <w:rPr>
                <w:bCs/>
                <w:color w:val="000000"/>
                <w:sz w:val="16"/>
                <w:szCs w:val="16"/>
              </w:rPr>
              <w:t xml:space="preserve"> and </w:t>
            </w:r>
            <w:r w:rsidR="00DB1BA8">
              <w:rPr>
                <w:bCs/>
                <w:color w:val="000000"/>
                <w:sz w:val="16"/>
                <w:szCs w:val="16"/>
              </w:rPr>
              <w:t>the private sector</w:t>
            </w:r>
          </w:p>
        </w:tc>
        <w:tc>
          <w:tcPr>
            <w:tcW w:w="1092" w:type="pct"/>
            <w:tcMar>
              <w:top w:w="72" w:type="dxa"/>
              <w:left w:w="144" w:type="dxa"/>
              <w:bottom w:w="72" w:type="dxa"/>
              <w:right w:w="144" w:type="dxa"/>
            </w:tcMar>
          </w:tcPr>
          <w:p w14:paraId="084ADF78" w14:textId="27BDDDE3" w:rsidR="002110C5" w:rsidRPr="00D420E2" w:rsidRDefault="002110C5" w:rsidP="007D451C">
            <w:pPr>
              <w:rPr>
                <w:b/>
                <w:sz w:val="16"/>
                <w:szCs w:val="16"/>
              </w:rPr>
            </w:pPr>
            <w:r w:rsidRPr="00D420E2">
              <w:rPr>
                <w:b/>
                <w:sz w:val="16"/>
                <w:szCs w:val="16"/>
              </w:rPr>
              <w:lastRenderedPageBreak/>
              <w:t xml:space="preserve">Output </w:t>
            </w:r>
            <w:r w:rsidR="009A5B4A">
              <w:rPr>
                <w:b/>
                <w:sz w:val="16"/>
                <w:szCs w:val="16"/>
              </w:rPr>
              <w:t>3.1</w:t>
            </w:r>
            <w:r w:rsidRPr="00D420E2">
              <w:rPr>
                <w:b/>
                <w:sz w:val="16"/>
                <w:szCs w:val="16"/>
              </w:rPr>
              <w:t>: D</w:t>
            </w:r>
            <w:r w:rsidRPr="00F236EF">
              <w:rPr>
                <w:b/>
                <w:sz w:val="16"/>
                <w:szCs w:val="16"/>
              </w:rPr>
              <w:t>ata infrastructure</w:t>
            </w:r>
            <w:r w:rsidRPr="00D420E2">
              <w:rPr>
                <w:b/>
                <w:sz w:val="16"/>
                <w:szCs w:val="16"/>
              </w:rPr>
              <w:t xml:space="preserve"> on energy and environment, strengthened</w:t>
            </w:r>
            <w:r w:rsidRPr="00F236EF">
              <w:rPr>
                <w:b/>
                <w:sz w:val="16"/>
                <w:szCs w:val="16"/>
              </w:rPr>
              <w:t xml:space="preserve">: </w:t>
            </w:r>
          </w:p>
          <w:p w14:paraId="3B6BBE79" w14:textId="77777777" w:rsidR="002110C5" w:rsidRPr="00F236EF" w:rsidRDefault="002110C5" w:rsidP="007D451C">
            <w:pPr>
              <w:rPr>
                <w:b/>
                <w:sz w:val="16"/>
                <w:szCs w:val="16"/>
              </w:rPr>
            </w:pPr>
          </w:p>
          <w:p w14:paraId="2F76E8CF" w14:textId="39F6235F" w:rsidR="002110C5" w:rsidRDefault="002110C5" w:rsidP="007D451C">
            <w:pPr>
              <w:rPr>
                <w:sz w:val="16"/>
                <w:szCs w:val="16"/>
              </w:rPr>
            </w:pPr>
            <w:r w:rsidRPr="00EB73DE">
              <w:rPr>
                <w:b/>
                <w:sz w:val="16"/>
                <w:szCs w:val="16"/>
              </w:rPr>
              <w:t>Indicator</w:t>
            </w:r>
            <w:r w:rsidR="009A5B4A" w:rsidRPr="00EB73DE">
              <w:rPr>
                <w:b/>
                <w:sz w:val="16"/>
                <w:szCs w:val="16"/>
              </w:rPr>
              <w:t xml:space="preserve"> 3.1.1</w:t>
            </w:r>
            <w:r>
              <w:rPr>
                <w:sz w:val="16"/>
                <w:szCs w:val="16"/>
              </w:rPr>
              <w:t xml:space="preserve">:  </w:t>
            </w:r>
            <w:r w:rsidR="009A5B4A">
              <w:rPr>
                <w:sz w:val="16"/>
                <w:szCs w:val="16"/>
              </w:rPr>
              <w:t>Number</w:t>
            </w:r>
            <w:r>
              <w:rPr>
                <w:sz w:val="16"/>
                <w:szCs w:val="16"/>
              </w:rPr>
              <w:t xml:space="preserve"> of knowledge products produced on low-carbon development/renewable energy </w:t>
            </w:r>
          </w:p>
          <w:p w14:paraId="21102F94" w14:textId="77777777" w:rsidR="002110C5" w:rsidRDefault="002110C5" w:rsidP="007D451C">
            <w:pPr>
              <w:rPr>
                <w:sz w:val="16"/>
                <w:szCs w:val="16"/>
              </w:rPr>
            </w:pPr>
            <w:r>
              <w:rPr>
                <w:sz w:val="16"/>
                <w:szCs w:val="16"/>
              </w:rPr>
              <w:t>Baseline: 1</w:t>
            </w:r>
          </w:p>
          <w:p w14:paraId="04FDF418" w14:textId="77777777" w:rsidR="002110C5" w:rsidRDefault="002110C5" w:rsidP="007D451C">
            <w:pPr>
              <w:rPr>
                <w:sz w:val="16"/>
                <w:szCs w:val="16"/>
              </w:rPr>
            </w:pPr>
            <w:r>
              <w:rPr>
                <w:sz w:val="16"/>
                <w:szCs w:val="16"/>
              </w:rPr>
              <w:t>Target: 4</w:t>
            </w:r>
          </w:p>
          <w:p w14:paraId="1D8A0075" w14:textId="5E89BE4D" w:rsidR="002110C5" w:rsidRDefault="00AC7676" w:rsidP="007D451C">
            <w:pPr>
              <w:rPr>
                <w:sz w:val="16"/>
                <w:szCs w:val="16"/>
              </w:rPr>
            </w:pPr>
            <w:r>
              <w:rPr>
                <w:sz w:val="16"/>
                <w:szCs w:val="16"/>
              </w:rPr>
              <w:t>Sources</w:t>
            </w:r>
            <w:r w:rsidR="002110C5">
              <w:rPr>
                <w:sz w:val="16"/>
                <w:szCs w:val="16"/>
              </w:rPr>
              <w:t>: KISR</w:t>
            </w:r>
          </w:p>
          <w:p w14:paraId="524043C5" w14:textId="77777777" w:rsidR="002110C5" w:rsidRDefault="002110C5" w:rsidP="007D451C">
            <w:pPr>
              <w:rPr>
                <w:sz w:val="16"/>
                <w:szCs w:val="16"/>
              </w:rPr>
            </w:pPr>
          </w:p>
          <w:p w14:paraId="0674D069" w14:textId="66D30D8A" w:rsidR="002110C5" w:rsidRDefault="002110C5" w:rsidP="007D451C">
            <w:pPr>
              <w:rPr>
                <w:sz w:val="16"/>
                <w:szCs w:val="16"/>
              </w:rPr>
            </w:pPr>
            <w:r w:rsidRPr="00EB73DE">
              <w:rPr>
                <w:b/>
                <w:sz w:val="16"/>
                <w:szCs w:val="16"/>
              </w:rPr>
              <w:t>Indicator</w:t>
            </w:r>
            <w:r w:rsidR="009A5B4A" w:rsidRPr="00EB73DE">
              <w:rPr>
                <w:b/>
                <w:sz w:val="16"/>
                <w:szCs w:val="16"/>
              </w:rPr>
              <w:t xml:space="preserve"> 3.1.2</w:t>
            </w:r>
            <w:r>
              <w:rPr>
                <w:sz w:val="16"/>
                <w:szCs w:val="16"/>
              </w:rPr>
              <w:t xml:space="preserve">: </w:t>
            </w:r>
            <w:r w:rsidR="009A5B4A">
              <w:rPr>
                <w:sz w:val="16"/>
                <w:szCs w:val="16"/>
              </w:rPr>
              <w:t>Number</w:t>
            </w:r>
            <w:r>
              <w:rPr>
                <w:sz w:val="16"/>
                <w:szCs w:val="16"/>
              </w:rPr>
              <w:t xml:space="preserve"> of partnerships to generate real-time monitoring of energy and environment</w:t>
            </w:r>
            <w:r w:rsidR="009A5B4A">
              <w:rPr>
                <w:sz w:val="16"/>
                <w:szCs w:val="16"/>
              </w:rPr>
              <w:t>al protection</w:t>
            </w:r>
          </w:p>
          <w:p w14:paraId="4A6BF894" w14:textId="77777777" w:rsidR="002110C5" w:rsidRDefault="002110C5" w:rsidP="007D451C">
            <w:pPr>
              <w:rPr>
                <w:sz w:val="16"/>
                <w:szCs w:val="16"/>
              </w:rPr>
            </w:pPr>
            <w:r>
              <w:rPr>
                <w:sz w:val="16"/>
                <w:szCs w:val="16"/>
              </w:rPr>
              <w:t>Baseline: 0</w:t>
            </w:r>
          </w:p>
          <w:p w14:paraId="2B2C1497" w14:textId="77777777" w:rsidR="002110C5" w:rsidRDefault="002110C5" w:rsidP="007D451C">
            <w:pPr>
              <w:rPr>
                <w:sz w:val="16"/>
                <w:szCs w:val="16"/>
              </w:rPr>
            </w:pPr>
            <w:r>
              <w:rPr>
                <w:sz w:val="16"/>
                <w:szCs w:val="16"/>
              </w:rPr>
              <w:t>Target: 1</w:t>
            </w:r>
          </w:p>
          <w:p w14:paraId="551EC1FE" w14:textId="6552D072" w:rsidR="002110C5" w:rsidRDefault="002110C5" w:rsidP="007D451C">
            <w:pPr>
              <w:rPr>
                <w:sz w:val="16"/>
                <w:szCs w:val="16"/>
              </w:rPr>
            </w:pPr>
            <w:r>
              <w:rPr>
                <w:sz w:val="16"/>
                <w:szCs w:val="16"/>
              </w:rPr>
              <w:t>Source: KEPA</w:t>
            </w:r>
            <w:r w:rsidR="009A5B4A">
              <w:rPr>
                <w:sz w:val="16"/>
                <w:szCs w:val="16"/>
              </w:rPr>
              <w:t xml:space="preserve"> and CSB</w:t>
            </w:r>
          </w:p>
          <w:p w14:paraId="1804FEA6" w14:textId="77777777" w:rsidR="002110C5" w:rsidRDefault="002110C5" w:rsidP="007D451C">
            <w:pPr>
              <w:rPr>
                <w:sz w:val="16"/>
                <w:szCs w:val="16"/>
              </w:rPr>
            </w:pPr>
          </w:p>
          <w:p w14:paraId="1A95CE00" w14:textId="2B64907E" w:rsidR="002110C5" w:rsidRPr="00E85053" w:rsidRDefault="002110C5" w:rsidP="007D451C">
            <w:pPr>
              <w:rPr>
                <w:color w:val="000000"/>
                <w:sz w:val="16"/>
                <w:szCs w:val="16"/>
              </w:rPr>
            </w:pPr>
            <w:r w:rsidRPr="00E85053">
              <w:rPr>
                <w:b/>
                <w:bCs/>
                <w:color w:val="000000"/>
                <w:sz w:val="16"/>
                <w:szCs w:val="16"/>
              </w:rPr>
              <w:t xml:space="preserve">Indicator </w:t>
            </w:r>
            <w:r w:rsidR="009A5B4A">
              <w:rPr>
                <w:b/>
                <w:bCs/>
                <w:color w:val="000000"/>
                <w:sz w:val="16"/>
                <w:szCs w:val="16"/>
              </w:rPr>
              <w:t>3.1.3:</w:t>
            </w:r>
            <w:r w:rsidRPr="00E85053">
              <w:rPr>
                <w:color w:val="000000"/>
                <w:sz w:val="16"/>
                <w:szCs w:val="16"/>
              </w:rPr>
              <w:t xml:space="preserve">. Number of </w:t>
            </w:r>
            <w:r>
              <w:rPr>
                <w:color w:val="000000"/>
                <w:sz w:val="16"/>
                <w:szCs w:val="16"/>
              </w:rPr>
              <w:t>energy diversification and environmental management</w:t>
            </w:r>
            <w:r w:rsidRPr="00E85053">
              <w:rPr>
                <w:color w:val="000000"/>
                <w:sz w:val="16"/>
                <w:szCs w:val="16"/>
              </w:rPr>
              <w:t xml:space="preserve"> plans and projects developed </w:t>
            </w:r>
          </w:p>
          <w:p w14:paraId="000CA042" w14:textId="1460A998" w:rsidR="002110C5" w:rsidRPr="00E85053" w:rsidRDefault="002110C5" w:rsidP="007D451C">
            <w:pPr>
              <w:rPr>
                <w:color w:val="000000"/>
                <w:sz w:val="16"/>
                <w:szCs w:val="16"/>
              </w:rPr>
            </w:pPr>
            <w:r w:rsidRPr="00E85053">
              <w:rPr>
                <w:color w:val="000000"/>
                <w:sz w:val="16"/>
                <w:szCs w:val="16"/>
              </w:rPr>
              <w:t xml:space="preserve">Baseline: </w:t>
            </w:r>
            <w:r w:rsidR="00D16F0B">
              <w:rPr>
                <w:color w:val="000000"/>
                <w:sz w:val="16"/>
                <w:szCs w:val="16"/>
              </w:rPr>
              <w:t>0</w:t>
            </w:r>
          </w:p>
          <w:p w14:paraId="7F6CB7AC" w14:textId="5B56E77C" w:rsidR="002110C5" w:rsidRPr="00E85053" w:rsidRDefault="002110C5" w:rsidP="007D451C">
            <w:pPr>
              <w:rPr>
                <w:color w:val="000000"/>
                <w:sz w:val="16"/>
                <w:szCs w:val="16"/>
              </w:rPr>
            </w:pPr>
            <w:r w:rsidRPr="00E85053">
              <w:rPr>
                <w:color w:val="000000"/>
                <w:sz w:val="16"/>
                <w:szCs w:val="16"/>
              </w:rPr>
              <w:t xml:space="preserve">Target: </w:t>
            </w:r>
            <w:r w:rsidR="00D16F0B">
              <w:rPr>
                <w:color w:val="000000"/>
                <w:sz w:val="16"/>
                <w:szCs w:val="16"/>
              </w:rPr>
              <w:t>2</w:t>
            </w:r>
          </w:p>
          <w:p w14:paraId="08CF4E6E" w14:textId="65566DB5" w:rsidR="002110C5" w:rsidRPr="00E85053" w:rsidRDefault="002110C5" w:rsidP="007D451C">
            <w:pPr>
              <w:rPr>
                <w:sz w:val="16"/>
                <w:szCs w:val="16"/>
              </w:rPr>
            </w:pPr>
            <w:r w:rsidRPr="00E85053">
              <w:rPr>
                <w:color w:val="000000"/>
                <w:sz w:val="16"/>
                <w:szCs w:val="16"/>
              </w:rPr>
              <w:t xml:space="preserve">Source: </w:t>
            </w:r>
            <w:r w:rsidR="00D16F0B">
              <w:rPr>
                <w:color w:val="000000"/>
                <w:sz w:val="16"/>
                <w:szCs w:val="16"/>
              </w:rPr>
              <w:t xml:space="preserve">KEPA, KISR, Higher Council for </w:t>
            </w:r>
            <w:r w:rsidR="00AC7676">
              <w:rPr>
                <w:color w:val="000000"/>
                <w:sz w:val="16"/>
                <w:szCs w:val="16"/>
              </w:rPr>
              <w:t>Environment</w:t>
            </w:r>
            <w:r w:rsidR="00D16F0B">
              <w:rPr>
                <w:color w:val="000000"/>
                <w:sz w:val="16"/>
                <w:szCs w:val="16"/>
              </w:rPr>
              <w:t xml:space="preserve"> </w:t>
            </w:r>
          </w:p>
          <w:p w14:paraId="569DF880" w14:textId="69F1EBE1" w:rsidR="002110C5" w:rsidRDefault="002110C5" w:rsidP="007D451C">
            <w:pPr>
              <w:pStyle w:val="NormalWeb"/>
              <w:spacing w:before="0" w:beforeAutospacing="0" w:after="0" w:afterAutospacing="0"/>
              <w:rPr>
                <w:b/>
                <w:color w:val="000000"/>
                <w:sz w:val="16"/>
                <w:szCs w:val="16"/>
              </w:rPr>
            </w:pPr>
            <w:r w:rsidRPr="00B5014E">
              <w:rPr>
                <w:b/>
                <w:color w:val="000000"/>
                <w:sz w:val="16"/>
                <w:szCs w:val="16"/>
              </w:rPr>
              <w:lastRenderedPageBreak/>
              <w:t>Output</w:t>
            </w:r>
            <w:r>
              <w:rPr>
                <w:b/>
                <w:color w:val="000000"/>
                <w:sz w:val="16"/>
                <w:szCs w:val="16"/>
              </w:rPr>
              <w:t xml:space="preserve"> </w:t>
            </w:r>
            <w:r w:rsidR="00D16F0B">
              <w:rPr>
                <w:b/>
                <w:color w:val="000000"/>
                <w:sz w:val="16"/>
                <w:szCs w:val="16"/>
              </w:rPr>
              <w:t>3.2</w:t>
            </w:r>
            <w:r w:rsidRPr="00B5014E">
              <w:rPr>
                <w:b/>
                <w:color w:val="000000"/>
                <w:sz w:val="16"/>
                <w:szCs w:val="16"/>
              </w:rPr>
              <w:t xml:space="preserve">:  </w:t>
            </w:r>
            <w:r>
              <w:rPr>
                <w:b/>
                <w:color w:val="000000"/>
                <w:sz w:val="16"/>
                <w:szCs w:val="16"/>
              </w:rPr>
              <w:t xml:space="preserve">KNDP </w:t>
            </w:r>
            <w:proofErr w:type="spellStart"/>
            <w:r>
              <w:rPr>
                <w:b/>
                <w:color w:val="000000"/>
                <w:sz w:val="16"/>
                <w:szCs w:val="16"/>
              </w:rPr>
              <w:t>policy</w:t>
            </w:r>
            <w:proofErr w:type="spellEnd"/>
            <w:r>
              <w:rPr>
                <w:b/>
                <w:color w:val="000000"/>
                <w:sz w:val="16"/>
                <w:szCs w:val="16"/>
              </w:rPr>
              <w:t xml:space="preserve"> on eco-cities awareness strengthened through green building </w:t>
            </w:r>
            <w:r w:rsidR="00D16F0B">
              <w:rPr>
                <w:b/>
                <w:color w:val="000000"/>
                <w:sz w:val="16"/>
                <w:szCs w:val="16"/>
              </w:rPr>
              <w:t>and</w:t>
            </w:r>
            <w:r>
              <w:rPr>
                <w:b/>
                <w:color w:val="000000"/>
                <w:sz w:val="16"/>
                <w:szCs w:val="16"/>
              </w:rPr>
              <w:t xml:space="preserve"> infrustructure and smart technology effectively supported </w:t>
            </w:r>
          </w:p>
          <w:p w14:paraId="0553194D" w14:textId="77777777" w:rsidR="002110C5" w:rsidRDefault="002110C5" w:rsidP="007D451C">
            <w:pPr>
              <w:pStyle w:val="NormalWeb"/>
              <w:spacing w:before="0" w:beforeAutospacing="0" w:after="0" w:afterAutospacing="0"/>
              <w:rPr>
                <w:b/>
                <w:color w:val="000000"/>
                <w:sz w:val="16"/>
                <w:szCs w:val="16"/>
              </w:rPr>
            </w:pPr>
          </w:p>
          <w:p w14:paraId="0EDC17F8" w14:textId="4EFE1EA2" w:rsidR="00B218F2" w:rsidRPr="00B218F2" w:rsidRDefault="00B218F2" w:rsidP="00B218F2">
            <w:pPr>
              <w:rPr>
                <w:sz w:val="16"/>
                <w:szCs w:val="16"/>
              </w:rPr>
            </w:pPr>
            <w:r w:rsidRPr="00EB73DE">
              <w:rPr>
                <w:b/>
                <w:sz w:val="16"/>
                <w:szCs w:val="16"/>
              </w:rPr>
              <w:t>Indicator</w:t>
            </w:r>
            <w:r w:rsidR="00D16F0B" w:rsidRPr="00EB73DE">
              <w:rPr>
                <w:b/>
                <w:sz w:val="16"/>
                <w:szCs w:val="16"/>
              </w:rPr>
              <w:t xml:space="preserve"> 3.2.1</w:t>
            </w:r>
            <w:r w:rsidRPr="00EB73DE">
              <w:rPr>
                <w:b/>
                <w:sz w:val="16"/>
                <w:szCs w:val="16"/>
              </w:rPr>
              <w:t>:</w:t>
            </w:r>
            <w:r w:rsidRPr="00B218F2">
              <w:rPr>
                <w:sz w:val="16"/>
                <w:szCs w:val="16"/>
              </w:rPr>
              <w:t xml:space="preserve">  </w:t>
            </w:r>
            <w:r>
              <w:rPr>
                <w:sz w:val="16"/>
                <w:szCs w:val="16"/>
              </w:rPr>
              <w:t>Numb</w:t>
            </w:r>
            <w:r w:rsidR="00EF3DAA">
              <w:rPr>
                <w:sz w:val="16"/>
                <w:szCs w:val="16"/>
              </w:rPr>
              <w:t>er</w:t>
            </w:r>
            <w:r>
              <w:rPr>
                <w:sz w:val="16"/>
                <w:szCs w:val="16"/>
              </w:rPr>
              <w:t xml:space="preserve"> </w:t>
            </w:r>
            <w:r w:rsidRPr="00B218F2">
              <w:rPr>
                <w:sz w:val="16"/>
                <w:szCs w:val="16"/>
              </w:rPr>
              <w:t xml:space="preserve">of </w:t>
            </w:r>
            <w:r>
              <w:rPr>
                <w:sz w:val="16"/>
                <w:szCs w:val="16"/>
              </w:rPr>
              <w:t xml:space="preserve">Healthy Cities </w:t>
            </w:r>
            <w:r w:rsidR="00AC7676">
              <w:rPr>
                <w:sz w:val="16"/>
                <w:szCs w:val="16"/>
              </w:rPr>
              <w:t>Initiatives</w:t>
            </w:r>
            <w:r>
              <w:rPr>
                <w:sz w:val="16"/>
                <w:szCs w:val="16"/>
              </w:rPr>
              <w:t xml:space="preserve"> </w:t>
            </w:r>
            <w:r w:rsidR="00D16F0B">
              <w:rPr>
                <w:sz w:val="16"/>
                <w:szCs w:val="16"/>
              </w:rPr>
              <w:t xml:space="preserve">with </w:t>
            </w:r>
            <w:r w:rsidR="00905016">
              <w:rPr>
                <w:sz w:val="16"/>
                <w:szCs w:val="16"/>
              </w:rPr>
              <w:t>support by UNDP in partnerships with other U</w:t>
            </w:r>
            <w:r w:rsidR="008236A9">
              <w:rPr>
                <w:sz w:val="16"/>
                <w:szCs w:val="16"/>
              </w:rPr>
              <w:t xml:space="preserve">nited </w:t>
            </w:r>
            <w:r w:rsidR="00905016">
              <w:rPr>
                <w:sz w:val="16"/>
                <w:szCs w:val="16"/>
              </w:rPr>
              <w:t>N</w:t>
            </w:r>
            <w:r w:rsidR="008236A9">
              <w:rPr>
                <w:sz w:val="16"/>
                <w:szCs w:val="16"/>
              </w:rPr>
              <w:t>ations</w:t>
            </w:r>
            <w:r w:rsidR="00905016">
              <w:rPr>
                <w:sz w:val="16"/>
                <w:szCs w:val="16"/>
              </w:rPr>
              <w:t xml:space="preserve"> entities </w:t>
            </w:r>
            <w:r w:rsidR="00D16F0B">
              <w:rPr>
                <w:sz w:val="16"/>
                <w:szCs w:val="16"/>
              </w:rPr>
              <w:t>(Habitat and WHO)</w:t>
            </w:r>
          </w:p>
          <w:p w14:paraId="2C903A98" w14:textId="6994EEFC" w:rsidR="00B218F2" w:rsidRPr="00905016" w:rsidRDefault="00B218F2" w:rsidP="00B218F2">
            <w:pPr>
              <w:rPr>
                <w:sz w:val="16"/>
                <w:szCs w:val="16"/>
              </w:rPr>
            </w:pPr>
            <w:r w:rsidRPr="00905016">
              <w:rPr>
                <w:sz w:val="16"/>
                <w:szCs w:val="16"/>
              </w:rPr>
              <w:t xml:space="preserve">Baseline:  </w:t>
            </w:r>
            <w:r w:rsidR="00905016" w:rsidRPr="00905016">
              <w:rPr>
                <w:sz w:val="16"/>
                <w:szCs w:val="16"/>
              </w:rPr>
              <w:t xml:space="preserve">0 </w:t>
            </w:r>
            <w:r w:rsidRPr="00905016">
              <w:rPr>
                <w:sz w:val="16"/>
                <w:szCs w:val="16"/>
              </w:rPr>
              <w:t xml:space="preserve">(2019) </w:t>
            </w:r>
          </w:p>
          <w:p w14:paraId="3424A738" w14:textId="536E882E" w:rsidR="00B218F2" w:rsidRPr="00B218F2" w:rsidRDefault="00B218F2" w:rsidP="00B218F2">
            <w:pPr>
              <w:rPr>
                <w:sz w:val="16"/>
                <w:szCs w:val="16"/>
              </w:rPr>
            </w:pPr>
            <w:r w:rsidRPr="00905016">
              <w:rPr>
                <w:sz w:val="16"/>
                <w:szCs w:val="16"/>
              </w:rPr>
              <w:t xml:space="preserve">Target: </w:t>
            </w:r>
            <w:r w:rsidR="00905016" w:rsidRPr="00905016">
              <w:rPr>
                <w:sz w:val="16"/>
                <w:szCs w:val="16"/>
              </w:rPr>
              <w:t xml:space="preserve">3 </w:t>
            </w:r>
            <w:r w:rsidRPr="00905016">
              <w:rPr>
                <w:sz w:val="16"/>
                <w:szCs w:val="16"/>
              </w:rPr>
              <w:t>(2023)</w:t>
            </w:r>
          </w:p>
          <w:p w14:paraId="669D147B" w14:textId="682B77E9" w:rsidR="00B218F2" w:rsidRDefault="00B218F2" w:rsidP="00B218F2">
            <w:pPr>
              <w:rPr>
                <w:sz w:val="16"/>
                <w:szCs w:val="16"/>
              </w:rPr>
            </w:pPr>
            <w:r w:rsidRPr="00B218F2">
              <w:rPr>
                <w:sz w:val="16"/>
                <w:szCs w:val="16"/>
              </w:rPr>
              <w:t xml:space="preserve">Source: </w:t>
            </w:r>
            <w:r w:rsidR="00905016">
              <w:rPr>
                <w:sz w:val="16"/>
                <w:szCs w:val="16"/>
              </w:rPr>
              <w:t xml:space="preserve">KPPC </w:t>
            </w:r>
            <w:r w:rsidR="00D16F0B">
              <w:rPr>
                <w:sz w:val="16"/>
                <w:szCs w:val="16"/>
              </w:rPr>
              <w:t>and GSSCPD</w:t>
            </w:r>
          </w:p>
          <w:p w14:paraId="0FDF1B80" w14:textId="77777777" w:rsidR="00B218F2" w:rsidRDefault="00B218F2" w:rsidP="007D451C">
            <w:pPr>
              <w:rPr>
                <w:sz w:val="16"/>
                <w:szCs w:val="16"/>
              </w:rPr>
            </w:pPr>
          </w:p>
          <w:p w14:paraId="5FFE476F" w14:textId="6571ACBB" w:rsidR="002110C5" w:rsidRDefault="002110C5" w:rsidP="007D451C">
            <w:pPr>
              <w:rPr>
                <w:sz w:val="16"/>
                <w:szCs w:val="16"/>
              </w:rPr>
            </w:pPr>
            <w:r w:rsidRPr="00EB73DE">
              <w:rPr>
                <w:b/>
                <w:sz w:val="16"/>
                <w:szCs w:val="16"/>
              </w:rPr>
              <w:t>Indicator</w:t>
            </w:r>
            <w:r w:rsidR="00D16F0B" w:rsidRPr="00EB73DE">
              <w:rPr>
                <w:b/>
                <w:sz w:val="16"/>
                <w:szCs w:val="16"/>
              </w:rPr>
              <w:t xml:space="preserve"> 3.2.</w:t>
            </w:r>
            <w:r w:rsidR="00D16F0B">
              <w:rPr>
                <w:b/>
                <w:sz w:val="16"/>
                <w:szCs w:val="16"/>
              </w:rPr>
              <w:t>2</w:t>
            </w:r>
            <w:r w:rsidRPr="00EB73DE">
              <w:rPr>
                <w:b/>
                <w:sz w:val="16"/>
                <w:szCs w:val="16"/>
              </w:rPr>
              <w:t>:</w:t>
            </w:r>
            <w:r>
              <w:rPr>
                <w:sz w:val="16"/>
                <w:szCs w:val="16"/>
              </w:rPr>
              <w:t xml:space="preserve">  Percentage of renewable energy of total electricity demand </w:t>
            </w:r>
          </w:p>
          <w:p w14:paraId="39074A76" w14:textId="775B62F3" w:rsidR="002110C5" w:rsidRDefault="002110C5" w:rsidP="007D451C">
            <w:pPr>
              <w:rPr>
                <w:sz w:val="16"/>
                <w:szCs w:val="16"/>
              </w:rPr>
            </w:pPr>
            <w:r>
              <w:rPr>
                <w:sz w:val="16"/>
                <w:szCs w:val="16"/>
              </w:rPr>
              <w:t>Baseline:  0.4</w:t>
            </w:r>
            <w:r w:rsidR="00E07CA7">
              <w:rPr>
                <w:sz w:val="16"/>
                <w:szCs w:val="16"/>
              </w:rPr>
              <w:t>%</w:t>
            </w:r>
            <w:r>
              <w:rPr>
                <w:sz w:val="16"/>
                <w:szCs w:val="16"/>
              </w:rPr>
              <w:t xml:space="preserve"> (2018) </w:t>
            </w:r>
          </w:p>
          <w:p w14:paraId="67C0623D" w14:textId="5DC675D2" w:rsidR="002110C5" w:rsidRDefault="002110C5" w:rsidP="007D451C">
            <w:pPr>
              <w:rPr>
                <w:sz w:val="16"/>
                <w:szCs w:val="16"/>
              </w:rPr>
            </w:pPr>
            <w:r>
              <w:rPr>
                <w:sz w:val="16"/>
                <w:szCs w:val="16"/>
              </w:rPr>
              <w:t>Target: 12</w:t>
            </w:r>
            <w:r w:rsidR="00E07CA7">
              <w:rPr>
                <w:sz w:val="16"/>
                <w:szCs w:val="16"/>
              </w:rPr>
              <w:t xml:space="preserve">% </w:t>
            </w:r>
            <w:r>
              <w:rPr>
                <w:sz w:val="16"/>
                <w:szCs w:val="16"/>
              </w:rPr>
              <w:t>(2023)</w:t>
            </w:r>
          </w:p>
          <w:p w14:paraId="5A85A20A" w14:textId="1ABF5EE5" w:rsidR="002110C5" w:rsidRDefault="002110C5" w:rsidP="007D451C">
            <w:pPr>
              <w:rPr>
                <w:sz w:val="16"/>
                <w:szCs w:val="16"/>
              </w:rPr>
            </w:pPr>
            <w:r>
              <w:rPr>
                <w:sz w:val="16"/>
                <w:szCs w:val="16"/>
              </w:rPr>
              <w:t xml:space="preserve">Source: Kuwait Energy </w:t>
            </w:r>
            <w:r w:rsidR="00B218F2">
              <w:rPr>
                <w:sz w:val="16"/>
                <w:szCs w:val="16"/>
              </w:rPr>
              <w:t>O</w:t>
            </w:r>
            <w:r>
              <w:rPr>
                <w:sz w:val="16"/>
                <w:szCs w:val="16"/>
              </w:rPr>
              <w:t xml:space="preserve">utlook </w:t>
            </w:r>
            <w:r w:rsidR="00B218F2">
              <w:rPr>
                <w:sz w:val="16"/>
                <w:szCs w:val="16"/>
              </w:rPr>
              <w:t>R</w:t>
            </w:r>
            <w:r>
              <w:rPr>
                <w:sz w:val="16"/>
                <w:szCs w:val="16"/>
              </w:rPr>
              <w:t xml:space="preserve">eport </w:t>
            </w:r>
          </w:p>
          <w:p w14:paraId="7B7B2EC4" w14:textId="5FAEB74F" w:rsidR="002110C5" w:rsidRPr="00D420E2" w:rsidRDefault="002110C5" w:rsidP="007D451C">
            <w:pPr>
              <w:pStyle w:val="NormalWeb"/>
              <w:spacing w:before="0" w:beforeAutospacing="0" w:after="0" w:afterAutospacing="0"/>
              <w:rPr>
                <w:color w:val="000000"/>
                <w:sz w:val="16"/>
                <w:szCs w:val="16"/>
              </w:rPr>
            </w:pPr>
            <w:r w:rsidRPr="00EB73DE">
              <w:rPr>
                <w:b/>
                <w:color w:val="000000"/>
                <w:sz w:val="16"/>
                <w:szCs w:val="16"/>
              </w:rPr>
              <w:t>Indicator</w:t>
            </w:r>
            <w:r w:rsidR="00D16F0B" w:rsidRPr="00EB73DE">
              <w:rPr>
                <w:b/>
                <w:color w:val="000000"/>
                <w:sz w:val="16"/>
                <w:szCs w:val="16"/>
              </w:rPr>
              <w:t xml:space="preserve"> 3.2.3:</w:t>
            </w:r>
            <w:r w:rsidR="00D16F0B">
              <w:rPr>
                <w:color w:val="000000"/>
                <w:sz w:val="16"/>
                <w:szCs w:val="16"/>
              </w:rPr>
              <w:t xml:space="preserve"> </w:t>
            </w:r>
            <w:r>
              <w:rPr>
                <w:sz w:val="16"/>
                <w:szCs w:val="16"/>
              </w:rPr>
              <w:t xml:space="preserve"> </w:t>
            </w:r>
            <w:r w:rsidR="00D16F0B">
              <w:rPr>
                <w:sz w:val="16"/>
                <w:szCs w:val="16"/>
              </w:rPr>
              <w:t>Number</w:t>
            </w:r>
            <w:r>
              <w:rPr>
                <w:sz w:val="16"/>
                <w:szCs w:val="16"/>
              </w:rPr>
              <w:t xml:space="preserve"> of advocacy initiatives/campaigns to promote green infrastructure and smart technology</w:t>
            </w:r>
            <w:r w:rsidR="00D16F0B">
              <w:rPr>
                <w:sz w:val="16"/>
                <w:szCs w:val="16"/>
              </w:rPr>
              <w:t xml:space="preserve"> per KNDP</w:t>
            </w:r>
          </w:p>
          <w:p w14:paraId="3FBE2225" w14:textId="77777777" w:rsidR="002110C5" w:rsidRDefault="002110C5" w:rsidP="007D451C">
            <w:pPr>
              <w:rPr>
                <w:sz w:val="16"/>
                <w:szCs w:val="16"/>
              </w:rPr>
            </w:pPr>
          </w:p>
          <w:p w14:paraId="7C30B28A" w14:textId="77777777" w:rsidR="002110C5" w:rsidRDefault="002110C5" w:rsidP="007D451C">
            <w:pPr>
              <w:rPr>
                <w:sz w:val="16"/>
                <w:szCs w:val="16"/>
              </w:rPr>
            </w:pPr>
            <w:r>
              <w:rPr>
                <w:sz w:val="16"/>
                <w:szCs w:val="16"/>
              </w:rPr>
              <w:t xml:space="preserve">Baseline: 0 </w:t>
            </w:r>
          </w:p>
          <w:p w14:paraId="733E54D0" w14:textId="77777777" w:rsidR="002110C5" w:rsidRDefault="002110C5" w:rsidP="007D451C">
            <w:pPr>
              <w:rPr>
                <w:sz w:val="16"/>
                <w:szCs w:val="16"/>
              </w:rPr>
            </w:pPr>
            <w:r>
              <w:rPr>
                <w:sz w:val="16"/>
                <w:szCs w:val="16"/>
              </w:rPr>
              <w:t>Target: 5</w:t>
            </w:r>
          </w:p>
          <w:p w14:paraId="394892FE" w14:textId="77777777" w:rsidR="002110C5" w:rsidRDefault="002110C5" w:rsidP="007D451C">
            <w:pPr>
              <w:rPr>
                <w:sz w:val="16"/>
                <w:szCs w:val="16"/>
              </w:rPr>
            </w:pPr>
            <w:r>
              <w:rPr>
                <w:sz w:val="16"/>
                <w:szCs w:val="16"/>
              </w:rPr>
              <w:t>Source: UNDP</w:t>
            </w:r>
          </w:p>
          <w:p w14:paraId="074A4BA0" w14:textId="77777777" w:rsidR="002110C5" w:rsidRDefault="002110C5" w:rsidP="007D451C">
            <w:pPr>
              <w:rPr>
                <w:sz w:val="16"/>
                <w:szCs w:val="16"/>
              </w:rPr>
            </w:pPr>
          </w:p>
          <w:p w14:paraId="6FECEC38" w14:textId="47B0DE98" w:rsidR="002110C5" w:rsidRDefault="002110C5" w:rsidP="007D451C">
            <w:pPr>
              <w:rPr>
                <w:sz w:val="16"/>
                <w:szCs w:val="16"/>
              </w:rPr>
            </w:pPr>
            <w:r w:rsidRPr="00A2501B">
              <w:rPr>
                <w:b/>
                <w:sz w:val="16"/>
                <w:szCs w:val="16"/>
              </w:rPr>
              <w:t xml:space="preserve">Indicator </w:t>
            </w:r>
            <w:r w:rsidR="00D16F0B">
              <w:rPr>
                <w:b/>
                <w:sz w:val="16"/>
                <w:szCs w:val="16"/>
              </w:rPr>
              <w:t>3.2.4</w:t>
            </w:r>
            <w:r w:rsidRPr="00A2501B">
              <w:rPr>
                <w:b/>
                <w:sz w:val="16"/>
                <w:szCs w:val="16"/>
              </w:rPr>
              <w:t>:</w:t>
            </w:r>
            <w:r>
              <w:rPr>
                <w:sz w:val="16"/>
                <w:szCs w:val="16"/>
              </w:rPr>
              <w:t xml:space="preserve"> </w:t>
            </w:r>
            <w:r w:rsidR="00D16F0B">
              <w:rPr>
                <w:sz w:val="16"/>
                <w:szCs w:val="16"/>
              </w:rPr>
              <w:t>Number</w:t>
            </w:r>
            <w:r>
              <w:rPr>
                <w:sz w:val="16"/>
                <w:szCs w:val="16"/>
              </w:rPr>
              <w:t xml:space="preserve"> of studies on innovations in low emission technology </w:t>
            </w:r>
          </w:p>
          <w:p w14:paraId="6F2F18C0" w14:textId="77777777" w:rsidR="002110C5" w:rsidRDefault="002110C5" w:rsidP="007D451C">
            <w:pPr>
              <w:rPr>
                <w:b/>
                <w:bCs/>
                <w:sz w:val="16"/>
                <w:szCs w:val="16"/>
              </w:rPr>
            </w:pPr>
          </w:p>
          <w:p w14:paraId="7CD57A0D" w14:textId="77777777" w:rsidR="002110C5" w:rsidRDefault="002110C5" w:rsidP="007D451C">
            <w:pPr>
              <w:rPr>
                <w:sz w:val="16"/>
                <w:szCs w:val="16"/>
              </w:rPr>
            </w:pPr>
            <w:r>
              <w:rPr>
                <w:sz w:val="16"/>
                <w:szCs w:val="16"/>
              </w:rPr>
              <w:t>Baseline: 0</w:t>
            </w:r>
          </w:p>
          <w:p w14:paraId="24B8521D" w14:textId="77777777" w:rsidR="002110C5" w:rsidRDefault="002110C5" w:rsidP="007D451C">
            <w:pPr>
              <w:rPr>
                <w:sz w:val="16"/>
                <w:szCs w:val="16"/>
              </w:rPr>
            </w:pPr>
            <w:r>
              <w:rPr>
                <w:sz w:val="16"/>
                <w:szCs w:val="16"/>
              </w:rPr>
              <w:t>Target: 1</w:t>
            </w:r>
          </w:p>
          <w:p w14:paraId="4E32F315" w14:textId="77777777" w:rsidR="002110C5" w:rsidRDefault="002110C5" w:rsidP="007D451C">
            <w:pPr>
              <w:rPr>
                <w:sz w:val="16"/>
                <w:szCs w:val="16"/>
              </w:rPr>
            </w:pPr>
            <w:r>
              <w:rPr>
                <w:sz w:val="16"/>
                <w:szCs w:val="16"/>
              </w:rPr>
              <w:t>Source: KISR</w:t>
            </w:r>
          </w:p>
          <w:p w14:paraId="13A45096" w14:textId="77777777" w:rsidR="002110C5" w:rsidRDefault="002110C5" w:rsidP="007D451C">
            <w:pPr>
              <w:rPr>
                <w:sz w:val="16"/>
                <w:szCs w:val="16"/>
              </w:rPr>
            </w:pPr>
          </w:p>
          <w:p w14:paraId="1C805056" w14:textId="6758428F" w:rsidR="002110C5" w:rsidRDefault="002110C5" w:rsidP="007D451C">
            <w:pPr>
              <w:rPr>
                <w:b/>
                <w:color w:val="000000"/>
                <w:sz w:val="16"/>
                <w:szCs w:val="16"/>
              </w:rPr>
            </w:pPr>
            <w:r w:rsidRPr="005423EC">
              <w:rPr>
                <w:b/>
                <w:bCs/>
                <w:sz w:val="16"/>
                <w:szCs w:val="16"/>
              </w:rPr>
              <w:t>O</w:t>
            </w:r>
            <w:r w:rsidRPr="00FC7091">
              <w:rPr>
                <w:b/>
                <w:bCs/>
                <w:sz w:val="16"/>
                <w:szCs w:val="16"/>
              </w:rPr>
              <w:t>utput  3.</w:t>
            </w:r>
            <w:r w:rsidR="009A5B4A">
              <w:rPr>
                <w:b/>
                <w:bCs/>
                <w:sz w:val="16"/>
                <w:szCs w:val="16"/>
              </w:rPr>
              <w:t>3</w:t>
            </w:r>
            <w:r w:rsidRPr="00F236EF">
              <w:rPr>
                <w:b/>
                <w:sz w:val="16"/>
                <w:szCs w:val="16"/>
              </w:rPr>
              <w:t xml:space="preserve"> </w:t>
            </w:r>
            <w:r w:rsidRPr="00F236EF">
              <w:rPr>
                <w:rFonts w:ascii="-webkit-standard" w:hAnsi="-webkit-standard"/>
                <w:b/>
                <w:color w:val="000000"/>
                <w:sz w:val="27"/>
                <w:szCs w:val="27"/>
              </w:rPr>
              <w:t xml:space="preserve"> </w:t>
            </w:r>
            <w:r>
              <w:rPr>
                <w:b/>
                <w:color w:val="000000"/>
                <w:sz w:val="16"/>
                <w:szCs w:val="16"/>
              </w:rPr>
              <w:t xml:space="preserve">KNDP Policy on integration of solid waste management implemented. </w:t>
            </w:r>
          </w:p>
          <w:p w14:paraId="0196A752" w14:textId="77777777" w:rsidR="002110C5" w:rsidRDefault="002110C5" w:rsidP="007D451C">
            <w:pPr>
              <w:rPr>
                <w:b/>
                <w:color w:val="000000"/>
                <w:sz w:val="16"/>
                <w:szCs w:val="16"/>
              </w:rPr>
            </w:pPr>
          </w:p>
          <w:p w14:paraId="0B9DB17C" w14:textId="74B8A529" w:rsidR="002110C5" w:rsidRPr="004D6001" w:rsidRDefault="002110C5" w:rsidP="007D451C">
            <w:pPr>
              <w:rPr>
                <w:sz w:val="16"/>
                <w:szCs w:val="16"/>
              </w:rPr>
            </w:pPr>
            <w:r w:rsidRPr="00EB73DE">
              <w:rPr>
                <w:b/>
                <w:sz w:val="16"/>
                <w:szCs w:val="16"/>
              </w:rPr>
              <w:t>Indicator</w:t>
            </w:r>
            <w:r w:rsidR="009A5B4A" w:rsidRPr="00EB73DE">
              <w:rPr>
                <w:b/>
                <w:sz w:val="16"/>
                <w:szCs w:val="16"/>
              </w:rPr>
              <w:t xml:space="preserve"> 3.3.1</w:t>
            </w:r>
            <w:r>
              <w:rPr>
                <w:sz w:val="16"/>
                <w:szCs w:val="16"/>
              </w:rPr>
              <w:t>: Value chain analysis for recycling business in place</w:t>
            </w:r>
          </w:p>
          <w:p w14:paraId="3BAE9A78" w14:textId="77777777" w:rsidR="002110C5" w:rsidRDefault="002110C5" w:rsidP="007D451C">
            <w:pPr>
              <w:rPr>
                <w:sz w:val="16"/>
                <w:szCs w:val="16"/>
              </w:rPr>
            </w:pPr>
            <w:r>
              <w:rPr>
                <w:sz w:val="16"/>
                <w:szCs w:val="16"/>
              </w:rPr>
              <w:t>Baseline: 0</w:t>
            </w:r>
          </w:p>
          <w:p w14:paraId="3468CA52" w14:textId="77777777" w:rsidR="002110C5" w:rsidRDefault="002110C5" w:rsidP="007D451C">
            <w:pPr>
              <w:rPr>
                <w:sz w:val="16"/>
                <w:szCs w:val="16"/>
              </w:rPr>
            </w:pPr>
            <w:r>
              <w:rPr>
                <w:sz w:val="16"/>
                <w:szCs w:val="16"/>
              </w:rPr>
              <w:t>Target: 1</w:t>
            </w:r>
          </w:p>
          <w:p w14:paraId="332669FB" w14:textId="3FFE63E2" w:rsidR="002110C5" w:rsidRPr="004D6001" w:rsidRDefault="002110C5" w:rsidP="007D451C">
            <w:pPr>
              <w:rPr>
                <w:sz w:val="16"/>
                <w:szCs w:val="16"/>
              </w:rPr>
            </w:pPr>
            <w:r>
              <w:rPr>
                <w:sz w:val="16"/>
                <w:szCs w:val="16"/>
              </w:rPr>
              <w:t>Source:</w:t>
            </w:r>
            <w:r>
              <w:rPr>
                <w:b/>
                <w:color w:val="000000"/>
                <w:sz w:val="16"/>
                <w:szCs w:val="16"/>
              </w:rPr>
              <w:t xml:space="preserve"> </w:t>
            </w:r>
            <w:r w:rsidRPr="00EB73DE">
              <w:rPr>
                <w:color w:val="000000"/>
                <w:sz w:val="16"/>
                <w:szCs w:val="16"/>
              </w:rPr>
              <w:t>UNDP</w:t>
            </w:r>
            <w:r w:rsidR="00EF3DAA">
              <w:rPr>
                <w:b/>
                <w:color w:val="000000"/>
                <w:sz w:val="16"/>
                <w:szCs w:val="16"/>
              </w:rPr>
              <w:t xml:space="preserve"> </w:t>
            </w:r>
          </w:p>
          <w:p w14:paraId="63BC92E1" w14:textId="77777777" w:rsidR="002110C5" w:rsidRPr="004D6001" w:rsidRDefault="002110C5" w:rsidP="007D451C">
            <w:pPr>
              <w:rPr>
                <w:sz w:val="16"/>
                <w:szCs w:val="16"/>
              </w:rPr>
            </w:pPr>
          </w:p>
          <w:p w14:paraId="545BB3A1" w14:textId="47AAE0CE" w:rsidR="002110C5" w:rsidRPr="004D6001" w:rsidRDefault="002110C5" w:rsidP="007D451C">
            <w:pPr>
              <w:rPr>
                <w:sz w:val="16"/>
                <w:szCs w:val="16"/>
              </w:rPr>
            </w:pPr>
            <w:r w:rsidRPr="00EB73DE">
              <w:rPr>
                <w:b/>
                <w:sz w:val="16"/>
                <w:szCs w:val="16"/>
              </w:rPr>
              <w:lastRenderedPageBreak/>
              <w:t>Indicator</w:t>
            </w:r>
            <w:r w:rsidR="009A5B4A" w:rsidRPr="00EB73DE">
              <w:rPr>
                <w:b/>
                <w:sz w:val="16"/>
                <w:szCs w:val="16"/>
              </w:rPr>
              <w:t xml:space="preserve"> 3.3.2</w:t>
            </w:r>
            <w:r>
              <w:rPr>
                <w:sz w:val="16"/>
                <w:szCs w:val="16"/>
              </w:rPr>
              <w:t xml:space="preserve">: </w:t>
            </w:r>
            <w:r w:rsidR="0083144E">
              <w:rPr>
                <w:sz w:val="16"/>
                <w:szCs w:val="16"/>
              </w:rPr>
              <w:t>Number</w:t>
            </w:r>
            <w:r>
              <w:rPr>
                <w:sz w:val="16"/>
                <w:szCs w:val="16"/>
              </w:rPr>
              <w:t xml:space="preserve"> of new recycling-related </w:t>
            </w:r>
            <w:r w:rsidR="0083144E">
              <w:rPr>
                <w:sz w:val="16"/>
                <w:szCs w:val="16"/>
              </w:rPr>
              <w:t xml:space="preserve">businesses </w:t>
            </w:r>
            <w:r>
              <w:rPr>
                <w:sz w:val="16"/>
                <w:szCs w:val="16"/>
              </w:rPr>
              <w:t xml:space="preserve">created with UNDP assistance </w:t>
            </w:r>
          </w:p>
          <w:p w14:paraId="5D0704EC" w14:textId="77777777" w:rsidR="002110C5" w:rsidRDefault="002110C5" w:rsidP="007D451C">
            <w:pPr>
              <w:rPr>
                <w:sz w:val="16"/>
                <w:szCs w:val="16"/>
              </w:rPr>
            </w:pPr>
            <w:r>
              <w:rPr>
                <w:sz w:val="16"/>
                <w:szCs w:val="16"/>
              </w:rPr>
              <w:t>Baseline: 0</w:t>
            </w:r>
          </w:p>
          <w:p w14:paraId="7154BEFA" w14:textId="031C1F72" w:rsidR="002110C5" w:rsidRDefault="002110C5" w:rsidP="007D451C">
            <w:pPr>
              <w:rPr>
                <w:sz w:val="16"/>
                <w:szCs w:val="16"/>
              </w:rPr>
            </w:pPr>
            <w:r>
              <w:rPr>
                <w:sz w:val="16"/>
                <w:szCs w:val="16"/>
              </w:rPr>
              <w:t xml:space="preserve">Target: 4 </w:t>
            </w:r>
          </w:p>
          <w:p w14:paraId="5B2F7694" w14:textId="6F66B91B" w:rsidR="002110C5" w:rsidRDefault="002110C5" w:rsidP="007D451C">
            <w:pPr>
              <w:rPr>
                <w:sz w:val="16"/>
                <w:szCs w:val="16"/>
              </w:rPr>
            </w:pPr>
            <w:r>
              <w:rPr>
                <w:sz w:val="16"/>
                <w:szCs w:val="16"/>
              </w:rPr>
              <w:t xml:space="preserve">Source: KEPA </w:t>
            </w:r>
          </w:p>
          <w:p w14:paraId="46E4EC0C" w14:textId="77777777" w:rsidR="002110C5" w:rsidRPr="004D6001" w:rsidRDefault="002110C5" w:rsidP="007D451C">
            <w:pPr>
              <w:rPr>
                <w:sz w:val="16"/>
                <w:szCs w:val="16"/>
              </w:rPr>
            </w:pPr>
          </w:p>
          <w:p w14:paraId="574071DB" w14:textId="0514E28C" w:rsidR="002110C5" w:rsidRPr="004D6001" w:rsidRDefault="002110C5" w:rsidP="007D451C">
            <w:pPr>
              <w:rPr>
                <w:sz w:val="16"/>
                <w:szCs w:val="16"/>
              </w:rPr>
            </w:pPr>
            <w:r w:rsidRPr="0083144E">
              <w:rPr>
                <w:b/>
                <w:sz w:val="16"/>
                <w:szCs w:val="16"/>
              </w:rPr>
              <w:t>Indicator</w:t>
            </w:r>
            <w:r w:rsidR="0083144E" w:rsidRPr="0083144E">
              <w:rPr>
                <w:b/>
                <w:sz w:val="16"/>
                <w:szCs w:val="16"/>
              </w:rPr>
              <w:t xml:space="preserve"> 3.3.3</w:t>
            </w:r>
            <w:r>
              <w:rPr>
                <w:sz w:val="16"/>
                <w:szCs w:val="16"/>
              </w:rPr>
              <w:t>: Existence of a national recycling policy</w:t>
            </w:r>
          </w:p>
          <w:p w14:paraId="5E5CD52B" w14:textId="77777777" w:rsidR="002110C5" w:rsidRDefault="002110C5" w:rsidP="007D451C">
            <w:pPr>
              <w:rPr>
                <w:sz w:val="16"/>
                <w:szCs w:val="16"/>
              </w:rPr>
            </w:pPr>
            <w:r>
              <w:rPr>
                <w:sz w:val="16"/>
                <w:szCs w:val="16"/>
              </w:rPr>
              <w:t>Baseline: 0</w:t>
            </w:r>
          </w:p>
          <w:p w14:paraId="2A6AC111" w14:textId="77777777" w:rsidR="002110C5" w:rsidRDefault="002110C5" w:rsidP="007D451C">
            <w:pPr>
              <w:rPr>
                <w:sz w:val="16"/>
                <w:szCs w:val="16"/>
              </w:rPr>
            </w:pPr>
            <w:r>
              <w:rPr>
                <w:sz w:val="16"/>
                <w:szCs w:val="16"/>
              </w:rPr>
              <w:t>Target: 1</w:t>
            </w:r>
          </w:p>
          <w:p w14:paraId="5C7D78F9" w14:textId="77777777" w:rsidR="002110C5" w:rsidRDefault="002110C5" w:rsidP="007D451C">
            <w:pPr>
              <w:rPr>
                <w:sz w:val="16"/>
                <w:szCs w:val="16"/>
              </w:rPr>
            </w:pPr>
            <w:r>
              <w:rPr>
                <w:sz w:val="16"/>
                <w:szCs w:val="16"/>
              </w:rPr>
              <w:t xml:space="preserve">Source: KEPA </w:t>
            </w:r>
          </w:p>
          <w:p w14:paraId="5496D374" w14:textId="77777777" w:rsidR="002110C5" w:rsidRDefault="002110C5" w:rsidP="007D451C">
            <w:pPr>
              <w:rPr>
                <w:sz w:val="16"/>
                <w:szCs w:val="16"/>
              </w:rPr>
            </w:pPr>
          </w:p>
          <w:p w14:paraId="2555EF82" w14:textId="58F83828" w:rsidR="002110C5" w:rsidRPr="00F236EF" w:rsidRDefault="002110C5" w:rsidP="007D451C">
            <w:pPr>
              <w:rPr>
                <w:b/>
                <w:bCs/>
                <w:sz w:val="16"/>
                <w:szCs w:val="16"/>
              </w:rPr>
            </w:pPr>
            <w:r w:rsidRPr="00FC7091">
              <w:rPr>
                <w:b/>
                <w:bCs/>
                <w:sz w:val="16"/>
                <w:szCs w:val="16"/>
              </w:rPr>
              <w:t xml:space="preserve">Output </w:t>
            </w:r>
            <w:r w:rsidR="0083144E">
              <w:rPr>
                <w:b/>
                <w:bCs/>
                <w:sz w:val="16"/>
                <w:szCs w:val="16"/>
              </w:rPr>
              <w:t>3.4</w:t>
            </w:r>
            <w:r w:rsidRPr="00FC7091">
              <w:rPr>
                <w:b/>
                <w:bCs/>
                <w:sz w:val="16"/>
                <w:szCs w:val="16"/>
              </w:rPr>
              <w:t xml:space="preserve">: </w:t>
            </w:r>
            <w:r w:rsidRPr="00F236EF">
              <w:rPr>
                <w:b/>
                <w:color w:val="000000"/>
                <w:sz w:val="16"/>
                <w:szCs w:val="16"/>
              </w:rPr>
              <w:t xml:space="preserve"> National/local institutions have improved policies, systems, and partnerships to protect biodiversity</w:t>
            </w:r>
            <w:r>
              <w:rPr>
                <w:b/>
                <w:color w:val="000000"/>
                <w:sz w:val="16"/>
                <w:szCs w:val="16"/>
              </w:rPr>
              <w:t xml:space="preserve"> and marine environment </w:t>
            </w:r>
            <w:r w:rsidRPr="00F236EF">
              <w:rPr>
                <w:b/>
                <w:color w:val="000000"/>
                <w:sz w:val="16"/>
                <w:szCs w:val="16"/>
              </w:rPr>
              <w:t xml:space="preserve"> </w:t>
            </w:r>
          </w:p>
          <w:p w14:paraId="6CD22584" w14:textId="77777777" w:rsidR="002110C5" w:rsidRDefault="002110C5" w:rsidP="007D451C">
            <w:pPr>
              <w:rPr>
                <w:bCs/>
                <w:sz w:val="16"/>
                <w:szCs w:val="16"/>
              </w:rPr>
            </w:pPr>
          </w:p>
          <w:p w14:paraId="54F62A3E" w14:textId="1BD3D982" w:rsidR="002110C5" w:rsidRPr="00FC7091" w:rsidRDefault="002110C5" w:rsidP="007D451C">
            <w:pPr>
              <w:rPr>
                <w:sz w:val="16"/>
                <w:szCs w:val="16"/>
              </w:rPr>
            </w:pPr>
            <w:r w:rsidRPr="00EB73DE">
              <w:rPr>
                <w:b/>
                <w:bCs/>
                <w:sz w:val="16"/>
                <w:szCs w:val="16"/>
              </w:rPr>
              <w:t xml:space="preserve">Indicator </w:t>
            </w:r>
            <w:r w:rsidR="0083144E" w:rsidRPr="00EB73DE">
              <w:rPr>
                <w:b/>
                <w:bCs/>
                <w:sz w:val="16"/>
                <w:szCs w:val="16"/>
              </w:rPr>
              <w:t>3.4.1</w:t>
            </w:r>
            <w:r w:rsidRPr="00F236EF">
              <w:rPr>
                <w:bCs/>
                <w:sz w:val="16"/>
                <w:szCs w:val="16"/>
              </w:rPr>
              <w:t>:</w:t>
            </w:r>
            <w:r w:rsidRPr="00FC7091">
              <w:rPr>
                <w:sz w:val="16"/>
                <w:szCs w:val="16"/>
              </w:rPr>
              <w:t xml:space="preserve"> </w:t>
            </w:r>
            <w:r w:rsidR="0083144E">
              <w:rPr>
                <w:sz w:val="16"/>
                <w:szCs w:val="16"/>
              </w:rPr>
              <w:t xml:space="preserve">Number </w:t>
            </w:r>
            <w:r>
              <w:rPr>
                <w:sz w:val="16"/>
                <w:szCs w:val="16"/>
              </w:rPr>
              <w:t xml:space="preserve">of joint </w:t>
            </w:r>
            <w:r w:rsidR="008912DE">
              <w:rPr>
                <w:sz w:val="16"/>
                <w:szCs w:val="16"/>
              </w:rPr>
              <w:t>initiative</w:t>
            </w:r>
            <w:r w:rsidR="0040693F">
              <w:rPr>
                <w:sz w:val="16"/>
                <w:szCs w:val="16"/>
              </w:rPr>
              <w:t>s</w:t>
            </w:r>
            <w:r>
              <w:rPr>
                <w:sz w:val="16"/>
                <w:szCs w:val="16"/>
              </w:rPr>
              <w:t xml:space="preserve"> with CSOs </w:t>
            </w:r>
            <w:r w:rsidR="0083144E">
              <w:rPr>
                <w:sz w:val="16"/>
                <w:szCs w:val="16"/>
              </w:rPr>
              <w:t xml:space="preserve">and the private sector </w:t>
            </w:r>
            <w:r>
              <w:rPr>
                <w:sz w:val="16"/>
                <w:szCs w:val="16"/>
              </w:rPr>
              <w:t xml:space="preserve">with UNDP assistance </w:t>
            </w:r>
          </w:p>
          <w:p w14:paraId="02BF7EF1" w14:textId="77777777" w:rsidR="002110C5" w:rsidRPr="00F236EF" w:rsidRDefault="002110C5" w:rsidP="007D451C">
            <w:pPr>
              <w:rPr>
                <w:bCs/>
                <w:sz w:val="16"/>
                <w:szCs w:val="16"/>
              </w:rPr>
            </w:pPr>
            <w:r w:rsidRPr="00F236EF">
              <w:rPr>
                <w:bCs/>
                <w:sz w:val="16"/>
                <w:szCs w:val="16"/>
              </w:rPr>
              <w:t xml:space="preserve">Baseline: </w:t>
            </w:r>
            <w:r>
              <w:rPr>
                <w:bCs/>
                <w:sz w:val="16"/>
                <w:szCs w:val="16"/>
              </w:rPr>
              <w:t xml:space="preserve">0 </w:t>
            </w:r>
          </w:p>
          <w:p w14:paraId="0775A50B" w14:textId="77777777" w:rsidR="002110C5" w:rsidRPr="00F236EF" w:rsidRDefault="002110C5" w:rsidP="007D451C">
            <w:pPr>
              <w:rPr>
                <w:bCs/>
                <w:sz w:val="16"/>
                <w:szCs w:val="16"/>
              </w:rPr>
            </w:pPr>
            <w:r w:rsidRPr="00F236EF">
              <w:rPr>
                <w:bCs/>
                <w:sz w:val="16"/>
                <w:szCs w:val="16"/>
              </w:rPr>
              <w:t>Target:</w:t>
            </w:r>
            <w:r>
              <w:rPr>
                <w:bCs/>
                <w:sz w:val="16"/>
                <w:szCs w:val="16"/>
              </w:rPr>
              <w:t xml:space="preserve"> 2</w:t>
            </w:r>
          </w:p>
          <w:p w14:paraId="47494108" w14:textId="1B1F20B3" w:rsidR="002110C5" w:rsidRDefault="008912DE" w:rsidP="007D451C">
            <w:pPr>
              <w:rPr>
                <w:bCs/>
                <w:sz w:val="16"/>
                <w:szCs w:val="16"/>
              </w:rPr>
            </w:pPr>
            <w:r w:rsidRPr="00F236EF">
              <w:rPr>
                <w:bCs/>
                <w:sz w:val="16"/>
                <w:szCs w:val="16"/>
              </w:rPr>
              <w:t>Source:</w:t>
            </w:r>
            <w:r w:rsidR="002110C5">
              <w:rPr>
                <w:bCs/>
                <w:sz w:val="16"/>
                <w:szCs w:val="16"/>
              </w:rPr>
              <w:t xml:space="preserve"> KEPA</w:t>
            </w:r>
            <w:r w:rsidR="00705C71">
              <w:rPr>
                <w:bCs/>
                <w:sz w:val="16"/>
                <w:szCs w:val="16"/>
              </w:rPr>
              <w:t xml:space="preserve"> and the private sector</w:t>
            </w:r>
          </w:p>
          <w:p w14:paraId="3AA7A3DA" w14:textId="77777777" w:rsidR="002110C5" w:rsidRPr="00D67418" w:rsidRDefault="002110C5" w:rsidP="00E01AFA">
            <w:pPr>
              <w:rPr>
                <w:sz w:val="16"/>
                <w:szCs w:val="16"/>
              </w:rPr>
            </w:pPr>
          </w:p>
        </w:tc>
        <w:tc>
          <w:tcPr>
            <w:tcW w:w="823" w:type="pct"/>
          </w:tcPr>
          <w:p w14:paraId="29823FFF" w14:textId="77777777" w:rsidR="002110C5" w:rsidRDefault="002110C5" w:rsidP="007D451C">
            <w:pPr>
              <w:rPr>
                <w:rFonts w:cstheme="minorHAnsi"/>
                <w:color w:val="0F243E" w:themeColor="text2" w:themeShade="80"/>
                <w:sz w:val="16"/>
                <w:szCs w:val="16"/>
              </w:rPr>
            </w:pPr>
            <w:r w:rsidRPr="00B23460">
              <w:rPr>
                <w:rFonts w:cstheme="minorHAnsi"/>
                <w:color w:val="0F243E" w:themeColor="text2" w:themeShade="80"/>
                <w:sz w:val="16"/>
                <w:szCs w:val="16"/>
                <w:u w:val="single"/>
              </w:rPr>
              <w:lastRenderedPageBreak/>
              <w:t>Government</w:t>
            </w:r>
            <w:r w:rsidRPr="00B23460">
              <w:rPr>
                <w:rFonts w:cstheme="minorHAnsi"/>
                <w:color w:val="0F243E" w:themeColor="text2" w:themeShade="80"/>
                <w:sz w:val="16"/>
                <w:szCs w:val="16"/>
              </w:rPr>
              <w:t xml:space="preserve">: </w:t>
            </w:r>
          </w:p>
          <w:p w14:paraId="04DDE099" w14:textId="77777777" w:rsidR="002110C5" w:rsidRDefault="002110C5" w:rsidP="007D451C">
            <w:pPr>
              <w:rPr>
                <w:rFonts w:cstheme="minorHAnsi"/>
                <w:color w:val="0F243E" w:themeColor="text2" w:themeShade="80"/>
                <w:sz w:val="16"/>
                <w:szCs w:val="16"/>
              </w:rPr>
            </w:pPr>
            <w:r>
              <w:rPr>
                <w:rFonts w:cstheme="minorHAnsi"/>
                <w:color w:val="0F243E" w:themeColor="text2" w:themeShade="80"/>
                <w:sz w:val="16"/>
                <w:szCs w:val="16"/>
              </w:rPr>
              <w:t>KEPA</w:t>
            </w:r>
          </w:p>
          <w:p w14:paraId="4EFE0195" w14:textId="77777777" w:rsidR="002110C5" w:rsidRDefault="002110C5" w:rsidP="007D451C">
            <w:pPr>
              <w:rPr>
                <w:rFonts w:cstheme="minorHAnsi"/>
                <w:color w:val="0F243E" w:themeColor="text2" w:themeShade="80"/>
                <w:sz w:val="16"/>
                <w:szCs w:val="16"/>
                <w:lang w:val="en-US"/>
              </w:rPr>
            </w:pPr>
            <w:r>
              <w:rPr>
                <w:rFonts w:cstheme="minorHAnsi"/>
                <w:color w:val="0F243E" w:themeColor="text2" w:themeShade="80"/>
                <w:sz w:val="16"/>
                <w:szCs w:val="16"/>
                <w:lang w:val="en-US"/>
              </w:rPr>
              <w:t>KISR</w:t>
            </w:r>
          </w:p>
          <w:p w14:paraId="018F8D38" w14:textId="143641C8" w:rsidR="002110C5" w:rsidRPr="00B23460" w:rsidRDefault="002110C5" w:rsidP="007D451C">
            <w:pPr>
              <w:rPr>
                <w:rFonts w:cstheme="minorHAnsi"/>
                <w:color w:val="0F243E" w:themeColor="text2" w:themeShade="80"/>
                <w:sz w:val="16"/>
                <w:szCs w:val="16"/>
                <w:lang w:val="en-US"/>
              </w:rPr>
            </w:pPr>
            <w:r>
              <w:rPr>
                <w:rFonts w:cstheme="minorHAnsi"/>
                <w:color w:val="0F243E" w:themeColor="text2" w:themeShade="80"/>
                <w:sz w:val="16"/>
                <w:szCs w:val="16"/>
                <w:lang w:val="en-US"/>
              </w:rPr>
              <w:t xml:space="preserve">Supreme Council </w:t>
            </w:r>
            <w:r w:rsidR="008912DE">
              <w:rPr>
                <w:rFonts w:cstheme="minorHAnsi"/>
                <w:color w:val="0F243E" w:themeColor="text2" w:themeShade="80"/>
                <w:sz w:val="16"/>
                <w:szCs w:val="16"/>
                <w:lang w:val="en-US"/>
              </w:rPr>
              <w:t>for</w:t>
            </w:r>
            <w:r>
              <w:rPr>
                <w:rFonts w:cstheme="minorHAnsi"/>
                <w:color w:val="0F243E" w:themeColor="text2" w:themeShade="80"/>
                <w:sz w:val="16"/>
                <w:szCs w:val="16"/>
                <w:lang w:val="en-US"/>
              </w:rPr>
              <w:t xml:space="preserve"> Environment</w:t>
            </w:r>
          </w:p>
          <w:p w14:paraId="7B2959E2" w14:textId="77777777" w:rsidR="002110C5" w:rsidRPr="00B23460" w:rsidRDefault="002110C5" w:rsidP="007D451C">
            <w:pPr>
              <w:rPr>
                <w:rFonts w:cstheme="minorHAnsi"/>
                <w:color w:val="0F243E" w:themeColor="text2" w:themeShade="80"/>
                <w:sz w:val="16"/>
                <w:szCs w:val="16"/>
                <w:u w:val="single"/>
              </w:rPr>
            </w:pPr>
          </w:p>
          <w:p w14:paraId="7C6A2A4F" w14:textId="77777777" w:rsidR="002110C5" w:rsidRPr="00B23460" w:rsidRDefault="002110C5" w:rsidP="007D451C">
            <w:pPr>
              <w:rPr>
                <w:rFonts w:cstheme="minorHAnsi"/>
                <w:color w:val="0F243E" w:themeColor="text2" w:themeShade="80"/>
                <w:sz w:val="16"/>
                <w:szCs w:val="16"/>
                <w:lang w:val="en-US"/>
              </w:rPr>
            </w:pPr>
            <w:r w:rsidRPr="00B23460">
              <w:rPr>
                <w:rFonts w:cstheme="minorHAnsi"/>
                <w:color w:val="0F243E" w:themeColor="text2" w:themeShade="80"/>
                <w:sz w:val="16"/>
                <w:szCs w:val="16"/>
                <w:u w:val="single"/>
              </w:rPr>
              <w:t>Civil Society/NGOs</w:t>
            </w:r>
            <w:r w:rsidRPr="00B23460">
              <w:rPr>
                <w:rFonts w:cstheme="minorHAnsi"/>
                <w:color w:val="0F243E" w:themeColor="text2" w:themeShade="80"/>
                <w:sz w:val="16"/>
                <w:szCs w:val="16"/>
              </w:rPr>
              <w:t xml:space="preserve">: </w:t>
            </w:r>
          </w:p>
          <w:p w14:paraId="0FE62425" w14:textId="77777777" w:rsidR="002110C5" w:rsidRDefault="002110C5" w:rsidP="007D451C">
            <w:pPr>
              <w:rPr>
                <w:rFonts w:cstheme="minorHAnsi"/>
                <w:color w:val="0F243E" w:themeColor="text2" w:themeShade="80"/>
                <w:sz w:val="16"/>
                <w:szCs w:val="16"/>
              </w:rPr>
            </w:pPr>
            <w:r w:rsidRPr="00832E34">
              <w:rPr>
                <w:rFonts w:cstheme="minorHAnsi"/>
                <w:color w:val="0F243E" w:themeColor="text2" w:themeShade="80"/>
                <w:sz w:val="16"/>
                <w:szCs w:val="16"/>
              </w:rPr>
              <w:t>EN.V</w:t>
            </w:r>
          </w:p>
          <w:p w14:paraId="0B055445" w14:textId="77777777" w:rsidR="002110C5" w:rsidRPr="00832E34" w:rsidRDefault="002110C5" w:rsidP="007D451C">
            <w:pPr>
              <w:rPr>
                <w:rFonts w:cstheme="minorHAnsi"/>
                <w:color w:val="0F243E" w:themeColor="text2" w:themeShade="80"/>
                <w:sz w:val="16"/>
                <w:szCs w:val="16"/>
              </w:rPr>
            </w:pPr>
            <w:r>
              <w:rPr>
                <w:rFonts w:cstheme="minorHAnsi"/>
                <w:color w:val="0F243E" w:themeColor="text2" w:themeShade="80"/>
                <w:sz w:val="16"/>
                <w:szCs w:val="16"/>
              </w:rPr>
              <w:t>Kuwait Diving Team</w:t>
            </w:r>
          </w:p>
          <w:p w14:paraId="667E90B7" w14:textId="77777777" w:rsidR="002110C5" w:rsidRPr="00832E34" w:rsidRDefault="002110C5" w:rsidP="007D451C">
            <w:pPr>
              <w:rPr>
                <w:rFonts w:cstheme="minorHAnsi"/>
                <w:color w:val="0F243E" w:themeColor="text2" w:themeShade="80"/>
                <w:sz w:val="16"/>
                <w:szCs w:val="16"/>
              </w:rPr>
            </w:pPr>
          </w:p>
          <w:p w14:paraId="2082986B" w14:textId="3B345117" w:rsidR="002110C5" w:rsidRDefault="002110C5" w:rsidP="007D451C">
            <w:pPr>
              <w:rPr>
                <w:rFonts w:cstheme="minorHAnsi"/>
                <w:color w:val="0F243E" w:themeColor="text2" w:themeShade="80"/>
                <w:sz w:val="16"/>
                <w:szCs w:val="16"/>
              </w:rPr>
            </w:pPr>
          </w:p>
          <w:p w14:paraId="4D1E15D7" w14:textId="77777777" w:rsidR="002110C5" w:rsidRDefault="002110C5" w:rsidP="007D451C">
            <w:pPr>
              <w:rPr>
                <w:rFonts w:cstheme="minorHAnsi"/>
                <w:color w:val="0F243E" w:themeColor="text2" w:themeShade="80"/>
                <w:sz w:val="16"/>
                <w:szCs w:val="16"/>
              </w:rPr>
            </w:pPr>
            <w:r>
              <w:rPr>
                <w:rFonts w:cstheme="minorHAnsi"/>
                <w:color w:val="0F243E" w:themeColor="text2" w:themeShade="80"/>
                <w:sz w:val="16"/>
                <w:szCs w:val="16"/>
              </w:rPr>
              <w:t>UNEP</w:t>
            </w:r>
          </w:p>
          <w:p w14:paraId="1638B233" w14:textId="00864577" w:rsidR="002110C5" w:rsidRPr="00B23460" w:rsidRDefault="002110C5" w:rsidP="007D451C">
            <w:pPr>
              <w:rPr>
                <w:rFonts w:cstheme="minorHAnsi"/>
                <w:color w:val="0F243E" w:themeColor="text2" w:themeShade="80"/>
                <w:sz w:val="16"/>
                <w:szCs w:val="16"/>
                <w:lang w:val="en-US"/>
              </w:rPr>
            </w:pPr>
            <w:r>
              <w:rPr>
                <w:rFonts w:cstheme="minorHAnsi"/>
                <w:color w:val="0F243E" w:themeColor="text2" w:themeShade="80"/>
                <w:sz w:val="16"/>
                <w:szCs w:val="16"/>
              </w:rPr>
              <w:t>UN</w:t>
            </w:r>
            <w:r w:rsidR="00AA4D79">
              <w:rPr>
                <w:rFonts w:cstheme="minorHAnsi"/>
                <w:color w:val="0F243E" w:themeColor="text2" w:themeShade="80"/>
                <w:sz w:val="16"/>
                <w:szCs w:val="16"/>
              </w:rPr>
              <w:t>-H</w:t>
            </w:r>
            <w:r>
              <w:rPr>
                <w:rFonts w:cstheme="minorHAnsi"/>
                <w:color w:val="0F243E" w:themeColor="text2" w:themeShade="80"/>
                <w:sz w:val="16"/>
                <w:szCs w:val="16"/>
              </w:rPr>
              <w:t>abitat</w:t>
            </w:r>
          </w:p>
          <w:p w14:paraId="181900E2" w14:textId="77777777" w:rsidR="002110C5" w:rsidRDefault="002110C5" w:rsidP="007D451C">
            <w:pPr>
              <w:contextualSpacing/>
              <w:rPr>
                <w:sz w:val="16"/>
                <w:szCs w:val="16"/>
              </w:rPr>
            </w:pPr>
            <w:r>
              <w:rPr>
                <w:sz w:val="16"/>
                <w:szCs w:val="16"/>
              </w:rPr>
              <w:t>FAO</w:t>
            </w:r>
          </w:p>
          <w:p w14:paraId="124393FA" w14:textId="77777777" w:rsidR="002110C5" w:rsidRPr="00832E34" w:rsidRDefault="002110C5" w:rsidP="007D451C">
            <w:pPr>
              <w:contextualSpacing/>
              <w:rPr>
                <w:sz w:val="16"/>
                <w:szCs w:val="16"/>
              </w:rPr>
            </w:pPr>
            <w:r w:rsidRPr="00832E34">
              <w:rPr>
                <w:sz w:val="16"/>
                <w:szCs w:val="16"/>
              </w:rPr>
              <w:t xml:space="preserve"> </w:t>
            </w:r>
          </w:p>
        </w:tc>
        <w:tc>
          <w:tcPr>
            <w:tcW w:w="810" w:type="pct"/>
            <w:tcMar>
              <w:top w:w="15" w:type="dxa"/>
              <w:left w:w="108" w:type="dxa"/>
              <w:bottom w:w="0" w:type="dxa"/>
              <w:right w:w="108" w:type="dxa"/>
            </w:tcMar>
          </w:tcPr>
          <w:p w14:paraId="4590A84D" w14:textId="1521C84B" w:rsidR="00905016" w:rsidRPr="009D7AE5" w:rsidRDefault="00905016" w:rsidP="007D451C">
            <w:pPr>
              <w:rPr>
                <w:b/>
                <w:color w:val="000000"/>
                <w:sz w:val="16"/>
                <w:szCs w:val="16"/>
              </w:rPr>
            </w:pPr>
            <w:r>
              <w:rPr>
                <w:b/>
                <w:color w:val="000000"/>
                <w:sz w:val="16"/>
                <w:szCs w:val="16"/>
              </w:rPr>
              <w:t xml:space="preserve"> </w:t>
            </w:r>
          </w:p>
        </w:tc>
      </w:tr>
    </w:tbl>
    <w:p w14:paraId="54A22414" w14:textId="0F1B29FF" w:rsidR="009B3DC8" w:rsidRDefault="009B3DC8" w:rsidP="002110C5">
      <w:pPr>
        <w:jc w:val="both"/>
        <w:rPr>
          <w:color w:val="000000"/>
          <w:sz w:val="20"/>
          <w:szCs w:val="20"/>
        </w:rPr>
      </w:pPr>
    </w:p>
    <w:p w14:paraId="2026CE37" w14:textId="2441060A" w:rsidR="002611DF" w:rsidRDefault="005F67DD" w:rsidP="005F67DD">
      <w:pPr>
        <w:jc w:val="center"/>
        <w:rPr>
          <w:color w:val="000000"/>
          <w:sz w:val="20"/>
          <w:szCs w:val="20"/>
        </w:rPr>
      </w:pPr>
      <w:r w:rsidRPr="006A6BD5">
        <w:rPr>
          <w:noProof/>
          <w:color w:val="000000"/>
          <w:sz w:val="20"/>
          <w:szCs w:val="20"/>
        </w:rPr>
        <w:drawing>
          <wp:inline distT="0" distB="0" distL="0" distR="0" wp14:anchorId="6D916753" wp14:editId="7E35D61B">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p w14:paraId="278B9CF5" w14:textId="77777777" w:rsidR="002611DF" w:rsidRPr="009D7AE5" w:rsidRDefault="002611DF" w:rsidP="002110C5">
      <w:pPr>
        <w:jc w:val="both"/>
        <w:rPr>
          <w:color w:val="000000"/>
          <w:sz w:val="20"/>
          <w:szCs w:val="20"/>
        </w:rPr>
      </w:pPr>
    </w:p>
    <w:sectPr w:rsidR="002611DF" w:rsidRPr="009D7AE5" w:rsidSect="000865D5">
      <w:headerReference w:type="even" r:id="rId21"/>
      <w:headerReference w:type="default" r:id="rId22"/>
      <w:pgSz w:w="15840" w:h="12240" w:orient="landscape"/>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ADD2" w14:textId="77777777" w:rsidR="00775328" w:rsidRDefault="00775328" w:rsidP="00441061">
      <w:r>
        <w:separator/>
      </w:r>
    </w:p>
  </w:endnote>
  <w:endnote w:type="continuationSeparator" w:id="0">
    <w:p w14:paraId="2682E62C" w14:textId="77777777" w:rsidR="00775328" w:rsidRDefault="0077532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SegoeUI">
    <w:altName w:val="Cambria"/>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TimesNewRomanPSMT">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E8BF" w14:textId="300C8355" w:rsidR="0097581E" w:rsidRPr="005841A3" w:rsidRDefault="0097581E" w:rsidP="00A8529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34F3" w14:textId="4CD8F821" w:rsidR="0097581E" w:rsidRPr="00707225" w:rsidRDefault="0097581E" w:rsidP="00A85296">
    <w:pPr>
      <w:pStyle w:val="Footer"/>
      <w:ind w:right="3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D355" w14:textId="77777777" w:rsidR="00775328" w:rsidRDefault="00775328" w:rsidP="00441061">
      <w:r>
        <w:separator/>
      </w:r>
    </w:p>
  </w:footnote>
  <w:footnote w:type="continuationSeparator" w:id="0">
    <w:p w14:paraId="0BCA506C" w14:textId="77777777" w:rsidR="00775328" w:rsidRDefault="00775328" w:rsidP="00441061">
      <w:r>
        <w:continuationSeparator/>
      </w:r>
    </w:p>
  </w:footnote>
  <w:footnote w:id="1">
    <w:p w14:paraId="0539105B" w14:textId="50014D5A" w:rsidR="0097581E" w:rsidRPr="00C23208" w:rsidRDefault="0097581E" w:rsidP="009A47BF">
      <w:pPr>
        <w:pStyle w:val="FootnoteText"/>
        <w:rPr>
          <w:szCs w:val="16"/>
        </w:rPr>
      </w:pPr>
      <w:r w:rsidRPr="00C23208">
        <w:rPr>
          <w:rStyle w:val="FootnoteReference"/>
          <w:szCs w:val="16"/>
        </w:rPr>
        <w:footnoteRef/>
      </w:r>
      <w:r w:rsidRPr="00C23208">
        <w:rPr>
          <w:szCs w:val="16"/>
        </w:rPr>
        <w:t xml:space="preserve"> </w:t>
      </w:r>
      <w:r w:rsidRPr="0097581E">
        <w:rPr>
          <w:rStyle w:val="Hyperlink"/>
          <w:color w:val="auto"/>
          <w:szCs w:val="16"/>
        </w:rPr>
        <w:t xml:space="preserve">World Bank, Trading Economics </w:t>
      </w:r>
      <w:r w:rsidRPr="00C23208">
        <w:rPr>
          <w:rStyle w:val="Hyperlink"/>
          <w:szCs w:val="16"/>
        </w:rPr>
        <w:t>(</w:t>
      </w:r>
      <w:hyperlink r:id="rId1" w:history="1">
        <w:r w:rsidRPr="0097581E">
          <w:rPr>
            <w:rStyle w:val="Hyperlink"/>
            <w:szCs w:val="16"/>
          </w:rPr>
          <w:t>https://tradingeconomics.com/kuwait/gdp-per-capita</w:t>
        </w:r>
      </w:hyperlink>
      <w:r w:rsidRPr="00C23208">
        <w:rPr>
          <w:rStyle w:val="Hyperlink"/>
          <w:szCs w:val="16"/>
        </w:rPr>
        <w:t>)</w:t>
      </w:r>
    </w:p>
  </w:footnote>
  <w:footnote w:id="2">
    <w:p w14:paraId="79351C7E" w14:textId="77777777" w:rsidR="0097581E" w:rsidRPr="0097581E" w:rsidRDefault="0097581E" w:rsidP="009A47BF">
      <w:pPr>
        <w:pStyle w:val="FootnoteText"/>
        <w:rPr>
          <w:szCs w:val="16"/>
        </w:rPr>
      </w:pPr>
      <w:r w:rsidRPr="00C63035">
        <w:rPr>
          <w:rStyle w:val="FootnoteReference"/>
          <w:szCs w:val="16"/>
        </w:rPr>
        <w:footnoteRef/>
      </w:r>
      <w:r w:rsidRPr="00C63035">
        <w:rPr>
          <w:szCs w:val="16"/>
        </w:rPr>
        <w:t xml:space="preserve"> </w:t>
      </w:r>
      <w:r w:rsidRPr="0097581E">
        <w:rPr>
          <w:rStyle w:val="Hyperlink"/>
          <w:color w:val="auto"/>
          <w:szCs w:val="16"/>
        </w:rPr>
        <w:t>Ibid.</w:t>
      </w:r>
    </w:p>
  </w:footnote>
  <w:footnote w:id="3">
    <w:p w14:paraId="0592F8C6" w14:textId="77777777" w:rsidR="0097581E" w:rsidRPr="00C63035" w:rsidRDefault="0097581E" w:rsidP="009A47BF">
      <w:pPr>
        <w:pStyle w:val="FootnoteText"/>
        <w:rPr>
          <w:szCs w:val="16"/>
        </w:rPr>
      </w:pPr>
      <w:r w:rsidRPr="00C63035">
        <w:rPr>
          <w:rStyle w:val="FootnoteReference"/>
          <w:szCs w:val="16"/>
        </w:rPr>
        <w:footnoteRef/>
      </w:r>
      <w:r w:rsidRPr="00C63035">
        <w:rPr>
          <w:szCs w:val="16"/>
        </w:rPr>
        <w:t xml:space="preserve"> Kuwait Public Authority for Civil Information </w:t>
      </w:r>
      <w:r>
        <w:rPr>
          <w:szCs w:val="16"/>
        </w:rPr>
        <w:t>(</w:t>
      </w:r>
      <w:hyperlink r:id="rId2" w:anchor="DataTabPlace:PieChartNat" w:history="1">
        <w:r w:rsidRPr="007C668A">
          <w:rPr>
            <w:rStyle w:val="Hyperlink"/>
            <w:szCs w:val="16"/>
          </w:rPr>
          <w:t>http://stat.paci.gov.kw/englishreports/#DataTabPlace:PieChartNat</w:t>
        </w:r>
      </w:hyperlink>
      <w:r w:rsidRPr="00C63035">
        <w:rPr>
          <w:rStyle w:val="Hyperlink"/>
          <w:szCs w:val="16"/>
        </w:rPr>
        <w:t>), June 2018</w:t>
      </w:r>
      <w:r>
        <w:rPr>
          <w:rStyle w:val="Hyperlink"/>
          <w:szCs w:val="16"/>
        </w:rPr>
        <w:t xml:space="preserve">.  </w:t>
      </w:r>
    </w:p>
  </w:footnote>
  <w:footnote w:id="4">
    <w:p w14:paraId="725E8617" w14:textId="227A7238" w:rsidR="0097581E" w:rsidRPr="00C63035" w:rsidRDefault="0097581E" w:rsidP="009A47BF">
      <w:pPr>
        <w:pStyle w:val="FootnoteText"/>
        <w:rPr>
          <w:szCs w:val="16"/>
        </w:rPr>
      </w:pPr>
      <w:r w:rsidRPr="00C63035">
        <w:rPr>
          <w:rStyle w:val="FootnoteReference"/>
          <w:szCs w:val="16"/>
        </w:rPr>
        <w:footnoteRef/>
      </w:r>
      <w:r w:rsidRPr="00C63035">
        <w:rPr>
          <w:szCs w:val="16"/>
        </w:rPr>
        <w:t xml:space="preserve"> World Bank, </w:t>
      </w:r>
      <w:hyperlink r:id="rId3" w:history="1">
        <w:r w:rsidRPr="00FE10B8">
          <w:rPr>
            <w:rStyle w:val="Hyperlink"/>
            <w:szCs w:val="16"/>
          </w:rPr>
          <w:t>Country Profile</w:t>
        </w:r>
      </w:hyperlink>
      <w:r w:rsidRPr="00FE10B8">
        <w:rPr>
          <w:szCs w:val="16"/>
        </w:rPr>
        <w:t>,</w:t>
      </w:r>
      <w:r w:rsidRPr="00C63035">
        <w:rPr>
          <w:szCs w:val="16"/>
        </w:rPr>
        <w:t xml:space="preserve"> </w:t>
      </w:r>
      <w:r>
        <w:rPr>
          <w:szCs w:val="16"/>
        </w:rPr>
        <w:t xml:space="preserve">gross national income </w:t>
      </w:r>
      <w:r w:rsidRPr="00C63035">
        <w:rPr>
          <w:szCs w:val="16"/>
        </w:rPr>
        <w:t xml:space="preserve">per capita based on purchasing power parity (PPP), Sept 2017. See also </w:t>
      </w:r>
      <w:hyperlink r:id="rId4" w:history="1">
        <w:r w:rsidRPr="00C63035">
          <w:rPr>
            <w:rStyle w:val="Hyperlink"/>
            <w:szCs w:val="16"/>
          </w:rPr>
          <w:t>http://www.forbes.com/places/kuwait/</w:t>
        </w:r>
      </w:hyperlink>
    </w:p>
  </w:footnote>
  <w:footnote w:id="5">
    <w:p w14:paraId="2F4B091B" w14:textId="77777777" w:rsidR="0097581E" w:rsidRPr="00C63035" w:rsidRDefault="0097581E" w:rsidP="009A47BF">
      <w:pPr>
        <w:pStyle w:val="FootnoteText"/>
        <w:rPr>
          <w:szCs w:val="16"/>
        </w:rPr>
      </w:pPr>
      <w:r w:rsidRPr="00C63035">
        <w:rPr>
          <w:rStyle w:val="FootnoteReference"/>
          <w:szCs w:val="16"/>
        </w:rPr>
        <w:footnoteRef/>
      </w:r>
      <w:r w:rsidRPr="00C63035">
        <w:rPr>
          <w:szCs w:val="16"/>
        </w:rPr>
        <w:t xml:space="preserve"> UNDP, </w:t>
      </w:r>
      <w:r w:rsidRPr="00FE10B8">
        <w:rPr>
          <w:iCs/>
          <w:szCs w:val="16"/>
        </w:rPr>
        <w:t>Human Development Indices and Indicators: 2018 Statistical Update</w:t>
      </w:r>
      <w:r w:rsidRPr="00C63035">
        <w:rPr>
          <w:szCs w:val="16"/>
        </w:rPr>
        <w:t xml:space="preserve">. </w:t>
      </w:r>
    </w:p>
  </w:footnote>
  <w:footnote w:id="6">
    <w:p w14:paraId="6CA9283F" w14:textId="3A72F081" w:rsidR="0097581E" w:rsidRPr="00C23208" w:rsidRDefault="0097581E" w:rsidP="009A47BF">
      <w:pPr>
        <w:pStyle w:val="FootnoteText"/>
        <w:rPr>
          <w:szCs w:val="16"/>
        </w:rPr>
      </w:pPr>
      <w:r w:rsidRPr="00C23208">
        <w:rPr>
          <w:rStyle w:val="FootnoteReference"/>
          <w:szCs w:val="16"/>
        </w:rPr>
        <w:footnoteRef/>
      </w:r>
      <w:r w:rsidRPr="00C23208">
        <w:rPr>
          <w:szCs w:val="16"/>
        </w:rPr>
        <w:t xml:space="preserve"> Government of Kuwait, </w:t>
      </w:r>
      <w:hyperlink r:id="rId5" w:history="1">
        <w:r w:rsidRPr="00056F6A">
          <w:rPr>
            <w:rStyle w:val="Hyperlink"/>
            <w:rFonts w:cstheme="minorHAnsi"/>
            <w:szCs w:val="16"/>
          </w:rPr>
          <w:t>Vision 2035</w:t>
        </w:r>
      </w:hyperlink>
      <w:r w:rsidRPr="00C23208">
        <w:rPr>
          <w:szCs w:val="16"/>
        </w:rPr>
        <w:t>,  Oct</w:t>
      </w:r>
      <w:r>
        <w:rPr>
          <w:szCs w:val="16"/>
        </w:rPr>
        <w:t>ober</w:t>
      </w:r>
      <w:r w:rsidRPr="00C23208">
        <w:rPr>
          <w:szCs w:val="16"/>
        </w:rPr>
        <w:t xml:space="preserve"> 2017</w:t>
      </w:r>
      <w:r>
        <w:rPr>
          <w:szCs w:val="16"/>
        </w:rPr>
        <w:t xml:space="preserve">.  </w:t>
      </w:r>
    </w:p>
  </w:footnote>
  <w:footnote w:id="7">
    <w:p w14:paraId="3079F81E" w14:textId="1E0C5E1D" w:rsidR="0097581E" w:rsidRPr="004C2071" w:rsidRDefault="0097581E" w:rsidP="009A47BF">
      <w:pPr>
        <w:pStyle w:val="FootnoteText"/>
        <w:rPr>
          <w:lang w:val="lv-LV"/>
        </w:rPr>
      </w:pPr>
      <w:r>
        <w:rPr>
          <w:rStyle w:val="FootnoteReference"/>
        </w:rPr>
        <w:footnoteRef/>
      </w:r>
      <w:r>
        <w:t xml:space="preserve"> </w:t>
      </w:r>
      <w:r>
        <w:rPr>
          <w:lang w:val="lv-LV"/>
        </w:rPr>
        <w:t>Government of Kuwait, d</w:t>
      </w:r>
      <w:r w:rsidRPr="00FE10B8">
        <w:rPr>
          <w:iCs/>
          <w:lang w:val="lv-LV"/>
        </w:rPr>
        <w:t xml:space="preserve">raft </w:t>
      </w:r>
      <w:r>
        <w:rPr>
          <w:iCs/>
          <w:lang w:val="lv-LV"/>
        </w:rPr>
        <w:t>v</w:t>
      </w:r>
      <w:r w:rsidRPr="00FE10B8">
        <w:rPr>
          <w:iCs/>
          <w:lang w:val="lv-LV"/>
        </w:rPr>
        <w:t xml:space="preserve">oluntary </w:t>
      </w:r>
      <w:r>
        <w:rPr>
          <w:iCs/>
          <w:lang w:val="lv-LV"/>
        </w:rPr>
        <w:t>n</w:t>
      </w:r>
      <w:r w:rsidRPr="00FE10B8">
        <w:rPr>
          <w:iCs/>
          <w:lang w:val="lv-LV"/>
        </w:rPr>
        <w:t xml:space="preserve">ational </w:t>
      </w:r>
      <w:r>
        <w:rPr>
          <w:iCs/>
          <w:lang w:val="lv-LV"/>
        </w:rPr>
        <w:t xml:space="preserve">review </w:t>
      </w:r>
      <w:r w:rsidRPr="00FE10B8">
        <w:rPr>
          <w:iCs/>
          <w:lang w:val="lv-LV"/>
        </w:rPr>
        <w:t xml:space="preserve">on </w:t>
      </w:r>
      <w:r>
        <w:rPr>
          <w:iCs/>
          <w:lang w:val="lv-LV"/>
        </w:rPr>
        <w:t>i</w:t>
      </w:r>
      <w:r w:rsidRPr="00FE10B8">
        <w:rPr>
          <w:iCs/>
          <w:lang w:val="lv-LV"/>
        </w:rPr>
        <w:t xml:space="preserve">mplementing the </w:t>
      </w:r>
      <w:r>
        <w:rPr>
          <w:iCs/>
          <w:lang w:val="lv-LV"/>
        </w:rPr>
        <w:t xml:space="preserve">2030 </w:t>
      </w:r>
      <w:r w:rsidRPr="00FE10B8">
        <w:rPr>
          <w:iCs/>
          <w:lang w:val="lv-LV"/>
        </w:rPr>
        <w:t>Agenda</w:t>
      </w:r>
      <w:r>
        <w:rPr>
          <w:iCs/>
          <w:lang w:val="lv-LV"/>
        </w:rPr>
        <w:t xml:space="preserve"> for Sustainable Development</w:t>
      </w:r>
      <w:r>
        <w:rPr>
          <w:lang w:val="lv-LV"/>
        </w:rPr>
        <w:t>.</w:t>
      </w:r>
    </w:p>
  </w:footnote>
  <w:footnote w:id="8">
    <w:p w14:paraId="52305ADC" w14:textId="5D014BF0" w:rsidR="0097581E" w:rsidRPr="00F13D1B" w:rsidRDefault="0097581E" w:rsidP="009A47BF">
      <w:pPr>
        <w:pStyle w:val="FootnoteText"/>
        <w:rPr>
          <w:szCs w:val="16"/>
        </w:rPr>
      </w:pPr>
      <w:r w:rsidRPr="00046271">
        <w:rPr>
          <w:rStyle w:val="FootnoteReference"/>
          <w:szCs w:val="16"/>
        </w:rPr>
        <w:footnoteRef/>
      </w:r>
      <w:r w:rsidRPr="00046271">
        <w:rPr>
          <w:szCs w:val="16"/>
        </w:rPr>
        <w:t xml:space="preserve"> I</w:t>
      </w:r>
      <w:r>
        <w:rPr>
          <w:szCs w:val="16"/>
        </w:rPr>
        <w:t xml:space="preserve">nternational </w:t>
      </w:r>
      <w:r w:rsidRPr="00046271">
        <w:rPr>
          <w:szCs w:val="16"/>
        </w:rPr>
        <w:t>M</w:t>
      </w:r>
      <w:r>
        <w:rPr>
          <w:szCs w:val="16"/>
        </w:rPr>
        <w:t xml:space="preserve">onetary </w:t>
      </w:r>
      <w:r w:rsidRPr="00046271">
        <w:rPr>
          <w:szCs w:val="16"/>
        </w:rPr>
        <w:t>F</w:t>
      </w:r>
      <w:r>
        <w:rPr>
          <w:szCs w:val="16"/>
        </w:rPr>
        <w:t>und,</w:t>
      </w:r>
      <w:r w:rsidRPr="00046271">
        <w:rPr>
          <w:szCs w:val="16"/>
        </w:rPr>
        <w:t xml:space="preserve"> </w:t>
      </w:r>
      <w:hyperlink r:id="rId6" w:history="1">
        <w:r w:rsidRPr="00046271">
          <w:rPr>
            <w:rStyle w:val="Hyperlink"/>
            <w:szCs w:val="16"/>
          </w:rPr>
          <w:t>Article IV Consultation</w:t>
        </w:r>
      </w:hyperlink>
      <w:r>
        <w:rPr>
          <w:rStyle w:val="Hyperlink"/>
          <w:szCs w:val="16"/>
        </w:rPr>
        <w:t>.</w:t>
      </w:r>
      <w:r>
        <w:rPr>
          <w:szCs w:val="16"/>
        </w:rPr>
        <w:t xml:space="preserve"> </w:t>
      </w:r>
    </w:p>
  </w:footnote>
  <w:footnote w:id="9">
    <w:p w14:paraId="241A7A19" w14:textId="20B8CF63" w:rsidR="0097581E" w:rsidRPr="00630999" w:rsidRDefault="0097581E" w:rsidP="009A47BF">
      <w:pPr>
        <w:pStyle w:val="FootnoteText"/>
        <w:rPr>
          <w:szCs w:val="16"/>
        </w:rPr>
      </w:pPr>
      <w:r w:rsidRPr="00630999">
        <w:rPr>
          <w:rStyle w:val="FootnoteReference"/>
          <w:szCs w:val="16"/>
        </w:rPr>
        <w:footnoteRef/>
      </w:r>
      <w:r w:rsidRPr="00630999">
        <w:rPr>
          <w:szCs w:val="16"/>
        </w:rPr>
        <w:t xml:space="preserve"> The General Reserve Fund is part of </w:t>
      </w:r>
      <w:r>
        <w:rPr>
          <w:szCs w:val="16"/>
        </w:rPr>
        <w:t>the Kuwait</w:t>
      </w:r>
      <w:r w:rsidRPr="00630999">
        <w:rPr>
          <w:szCs w:val="16"/>
        </w:rPr>
        <w:t xml:space="preserve"> sovereign wealth fund whose total assets are estimated at close to </w:t>
      </w:r>
      <w:r>
        <w:rPr>
          <w:szCs w:val="16"/>
        </w:rPr>
        <w:t>$</w:t>
      </w:r>
      <w:r w:rsidRPr="00630999">
        <w:rPr>
          <w:szCs w:val="16"/>
        </w:rPr>
        <w:t xml:space="preserve">600 billion in 2016. </w:t>
      </w:r>
    </w:p>
  </w:footnote>
  <w:footnote w:id="10">
    <w:p w14:paraId="26CAD232" w14:textId="1D312EEC" w:rsidR="0097581E" w:rsidRPr="009705FE" w:rsidRDefault="0097581E" w:rsidP="009A47BF">
      <w:pPr>
        <w:pStyle w:val="FootnoteText"/>
        <w:rPr>
          <w:szCs w:val="16"/>
        </w:rPr>
      </w:pPr>
      <w:r w:rsidRPr="009705FE">
        <w:rPr>
          <w:rStyle w:val="FootnoteReference"/>
          <w:szCs w:val="16"/>
        </w:rPr>
        <w:footnoteRef/>
      </w:r>
      <w:r>
        <w:rPr>
          <w:szCs w:val="16"/>
        </w:rPr>
        <w:t xml:space="preserve"> </w:t>
      </w:r>
      <w:r w:rsidRPr="009705FE">
        <w:rPr>
          <w:szCs w:val="16"/>
        </w:rPr>
        <w:t>Tri-International Consulting Group (TICG)</w:t>
      </w:r>
      <w:r>
        <w:rPr>
          <w:szCs w:val="16"/>
        </w:rPr>
        <w:t>,</w:t>
      </w:r>
      <w:r w:rsidRPr="009705FE">
        <w:rPr>
          <w:szCs w:val="16"/>
        </w:rPr>
        <w:t xml:space="preserve"> </w:t>
      </w:r>
      <w:r w:rsidRPr="00056F6A">
        <w:rPr>
          <w:iCs/>
          <w:szCs w:val="16"/>
        </w:rPr>
        <w:t>Increasing Private Sector Employment of Nationals in the GCC</w:t>
      </w:r>
      <w:r>
        <w:rPr>
          <w:i/>
          <w:szCs w:val="16"/>
        </w:rPr>
        <w:t xml:space="preserve">, </w:t>
      </w:r>
      <w:r w:rsidRPr="009705FE">
        <w:rPr>
          <w:szCs w:val="16"/>
        </w:rPr>
        <w:t>2017.</w:t>
      </w:r>
    </w:p>
  </w:footnote>
  <w:footnote w:id="11">
    <w:p w14:paraId="4DEE9C15" w14:textId="02E1E689" w:rsidR="0097581E" w:rsidRPr="000409C2" w:rsidRDefault="0097581E" w:rsidP="009A47BF">
      <w:pPr>
        <w:pStyle w:val="FootnoteText"/>
        <w:rPr>
          <w:szCs w:val="16"/>
        </w:rPr>
      </w:pPr>
      <w:r w:rsidRPr="000409C2">
        <w:rPr>
          <w:rStyle w:val="FootnoteReference"/>
          <w:szCs w:val="16"/>
        </w:rPr>
        <w:footnoteRef/>
      </w:r>
      <w:r w:rsidRPr="000409C2">
        <w:rPr>
          <w:szCs w:val="16"/>
        </w:rPr>
        <w:t xml:space="preserve"> U</w:t>
      </w:r>
      <w:r>
        <w:rPr>
          <w:szCs w:val="16"/>
        </w:rPr>
        <w:t xml:space="preserve">nited </w:t>
      </w:r>
      <w:r w:rsidRPr="000409C2">
        <w:rPr>
          <w:szCs w:val="16"/>
        </w:rPr>
        <w:t>N</w:t>
      </w:r>
      <w:r>
        <w:rPr>
          <w:szCs w:val="16"/>
        </w:rPr>
        <w:t xml:space="preserve">ations </w:t>
      </w:r>
      <w:r w:rsidRPr="000409C2">
        <w:rPr>
          <w:szCs w:val="16"/>
        </w:rPr>
        <w:t>C</w:t>
      </w:r>
      <w:r>
        <w:rPr>
          <w:szCs w:val="16"/>
        </w:rPr>
        <w:t xml:space="preserve">ountry </w:t>
      </w:r>
      <w:r w:rsidRPr="000409C2">
        <w:rPr>
          <w:szCs w:val="16"/>
        </w:rPr>
        <w:t>T</w:t>
      </w:r>
      <w:r>
        <w:rPr>
          <w:szCs w:val="16"/>
        </w:rPr>
        <w:t>eam (UNCT) Kuwait</w:t>
      </w:r>
      <w:r w:rsidRPr="000409C2">
        <w:rPr>
          <w:szCs w:val="16"/>
        </w:rPr>
        <w:t xml:space="preserve">, </w:t>
      </w:r>
      <w:r w:rsidRPr="00056F6A">
        <w:rPr>
          <w:iCs/>
          <w:szCs w:val="16"/>
        </w:rPr>
        <w:t>Kuwait Common Country Assessment</w:t>
      </w:r>
      <w:r>
        <w:rPr>
          <w:iCs/>
          <w:szCs w:val="16"/>
        </w:rPr>
        <w:t xml:space="preserve">, </w:t>
      </w:r>
      <w:r w:rsidRPr="000409C2">
        <w:rPr>
          <w:szCs w:val="16"/>
        </w:rPr>
        <w:t>May 2018</w:t>
      </w:r>
      <w:r>
        <w:rPr>
          <w:szCs w:val="16"/>
        </w:rPr>
        <w:t>.</w:t>
      </w:r>
    </w:p>
  </w:footnote>
  <w:footnote w:id="12">
    <w:p w14:paraId="55E6BC40" w14:textId="54F544B4" w:rsidR="0097581E" w:rsidRPr="00BC41C5" w:rsidRDefault="0097581E" w:rsidP="009A47BF">
      <w:pPr>
        <w:pStyle w:val="FootnoteText"/>
        <w:rPr>
          <w:szCs w:val="16"/>
        </w:rPr>
      </w:pPr>
      <w:r w:rsidRPr="00BC41C5">
        <w:rPr>
          <w:rStyle w:val="FootnoteReference"/>
          <w:szCs w:val="16"/>
        </w:rPr>
        <w:footnoteRef/>
      </w:r>
      <w:r w:rsidRPr="00BC41C5">
        <w:rPr>
          <w:szCs w:val="16"/>
        </w:rPr>
        <w:t xml:space="preserve"> International Monetary Fund, </w:t>
      </w:r>
      <w:r w:rsidRPr="009A6A9C">
        <w:rPr>
          <w:iCs/>
          <w:szCs w:val="16"/>
        </w:rPr>
        <w:t>Country Report No. 18/21</w:t>
      </w:r>
      <w:r>
        <w:rPr>
          <w:iCs/>
          <w:szCs w:val="16"/>
        </w:rPr>
        <w:t xml:space="preserve">, </w:t>
      </w:r>
      <w:r w:rsidRPr="00BC41C5">
        <w:rPr>
          <w:szCs w:val="16"/>
        </w:rPr>
        <w:t>January 2018.</w:t>
      </w:r>
    </w:p>
  </w:footnote>
  <w:footnote w:id="13">
    <w:p w14:paraId="3A845E8A" w14:textId="77777777" w:rsidR="0097581E" w:rsidRPr="0017428F" w:rsidRDefault="0097581E" w:rsidP="008749D8">
      <w:pPr>
        <w:pStyle w:val="FootnoteText"/>
        <w:rPr>
          <w:lang w:val="en-US"/>
        </w:rPr>
      </w:pPr>
      <w:r>
        <w:rPr>
          <w:rStyle w:val="FootnoteReference"/>
        </w:rPr>
        <w:footnoteRef/>
      </w:r>
      <w:r>
        <w:t xml:space="preserve"> </w:t>
      </w:r>
      <w:r>
        <w:rPr>
          <w:lang w:val="en-US"/>
        </w:rPr>
        <w:t xml:space="preserve">World Bank </w:t>
      </w:r>
      <w:r w:rsidRPr="00B949C7">
        <w:rPr>
          <w:lang w:val="en-US"/>
        </w:rPr>
        <w:t>https://data.worldbank.org/indicator/SL.UEM.TOTL.ZS</w:t>
      </w:r>
      <w:r>
        <w:rPr>
          <w:lang w:val="en-US"/>
        </w:rPr>
        <w:t>)</w:t>
      </w:r>
    </w:p>
  </w:footnote>
  <w:footnote w:id="14">
    <w:p w14:paraId="0FD0CF4D" w14:textId="6998F817" w:rsidR="0097581E" w:rsidRPr="002E317E" w:rsidRDefault="0097581E" w:rsidP="009A47BF">
      <w:pPr>
        <w:pStyle w:val="FootnoteText"/>
        <w:rPr>
          <w:szCs w:val="16"/>
        </w:rPr>
      </w:pPr>
      <w:r w:rsidRPr="002E317E">
        <w:rPr>
          <w:rStyle w:val="FootnoteReference"/>
          <w:szCs w:val="16"/>
        </w:rPr>
        <w:footnoteRef/>
      </w:r>
      <w:r w:rsidRPr="002E317E">
        <w:rPr>
          <w:szCs w:val="16"/>
        </w:rPr>
        <w:t xml:space="preserve"> </w:t>
      </w:r>
      <w:r w:rsidRPr="00750DD0">
        <w:t xml:space="preserve"> </w:t>
      </w:r>
      <w:r w:rsidRPr="00750DD0">
        <w:rPr>
          <w:szCs w:val="16"/>
        </w:rPr>
        <w:t>Tri-International Consulting Group (TICG), Increasing Private Sector Employment of Nationals in the GCC, 2017</w:t>
      </w:r>
      <w:r>
        <w:rPr>
          <w:szCs w:val="16"/>
        </w:rPr>
        <w:t xml:space="preserve"> (table page 3)</w:t>
      </w:r>
      <w:r w:rsidRPr="00750DD0">
        <w:rPr>
          <w:szCs w:val="16"/>
        </w:rPr>
        <w:t>.</w:t>
      </w:r>
    </w:p>
  </w:footnote>
  <w:footnote w:id="15">
    <w:p w14:paraId="58AD6D9A" w14:textId="77777777" w:rsidR="0097581E" w:rsidRPr="00E71AE5" w:rsidRDefault="0097581E" w:rsidP="009A47BF">
      <w:pPr>
        <w:pStyle w:val="FootnoteText"/>
        <w:rPr>
          <w:szCs w:val="16"/>
        </w:rPr>
      </w:pPr>
      <w:r w:rsidRPr="00E71AE5">
        <w:rPr>
          <w:rStyle w:val="FootnoteReference"/>
          <w:szCs w:val="16"/>
        </w:rPr>
        <w:footnoteRef/>
      </w:r>
      <w:r w:rsidRPr="00E71AE5">
        <w:rPr>
          <w:szCs w:val="16"/>
        </w:rPr>
        <w:t xml:space="preserve"> Ibid.</w:t>
      </w:r>
    </w:p>
  </w:footnote>
  <w:footnote w:id="16">
    <w:p w14:paraId="7E47345C" w14:textId="64AD15E8" w:rsidR="0097581E" w:rsidRPr="0008701E" w:rsidRDefault="0097581E">
      <w:pPr>
        <w:pStyle w:val="FootnoteText"/>
        <w:rPr>
          <w:lang w:val="en-US"/>
        </w:rPr>
      </w:pPr>
      <w:r>
        <w:rPr>
          <w:rStyle w:val="FootnoteReference"/>
        </w:rPr>
        <w:footnoteRef/>
      </w:r>
      <w:r>
        <w:t xml:space="preserve"> </w:t>
      </w:r>
      <w:r>
        <w:rPr>
          <w:lang w:val="en-US"/>
        </w:rPr>
        <w:t xml:space="preserve">World Bank, World Governance Indicators, 2018. </w:t>
      </w:r>
      <w:hyperlink r:id="rId7" w:history="1">
        <w:r w:rsidRPr="004B14CA">
          <w:rPr>
            <w:rStyle w:val="Hyperlink"/>
            <w:lang w:val="en-US"/>
          </w:rPr>
          <w:t>https://info.worldbank.org/governance/wgi/Home/Reports</w:t>
        </w:r>
      </w:hyperlink>
      <w:r>
        <w:rPr>
          <w:lang w:val="en-US"/>
        </w:rPr>
        <w:t xml:space="preserve"> </w:t>
      </w:r>
    </w:p>
  </w:footnote>
  <w:footnote w:id="17">
    <w:p w14:paraId="443B5135" w14:textId="05E3A9E5" w:rsidR="0097581E" w:rsidRPr="007D451C" w:rsidRDefault="0097581E">
      <w:pPr>
        <w:pStyle w:val="FootnoteText"/>
        <w:rPr>
          <w:lang w:val="en-US"/>
        </w:rPr>
      </w:pPr>
      <w:r>
        <w:rPr>
          <w:rStyle w:val="FootnoteReference"/>
        </w:rPr>
        <w:footnoteRef/>
      </w:r>
      <w:r>
        <w:t xml:space="preserve"> United Nations</w:t>
      </w:r>
      <w:r w:rsidRPr="008715C8">
        <w:t xml:space="preserve"> Department of Economic and Social Affairs</w:t>
      </w:r>
      <w:r>
        <w:t>, United Nations</w:t>
      </w:r>
      <w:r w:rsidRPr="008715C8">
        <w:t xml:space="preserve"> </w:t>
      </w:r>
      <w:r>
        <w:t xml:space="preserve">e-Government Survey 2018. </w:t>
      </w:r>
    </w:p>
  </w:footnote>
  <w:footnote w:id="18">
    <w:p w14:paraId="1052825E" w14:textId="15C2B6C1" w:rsidR="0097581E" w:rsidRPr="00B247EF" w:rsidRDefault="0097581E" w:rsidP="009A47BF">
      <w:pPr>
        <w:pStyle w:val="FootnoteText"/>
        <w:rPr>
          <w:szCs w:val="16"/>
        </w:rPr>
      </w:pPr>
      <w:r w:rsidRPr="00B247EF">
        <w:rPr>
          <w:rStyle w:val="FootnoteReference"/>
          <w:szCs w:val="16"/>
        </w:rPr>
        <w:footnoteRef/>
      </w:r>
      <w:r w:rsidRPr="00B247EF">
        <w:rPr>
          <w:szCs w:val="16"/>
        </w:rPr>
        <w:t xml:space="preserve"> Ibid.</w:t>
      </w:r>
      <w:r>
        <w:rPr>
          <w:szCs w:val="16"/>
        </w:rPr>
        <w:t xml:space="preserve">  Kuwait’s National Assembly, however, enjoys relative independence and constitutional oversight powers, though this is limited to the actions of the Prime Minister and ministers.</w:t>
      </w:r>
    </w:p>
  </w:footnote>
  <w:footnote w:id="19">
    <w:p w14:paraId="0D8B9809" w14:textId="0F2B5730" w:rsidR="0097581E" w:rsidRPr="007D451C" w:rsidRDefault="0097581E">
      <w:pPr>
        <w:pStyle w:val="FootnoteText"/>
        <w:rPr>
          <w:lang w:val="en-US"/>
        </w:rPr>
      </w:pPr>
      <w:r>
        <w:rPr>
          <w:rStyle w:val="FootnoteReference"/>
        </w:rPr>
        <w:footnoteRef/>
      </w:r>
      <w:r>
        <w:t xml:space="preserve"> </w:t>
      </w:r>
      <w:r>
        <w:rPr>
          <w:lang w:val="en-US"/>
        </w:rPr>
        <w:t xml:space="preserve">Kuwait Times </w:t>
      </w:r>
      <w:hyperlink r:id="rId8" w:history="1">
        <w:r w:rsidRPr="004E4E71">
          <w:rPr>
            <w:rStyle w:val="Hyperlink"/>
            <w:lang w:val="en-US"/>
          </w:rPr>
          <w:t>https://news.kuwaittimes.net/website/kuwait-improves-seven-ranks-in-corruption-index/</w:t>
        </w:r>
      </w:hyperlink>
      <w:r>
        <w:rPr>
          <w:lang w:val="en-US"/>
        </w:rPr>
        <w:t xml:space="preserve"> </w:t>
      </w:r>
    </w:p>
  </w:footnote>
  <w:footnote w:id="20">
    <w:p w14:paraId="48600652" w14:textId="3EED1C22" w:rsidR="0097581E" w:rsidRPr="004E1DD5" w:rsidRDefault="0097581E" w:rsidP="009A47BF">
      <w:pPr>
        <w:pStyle w:val="FootnoteText"/>
        <w:rPr>
          <w:szCs w:val="16"/>
        </w:rPr>
      </w:pPr>
      <w:r w:rsidRPr="004E1DD5">
        <w:rPr>
          <w:rStyle w:val="FootnoteReference"/>
          <w:szCs w:val="16"/>
        </w:rPr>
        <w:footnoteRef/>
      </w:r>
      <w:r w:rsidRPr="004E1DD5">
        <w:rPr>
          <w:szCs w:val="16"/>
        </w:rPr>
        <w:t xml:space="preserve"> World Economic Forum, </w:t>
      </w:r>
      <w:r>
        <w:rPr>
          <w:szCs w:val="16"/>
        </w:rPr>
        <w:t xml:space="preserve">The </w:t>
      </w:r>
      <w:r w:rsidRPr="009A6A9C">
        <w:rPr>
          <w:iCs/>
          <w:szCs w:val="16"/>
        </w:rPr>
        <w:t>Global Gender Gap Report</w:t>
      </w:r>
      <w:r w:rsidRPr="004E1DD5">
        <w:rPr>
          <w:szCs w:val="16"/>
        </w:rPr>
        <w:t xml:space="preserve"> 201</w:t>
      </w:r>
      <w:r>
        <w:rPr>
          <w:szCs w:val="16"/>
        </w:rPr>
        <w:t>8</w:t>
      </w:r>
      <w:r w:rsidRPr="004E1DD5">
        <w:rPr>
          <w:szCs w:val="16"/>
        </w:rPr>
        <w:t>.</w:t>
      </w:r>
      <w:r>
        <w:rPr>
          <w:szCs w:val="16"/>
        </w:rPr>
        <w:t xml:space="preserve"> (</w:t>
      </w:r>
      <w:hyperlink r:id="rId9" w:history="1">
        <w:r w:rsidRPr="004B14CA">
          <w:rPr>
            <w:rStyle w:val="Hyperlink"/>
            <w:szCs w:val="16"/>
          </w:rPr>
          <w:t>http://www3.weforum.org/docs/WEF_GGGR_2018.pdf</w:t>
        </w:r>
      </w:hyperlink>
      <w:r>
        <w:rPr>
          <w:szCs w:val="16"/>
        </w:rPr>
        <w:t xml:space="preserve">) </w:t>
      </w:r>
    </w:p>
  </w:footnote>
  <w:footnote w:id="21">
    <w:p w14:paraId="502EA010" w14:textId="479706AE" w:rsidR="0097581E" w:rsidRPr="004C290F" w:rsidRDefault="0097581E" w:rsidP="0069323C">
      <w:pPr>
        <w:pStyle w:val="FootnoteText"/>
        <w:rPr>
          <w:lang w:val="en-US"/>
        </w:rPr>
      </w:pPr>
      <w:r>
        <w:rPr>
          <w:rStyle w:val="FootnoteReference"/>
        </w:rPr>
        <w:footnoteRef/>
      </w:r>
      <w:r>
        <w:t xml:space="preserve"> </w:t>
      </w:r>
      <w:r w:rsidRPr="0097581E">
        <w:rPr>
          <w:iCs/>
          <w:lang w:val="en-US"/>
        </w:rPr>
        <w:t>Ibid</w:t>
      </w:r>
      <w:r>
        <w:rPr>
          <w:i/>
          <w:lang w:val="en-US"/>
        </w:rPr>
        <w:t xml:space="preserve"> </w:t>
      </w:r>
      <w:r>
        <w:rPr>
          <w:lang w:val="en-US"/>
        </w:rPr>
        <w:t xml:space="preserve">(page 149) </w:t>
      </w:r>
    </w:p>
  </w:footnote>
  <w:footnote w:id="22">
    <w:p w14:paraId="6B8737EC" w14:textId="70BE52B5" w:rsidR="0097581E" w:rsidRPr="004E1DD5" w:rsidRDefault="0097581E" w:rsidP="003D3650">
      <w:pPr>
        <w:pStyle w:val="FootnoteText"/>
        <w:rPr>
          <w:szCs w:val="16"/>
        </w:rPr>
      </w:pPr>
      <w:r w:rsidRPr="004E1DD5">
        <w:rPr>
          <w:rStyle w:val="FootnoteReference"/>
          <w:szCs w:val="16"/>
        </w:rPr>
        <w:footnoteRef/>
      </w:r>
      <w:r w:rsidRPr="004E1DD5">
        <w:rPr>
          <w:szCs w:val="16"/>
        </w:rPr>
        <w:t xml:space="preserve"> World Economic Forum</w:t>
      </w:r>
      <w:r>
        <w:rPr>
          <w:szCs w:val="16"/>
        </w:rPr>
        <w:t>,</w:t>
      </w:r>
      <w:r w:rsidRPr="004E1DD5">
        <w:rPr>
          <w:szCs w:val="16"/>
        </w:rPr>
        <w:t xml:space="preserve"> </w:t>
      </w:r>
      <w:r>
        <w:rPr>
          <w:szCs w:val="16"/>
        </w:rPr>
        <w:t xml:space="preserve">The </w:t>
      </w:r>
      <w:r w:rsidRPr="004E1DD5">
        <w:rPr>
          <w:szCs w:val="16"/>
        </w:rPr>
        <w:t>Global Gender Gap Report 2015.</w:t>
      </w:r>
    </w:p>
  </w:footnote>
  <w:footnote w:id="23">
    <w:p w14:paraId="367D9507" w14:textId="592F4B55" w:rsidR="0097581E" w:rsidRPr="004E1DD5" w:rsidRDefault="0097581E" w:rsidP="009A47BF">
      <w:pPr>
        <w:pStyle w:val="FootnoteText"/>
        <w:rPr>
          <w:szCs w:val="16"/>
        </w:rPr>
      </w:pPr>
      <w:r w:rsidRPr="004E1DD5">
        <w:rPr>
          <w:rStyle w:val="FootnoteReference"/>
          <w:szCs w:val="16"/>
        </w:rPr>
        <w:footnoteRef/>
      </w:r>
      <w:r w:rsidRPr="004E1DD5">
        <w:rPr>
          <w:szCs w:val="16"/>
        </w:rPr>
        <w:t xml:space="preserve"> UNDP Kuwait. Project </w:t>
      </w:r>
      <w:r>
        <w:rPr>
          <w:szCs w:val="16"/>
        </w:rPr>
        <w:t>d</w:t>
      </w:r>
      <w:r w:rsidRPr="004E1DD5">
        <w:rPr>
          <w:szCs w:val="16"/>
        </w:rPr>
        <w:t>ocument:</w:t>
      </w:r>
      <w:r w:rsidRPr="00342869">
        <w:rPr>
          <w:iCs/>
          <w:szCs w:val="16"/>
        </w:rPr>
        <w:t xml:space="preserve"> </w:t>
      </w:r>
      <w:r>
        <w:rPr>
          <w:iCs/>
          <w:szCs w:val="16"/>
        </w:rPr>
        <w:t>s</w:t>
      </w:r>
      <w:r w:rsidRPr="00342869">
        <w:rPr>
          <w:iCs/>
          <w:szCs w:val="16"/>
        </w:rPr>
        <w:t xml:space="preserve">upport to the State of Kuwait in the implementation of </w:t>
      </w:r>
      <w:r>
        <w:rPr>
          <w:iCs/>
          <w:szCs w:val="16"/>
        </w:rPr>
        <w:t xml:space="preserve">Sustainable Development Goal </w:t>
      </w:r>
      <w:r w:rsidRPr="00342869">
        <w:rPr>
          <w:iCs/>
          <w:szCs w:val="16"/>
        </w:rPr>
        <w:t xml:space="preserve">5 on </w:t>
      </w:r>
      <w:r>
        <w:rPr>
          <w:iCs/>
          <w:szCs w:val="16"/>
        </w:rPr>
        <w:t>g</w:t>
      </w:r>
      <w:r w:rsidRPr="00342869">
        <w:rPr>
          <w:iCs/>
          <w:szCs w:val="16"/>
        </w:rPr>
        <w:t xml:space="preserve">ender </w:t>
      </w:r>
      <w:r>
        <w:rPr>
          <w:iCs/>
          <w:szCs w:val="16"/>
        </w:rPr>
        <w:t>e</w:t>
      </w:r>
      <w:r w:rsidRPr="00342869">
        <w:rPr>
          <w:iCs/>
          <w:szCs w:val="16"/>
        </w:rPr>
        <w:t>quality</w:t>
      </w:r>
      <w:r w:rsidRPr="004E1DD5">
        <w:rPr>
          <w:szCs w:val="16"/>
        </w:rPr>
        <w:t>, 2017.</w:t>
      </w:r>
    </w:p>
  </w:footnote>
  <w:footnote w:id="24">
    <w:p w14:paraId="0ACAED9C" w14:textId="77777777" w:rsidR="0097581E" w:rsidRPr="002D7AF9" w:rsidRDefault="0097581E" w:rsidP="009A47BF">
      <w:pPr>
        <w:pStyle w:val="FootnoteText"/>
        <w:rPr>
          <w:lang w:val="lv-LV"/>
        </w:rPr>
      </w:pPr>
      <w:r>
        <w:rPr>
          <w:rStyle w:val="FootnoteReference"/>
        </w:rPr>
        <w:footnoteRef/>
      </w:r>
      <w:r>
        <w:t xml:space="preserve"> </w:t>
      </w:r>
      <w:r w:rsidRPr="000409C2">
        <w:rPr>
          <w:szCs w:val="16"/>
        </w:rPr>
        <w:t>UNCT</w:t>
      </w:r>
      <w:r>
        <w:rPr>
          <w:szCs w:val="16"/>
        </w:rPr>
        <w:t xml:space="preserve"> Kuwait</w:t>
      </w:r>
      <w:r w:rsidRPr="000409C2">
        <w:rPr>
          <w:szCs w:val="16"/>
        </w:rPr>
        <w:t xml:space="preserve">, </w:t>
      </w:r>
      <w:r w:rsidRPr="004C2071">
        <w:rPr>
          <w:szCs w:val="16"/>
        </w:rPr>
        <w:t>2018.</w:t>
      </w:r>
    </w:p>
  </w:footnote>
  <w:footnote w:id="25">
    <w:p w14:paraId="76EAB96B" w14:textId="493CF82F" w:rsidR="0097581E" w:rsidRPr="0017428F" w:rsidRDefault="0097581E" w:rsidP="009E0C1B">
      <w:pPr>
        <w:pStyle w:val="NormalWeb"/>
        <w:spacing w:before="0" w:beforeAutospacing="0" w:after="0" w:afterAutospacing="0"/>
        <w:rPr>
          <w:rFonts w:eastAsia="Times New Roman"/>
          <w:sz w:val="16"/>
          <w:szCs w:val="16"/>
          <w:lang w:val="en-US" w:eastAsia="en-US"/>
        </w:rPr>
      </w:pPr>
      <w:r w:rsidRPr="0017428F">
        <w:rPr>
          <w:rStyle w:val="FootnoteReference"/>
          <w:sz w:val="16"/>
          <w:szCs w:val="16"/>
        </w:rPr>
        <w:footnoteRef/>
      </w:r>
      <w:r w:rsidRPr="0017428F">
        <w:rPr>
          <w:sz w:val="16"/>
          <w:szCs w:val="16"/>
        </w:rPr>
        <w:t xml:space="preserve"> </w:t>
      </w:r>
      <w:r w:rsidRPr="0017428F">
        <w:rPr>
          <w:sz w:val="16"/>
          <w:szCs w:val="16"/>
          <w:lang w:val="en-US"/>
        </w:rPr>
        <w:t xml:space="preserve">Per capita energy consumption is 8.9 tons of oil (vs. </w:t>
      </w:r>
      <w:r>
        <w:rPr>
          <w:sz w:val="16"/>
          <w:szCs w:val="16"/>
          <w:lang w:val="en-US"/>
        </w:rPr>
        <w:t xml:space="preserve">Organisation for Economic Co-operation and Development </w:t>
      </w:r>
      <w:r w:rsidRPr="0017428F">
        <w:rPr>
          <w:sz w:val="16"/>
          <w:szCs w:val="16"/>
          <w:lang w:val="en-US"/>
        </w:rPr>
        <w:t xml:space="preserve">average of 4.1. source: </w:t>
      </w:r>
      <w:r w:rsidRPr="00F57A40">
        <w:rPr>
          <w:sz w:val="16"/>
          <w:szCs w:val="16"/>
          <w:lang w:val="en-US"/>
        </w:rPr>
        <w:t>UNDP Kuwait Energy Outlook 2019</w:t>
      </w:r>
      <w:r w:rsidRPr="0017428F">
        <w:rPr>
          <w:sz w:val="16"/>
          <w:szCs w:val="16"/>
          <w:lang w:val="en-US"/>
        </w:rPr>
        <w:t xml:space="preserve">), per capita water consumption is 478 litres/day (source: </w:t>
      </w:r>
      <w:r>
        <w:rPr>
          <w:sz w:val="16"/>
          <w:szCs w:val="16"/>
          <w:lang w:val="en-US"/>
        </w:rPr>
        <w:t>Gulf Cooperation Council (</w:t>
      </w:r>
      <w:r w:rsidRPr="0017428F">
        <w:rPr>
          <w:sz w:val="16"/>
          <w:szCs w:val="16"/>
          <w:lang w:val="en-US"/>
        </w:rPr>
        <w:t>GCC</w:t>
      </w:r>
      <w:r>
        <w:rPr>
          <w:sz w:val="16"/>
          <w:szCs w:val="16"/>
          <w:lang w:val="en-US"/>
        </w:rPr>
        <w:t>)</w:t>
      </w:r>
      <w:r w:rsidRPr="0017428F">
        <w:rPr>
          <w:sz w:val="16"/>
          <w:szCs w:val="16"/>
          <w:lang w:val="en-US"/>
        </w:rPr>
        <w:t xml:space="preserve"> Stat: </w:t>
      </w:r>
      <w:r w:rsidRPr="0017428F">
        <w:rPr>
          <w:rFonts w:eastAsia="Times New Roman"/>
          <w:sz w:val="16"/>
          <w:szCs w:val="16"/>
          <w:lang w:val="en-US" w:eastAsia="en-US"/>
        </w:rPr>
        <w:t xml:space="preserve">Water Statistics Report in GCC Countries </w:t>
      </w:r>
    </w:p>
  </w:footnote>
  <w:footnote w:id="26">
    <w:p w14:paraId="260A38C3" w14:textId="09F96267" w:rsidR="0097581E" w:rsidRPr="00160137" w:rsidRDefault="0097581E" w:rsidP="009A47BF">
      <w:pPr>
        <w:pStyle w:val="FootnoteText"/>
        <w:rPr>
          <w:lang w:val="en-US"/>
        </w:rPr>
      </w:pPr>
      <w:r>
        <w:rPr>
          <w:rStyle w:val="FootnoteReference"/>
        </w:rPr>
        <w:footnoteRef/>
      </w:r>
      <w:r>
        <w:t xml:space="preserve"> UNDP Kuwait, </w:t>
      </w:r>
      <w:r w:rsidRPr="00B41585">
        <w:rPr>
          <w:iCs/>
        </w:rPr>
        <w:t>Technical Support Mission Report: Energy and Environment</w:t>
      </w:r>
      <w:r>
        <w:rPr>
          <w:iCs/>
        </w:rPr>
        <w:t xml:space="preserve">, </w:t>
      </w:r>
      <w:r>
        <w:t>May 2019.</w:t>
      </w:r>
    </w:p>
  </w:footnote>
  <w:footnote w:id="27">
    <w:p w14:paraId="3FC6BE7E" w14:textId="3EA08046" w:rsidR="0097581E" w:rsidRPr="00F67C82" w:rsidRDefault="0097581E" w:rsidP="00032166">
      <w:pPr>
        <w:pStyle w:val="FootnoteText"/>
        <w:rPr>
          <w:lang w:val="en-US"/>
        </w:rPr>
      </w:pPr>
      <w:r>
        <w:rPr>
          <w:rStyle w:val="FootnoteReference"/>
        </w:rPr>
        <w:footnoteRef/>
      </w:r>
      <w:r>
        <w:t xml:space="preserve"> </w:t>
      </w:r>
      <w:r>
        <w:rPr>
          <w:lang w:val="en-US"/>
        </w:rPr>
        <w:t xml:space="preserve">World Economic Forum, The Global Competitiveness Report 2019. </w:t>
      </w:r>
    </w:p>
  </w:footnote>
  <w:footnote w:id="28">
    <w:p w14:paraId="7130686E" w14:textId="4AB571B7" w:rsidR="0097581E" w:rsidRPr="00282C27" w:rsidRDefault="0097581E" w:rsidP="009A47BF">
      <w:pPr>
        <w:pStyle w:val="FootnoteText"/>
        <w:rPr>
          <w:szCs w:val="16"/>
        </w:rPr>
      </w:pPr>
      <w:r w:rsidRPr="00282C27">
        <w:rPr>
          <w:rStyle w:val="FootnoteReference"/>
          <w:szCs w:val="16"/>
        </w:rPr>
        <w:footnoteRef/>
      </w:r>
      <w:r w:rsidRPr="00282C27">
        <w:rPr>
          <w:szCs w:val="16"/>
        </w:rPr>
        <w:t xml:space="preserve"> </w:t>
      </w:r>
      <w:r>
        <w:rPr>
          <w:szCs w:val="16"/>
        </w:rPr>
        <w:t xml:space="preserve">$135.2 billion in 2014. Source: </w:t>
      </w:r>
      <w:r w:rsidRPr="00282C27">
        <w:rPr>
          <w:szCs w:val="16"/>
        </w:rPr>
        <w:t>Independent Evaluation Office, UNDP</w:t>
      </w:r>
      <w:r w:rsidR="00AC5429">
        <w:rPr>
          <w:szCs w:val="16"/>
        </w:rPr>
        <w:t>,</w:t>
      </w:r>
      <w:r w:rsidRPr="00282C27">
        <w:rPr>
          <w:szCs w:val="16"/>
        </w:rPr>
        <w:t xml:space="preserve"> </w:t>
      </w:r>
      <w:r w:rsidRPr="00D343E0">
        <w:rPr>
          <w:iCs/>
          <w:szCs w:val="16"/>
        </w:rPr>
        <w:t>Independent Country Programme Evaluation – Kuwait</w:t>
      </w:r>
      <w:r w:rsidR="00AC5429">
        <w:rPr>
          <w:iCs/>
          <w:szCs w:val="16"/>
        </w:rPr>
        <w:t xml:space="preserve">, </w:t>
      </w:r>
      <w:r w:rsidRPr="00282C27">
        <w:rPr>
          <w:szCs w:val="16"/>
        </w:rPr>
        <w:t>August 2018</w:t>
      </w:r>
      <w:r w:rsidR="00AC5429">
        <w:rPr>
          <w:szCs w:val="16"/>
        </w:rPr>
        <w:t>.</w:t>
      </w:r>
    </w:p>
  </w:footnote>
  <w:footnote w:id="29">
    <w:p w14:paraId="69232AC3" w14:textId="77777777" w:rsidR="0097581E" w:rsidRPr="00282C27" w:rsidRDefault="0097581E" w:rsidP="009A47BF">
      <w:pPr>
        <w:pStyle w:val="FootnoteText"/>
        <w:rPr>
          <w:szCs w:val="16"/>
        </w:rPr>
      </w:pPr>
      <w:r w:rsidRPr="00282C27">
        <w:rPr>
          <w:rStyle w:val="FootnoteReference"/>
          <w:szCs w:val="16"/>
        </w:rPr>
        <w:footnoteRef/>
      </w:r>
      <w:r w:rsidRPr="00282C27">
        <w:rPr>
          <w:szCs w:val="16"/>
        </w:rPr>
        <w:t xml:space="preserve"> </w:t>
      </w:r>
      <w:r>
        <w:rPr>
          <w:szCs w:val="16"/>
        </w:rPr>
        <w:t>Ibid.</w:t>
      </w:r>
    </w:p>
  </w:footnote>
  <w:footnote w:id="30">
    <w:p w14:paraId="052C5CC6" w14:textId="7E2F3052" w:rsidR="0097581E" w:rsidRPr="004E1DD5" w:rsidRDefault="0097581E" w:rsidP="009A47BF">
      <w:pPr>
        <w:pStyle w:val="FootnoteText"/>
        <w:rPr>
          <w:szCs w:val="16"/>
        </w:rPr>
      </w:pPr>
      <w:r w:rsidRPr="004E1DD5">
        <w:rPr>
          <w:rStyle w:val="FootnoteReference"/>
          <w:szCs w:val="16"/>
        </w:rPr>
        <w:footnoteRef/>
      </w:r>
      <w:r w:rsidRPr="004E1DD5">
        <w:rPr>
          <w:szCs w:val="16"/>
        </w:rPr>
        <w:t xml:space="preserve"> UNDP</w:t>
      </w:r>
      <w:r w:rsidR="00AC5429">
        <w:rPr>
          <w:szCs w:val="16"/>
        </w:rPr>
        <w:t xml:space="preserve">, </w:t>
      </w:r>
      <w:r w:rsidRPr="00D343E0">
        <w:rPr>
          <w:iCs/>
          <w:szCs w:val="16"/>
        </w:rPr>
        <w:t>Disability</w:t>
      </w:r>
      <w:r>
        <w:rPr>
          <w:iCs/>
          <w:szCs w:val="16"/>
        </w:rPr>
        <w:t>-</w:t>
      </w:r>
      <w:r w:rsidRPr="00D343E0">
        <w:rPr>
          <w:iCs/>
          <w:szCs w:val="16"/>
        </w:rPr>
        <w:t>Inclusive Development in UNDP</w:t>
      </w:r>
      <w:r w:rsidRPr="004E1DD5">
        <w:rPr>
          <w:szCs w:val="16"/>
        </w:rPr>
        <w:t>, 2018.</w:t>
      </w:r>
    </w:p>
  </w:footnote>
  <w:footnote w:id="31">
    <w:p w14:paraId="39AE2BAF" w14:textId="623842C6" w:rsidR="0097581E" w:rsidRPr="004241EA" w:rsidRDefault="0097581E" w:rsidP="009A47BF">
      <w:pPr>
        <w:pStyle w:val="FootnoteText"/>
        <w:rPr>
          <w:szCs w:val="16"/>
        </w:rPr>
      </w:pPr>
      <w:r w:rsidRPr="004241EA">
        <w:rPr>
          <w:rStyle w:val="FootnoteReference"/>
          <w:szCs w:val="16"/>
        </w:rPr>
        <w:footnoteRef/>
      </w:r>
      <w:r w:rsidRPr="004241EA">
        <w:rPr>
          <w:szCs w:val="16"/>
        </w:rPr>
        <w:t xml:space="preserve"> Consultations for the </w:t>
      </w:r>
      <w:r>
        <w:rPr>
          <w:szCs w:val="16"/>
        </w:rPr>
        <w:t>United Nations Sustainable Development Cooperation Framework</w:t>
      </w:r>
      <w:r w:rsidRPr="004241EA">
        <w:rPr>
          <w:szCs w:val="16"/>
        </w:rPr>
        <w:t xml:space="preserve"> involved seven prioritization</w:t>
      </w:r>
      <w:r>
        <w:rPr>
          <w:szCs w:val="16"/>
        </w:rPr>
        <w:t xml:space="preserve">, </w:t>
      </w:r>
      <w:r w:rsidRPr="004241EA">
        <w:rPr>
          <w:szCs w:val="16"/>
        </w:rPr>
        <w:t>consultation</w:t>
      </w:r>
      <w:r>
        <w:rPr>
          <w:szCs w:val="16"/>
        </w:rPr>
        <w:t xml:space="preserve"> and </w:t>
      </w:r>
      <w:r w:rsidRPr="004241EA">
        <w:rPr>
          <w:szCs w:val="16"/>
        </w:rPr>
        <w:t>validation events representing the Government of Kuwait, civil society including youth, private sector representatives and U</w:t>
      </w:r>
      <w:r>
        <w:rPr>
          <w:szCs w:val="16"/>
        </w:rPr>
        <w:t xml:space="preserve">nited </w:t>
      </w:r>
      <w:r w:rsidRPr="004241EA">
        <w:rPr>
          <w:szCs w:val="16"/>
        </w:rPr>
        <w:t>N</w:t>
      </w:r>
      <w:r>
        <w:rPr>
          <w:szCs w:val="16"/>
        </w:rPr>
        <w:t>ations</w:t>
      </w:r>
      <w:r w:rsidRPr="004241EA">
        <w:rPr>
          <w:szCs w:val="16"/>
        </w:rPr>
        <w:t xml:space="preserve"> staff. The UNDP country programme was informed by additional rounds of consultation with government and civil society.</w:t>
      </w:r>
    </w:p>
  </w:footnote>
  <w:footnote w:id="32">
    <w:p w14:paraId="40A3DA64" w14:textId="50492F98" w:rsidR="0097581E" w:rsidRPr="000479CD" w:rsidRDefault="0097581E" w:rsidP="007D0927">
      <w:pPr>
        <w:pStyle w:val="FootnoteText"/>
      </w:pPr>
      <w:r>
        <w:rPr>
          <w:rStyle w:val="FootnoteReference"/>
        </w:rPr>
        <w:footnoteRef/>
      </w:r>
      <w:r>
        <w:t xml:space="preserve"> </w:t>
      </w:r>
      <w:r w:rsidRPr="00BA1216">
        <w:t>https://www.undp.org/content/undp/en/home/six-signature-solutions.html</w:t>
      </w:r>
      <w:r>
        <w:t>.</w:t>
      </w:r>
    </w:p>
  </w:footnote>
  <w:footnote w:id="33">
    <w:p w14:paraId="38324E9B" w14:textId="5C993248" w:rsidR="0097581E" w:rsidRPr="004C2071" w:rsidRDefault="0097581E" w:rsidP="009A47BF">
      <w:pPr>
        <w:pStyle w:val="FootnoteText"/>
        <w:rPr>
          <w:lang w:val="en-US"/>
        </w:rPr>
      </w:pPr>
      <w:r w:rsidRPr="00FC7091">
        <w:rPr>
          <w:rStyle w:val="FootnoteReference"/>
        </w:rPr>
        <w:footnoteRef/>
      </w:r>
      <w:r w:rsidRPr="00FC7091">
        <w:t xml:space="preserve"> </w:t>
      </w:r>
      <w:r w:rsidRPr="004C2071">
        <w:rPr>
          <w:rFonts w:asciiTheme="majorBidi" w:eastAsiaTheme="minorEastAsia" w:hAnsiTheme="majorBidi" w:cstheme="majorBidi"/>
          <w:color w:val="000000" w:themeColor="text1"/>
          <w:kern w:val="24"/>
        </w:rPr>
        <w:t>Abu Dhabi, New Zealand</w:t>
      </w:r>
      <w:r>
        <w:rPr>
          <w:rFonts w:asciiTheme="majorBidi" w:eastAsiaTheme="minorEastAsia" w:hAnsiTheme="majorBidi" w:cstheme="majorBidi"/>
          <w:color w:val="000000" w:themeColor="text1"/>
          <w:kern w:val="24"/>
        </w:rPr>
        <w:t>, Norway,</w:t>
      </w:r>
      <w:r w:rsidRPr="004C2071">
        <w:rPr>
          <w:rFonts w:asciiTheme="majorBidi" w:eastAsiaTheme="minorEastAsia" w:hAnsiTheme="majorBidi" w:cstheme="majorBidi"/>
          <w:color w:val="000000" w:themeColor="text1"/>
          <w:kern w:val="24"/>
        </w:rPr>
        <w:t xml:space="preserve"> Qatar</w:t>
      </w:r>
      <w:r>
        <w:rPr>
          <w:rFonts w:asciiTheme="majorBidi" w:eastAsiaTheme="minorEastAsia" w:hAnsiTheme="majorBidi" w:cstheme="majorBidi"/>
          <w:color w:val="000000" w:themeColor="text1"/>
          <w:kern w:val="24"/>
        </w:rPr>
        <w:t xml:space="preserve"> and</w:t>
      </w:r>
      <w:r w:rsidRPr="004C2071">
        <w:rPr>
          <w:rFonts w:asciiTheme="majorBidi" w:eastAsiaTheme="minorEastAsia" w:hAnsiTheme="majorBidi" w:cstheme="majorBidi"/>
          <w:color w:val="000000" w:themeColor="text1"/>
          <w:kern w:val="24"/>
        </w:rPr>
        <w:t xml:space="preserve"> Saudi Arabia</w:t>
      </w:r>
      <w:r>
        <w:rPr>
          <w:rFonts w:asciiTheme="majorBidi" w:eastAsiaTheme="minorEastAsia" w:hAnsiTheme="majorBidi" w:cstheme="majorBidi"/>
          <w:color w:val="000000" w:themeColor="text1"/>
          <w:kern w:val="24"/>
        </w:rPr>
        <w:t>.</w:t>
      </w:r>
    </w:p>
  </w:footnote>
  <w:footnote w:id="34">
    <w:p w14:paraId="2442F332" w14:textId="2E65C583" w:rsidR="0097581E" w:rsidRPr="00E6051D" w:rsidRDefault="0097581E">
      <w:pPr>
        <w:pStyle w:val="FootnoteText"/>
        <w:rPr>
          <w:lang w:val="en-US"/>
        </w:rPr>
      </w:pPr>
      <w:r>
        <w:rPr>
          <w:rStyle w:val="FootnoteReference"/>
        </w:rPr>
        <w:footnoteRef/>
      </w:r>
      <w:r>
        <w:t xml:space="preserve"> </w:t>
      </w:r>
      <w:r>
        <w:rPr>
          <w:lang w:val="en-US"/>
        </w:rPr>
        <w:t>Baselines and targets will be included upon the Government of Kuwait approval of the UNSDCF.</w:t>
      </w:r>
    </w:p>
  </w:footnote>
  <w:footnote w:id="35">
    <w:p w14:paraId="2BDF45BD" w14:textId="1F071ECE" w:rsidR="0097581E" w:rsidRPr="00CC24F1" w:rsidRDefault="0097581E">
      <w:pPr>
        <w:pStyle w:val="FootnoteText"/>
        <w:rPr>
          <w:lang w:val="en-US"/>
        </w:rPr>
      </w:pPr>
      <w:r>
        <w:rPr>
          <w:rStyle w:val="FootnoteReference"/>
        </w:rPr>
        <w:footnoteRef/>
      </w:r>
      <w:r>
        <w:t xml:space="preserve"> </w:t>
      </w:r>
      <w:r>
        <w:rPr>
          <w:lang w:val="en-US"/>
        </w:rPr>
        <w:t>Budget allocations will be included upon the Government of Kuwait approval of UNSDCF.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7581E" w:rsidRPr="00D64B78" w14:paraId="04E436C3" w14:textId="77777777" w:rsidTr="007A4406">
      <w:trPr>
        <w:trHeight w:hRule="exact" w:val="864"/>
      </w:trPr>
      <w:tc>
        <w:tcPr>
          <w:tcW w:w="4838" w:type="dxa"/>
          <w:tcBorders>
            <w:bottom w:val="single" w:sz="4" w:space="0" w:color="auto"/>
          </w:tcBorders>
          <w:vAlign w:val="bottom"/>
        </w:tcPr>
        <w:p w14:paraId="32219A48" w14:textId="77777777" w:rsidR="0097581E" w:rsidRPr="00D64B78" w:rsidRDefault="0097581E" w:rsidP="007A4406">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4E288E34" w14:textId="77777777" w:rsidR="0097581E" w:rsidRPr="00D64B78" w:rsidRDefault="0097581E" w:rsidP="007A4406">
          <w:pPr>
            <w:widowControl w:val="0"/>
            <w:tabs>
              <w:tab w:val="center" w:pos="4320"/>
              <w:tab w:val="right" w:pos="8640"/>
            </w:tabs>
            <w:rPr>
              <w:sz w:val="17"/>
              <w:szCs w:val="17"/>
            </w:rPr>
          </w:pPr>
        </w:p>
      </w:tc>
    </w:tr>
  </w:tbl>
  <w:p w14:paraId="42159076" w14:textId="77777777" w:rsidR="0097581E" w:rsidRPr="00944DE8" w:rsidRDefault="0097581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7581E" w:rsidRPr="00D64B78" w14:paraId="68B5CE15" w14:textId="77777777" w:rsidTr="007A4406">
      <w:trPr>
        <w:trHeight w:hRule="exact" w:val="864"/>
      </w:trPr>
      <w:tc>
        <w:tcPr>
          <w:tcW w:w="4838" w:type="dxa"/>
          <w:tcBorders>
            <w:bottom w:val="single" w:sz="4" w:space="0" w:color="auto"/>
          </w:tcBorders>
          <w:vAlign w:val="bottom"/>
        </w:tcPr>
        <w:p w14:paraId="39D8DE82" w14:textId="77777777" w:rsidR="0097581E" w:rsidRPr="00D64B78" w:rsidRDefault="0097581E" w:rsidP="007A4406">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FDCE7CF" w14:textId="77777777" w:rsidR="0097581E" w:rsidRPr="00D64B78" w:rsidRDefault="0097581E" w:rsidP="00477ECA">
          <w:pPr>
            <w:widowControl w:val="0"/>
            <w:tabs>
              <w:tab w:val="center" w:pos="4320"/>
              <w:tab w:val="right" w:pos="8640"/>
            </w:tabs>
            <w:jc w:val="right"/>
            <w:rPr>
              <w:sz w:val="17"/>
              <w:szCs w:val="17"/>
            </w:rPr>
          </w:pPr>
          <w:r w:rsidRPr="00D64B78">
            <w:rPr>
              <w:b/>
              <w:sz w:val="17"/>
              <w:szCs w:val="17"/>
            </w:rPr>
            <w:t>DP/DCP/</w:t>
          </w:r>
          <w:r>
            <w:rPr>
              <w:b/>
              <w:sz w:val="17"/>
              <w:szCs w:val="17"/>
            </w:rPr>
            <w:t>MYA</w:t>
          </w:r>
          <w:r w:rsidRPr="00D64B78">
            <w:rPr>
              <w:b/>
              <w:sz w:val="17"/>
              <w:szCs w:val="17"/>
            </w:rPr>
            <w:t>/</w:t>
          </w:r>
          <w:r>
            <w:rPr>
              <w:b/>
              <w:sz w:val="17"/>
              <w:szCs w:val="17"/>
            </w:rPr>
            <w:t>x</w:t>
          </w:r>
        </w:p>
      </w:tc>
    </w:tr>
  </w:tbl>
  <w:p w14:paraId="21AFEC53" w14:textId="77777777" w:rsidR="0097581E" w:rsidRDefault="00975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7581E" w:rsidRPr="00706EB7" w14:paraId="65826804" w14:textId="77777777" w:rsidTr="00767866">
      <w:trPr>
        <w:trHeight w:hRule="exact" w:val="864"/>
      </w:trPr>
      <w:tc>
        <w:tcPr>
          <w:tcW w:w="1267" w:type="dxa"/>
          <w:tcBorders>
            <w:bottom w:val="single" w:sz="4" w:space="0" w:color="auto"/>
          </w:tcBorders>
          <w:shd w:val="clear" w:color="auto" w:fill="auto"/>
          <w:vAlign w:val="bottom"/>
        </w:tcPr>
        <w:p w14:paraId="7FBB2CB0" w14:textId="77777777" w:rsidR="0097581E" w:rsidRPr="00706EB7" w:rsidRDefault="0097581E" w:rsidP="00706EB7">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4AAE4C8E" w14:textId="77777777" w:rsidR="0097581E" w:rsidRPr="00706EB7" w:rsidRDefault="0097581E" w:rsidP="00706E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r w:rsidRPr="00706EB7">
            <w:rPr>
              <w:spacing w:val="2"/>
              <w:w w:val="96"/>
              <w:kern w:val="14"/>
              <w:sz w:val="28"/>
              <w:szCs w:val="20"/>
            </w:rPr>
            <w:t>United Nations</w:t>
          </w:r>
        </w:p>
      </w:tc>
      <w:tc>
        <w:tcPr>
          <w:tcW w:w="245" w:type="dxa"/>
          <w:tcBorders>
            <w:bottom w:val="single" w:sz="4" w:space="0" w:color="auto"/>
          </w:tcBorders>
          <w:shd w:val="clear" w:color="auto" w:fill="auto"/>
          <w:vAlign w:val="bottom"/>
        </w:tcPr>
        <w:p w14:paraId="1BBBBDBA" w14:textId="77777777" w:rsidR="0097581E" w:rsidRPr="00706EB7" w:rsidRDefault="0097581E" w:rsidP="00706EB7">
          <w:pPr>
            <w:tabs>
              <w:tab w:val="center" w:pos="4320"/>
              <w:tab w:val="right" w:pos="8640"/>
            </w:tabs>
            <w:spacing w:after="120"/>
            <w:rPr>
              <w:noProof/>
              <w:sz w:val="17"/>
              <w:szCs w:val="20"/>
            </w:rPr>
          </w:pPr>
        </w:p>
      </w:tc>
      <w:tc>
        <w:tcPr>
          <w:tcW w:w="6523" w:type="dxa"/>
          <w:gridSpan w:val="4"/>
          <w:tcBorders>
            <w:bottom w:val="single" w:sz="4" w:space="0" w:color="auto"/>
          </w:tcBorders>
          <w:shd w:val="clear" w:color="auto" w:fill="auto"/>
          <w:vAlign w:val="bottom"/>
        </w:tcPr>
        <w:p w14:paraId="0C6A4FC1" w14:textId="628FEAEE" w:rsidR="0097581E" w:rsidRPr="00706EB7" w:rsidRDefault="0097581E" w:rsidP="00706EB7">
          <w:pPr>
            <w:suppressAutoHyphens/>
            <w:spacing w:after="80"/>
            <w:jc w:val="right"/>
            <w:rPr>
              <w:spacing w:val="4"/>
              <w:w w:val="103"/>
              <w:kern w:val="14"/>
              <w:position w:val="-4"/>
              <w:sz w:val="20"/>
              <w:szCs w:val="20"/>
            </w:rPr>
          </w:pPr>
          <w:r w:rsidRPr="00706EB7">
            <w:rPr>
              <w:spacing w:val="4"/>
              <w:w w:val="103"/>
              <w:kern w:val="14"/>
              <w:position w:val="-4"/>
              <w:sz w:val="40"/>
              <w:szCs w:val="20"/>
            </w:rPr>
            <w:t>DP</w:t>
          </w:r>
          <w:r w:rsidRPr="00706EB7">
            <w:rPr>
              <w:spacing w:val="4"/>
              <w:w w:val="103"/>
              <w:kern w:val="14"/>
              <w:position w:val="-4"/>
              <w:sz w:val="20"/>
              <w:szCs w:val="20"/>
            </w:rPr>
            <w:t>/DCP/</w:t>
          </w:r>
          <w:r>
            <w:rPr>
              <w:spacing w:val="4"/>
              <w:w w:val="103"/>
              <w:kern w:val="14"/>
              <w:position w:val="-4"/>
              <w:sz w:val="20"/>
              <w:szCs w:val="20"/>
            </w:rPr>
            <w:t>KWT</w:t>
          </w:r>
          <w:r w:rsidRPr="00706EB7">
            <w:rPr>
              <w:spacing w:val="4"/>
              <w:w w:val="103"/>
              <w:kern w:val="14"/>
              <w:position w:val="-4"/>
              <w:sz w:val="20"/>
              <w:szCs w:val="20"/>
            </w:rPr>
            <w:t>/3</w:t>
          </w:r>
        </w:p>
      </w:tc>
    </w:tr>
    <w:tr w:rsidR="0097581E" w:rsidRPr="00706EB7" w14:paraId="41E83282" w14:textId="77777777" w:rsidTr="00767866">
      <w:trPr>
        <w:gridAfter w:val="1"/>
        <w:wAfter w:w="28" w:type="dxa"/>
        <w:trHeight w:hRule="exact" w:val="2880"/>
      </w:trPr>
      <w:tc>
        <w:tcPr>
          <w:tcW w:w="1267" w:type="dxa"/>
          <w:tcBorders>
            <w:top w:val="single" w:sz="4" w:space="0" w:color="auto"/>
            <w:bottom w:val="single" w:sz="12" w:space="0" w:color="auto"/>
          </w:tcBorders>
          <w:shd w:val="clear" w:color="auto" w:fill="auto"/>
        </w:tcPr>
        <w:p w14:paraId="56DD578A" w14:textId="77777777" w:rsidR="0097581E" w:rsidRPr="00706EB7" w:rsidRDefault="0097581E" w:rsidP="00706EB7">
          <w:pPr>
            <w:tabs>
              <w:tab w:val="center" w:pos="4320"/>
              <w:tab w:val="right" w:pos="8640"/>
            </w:tabs>
            <w:spacing w:before="109"/>
            <w:rPr>
              <w:noProof/>
              <w:sz w:val="17"/>
              <w:szCs w:val="20"/>
            </w:rPr>
          </w:pPr>
          <w:r w:rsidRPr="00706EB7">
            <w:rPr>
              <w:noProof/>
              <w:sz w:val="17"/>
              <w:szCs w:val="20"/>
            </w:rPr>
            <w:t xml:space="preserve"> </w:t>
          </w:r>
          <w:r w:rsidRPr="00706EB7">
            <w:rPr>
              <w:rFonts w:eastAsia="MS Mincho"/>
              <w:noProof/>
              <w:sz w:val="17"/>
              <w:szCs w:val="20"/>
            </w:rPr>
            <w:drawing>
              <wp:inline distT="0" distB="0" distL="0" distR="0" wp14:anchorId="03E680F1" wp14:editId="3CED5D9D">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4742D2B" w14:textId="77777777" w:rsidR="0097581E" w:rsidRPr="00706EB7" w:rsidRDefault="0097581E" w:rsidP="00706EB7">
          <w:pPr>
            <w:tabs>
              <w:tab w:val="center" w:pos="4320"/>
              <w:tab w:val="right" w:pos="8640"/>
            </w:tabs>
            <w:spacing w:before="109"/>
            <w:rPr>
              <w:noProof/>
              <w:sz w:val="17"/>
              <w:szCs w:val="20"/>
            </w:rPr>
          </w:pPr>
        </w:p>
      </w:tc>
      <w:tc>
        <w:tcPr>
          <w:tcW w:w="5227" w:type="dxa"/>
          <w:gridSpan w:val="3"/>
          <w:tcBorders>
            <w:top w:val="single" w:sz="4" w:space="0" w:color="auto"/>
            <w:bottom w:val="single" w:sz="12" w:space="0" w:color="auto"/>
          </w:tcBorders>
          <w:shd w:val="clear" w:color="auto" w:fill="auto"/>
        </w:tcPr>
        <w:p w14:paraId="77F56A8A" w14:textId="77777777" w:rsidR="0097581E" w:rsidRPr="00706EB7" w:rsidRDefault="0097581E" w:rsidP="00706E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szCs w:val="20"/>
            </w:rPr>
          </w:pPr>
          <w:r w:rsidRPr="00706EB7">
            <w:rPr>
              <w:b/>
              <w:sz w:val="34"/>
              <w:szCs w:val="20"/>
            </w:rPr>
            <w:t>Executive Board of the</w:t>
          </w:r>
          <w:r w:rsidRPr="00706EB7">
            <w:rPr>
              <w:b/>
              <w:sz w:val="34"/>
              <w:szCs w:val="20"/>
            </w:rPr>
            <w:br/>
            <w:t>United Nations Development</w:t>
          </w:r>
          <w:r w:rsidRPr="00706EB7">
            <w:rPr>
              <w:b/>
              <w:sz w:val="34"/>
              <w:szCs w:val="20"/>
            </w:rPr>
            <w:br/>
            <w:t>Programme, the United Nations Population Fund and the United Nations Office for Project Services</w:t>
          </w:r>
        </w:p>
        <w:p w14:paraId="1D051883" w14:textId="77777777" w:rsidR="0097581E" w:rsidRPr="00706EB7" w:rsidRDefault="0097581E" w:rsidP="00706EB7">
          <w:pPr>
            <w:tabs>
              <w:tab w:val="left" w:pos="1742"/>
            </w:tabs>
            <w:rPr>
              <w:sz w:val="34"/>
              <w:szCs w:val="20"/>
            </w:rPr>
          </w:pPr>
          <w:r w:rsidRPr="00706EB7">
            <w:rPr>
              <w:sz w:val="34"/>
              <w:szCs w:val="20"/>
            </w:rPr>
            <w:tab/>
          </w:r>
        </w:p>
      </w:tc>
      <w:tc>
        <w:tcPr>
          <w:tcW w:w="245" w:type="dxa"/>
          <w:tcBorders>
            <w:top w:val="single" w:sz="4" w:space="0" w:color="auto"/>
            <w:bottom w:val="single" w:sz="12" w:space="0" w:color="auto"/>
          </w:tcBorders>
          <w:shd w:val="clear" w:color="auto" w:fill="auto"/>
        </w:tcPr>
        <w:p w14:paraId="678A0E1D" w14:textId="77777777" w:rsidR="0097581E" w:rsidRPr="00706EB7" w:rsidRDefault="0097581E" w:rsidP="00706EB7">
          <w:pPr>
            <w:tabs>
              <w:tab w:val="center" w:pos="4320"/>
              <w:tab w:val="right" w:pos="8640"/>
            </w:tabs>
            <w:spacing w:before="109"/>
            <w:rPr>
              <w:noProof/>
              <w:sz w:val="17"/>
              <w:szCs w:val="20"/>
            </w:rPr>
          </w:pPr>
        </w:p>
      </w:tc>
      <w:tc>
        <w:tcPr>
          <w:tcW w:w="3140" w:type="dxa"/>
          <w:tcBorders>
            <w:top w:val="single" w:sz="4" w:space="0" w:color="auto"/>
            <w:bottom w:val="single" w:sz="12" w:space="0" w:color="auto"/>
          </w:tcBorders>
          <w:shd w:val="clear" w:color="auto" w:fill="auto"/>
        </w:tcPr>
        <w:p w14:paraId="364C550A" w14:textId="77777777" w:rsidR="0097581E" w:rsidRPr="00706EB7" w:rsidRDefault="0097581E" w:rsidP="00706EB7">
          <w:pPr>
            <w:suppressAutoHyphens/>
            <w:spacing w:before="240" w:line="240" w:lineRule="exact"/>
            <w:rPr>
              <w:spacing w:val="4"/>
              <w:w w:val="103"/>
              <w:kern w:val="14"/>
              <w:sz w:val="20"/>
              <w:szCs w:val="20"/>
            </w:rPr>
          </w:pPr>
          <w:r w:rsidRPr="00706EB7">
            <w:rPr>
              <w:spacing w:val="4"/>
              <w:w w:val="103"/>
              <w:kern w:val="14"/>
              <w:sz w:val="20"/>
              <w:szCs w:val="20"/>
            </w:rPr>
            <w:t>Distr.: General</w:t>
          </w:r>
        </w:p>
        <w:p w14:paraId="296726B1" w14:textId="00D61356" w:rsidR="0097581E" w:rsidRPr="00706EB7" w:rsidRDefault="008700D9" w:rsidP="00706EB7">
          <w:pPr>
            <w:suppressAutoHyphens/>
            <w:spacing w:line="240" w:lineRule="exact"/>
            <w:rPr>
              <w:spacing w:val="4"/>
              <w:w w:val="103"/>
              <w:kern w:val="14"/>
              <w:sz w:val="20"/>
              <w:szCs w:val="20"/>
            </w:rPr>
          </w:pPr>
          <w:r>
            <w:rPr>
              <w:spacing w:val="4"/>
              <w:w w:val="103"/>
              <w:kern w:val="14"/>
              <w:sz w:val="20"/>
              <w:szCs w:val="20"/>
            </w:rPr>
            <w:t>1</w:t>
          </w:r>
          <w:r w:rsidR="0097581E">
            <w:rPr>
              <w:spacing w:val="4"/>
              <w:w w:val="103"/>
              <w:kern w:val="14"/>
              <w:sz w:val="20"/>
              <w:szCs w:val="20"/>
            </w:rPr>
            <w:t>1 November</w:t>
          </w:r>
          <w:r w:rsidR="0097581E" w:rsidRPr="00706EB7">
            <w:rPr>
              <w:spacing w:val="4"/>
              <w:w w:val="103"/>
              <w:kern w:val="14"/>
              <w:sz w:val="20"/>
              <w:szCs w:val="20"/>
            </w:rPr>
            <w:t xml:space="preserve"> 2019</w:t>
          </w:r>
        </w:p>
        <w:p w14:paraId="754427C5" w14:textId="77777777" w:rsidR="0097581E" w:rsidRPr="00706EB7" w:rsidRDefault="0097581E" w:rsidP="00706EB7">
          <w:pPr>
            <w:suppressAutoHyphens/>
            <w:spacing w:line="240" w:lineRule="exact"/>
            <w:rPr>
              <w:spacing w:val="4"/>
              <w:w w:val="103"/>
              <w:kern w:val="14"/>
              <w:sz w:val="20"/>
              <w:szCs w:val="20"/>
            </w:rPr>
          </w:pPr>
        </w:p>
        <w:p w14:paraId="52B697BE" w14:textId="77777777" w:rsidR="0097581E" w:rsidRPr="00706EB7" w:rsidRDefault="0097581E" w:rsidP="00706EB7">
          <w:pPr>
            <w:suppressAutoHyphens/>
            <w:spacing w:line="240" w:lineRule="exact"/>
            <w:rPr>
              <w:spacing w:val="4"/>
              <w:w w:val="103"/>
              <w:kern w:val="14"/>
              <w:sz w:val="20"/>
              <w:szCs w:val="20"/>
            </w:rPr>
          </w:pPr>
          <w:r w:rsidRPr="00706EB7">
            <w:rPr>
              <w:spacing w:val="4"/>
              <w:w w:val="103"/>
              <w:kern w:val="14"/>
              <w:sz w:val="20"/>
              <w:szCs w:val="20"/>
            </w:rPr>
            <w:t>Original: English</w:t>
          </w:r>
        </w:p>
      </w:tc>
    </w:tr>
  </w:tbl>
  <w:p w14:paraId="5809A676" w14:textId="77777777" w:rsidR="0097581E" w:rsidRPr="00706EB7" w:rsidRDefault="0097581E">
    <w:pPr>
      <w:pStyle w:val="Header"/>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7581E" w:rsidRPr="00706EB7" w14:paraId="653868A7" w14:textId="77777777" w:rsidTr="00767866">
      <w:trPr>
        <w:trHeight w:hRule="exact" w:val="864"/>
      </w:trPr>
      <w:tc>
        <w:tcPr>
          <w:tcW w:w="4838" w:type="dxa"/>
          <w:tcBorders>
            <w:bottom w:val="single" w:sz="4" w:space="0" w:color="auto"/>
          </w:tcBorders>
          <w:vAlign w:val="bottom"/>
        </w:tcPr>
        <w:p w14:paraId="6E84019F" w14:textId="331C1692" w:rsidR="0097581E" w:rsidRPr="00706EB7" w:rsidRDefault="0097581E" w:rsidP="00706EB7">
          <w:pPr>
            <w:widowControl w:val="0"/>
            <w:tabs>
              <w:tab w:val="center" w:pos="4320"/>
              <w:tab w:val="right" w:pos="8640"/>
            </w:tabs>
            <w:spacing w:after="80"/>
            <w:rPr>
              <w:b/>
              <w:sz w:val="17"/>
              <w:szCs w:val="17"/>
            </w:rPr>
          </w:pPr>
          <w:r w:rsidRPr="00706EB7">
            <w:rPr>
              <w:b/>
              <w:sz w:val="17"/>
              <w:szCs w:val="17"/>
            </w:rPr>
            <w:t>DP/DCP/</w:t>
          </w:r>
          <w:r>
            <w:rPr>
              <w:b/>
              <w:sz w:val="17"/>
              <w:szCs w:val="17"/>
            </w:rPr>
            <w:t>KWT</w:t>
          </w:r>
          <w:r w:rsidRPr="00706EB7">
            <w:rPr>
              <w:b/>
              <w:sz w:val="17"/>
              <w:szCs w:val="17"/>
            </w:rPr>
            <w:t>/3</w:t>
          </w:r>
        </w:p>
      </w:tc>
      <w:tc>
        <w:tcPr>
          <w:tcW w:w="5047" w:type="dxa"/>
          <w:tcBorders>
            <w:bottom w:val="single" w:sz="4" w:space="0" w:color="auto"/>
          </w:tcBorders>
          <w:vAlign w:val="bottom"/>
        </w:tcPr>
        <w:p w14:paraId="593F1C95" w14:textId="77777777" w:rsidR="0097581E" w:rsidRPr="00706EB7" w:rsidRDefault="0097581E" w:rsidP="00706EB7">
          <w:pPr>
            <w:widowControl w:val="0"/>
            <w:tabs>
              <w:tab w:val="center" w:pos="4320"/>
              <w:tab w:val="right" w:pos="8640"/>
            </w:tabs>
            <w:rPr>
              <w:sz w:val="17"/>
              <w:szCs w:val="17"/>
            </w:rPr>
          </w:pPr>
        </w:p>
      </w:tc>
    </w:tr>
  </w:tbl>
  <w:p w14:paraId="40392BA4" w14:textId="77777777" w:rsidR="0097581E" w:rsidRPr="00706EB7" w:rsidRDefault="0097581E">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7581E" w:rsidRPr="00706EB7" w14:paraId="118ECBA4" w14:textId="77777777" w:rsidTr="00767866">
      <w:trPr>
        <w:trHeight w:hRule="exact" w:val="864"/>
      </w:trPr>
      <w:tc>
        <w:tcPr>
          <w:tcW w:w="4838" w:type="dxa"/>
          <w:tcBorders>
            <w:bottom w:val="single" w:sz="4" w:space="0" w:color="auto"/>
          </w:tcBorders>
          <w:vAlign w:val="bottom"/>
        </w:tcPr>
        <w:p w14:paraId="190695E2" w14:textId="77777777" w:rsidR="0097581E" w:rsidRPr="00706EB7" w:rsidRDefault="0097581E" w:rsidP="00706EB7">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CB0B14E" w14:textId="0FE9C298" w:rsidR="0097581E" w:rsidRPr="00706EB7" w:rsidRDefault="0097581E" w:rsidP="00706EB7">
          <w:pPr>
            <w:widowControl w:val="0"/>
            <w:tabs>
              <w:tab w:val="center" w:pos="4320"/>
              <w:tab w:val="right" w:pos="8640"/>
            </w:tabs>
            <w:spacing w:after="60"/>
            <w:jc w:val="right"/>
            <w:rPr>
              <w:sz w:val="17"/>
              <w:szCs w:val="17"/>
            </w:rPr>
          </w:pPr>
          <w:r w:rsidRPr="00706EB7">
            <w:rPr>
              <w:b/>
              <w:sz w:val="17"/>
              <w:szCs w:val="17"/>
            </w:rPr>
            <w:t>DP/DCP/</w:t>
          </w:r>
          <w:r>
            <w:rPr>
              <w:b/>
              <w:sz w:val="17"/>
              <w:szCs w:val="17"/>
            </w:rPr>
            <w:t>KWT</w:t>
          </w:r>
          <w:r w:rsidRPr="00706EB7">
            <w:rPr>
              <w:b/>
              <w:sz w:val="17"/>
              <w:szCs w:val="17"/>
            </w:rPr>
            <w:t>/3</w:t>
          </w:r>
        </w:p>
      </w:tc>
    </w:tr>
  </w:tbl>
  <w:p w14:paraId="1989DD79" w14:textId="77777777" w:rsidR="0097581E" w:rsidRPr="00706EB7" w:rsidRDefault="0097581E">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97581E" w:rsidRPr="000B4BE2" w14:paraId="397BE86B" w14:textId="77777777" w:rsidTr="00A85296">
      <w:trPr>
        <w:trHeight w:hRule="exact" w:val="864"/>
      </w:trPr>
      <w:tc>
        <w:tcPr>
          <w:tcW w:w="4838" w:type="dxa"/>
          <w:shd w:val="clear" w:color="auto" w:fill="auto"/>
          <w:vAlign w:val="bottom"/>
        </w:tcPr>
        <w:p w14:paraId="48B88246" w14:textId="29E95D96" w:rsidR="0097581E" w:rsidRPr="000B4BE2" w:rsidRDefault="0097581E" w:rsidP="000B4BE2">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P/DCP/KWT/3</w:t>
          </w:r>
        </w:p>
      </w:tc>
      <w:tc>
        <w:tcPr>
          <w:tcW w:w="8212" w:type="dxa"/>
          <w:shd w:val="clear" w:color="auto" w:fill="auto"/>
          <w:vAlign w:val="bottom"/>
        </w:tcPr>
        <w:p w14:paraId="696A98FC" w14:textId="77777777" w:rsidR="0097581E" w:rsidRPr="000B4BE2" w:rsidRDefault="0097581E" w:rsidP="000B4BE2">
          <w:pPr>
            <w:tabs>
              <w:tab w:val="center" w:pos="4320"/>
              <w:tab w:val="right" w:pos="8640"/>
            </w:tabs>
            <w:jc w:val="right"/>
            <w:rPr>
              <w:noProof/>
              <w:sz w:val="17"/>
              <w:szCs w:val="20"/>
              <w:lang w:val="en-US"/>
            </w:rPr>
          </w:pPr>
        </w:p>
      </w:tc>
    </w:tr>
  </w:tbl>
  <w:p w14:paraId="619027C9" w14:textId="77777777" w:rsidR="0097581E" w:rsidRDefault="009758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97581E" w:rsidRPr="00706EB7" w14:paraId="19B67568" w14:textId="77777777" w:rsidTr="0057694C">
      <w:trPr>
        <w:trHeight w:hRule="exact" w:val="864"/>
      </w:trPr>
      <w:tc>
        <w:tcPr>
          <w:tcW w:w="4838" w:type="dxa"/>
          <w:tcBorders>
            <w:bottom w:val="single" w:sz="4" w:space="0" w:color="auto"/>
          </w:tcBorders>
          <w:vAlign w:val="bottom"/>
        </w:tcPr>
        <w:p w14:paraId="7D59085F" w14:textId="77777777" w:rsidR="0097581E" w:rsidRPr="00706EB7" w:rsidRDefault="0097581E" w:rsidP="00706EB7">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5BA31055" w14:textId="3D84F53A" w:rsidR="0097581E" w:rsidRPr="00706EB7" w:rsidRDefault="0097581E" w:rsidP="00A85296">
          <w:pPr>
            <w:widowControl w:val="0"/>
            <w:tabs>
              <w:tab w:val="center" w:pos="4320"/>
              <w:tab w:val="right" w:pos="8205"/>
            </w:tabs>
            <w:spacing w:after="60"/>
            <w:jc w:val="right"/>
            <w:rPr>
              <w:sz w:val="17"/>
              <w:szCs w:val="17"/>
            </w:rPr>
          </w:pPr>
          <w:r w:rsidRPr="00706EB7">
            <w:rPr>
              <w:b/>
              <w:sz w:val="17"/>
              <w:szCs w:val="17"/>
            </w:rPr>
            <w:t>DP/DCP/</w:t>
          </w:r>
          <w:r>
            <w:rPr>
              <w:b/>
              <w:sz w:val="17"/>
              <w:szCs w:val="17"/>
            </w:rPr>
            <w:t>KWT</w:t>
          </w:r>
          <w:r w:rsidRPr="00706EB7">
            <w:rPr>
              <w:b/>
              <w:sz w:val="17"/>
              <w:szCs w:val="17"/>
            </w:rPr>
            <w:t>/3</w:t>
          </w:r>
        </w:p>
      </w:tc>
    </w:tr>
  </w:tbl>
  <w:p w14:paraId="07C2D92C" w14:textId="77777777" w:rsidR="0097581E" w:rsidRPr="00706EB7" w:rsidRDefault="0097581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F35"/>
    <w:multiLevelType w:val="hybridMultilevel"/>
    <w:tmpl w:val="B73E5BB2"/>
    <w:lvl w:ilvl="0" w:tplc="309AE988">
      <w:start w:val="1"/>
      <w:numFmt w:val="upp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78E1299"/>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01E19"/>
    <w:multiLevelType w:val="hybridMultilevel"/>
    <w:tmpl w:val="0E1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5B78"/>
    <w:multiLevelType w:val="hybridMultilevel"/>
    <w:tmpl w:val="9754F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50A6"/>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03FA8"/>
    <w:multiLevelType w:val="hybridMultilevel"/>
    <w:tmpl w:val="A5D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C23B3"/>
    <w:multiLevelType w:val="hybridMultilevel"/>
    <w:tmpl w:val="2AB0F7AC"/>
    <w:lvl w:ilvl="0" w:tplc="32428AE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36E8"/>
    <w:multiLevelType w:val="hybridMultilevel"/>
    <w:tmpl w:val="36D6314A"/>
    <w:lvl w:ilvl="0" w:tplc="4DBEF5BC">
      <w:start w:val="1"/>
      <w:numFmt w:val="bullet"/>
      <w:lvlText w:val="•"/>
      <w:lvlJc w:val="left"/>
      <w:pPr>
        <w:tabs>
          <w:tab w:val="num" w:pos="720"/>
        </w:tabs>
        <w:ind w:left="720" w:hanging="360"/>
      </w:pPr>
      <w:rPr>
        <w:rFonts w:ascii="Arial" w:hAnsi="Arial" w:hint="default"/>
      </w:rPr>
    </w:lvl>
    <w:lvl w:ilvl="1" w:tplc="C50C1068" w:tentative="1">
      <w:start w:val="1"/>
      <w:numFmt w:val="bullet"/>
      <w:lvlText w:val="•"/>
      <w:lvlJc w:val="left"/>
      <w:pPr>
        <w:tabs>
          <w:tab w:val="num" w:pos="1440"/>
        </w:tabs>
        <w:ind w:left="1440" w:hanging="360"/>
      </w:pPr>
      <w:rPr>
        <w:rFonts w:ascii="Arial" w:hAnsi="Arial" w:hint="default"/>
      </w:rPr>
    </w:lvl>
    <w:lvl w:ilvl="2" w:tplc="BF4C475C" w:tentative="1">
      <w:start w:val="1"/>
      <w:numFmt w:val="bullet"/>
      <w:lvlText w:val="•"/>
      <w:lvlJc w:val="left"/>
      <w:pPr>
        <w:tabs>
          <w:tab w:val="num" w:pos="2160"/>
        </w:tabs>
        <w:ind w:left="2160" w:hanging="360"/>
      </w:pPr>
      <w:rPr>
        <w:rFonts w:ascii="Arial" w:hAnsi="Arial" w:hint="default"/>
      </w:rPr>
    </w:lvl>
    <w:lvl w:ilvl="3" w:tplc="FA38D832" w:tentative="1">
      <w:start w:val="1"/>
      <w:numFmt w:val="bullet"/>
      <w:lvlText w:val="•"/>
      <w:lvlJc w:val="left"/>
      <w:pPr>
        <w:tabs>
          <w:tab w:val="num" w:pos="2880"/>
        </w:tabs>
        <w:ind w:left="2880" w:hanging="360"/>
      </w:pPr>
      <w:rPr>
        <w:rFonts w:ascii="Arial" w:hAnsi="Arial" w:hint="default"/>
      </w:rPr>
    </w:lvl>
    <w:lvl w:ilvl="4" w:tplc="94CA7F7E" w:tentative="1">
      <w:start w:val="1"/>
      <w:numFmt w:val="bullet"/>
      <w:lvlText w:val="•"/>
      <w:lvlJc w:val="left"/>
      <w:pPr>
        <w:tabs>
          <w:tab w:val="num" w:pos="3600"/>
        </w:tabs>
        <w:ind w:left="3600" w:hanging="360"/>
      </w:pPr>
      <w:rPr>
        <w:rFonts w:ascii="Arial" w:hAnsi="Arial" w:hint="default"/>
      </w:rPr>
    </w:lvl>
    <w:lvl w:ilvl="5" w:tplc="8DDE0D38" w:tentative="1">
      <w:start w:val="1"/>
      <w:numFmt w:val="bullet"/>
      <w:lvlText w:val="•"/>
      <w:lvlJc w:val="left"/>
      <w:pPr>
        <w:tabs>
          <w:tab w:val="num" w:pos="4320"/>
        </w:tabs>
        <w:ind w:left="4320" w:hanging="360"/>
      </w:pPr>
      <w:rPr>
        <w:rFonts w:ascii="Arial" w:hAnsi="Arial" w:hint="default"/>
      </w:rPr>
    </w:lvl>
    <w:lvl w:ilvl="6" w:tplc="7808493A" w:tentative="1">
      <w:start w:val="1"/>
      <w:numFmt w:val="bullet"/>
      <w:lvlText w:val="•"/>
      <w:lvlJc w:val="left"/>
      <w:pPr>
        <w:tabs>
          <w:tab w:val="num" w:pos="5040"/>
        </w:tabs>
        <w:ind w:left="5040" w:hanging="360"/>
      </w:pPr>
      <w:rPr>
        <w:rFonts w:ascii="Arial" w:hAnsi="Arial" w:hint="default"/>
      </w:rPr>
    </w:lvl>
    <w:lvl w:ilvl="7" w:tplc="BAF82AEE" w:tentative="1">
      <w:start w:val="1"/>
      <w:numFmt w:val="bullet"/>
      <w:lvlText w:val="•"/>
      <w:lvlJc w:val="left"/>
      <w:pPr>
        <w:tabs>
          <w:tab w:val="num" w:pos="5760"/>
        </w:tabs>
        <w:ind w:left="5760" w:hanging="360"/>
      </w:pPr>
      <w:rPr>
        <w:rFonts w:ascii="Arial" w:hAnsi="Arial" w:hint="default"/>
      </w:rPr>
    </w:lvl>
    <w:lvl w:ilvl="8" w:tplc="4E8016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D51FE6"/>
    <w:multiLevelType w:val="hybridMultilevel"/>
    <w:tmpl w:val="D418457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F869FE"/>
    <w:multiLevelType w:val="hybridMultilevel"/>
    <w:tmpl w:val="993621EC"/>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267D3C"/>
    <w:multiLevelType w:val="hybridMultilevel"/>
    <w:tmpl w:val="9B3E127A"/>
    <w:lvl w:ilvl="0" w:tplc="46C44F84">
      <w:start w:val="1"/>
      <w:numFmt w:val="decimal"/>
      <w:lvlText w:val="%1."/>
      <w:lvlJc w:val="left"/>
      <w:pPr>
        <w:ind w:left="720" w:hanging="360"/>
      </w:pPr>
      <w:rPr>
        <w:rFonts w:ascii="Times New Roman" w:eastAsia="Times New Roman" w:hAnsi="Times New Roman" w:cs="Times New Roman"/>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45FE7"/>
    <w:multiLevelType w:val="hybridMultilevel"/>
    <w:tmpl w:val="FB6602D6"/>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1C186F09"/>
    <w:multiLevelType w:val="hybridMultilevel"/>
    <w:tmpl w:val="A02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A0C22"/>
    <w:multiLevelType w:val="hybridMultilevel"/>
    <w:tmpl w:val="52E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E0C55"/>
    <w:multiLevelType w:val="hybridMultilevel"/>
    <w:tmpl w:val="78BEA48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5" w15:restartNumberingAfterBreak="0">
    <w:nsid w:val="2402111F"/>
    <w:multiLevelType w:val="hybridMultilevel"/>
    <w:tmpl w:val="FF12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45A0A"/>
    <w:multiLevelType w:val="multilevel"/>
    <w:tmpl w:val="FAF05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1D702F"/>
    <w:multiLevelType w:val="hybridMultilevel"/>
    <w:tmpl w:val="262A80DA"/>
    <w:lvl w:ilvl="0" w:tplc="4B929ED4">
      <w:start w:val="3"/>
      <w:numFmt w:val="bullet"/>
      <w:lvlText w:val="-"/>
      <w:lvlJc w:val="left"/>
      <w:pPr>
        <w:ind w:left="720" w:hanging="360"/>
      </w:pPr>
      <w:rPr>
        <w:rFonts w:ascii="Trebuchet MS" w:eastAsiaTheme="minorEastAsia" w:hAnsi="Trebuchet M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05928"/>
    <w:multiLevelType w:val="hybridMultilevel"/>
    <w:tmpl w:val="0F86E962"/>
    <w:lvl w:ilvl="0" w:tplc="C45C7E92">
      <w:start w:val="1"/>
      <w:numFmt w:val="decimal"/>
      <w:lvlText w:val="%1."/>
      <w:lvlJc w:val="left"/>
      <w:pPr>
        <w:ind w:left="792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9" w15:restartNumberingAfterBreak="0">
    <w:nsid w:val="3DA9337D"/>
    <w:multiLevelType w:val="hybridMultilevel"/>
    <w:tmpl w:val="0B6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32F3F"/>
    <w:multiLevelType w:val="multilevel"/>
    <w:tmpl w:val="B922FE12"/>
    <w:name w:val="TOC32"/>
    <w:lvl w:ilvl="0">
      <w:start w:val="4"/>
      <w:numFmt w:val="upperRoman"/>
      <w:lvlText w:val="%1."/>
      <w:lvlJc w:val="right"/>
      <w:pPr>
        <w:tabs>
          <w:tab w:val="num" w:pos="1296"/>
        </w:tabs>
        <w:ind w:left="1296" w:hanging="216"/>
      </w:pPr>
      <w:rPr>
        <w:rFonts w:hint="default"/>
        <w:sz w:val="24"/>
        <w:szCs w:val="24"/>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4F05CA2"/>
    <w:multiLevelType w:val="multilevel"/>
    <w:tmpl w:val="A1AA91D4"/>
    <w:lvl w:ilvl="0">
      <w:start w:val="1"/>
      <w:numFmt w:val="decimal"/>
      <w:lvlText w:val="%1."/>
      <w:lvlJc w:val="left"/>
      <w:pPr>
        <w:ind w:left="360" w:hanging="360"/>
      </w:pPr>
      <w:rPr>
        <w:rFonts w:hint="default"/>
        <w:i/>
        <w:color w:val="F79646" w:themeColor="accent6"/>
        <w:sz w:val="22"/>
      </w:rPr>
    </w:lvl>
    <w:lvl w:ilvl="1">
      <w:start w:val="2"/>
      <w:numFmt w:val="decimal"/>
      <w:lvlText w:val="%1.%2."/>
      <w:lvlJc w:val="left"/>
      <w:pPr>
        <w:ind w:left="360" w:hanging="360"/>
      </w:pPr>
      <w:rPr>
        <w:rFonts w:hint="default"/>
        <w:i/>
        <w:color w:val="F79646" w:themeColor="accent6"/>
        <w:sz w:val="22"/>
      </w:rPr>
    </w:lvl>
    <w:lvl w:ilvl="2">
      <w:start w:val="1"/>
      <w:numFmt w:val="decimal"/>
      <w:lvlText w:val="%1.%2.%3."/>
      <w:lvlJc w:val="left"/>
      <w:pPr>
        <w:ind w:left="720" w:hanging="720"/>
      </w:pPr>
      <w:rPr>
        <w:rFonts w:hint="default"/>
        <w:i/>
        <w:color w:val="F79646" w:themeColor="accent6"/>
        <w:sz w:val="22"/>
      </w:rPr>
    </w:lvl>
    <w:lvl w:ilvl="3">
      <w:start w:val="1"/>
      <w:numFmt w:val="decimal"/>
      <w:lvlText w:val="%1.%2.%3.%4."/>
      <w:lvlJc w:val="left"/>
      <w:pPr>
        <w:ind w:left="720" w:hanging="720"/>
      </w:pPr>
      <w:rPr>
        <w:rFonts w:hint="default"/>
        <w:i/>
        <w:color w:val="F79646" w:themeColor="accent6"/>
        <w:sz w:val="22"/>
      </w:rPr>
    </w:lvl>
    <w:lvl w:ilvl="4">
      <w:start w:val="1"/>
      <w:numFmt w:val="decimal"/>
      <w:lvlText w:val="%1.%2.%3.%4.%5."/>
      <w:lvlJc w:val="left"/>
      <w:pPr>
        <w:ind w:left="1080" w:hanging="1080"/>
      </w:pPr>
      <w:rPr>
        <w:rFonts w:hint="default"/>
        <w:i/>
        <w:color w:val="F79646" w:themeColor="accent6"/>
        <w:sz w:val="22"/>
      </w:rPr>
    </w:lvl>
    <w:lvl w:ilvl="5">
      <w:start w:val="1"/>
      <w:numFmt w:val="decimal"/>
      <w:lvlText w:val="%1.%2.%3.%4.%5.%6."/>
      <w:lvlJc w:val="left"/>
      <w:pPr>
        <w:ind w:left="1080" w:hanging="1080"/>
      </w:pPr>
      <w:rPr>
        <w:rFonts w:hint="default"/>
        <w:i/>
        <w:color w:val="F79646" w:themeColor="accent6"/>
        <w:sz w:val="22"/>
      </w:rPr>
    </w:lvl>
    <w:lvl w:ilvl="6">
      <w:start w:val="1"/>
      <w:numFmt w:val="decimal"/>
      <w:lvlText w:val="%1.%2.%3.%4.%5.%6.%7."/>
      <w:lvlJc w:val="left"/>
      <w:pPr>
        <w:ind w:left="1440" w:hanging="1440"/>
      </w:pPr>
      <w:rPr>
        <w:rFonts w:hint="default"/>
        <w:i/>
        <w:color w:val="F79646" w:themeColor="accent6"/>
        <w:sz w:val="22"/>
      </w:rPr>
    </w:lvl>
    <w:lvl w:ilvl="7">
      <w:start w:val="1"/>
      <w:numFmt w:val="decimal"/>
      <w:lvlText w:val="%1.%2.%3.%4.%5.%6.%7.%8."/>
      <w:lvlJc w:val="left"/>
      <w:pPr>
        <w:ind w:left="1440" w:hanging="1440"/>
      </w:pPr>
      <w:rPr>
        <w:rFonts w:hint="default"/>
        <w:i/>
        <w:color w:val="F79646" w:themeColor="accent6"/>
        <w:sz w:val="22"/>
      </w:rPr>
    </w:lvl>
    <w:lvl w:ilvl="8">
      <w:start w:val="1"/>
      <w:numFmt w:val="decimal"/>
      <w:lvlText w:val="%1.%2.%3.%4.%5.%6.%7.%8.%9."/>
      <w:lvlJc w:val="left"/>
      <w:pPr>
        <w:ind w:left="1800" w:hanging="1800"/>
      </w:pPr>
      <w:rPr>
        <w:rFonts w:hint="default"/>
        <w:i/>
        <w:color w:val="F79646" w:themeColor="accent6"/>
        <w:sz w:val="22"/>
      </w:rPr>
    </w:lvl>
  </w:abstractNum>
  <w:abstractNum w:abstractNumId="22" w15:restartNumberingAfterBreak="0">
    <w:nsid w:val="46375E0F"/>
    <w:multiLevelType w:val="multilevel"/>
    <w:tmpl w:val="8A8E0D54"/>
    <w:name w:val="TOC3"/>
    <w:lvl w:ilvl="0">
      <w:start w:val="1"/>
      <w:numFmt w:val="upperRoman"/>
      <w:lvlText w:val="%1."/>
      <w:lvlJc w:val="right"/>
      <w:pPr>
        <w:tabs>
          <w:tab w:val="num" w:pos="1296"/>
        </w:tabs>
        <w:ind w:left="1296" w:hanging="216"/>
      </w:pPr>
      <w:rPr>
        <w:sz w:val="24"/>
        <w:szCs w:val="24"/>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BAB29F5"/>
    <w:multiLevelType w:val="hybridMultilevel"/>
    <w:tmpl w:val="B5202B20"/>
    <w:lvl w:ilvl="0" w:tplc="EB025252">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423FA5"/>
    <w:multiLevelType w:val="hybridMultilevel"/>
    <w:tmpl w:val="A8BA5F5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EA60A50"/>
    <w:multiLevelType w:val="hybridMultilevel"/>
    <w:tmpl w:val="1272E350"/>
    <w:lvl w:ilvl="0" w:tplc="0D36500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3B93013"/>
    <w:multiLevelType w:val="hybridMultilevel"/>
    <w:tmpl w:val="448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745FD"/>
    <w:multiLevelType w:val="hybridMultilevel"/>
    <w:tmpl w:val="3DE26EA2"/>
    <w:lvl w:ilvl="0" w:tplc="04090001">
      <w:start w:val="1"/>
      <w:numFmt w:val="bullet"/>
      <w:lvlText w:val=""/>
      <w:lvlJc w:val="left"/>
      <w:pPr>
        <w:ind w:left="1800" w:hanging="360"/>
      </w:pPr>
      <w:rPr>
        <w:rFonts w:ascii="Symbol" w:hAnsi="Symbol" w:hint="default"/>
      </w:rPr>
    </w:lvl>
    <w:lvl w:ilvl="1" w:tplc="C556258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1B74E7"/>
    <w:multiLevelType w:val="hybridMultilevel"/>
    <w:tmpl w:val="18E66EE0"/>
    <w:lvl w:ilvl="0" w:tplc="E3723B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A02B83"/>
    <w:multiLevelType w:val="hybridMultilevel"/>
    <w:tmpl w:val="C82A6AB6"/>
    <w:lvl w:ilvl="0" w:tplc="30940FA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555FF"/>
    <w:multiLevelType w:val="hybridMultilevel"/>
    <w:tmpl w:val="9934DE6E"/>
    <w:lvl w:ilvl="0" w:tplc="FEF6B6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A7D47"/>
    <w:multiLevelType w:val="hybridMultilevel"/>
    <w:tmpl w:val="FAF0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13E7D"/>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1"/>
  </w:num>
  <w:num w:numId="3">
    <w:abstractNumId w:val="10"/>
  </w:num>
  <w:num w:numId="4">
    <w:abstractNumId w:val="0"/>
  </w:num>
  <w:num w:numId="5">
    <w:abstractNumId w:val="18"/>
  </w:num>
  <w:num w:numId="6">
    <w:abstractNumId w:val="11"/>
  </w:num>
  <w:num w:numId="7">
    <w:abstractNumId w:val="33"/>
  </w:num>
  <w:num w:numId="8">
    <w:abstractNumId w:val="1"/>
  </w:num>
  <w:num w:numId="9">
    <w:abstractNumId w:val="4"/>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21"/>
  </w:num>
  <w:num w:numId="13">
    <w:abstractNumId w:val="8"/>
  </w:num>
  <w:num w:numId="14">
    <w:abstractNumId w:val="2"/>
  </w:num>
  <w:num w:numId="15">
    <w:abstractNumId w:val="12"/>
  </w:num>
  <w:num w:numId="16">
    <w:abstractNumId w:val="14"/>
  </w:num>
  <w:num w:numId="17">
    <w:abstractNumId w:val="7"/>
  </w:num>
  <w:num w:numId="18">
    <w:abstractNumId w:val="29"/>
  </w:num>
  <w:num w:numId="19">
    <w:abstractNumId w:val="17"/>
  </w:num>
  <w:num w:numId="20">
    <w:abstractNumId w:val="26"/>
  </w:num>
  <w:num w:numId="21">
    <w:abstractNumId w:val="5"/>
  </w:num>
  <w:num w:numId="22">
    <w:abstractNumId w:val="3"/>
  </w:num>
  <w:num w:numId="23">
    <w:abstractNumId w:val="23"/>
  </w:num>
  <w:num w:numId="24">
    <w:abstractNumId w:val="9"/>
  </w:num>
  <w:num w:numId="25">
    <w:abstractNumId w:val="15"/>
  </w:num>
  <w:num w:numId="26">
    <w:abstractNumId w:val="6"/>
  </w:num>
  <w:num w:numId="27">
    <w:abstractNumId w:val="19"/>
  </w:num>
  <w:num w:numId="28">
    <w:abstractNumId w:val="13"/>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25"/>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1"/>
  <w:activeWritingStyle w:appName="MSWord" w:lang="sv-SE" w:vendorID="64" w:dllVersion="0" w:nlCheck="1" w:checkStyle="0"/>
  <w:activeWritingStyle w:appName="MSWord" w:lang="en-IN" w:vendorID="64" w:dllVersion="0" w:nlCheck="1" w:checkStyle="0"/>
  <w:activeWritingStyle w:appName="MSWord" w:lang="en-ZW" w:vendorID="64" w:dllVersion="0" w:nlCheck="1" w:checkStyle="0"/>
  <w:activeWritingStyle w:appName="MSWord" w:lang="da-DK" w:vendorID="64" w:dllVersion="0" w:nlCheck="1" w:checkStyle="0"/>
  <w:activeWritingStyle w:appName="MSWord" w:lang="de-DE" w:vendorID="64" w:dllVersion="0" w:nlCheck="1" w:checkStyle="0"/>
  <w:activeWritingStyle w:appName="MSWord" w:lang="en-CA" w:vendorID="64" w:dllVersion="0" w:nlCheck="1" w:checkStyle="0"/>
  <w:activeWritingStyle w:appName="MSWord" w:lang="es-CR" w:vendorID="64" w:dllVersion="0" w:nlCheck="1" w:checkStyle="0"/>
  <w:activeWritingStyle w:appName="MSWord" w:lang="en-GB" w:vendorID="64" w:dllVersion="6" w:nlCheck="1" w:checkStyle="0"/>
  <w:activeWritingStyle w:appName="MSWord" w:lang="en-US" w:vendorID="64" w:dllVersion="6" w:nlCheck="1" w:checkStyle="0"/>
  <w:activeWritingStyle w:appName="MSWord" w:lang="es-CR" w:vendorID="64" w:dllVersion="6" w:nlCheck="1" w:checkStyle="0"/>
  <w:activeWritingStyle w:appName="MSWord" w:lang="en-GB" w:vendorID="64" w:dllVersion="4096" w:nlCheck="1" w:checkStyle="0"/>
  <w:activeWritingStyle w:appName="MSWord" w:lang="es-CR" w:vendorID="64" w:dllVersion="4096" w:nlCheck="1" w:checkStyle="0"/>
  <w:activeWritingStyle w:appName="MSWord" w:lang="en-US" w:vendorID="64" w:dllVersion="4096" w:nlCheck="1" w:checkStyle="0"/>
  <w:activeWritingStyle w:appName="MSWord" w:lang="en-ZW" w:vendorID="64" w:dllVersion="4096" w:nlCheck="1" w:checkStyle="0"/>
  <w:activeWritingStyle w:appName="MSWord" w:lang="en-CA"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5E0"/>
    <w:rsid w:val="000006FF"/>
    <w:rsid w:val="000010B5"/>
    <w:rsid w:val="0000272A"/>
    <w:rsid w:val="00002730"/>
    <w:rsid w:val="000027D2"/>
    <w:rsid w:val="00002864"/>
    <w:rsid w:val="00002CDA"/>
    <w:rsid w:val="00004BAB"/>
    <w:rsid w:val="0000594D"/>
    <w:rsid w:val="00005E26"/>
    <w:rsid w:val="00006015"/>
    <w:rsid w:val="0000735F"/>
    <w:rsid w:val="000073EB"/>
    <w:rsid w:val="000109B8"/>
    <w:rsid w:val="00011601"/>
    <w:rsid w:val="000116C4"/>
    <w:rsid w:val="00011716"/>
    <w:rsid w:val="00011EF0"/>
    <w:rsid w:val="000121A9"/>
    <w:rsid w:val="00012F9E"/>
    <w:rsid w:val="00013BEB"/>
    <w:rsid w:val="00014125"/>
    <w:rsid w:val="000147E0"/>
    <w:rsid w:val="00015400"/>
    <w:rsid w:val="00015526"/>
    <w:rsid w:val="00015FDE"/>
    <w:rsid w:val="00016217"/>
    <w:rsid w:val="00016861"/>
    <w:rsid w:val="00016CD2"/>
    <w:rsid w:val="00017B06"/>
    <w:rsid w:val="000200CF"/>
    <w:rsid w:val="000204D6"/>
    <w:rsid w:val="000205F1"/>
    <w:rsid w:val="000208F5"/>
    <w:rsid w:val="00020B9B"/>
    <w:rsid w:val="00021DC6"/>
    <w:rsid w:val="00022047"/>
    <w:rsid w:val="00022569"/>
    <w:rsid w:val="00022E11"/>
    <w:rsid w:val="00022FD2"/>
    <w:rsid w:val="0002389F"/>
    <w:rsid w:val="000238AB"/>
    <w:rsid w:val="00024DF2"/>
    <w:rsid w:val="00025E09"/>
    <w:rsid w:val="000274B9"/>
    <w:rsid w:val="0002758B"/>
    <w:rsid w:val="000276A0"/>
    <w:rsid w:val="00030688"/>
    <w:rsid w:val="00030D41"/>
    <w:rsid w:val="00030FAD"/>
    <w:rsid w:val="000310CF"/>
    <w:rsid w:val="0003178D"/>
    <w:rsid w:val="00031CFC"/>
    <w:rsid w:val="00031F9C"/>
    <w:rsid w:val="00032166"/>
    <w:rsid w:val="000330DB"/>
    <w:rsid w:val="0003320C"/>
    <w:rsid w:val="0003429F"/>
    <w:rsid w:val="000350CB"/>
    <w:rsid w:val="0003562A"/>
    <w:rsid w:val="00035DFD"/>
    <w:rsid w:val="00036095"/>
    <w:rsid w:val="00036AD5"/>
    <w:rsid w:val="00036AF4"/>
    <w:rsid w:val="00036E23"/>
    <w:rsid w:val="00036E37"/>
    <w:rsid w:val="00037655"/>
    <w:rsid w:val="00040A1D"/>
    <w:rsid w:val="00041381"/>
    <w:rsid w:val="00041C10"/>
    <w:rsid w:val="00041E6D"/>
    <w:rsid w:val="0004327D"/>
    <w:rsid w:val="00043521"/>
    <w:rsid w:val="00043790"/>
    <w:rsid w:val="00043804"/>
    <w:rsid w:val="000441A1"/>
    <w:rsid w:val="00044DC4"/>
    <w:rsid w:val="00045300"/>
    <w:rsid w:val="000453B7"/>
    <w:rsid w:val="000453E4"/>
    <w:rsid w:val="000454A5"/>
    <w:rsid w:val="00046000"/>
    <w:rsid w:val="0004675F"/>
    <w:rsid w:val="00046C7E"/>
    <w:rsid w:val="00046CF8"/>
    <w:rsid w:val="00046D61"/>
    <w:rsid w:val="00046EB2"/>
    <w:rsid w:val="00046F83"/>
    <w:rsid w:val="00047969"/>
    <w:rsid w:val="00047A7D"/>
    <w:rsid w:val="00047E1E"/>
    <w:rsid w:val="0005004D"/>
    <w:rsid w:val="00050869"/>
    <w:rsid w:val="000511FC"/>
    <w:rsid w:val="00051B71"/>
    <w:rsid w:val="00052294"/>
    <w:rsid w:val="0005263C"/>
    <w:rsid w:val="00052B80"/>
    <w:rsid w:val="000547A2"/>
    <w:rsid w:val="000561C1"/>
    <w:rsid w:val="00056204"/>
    <w:rsid w:val="00056327"/>
    <w:rsid w:val="00056F6A"/>
    <w:rsid w:val="000570D1"/>
    <w:rsid w:val="00057159"/>
    <w:rsid w:val="000571A9"/>
    <w:rsid w:val="00057462"/>
    <w:rsid w:val="00057B46"/>
    <w:rsid w:val="00060036"/>
    <w:rsid w:val="0006009A"/>
    <w:rsid w:val="00060290"/>
    <w:rsid w:val="00061717"/>
    <w:rsid w:val="00061DE0"/>
    <w:rsid w:val="000625BA"/>
    <w:rsid w:val="000625CD"/>
    <w:rsid w:val="00062EDD"/>
    <w:rsid w:val="00062F4B"/>
    <w:rsid w:val="00063E24"/>
    <w:rsid w:val="00065079"/>
    <w:rsid w:val="0006507A"/>
    <w:rsid w:val="00065495"/>
    <w:rsid w:val="0006552D"/>
    <w:rsid w:val="00065A3E"/>
    <w:rsid w:val="000667FC"/>
    <w:rsid w:val="00066D77"/>
    <w:rsid w:val="00066E43"/>
    <w:rsid w:val="00066EC0"/>
    <w:rsid w:val="000678A7"/>
    <w:rsid w:val="00070358"/>
    <w:rsid w:val="0007048D"/>
    <w:rsid w:val="0007158D"/>
    <w:rsid w:val="00072050"/>
    <w:rsid w:val="00072229"/>
    <w:rsid w:val="00073CF1"/>
    <w:rsid w:val="00074BD0"/>
    <w:rsid w:val="00074CD2"/>
    <w:rsid w:val="00074D9A"/>
    <w:rsid w:val="00074DB9"/>
    <w:rsid w:val="000753C4"/>
    <w:rsid w:val="000753FC"/>
    <w:rsid w:val="00075DF0"/>
    <w:rsid w:val="000762CA"/>
    <w:rsid w:val="000767BE"/>
    <w:rsid w:val="00076A27"/>
    <w:rsid w:val="00077591"/>
    <w:rsid w:val="0008004E"/>
    <w:rsid w:val="000800B3"/>
    <w:rsid w:val="000803A4"/>
    <w:rsid w:val="000806E3"/>
    <w:rsid w:val="00080AB4"/>
    <w:rsid w:val="00081A49"/>
    <w:rsid w:val="00081A64"/>
    <w:rsid w:val="00081A66"/>
    <w:rsid w:val="000821B6"/>
    <w:rsid w:val="000828F2"/>
    <w:rsid w:val="0008339E"/>
    <w:rsid w:val="000842B3"/>
    <w:rsid w:val="000849B9"/>
    <w:rsid w:val="00085071"/>
    <w:rsid w:val="00085134"/>
    <w:rsid w:val="000865D5"/>
    <w:rsid w:val="00086DA1"/>
    <w:rsid w:val="0008701E"/>
    <w:rsid w:val="000871DC"/>
    <w:rsid w:val="000876A1"/>
    <w:rsid w:val="000876A3"/>
    <w:rsid w:val="00087E4E"/>
    <w:rsid w:val="00090AD1"/>
    <w:rsid w:val="00090F4F"/>
    <w:rsid w:val="0009122B"/>
    <w:rsid w:val="00091476"/>
    <w:rsid w:val="00092879"/>
    <w:rsid w:val="0009288A"/>
    <w:rsid w:val="0009295E"/>
    <w:rsid w:val="0009460F"/>
    <w:rsid w:val="000949A0"/>
    <w:rsid w:val="00094AB1"/>
    <w:rsid w:val="00094AB7"/>
    <w:rsid w:val="00094E87"/>
    <w:rsid w:val="0009554B"/>
    <w:rsid w:val="0009570C"/>
    <w:rsid w:val="00096079"/>
    <w:rsid w:val="00096521"/>
    <w:rsid w:val="00096CCD"/>
    <w:rsid w:val="00096D6F"/>
    <w:rsid w:val="00097211"/>
    <w:rsid w:val="000975D7"/>
    <w:rsid w:val="00097FB2"/>
    <w:rsid w:val="000A020E"/>
    <w:rsid w:val="000A12DB"/>
    <w:rsid w:val="000A151D"/>
    <w:rsid w:val="000A1823"/>
    <w:rsid w:val="000A1B47"/>
    <w:rsid w:val="000A1F26"/>
    <w:rsid w:val="000A24C5"/>
    <w:rsid w:val="000A2BDA"/>
    <w:rsid w:val="000A3069"/>
    <w:rsid w:val="000A3768"/>
    <w:rsid w:val="000A3802"/>
    <w:rsid w:val="000A39BF"/>
    <w:rsid w:val="000A3ADC"/>
    <w:rsid w:val="000A3F7F"/>
    <w:rsid w:val="000A4A7E"/>
    <w:rsid w:val="000A4D45"/>
    <w:rsid w:val="000A6116"/>
    <w:rsid w:val="000A744A"/>
    <w:rsid w:val="000B0997"/>
    <w:rsid w:val="000B0B7D"/>
    <w:rsid w:val="000B0CBF"/>
    <w:rsid w:val="000B12E4"/>
    <w:rsid w:val="000B1851"/>
    <w:rsid w:val="000B24C1"/>
    <w:rsid w:val="000B283F"/>
    <w:rsid w:val="000B2AE9"/>
    <w:rsid w:val="000B2D6C"/>
    <w:rsid w:val="000B2DCA"/>
    <w:rsid w:val="000B3A13"/>
    <w:rsid w:val="000B3D39"/>
    <w:rsid w:val="000B4023"/>
    <w:rsid w:val="000B4896"/>
    <w:rsid w:val="000B4BB2"/>
    <w:rsid w:val="000B4BE2"/>
    <w:rsid w:val="000B4CF8"/>
    <w:rsid w:val="000B51FF"/>
    <w:rsid w:val="000B57C3"/>
    <w:rsid w:val="000B5E07"/>
    <w:rsid w:val="000B6140"/>
    <w:rsid w:val="000B6191"/>
    <w:rsid w:val="000B6E1D"/>
    <w:rsid w:val="000B7652"/>
    <w:rsid w:val="000C023E"/>
    <w:rsid w:val="000C0277"/>
    <w:rsid w:val="000C0351"/>
    <w:rsid w:val="000C043E"/>
    <w:rsid w:val="000C06CD"/>
    <w:rsid w:val="000C0F12"/>
    <w:rsid w:val="000C16DD"/>
    <w:rsid w:val="000C1AE5"/>
    <w:rsid w:val="000C1B77"/>
    <w:rsid w:val="000C22AB"/>
    <w:rsid w:val="000C27CC"/>
    <w:rsid w:val="000C363D"/>
    <w:rsid w:val="000C3CF9"/>
    <w:rsid w:val="000C3DA2"/>
    <w:rsid w:val="000C3FD1"/>
    <w:rsid w:val="000C4456"/>
    <w:rsid w:val="000C6D2E"/>
    <w:rsid w:val="000C6ED5"/>
    <w:rsid w:val="000C76B0"/>
    <w:rsid w:val="000C7BBE"/>
    <w:rsid w:val="000C7D9F"/>
    <w:rsid w:val="000C7F4E"/>
    <w:rsid w:val="000C7F87"/>
    <w:rsid w:val="000D01AF"/>
    <w:rsid w:val="000D0C7B"/>
    <w:rsid w:val="000D2159"/>
    <w:rsid w:val="000D2475"/>
    <w:rsid w:val="000D442C"/>
    <w:rsid w:val="000D449A"/>
    <w:rsid w:val="000D4DC4"/>
    <w:rsid w:val="000D6ED6"/>
    <w:rsid w:val="000D7727"/>
    <w:rsid w:val="000E069C"/>
    <w:rsid w:val="000E0796"/>
    <w:rsid w:val="000E08AB"/>
    <w:rsid w:val="000E0B4D"/>
    <w:rsid w:val="000E16D9"/>
    <w:rsid w:val="000E1826"/>
    <w:rsid w:val="000E2087"/>
    <w:rsid w:val="000E2EEC"/>
    <w:rsid w:val="000E4BCB"/>
    <w:rsid w:val="000E5357"/>
    <w:rsid w:val="000E612D"/>
    <w:rsid w:val="000E6B87"/>
    <w:rsid w:val="000E6C08"/>
    <w:rsid w:val="000E6F2C"/>
    <w:rsid w:val="000E745A"/>
    <w:rsid w:val="000E76A0"/>
    <w:rsid w:val="000E77B2"/>
    <w:rsid w:val="000E7E9E"/>
    <w:rsid w:val="000E7EF4"/>
    <w:rsid w:val="000E7F46"/>
    <w:rsid w:val="000F0044"/>
    <w:rsid w:val="000F354B"/>
    <w:rsid w:val="000F43A8"/>
    <w:rsid w:val="000F4643"/>
    <w:rsid w:val="000F4F5A"/>
    <w:rsid w:val="000F568F"/>
    <w:rsid w:val="000F5A6D"/>
    <w:rsid w:val="000F5AA9"/>
    <w:rsid w:val="000F5D75"/>
    <w:rsid w:val="000F6928"/>
    <w:rsid w:val="000F69E9"/>
    <w:rsid w:val="000F703B"/>
    <w:rsid w:val="00100341"/>
    <w:rsid w:val="0010080D"/>
    <w:rsid w:val="00100AE5"/>
    <w:rsid w:val="00102AFB"/>
    <w:rsid w:val="00102D92"/>
    <w:rsid w:val="001038DC"/>
    <w:rsid w:val="00103B89"/>
    <w:rsid w:val="00103DF0"/>
    <w:rsid w:val="00103EDF"/>
    <w:rsid w:val="00103F8F"/>
    <w:rsid w:val="001041E9"/>
    <w:rsid w:val="00104CAE"/>
    <w:rsid w:val="00106EF8"/>
    <w:rsid w:val="001072F3"/>
    <w:rsid w:val="001101A2"/>
    <w:rsid w:val="00111489"/>
    <w:rsid w:val="00111797"/>
    <w:rsid w:val="00111B19"/>
    <w:rsid w:val="00112EEE"/>
    <w:rsid w:val="00113883"/>
    <w:rsid w:val="001140E8"/>
    <w:rsid w:val="00114688"/>
    <w:rsid w:val="00114A64"/>
    <w:rsid w:val="00114AA1"/>
    <w:rsid w:val="00115657"/>
    <w:rsid w:val="001159E2"/>
    <w:rsid w:val="00115DE2"/>
    <w:rsid w:val="00115F59"/>
    <w:rsid w:val="00115F85"/>
    <w:rsid w:val="00116C1A"/>
    <w:rsid w:val="0012037D"/>
    <w:rsid w:val="00120510"/>
    <w:rsid w:val="00120B11"/>
    <w:rsid w:val="00120B5F"/>
    <w:rsid w:val="00121158"/>
    <w:rsid w:val="001219A8"/>
    <w:rsid w:val="00121F3E"/>
    <w:rsid w:val="0012229E"/>
    <w:rsid w:val="001228D6"/>
    <w:rsid w:val="001228FA"/>
    <w:rsid w:val="00123849"/>
    <w:rsid w:val="001239D5"/>
    <w:rsid w:val="00123A5E"/>
    <w:rsid w:val="00123FAE"/>
    <w:rsid w:val="00125010"/>
    <w:rsid w:val="00125266"/>
    <w:rsid w:val="00125B82"/>
    <w:rsid w:val="00126D8A"/>
    <w:rsid w:val="00126F48"/>
    <w:rsid w:val="00127210"/>
    <w:rsid w:val="00127AC7"/>
    <w:rsid w:val="001305E6"/>
    <w:rsid w:val="00130F97"/>
    <w:rsid w:val="001314C9"/>
    <w:rsid w:val="00131E6E"/>
    <w:rsid w:val="00132306"/>
    <w:rsid w:val="0013239A"/>
    <w:rsid w:val="00132872"/>
    <w:rsid w:val="00132B5A"/>
    <w:rsid w:val="001341CC"/>
    <w:rsid w:val="001344C3"/>
    <w:rsid w:val="0013513E"/>
    <w:rsid w:val="001361BA"/>
    <w:rsid w:val="0013761A"/>
    <w:rsid w:val="00137997"/>
    <w:rsid w:val="001407C5"/>
    <w:rsid w:val="0014147B"/>
    <w:rsid w:val="00141ACC"/>
    <w:rsid w:val="00141C66"/>
    <w:rsid w:val="001426CF"/>
    <w:rsid w:val="00142A88"/>
    <w:rsid w:val="0014312B"/>
    <w:rsid w:val="0014423A"/>
    <w:rsid w:val="0014475A"/>
    <w:rsid w:val="00144A91"/>
    <w:rsid w:val="00145C9E"/>
    <w:rsid w:val="001460DE"/>
    <w:rsid w:val="00146208"/>
    <w:rsid w:val="0014664D"/>
    <w:rsid w:val="00146AC7"/>
    <w:rsid w:val="00146F5F"/>
    <w:rsid w:val="00147042"/>
    <w:rsid w:val="001471A7"/>
    <w:rsid w:val="00147B66"/>
    <w:rsid w:val="001506F6"/>
    <w:rsid w:val="00150F74"/>
    <w:rsid w:val="00151AFC"/>
    <w:rsid w:val="0015232F"/>
    <w:rsid w:val="00152379"/>
    <w:rsid w:val="00152C85"/>
    <w:rsid w:val="0015315F"/>
    <w:rsid w:val="00153202"/>
    <w:rsid w:val="00153FEA"/>
    <w:rsid w:val="00154032"/>
    <w:rsid w:val="001546BF"/>
    <w:rsid w:val="001547D3"/>
    <w:rsid w:val="00155080"/>
    <w:rsid w:val="00155329"/>
    <w:rsid w:val="001559BD"/>
    <w:rsid w:val="00156598"/>
    <w:rsid w:val="00156719"/>
    <w:rsid w:val="001567E7"/>
    <w:rsid w:val="00156958"/>
    <w:rsid w:val="00157494"/>
    <w:rsid w:val="00157F79"/>
    <w:rsid w:val="00157FD2"/>
    <w:rsid w:val="00161EB0"/>
    <w:rsid w:val="001621E4"/>
    <w:rsid w:val="00162A14"/>
    <w:rsid w:val="00162AA4"/>
    <w:rsid w:val="00163E84"/>
    <w:rsid w:val="00163F74"/>
    <w:rsid w:val="00164437"/>
    <w:rsid w:val="00164D2A"/>
    <w:rsid w:val="00165166"/>
    <w:rsid w:val="0016518B"/>
    <w:rsid w:val="001668AA"/>
    <w:rsid w:val="00167263"/>
    <w:rsid w:val="00167341"/>
    <w:rsid w:val="001675B1"/>
    <w:rsid w:val="0016789D"/>
    <w:rsid w:val="00167C87"/>
    <w:rsid w:val="00170240"/>
    <w:rsid w:val="001711EA"/>
    <w:rsid w:val="00172092"/>
    <w:rsid w:val="001726D1"/>
    <w:rsid w:val="001727F7"/>
    <w:rsid w:val="00172EE3"/>
    <w:rsid w:val="00173EF7"/>
    <w:rsid w:val="001742AA"/>
    <w:rsid w:val="00174C7E"/>
    <w:rsid w:val="00175F8B"/>
    <w:rsid w:val="00175FF5"/>
    <w:rsid w:val="00176542"/>
    <w:rsid w:val="00176897"/>
    <w:rsid w:val="00177165"/>
    <w:rsid w:val="00177DA4"/>
    <w:rsid w:val="00177E7E"/>
    <w:rsid w:val="0018032E"/>
    <w:rsid w:val="0018043F"/>
    <w:rsid w:val="001804F2"/>
    <w:rsid w:val="0018190C"/>
    <w:rsid w:val="0018356F"/>
    <w:rsid w:val="00183D3A"/>
    <w:rsid w:val="001863C0"/>
    <w:rsid w:val="0018720B"/>
    <w:rsid w:val="001876C5"/>
    <w:rsid w:val="0018798B"/>
    <w:rsid w:val="00187CD0"/>
    <w:rsid w:val="00187CF2"/>
    <w:rsid w:val="00187D68"/>
    <w:rsid w:val="00187EF8"/>
    <w:rsid w:val="00190155"/>
    <w:rsid w:val="0019024B"/>
    <w:rsid w:val="001906B5"/>
    <w:rsid w:val="00190E4E"/>
    <w:rsid w:val="0019161D"/>
    <w:rsid w:val="00192B18"/>
    <w:rsid w:val="00192B78"/>
    <w:rsid w:val="00192DA3"/>
    <w:rsid w:val="00194163"/>
    <w:rsid w:val="00194BC3"/>
    <w:rsid w:val="00194FEB"/>
    <w:rsid w:val="00195AD8"/>
    <w:rsid w:val="00196089"/>
    <w:rsid w:val="001970A4"/>
    <w:rsid w:val="001970FE"/>
    <w:rsid w:val="00197275"/>
    <w:rsid w:val="001976ED"/>
    <w:rsid w:val="00197AD1"/>
    <w:rsid w:val="00197B38"/>
    <w:rsid w:val="00197CFF"/>
    <w:rsid w:val="001A0150"/>
    <w:rsid w:val="001A0AAC"/>
    <w:rsid w:val="001A0F4C"/>
    <w:rsid w:val="001A1E15"/>
    <w:rsid w:val="001A340C"/>
    <w:rsid w:val="001A38F8"/>
    <w:rsid w:val="001A506F"/>
    <w:rsid w:val="001A568A"/>
    <w:rsid w:val="001A5D13"/>
    <w:rsid w:val="001A5FC9"/>
    <w:rsid w:val="001A6517"/>
    <w:rsid w:val="001A694A"/>
    <w:rsid w:val="001A7662"/>
    <w:rsid w:val="001B0020"/>
    <w:rsid w:val="001B0232"/>
    <w:rsid w:val="001B0681"/>
    <w:rsid w:val="001B1D9D"/>
    <w:rsid w:val="001B2556"/>
    <w:rsid w:val="001B2984"/>
    <w:rsid w:val="001B3418"/>
    <w:rsid w:val="001B372E"/>
    <w:rsid w:val="001B3F87"/>
    <w:rsid w:val="001B4026"/>
    <w:rsid w:val="001B50BA"/>
    <w:rsid w:val="001B55D3"/>
    <w:rsid w:val="001B5943"/>
    <w:rsid w:val="001B598C"/>
    <w:rsid w:val="001B5F1D"/>
    <w:rsid w:val="001B649F"/>
    <w:rsid w:val="001B6544"/>
    <w:rsid w:val="001B76A6"/>
    <w:rsid w:val="001B798C"/>
    <w:rsid w:val="001C07F8"/>
    <w:rsid w:val="001C1A25"/>
    <w:rsid w:val="001C1D5D"/>
    <w:rsid w:val="001C2F59"/>
    <w:rsid w:val="001C30E4"/>
    <w:rsid w:val="001C3AC3"/>
    <w:rsid w:val="001C52FB"/>
    <w:rsid w:val="001C6A3E"/>
    <w:rsid w:val="001C6C08"/>
    <w:rsid w:val="001C6E00"/>
    <w:rsid w:val="001C7125"/>
    <w:rsid w:val="001C7622"/>
    <w:rsid w:val="001D029E"/>
    <w:rsid w:val="001D09F5"/>
    <w:rsid w:val="001D0B36"/>
    <w:rsid w:val="001D2056"/>
    <w:rsid w:val="001D2F4C"/>
    <w:rsid w:val="001D3135"/>
    <w:rsid w:val="001D314B"/>
    <w:rsid w:val="001D32C9"/>
    <w:rsid w:val="001D3A72"/>
    <w:rsid w:val="001D3DB8"/>
    <w:rsid w:val="001D42D1"/>
    <w:rsid w:val="001D5051"/>
    <w:rsid w:val="001D560F"/>
    <w:rsid w:val="001D5C1E"/>
    <w:rsid w:val="001D626B"/>
    <w:rsid w:val="001D64E5"/>
    <w:rsid w:val="001D69AE"/>
    <w:rsid w:val="001D6E2F"/>
    <w:rsid w:val="001D6EB8"/>
    <w:rsid w:val="001D78AB"/>
    <w:rsid w:val="001E0300"/>
    <w:rsid w:val="001E03CB"/>
    <w:rsid w:val="001E05EC"/>
    <w:rsid w:val="001E17EF"/>
    <w:rsid w:val="001E1E00"/>
    <w:rsid w:val="001E2AF3"/>
    <w:rsid w:val="001E2C18"/>
    <w:rsid w:val="001E2CCB"/>
    <w:rsid w:val="001E4809"/>
    <w:rsid w:val="001E4ABB"/>
    <w:rsid w:val="001E4F4F"/>
    <w:rsid w:val="001E560D"/>
    <w:rsid w:val="001E5D5F"/>
    <w:rsid w:val="001E68CE"/>
    <w:rsid w:val="001E7018"/>
    <w:rsid w:val="001E71AC"/>
    <w:rsid w:val="001E7C19"/>
    <w:rsid w:val="001F0321"/>
    <w:rsid w:val="001F06FD"/>
    <w:rsid w:val="001F0D63"/>
    <w:rsid w:val="001F158D"/>
    <w:rsid w:val="001F2331"/>
    <w:rsid w:val="001F23D6"/>
    <w:rsid w:val="001F2447"/>
    <w:rsid w:val="001F2704"/>
    <w:rsid w:val="001F27F4"/>
    <w:rsid w:val="001F3DC0"/>
    <w:rsid w:val="001F423C"/>
    <w:rsid w:val="001F4C5A"/>
    <w:rsid w:val="001F4EA9"/>
    <w:rsid w:val="001F4F73"/>
    <w:rsid w:val="001F4FD3"/>
    <w:rsid w:val="001F5103"/>
    <w:rsid w:val="001F51FA"/>
    <w:rsid w:val="001F538D"/>
    <w:rsid w:val="001F5603"/>
    <w:rsid w:val="001F5C99"/>
    <w:rsid w:val="001F5C9E"/>
    <w:rsid w:val="001F5D76"/>
    <w:rsid w:val="001F6357"/>
    <w:rsid w:val="001F6425"/>
    <w:rsid w:val="001F661D"/>
    <w:rsid w:val="001F6772"/>
    <w:rsid w:val="001F721B"/>
    <w:rsid w:val="001F7421"/>
    <w:rsid w:val="00200195"/>
    <w:rsid w:val="00200AC3"/>
    <w:rsid w:val="00200B26"/>
    <w:rsid w:val="00200B5F"/>
    <w:rsid w:val="00200F70"/>
    <w:rsid w:val="00201EEF"/>
    <w:rsid w:val="00202173"/>
    <w:rsid w:val="00203286"/>
    <w:rsid w:val="0020359F"/>
    <w:rsid w:val="002036D4"/>
    <w:rsid w:val="00203F6E"/>
    <w:rsid w:val="0020418B"/>
    <w:rsid w:val="0020434F"/>
    <w:rsid w:val="00204670"/>
    <w:rsid w:val="002047C8"/>
    <w:rsid w:val="002051D6"/>
    <w:rsid w:val="002052B3"/>
    <w:rsid w:val="002058F9"/>
    <w:rsid w:val="00206313"/>
    <w:rsid w:val="0020730C"/>
    <w:rsid w:val="002077D2"/>
    <w:rsid w:val="00207A37"/>
    <w:rsid w:val="002110C5"/>
    <w:rsid w:val="002111E7"/>
    <w:rsid w:val="00211DF6"/>
    <w:rsid w:val="0021299A"/>
    <w:rsid w:val="00212B1F"/>
    <w:rsid w:val="00212F09"/>
    <w:rsid w:val="00213064"/>
    <w:rsid w:val="00213D7C"/>
    <w:rsid w:val="00213F27"/>
    <w:rsid w:val="00214513"/>
    <w:rsid w:val="002155B7"/>
    <w:rsid w:val="002157BC"/>
    <w:rsid w:val="00216FA8"/>
    <w:rsid w:val="0021766A"/>
    <w:rsid w:val="00220E4D"/>
    <w:rsid w:val="00220FE6"/>
    <w:rsid w:val="002214E5"/>
    <w:rsid w:val="002216DB"/>
    <w:rsid w:val="0022234A"/>
    <w:rsid w:val="002225D3"/>
    <w:rsid w:val="00222793"/>
    <w:rsid w:val="002228B0"/>
    <w:rsid w:val="00222A35"/>
    <w:rsid w:val="00222CD1"/>
    <w:rsid w:val="0022301D"/>
    <w:rsid w:val="00224B2C"/>
    <w:rsid w:val="00225B49"/>
    <w:rsid w:val="0022646A"/>
    <w:rsid w:val="00226BDD"/>
    <w:rsid w:val="00227510"/>
    <w:rsid w:val="00227E55"/>
    <w:rsid w:val="00230225"/>
    <w:rsid w:val="00230FBA"/>
    <w:rsid w:val="002311B4"/>
    <w:rsid w:val="00231F87"/>
    <w:rsid w:val="0023228F"/>
    <w:rsid w:val="00232AA0"/>
    <w:rsid w:val="0023341F"/>
    <w:rsid w:val="00234176"/>
    <w:rsid w:val="00234CDF"/>
    <w:rsid w:val="00236B91"/>
    <w:rsid w:val="00236E50"/>
    <w:rsid w:val="002370D5"/>
    <w:rsid w:val="002370FA"/>
    <w:rsid w:val="0023716F"/>
    <w:rsid w:val="00237463"/>
    <w:rsid w:val="00237C4A"/>
    <w:rsid w:val="00240BDB"/>
    <w:rsid w:val="00240CE0"/>
    <w:rsid w:val="002424C0"/>
    <w:rsid w:val="0024263F"/>
    <w:rsid w:val="002429E9"/>
    <w:rsid w:val="00242A48"/>
    <w:rsid w:val="00242CAA"/>
    <w:rsid w:val="002438E6"/>
    <w:rsid w:val="00244CD7"/>
    <w:rsid w:val="00244D23"/>
    <w:rsid w:val="002452CC"/>
    <w:rsid w:val="00245BA7"/>
    <w:rsid w:val="00245D74"/>
    <w:rsid w:val="00245E30"/>
    <w:rsid w:val="00246D03"/>
    <w:rsid w:val="00246DDF"/>
    <w:rsid w:val="00247433"/>
    <w:rsid w:val="00247992"/>
    <w:rsid w:val="00251E15"/>
    <w:rsid w:val="002526CE"/>
    <w:rsid w:val="00252BF5"/>
    <w:rsid w:val="002535DC"/>
    <w:rsid w:val="002550A9"/>
    <w:rsid w:val="00255923"/>
    <w:rsid w:val="00255D5A"/>
    <w:rsid w:val="002573CC"/>
    <w:rsid w:val="00257F5B"/>
    <w:rsid w:val="00260D42"/>
    <w:rsid w:val="00260FAA"/>
    <w:rsid w:val="002611DF"/>
    <w:rsid w:val="00261593"/>
    <w:rsid w:val="00261952"/>
    <w:rsid w:val="00261BDD"/>
    <w:rsid w:val="00262338"/>
    <w:rsid w:val="00262388"/>
    <w:rsid w:val="002626C1"/>
    <w:rsid w:val="0026343C"/>
    <w:rsid w:val="00263938"/>
    <w:rsid w:val="00263CB5"/>
    <w:rsid w:val="002646D7"/>
    <w:rsid w:val="00264D4F"/>
    <w:rsid w:val="002651C2"/>
    <w:rsid w:val="002662A8"/>
    <w:rsid w:val="002664FC"/>
    <w:rsid w:val="0026695D"/>
    <w:rsid w:val="00266F05"/>
    <w:rsid w:val="002671D7"/>
    <w:rsid w:val="002675F7"/>
    <w:rsid w:val="0027066B"/>
    <w:rsid w:val="002718A9"/>
    <w:rsid w:val="00271B08"/>
    <w:rsid w:val="0027236F"/>
    <w:rsid w:val="0027259C"/>
    <w:rsid w:val="00272C90"/>
    <w:rsid w:val="00272F32"/>
    <w:rsid w:val="00273543"/>
    <w:rsid w:val="0027396A"/>
    <w:rsid w:val="00273F35"/>
    <w:rsid w:val="0027439C"/>
    <w:rsid w:val="002743CF"/>
    <w:rsid w:val="00274436"/>
    <w:rsid w:val="00274559"/>
    <w:rsid w:val="00274B80"/>
    <w:rsid w:val="00274C82"/>
    <w:rsid w:val="00274DB5"/>
    <w:rsid w:val="002750F4"/>
    <w:rsid w:val="00275C75"/>
    <w:rsid w:val="0027654D"/>
    <w:rsid w:val="00276947"/>
    <w:rsid w:val="00276E45"/>
    <w:rsid w:val="00280155"/>
    <w:rsid w:val="002810DF"/>
    <w:rsid w:val="002812AB"/>
    <w:rsid w:val="002816D8"/>
    <w:rsid w:val="00281A07"/>
    <w:rsid w:val="00281CEC"/>
    <w:rsid w:val="002825C6"/>
    <w:rsid w:val="002825DD"/>
    <w:rsid w:val="0028280C"/>
    <w:rsid w:val="00282A8C"/>
    <w:rsid w:val="00282AD3"/>
    <w:rsid w:val="00282DE8"/>
    <w:rsid w:val="00283F84"/>
    <w:rsid w:val="002846CC"/>
    <w:rsid w:val="002854EE"/>
    <w:rsid w:val="00285520"/>
    <w:rsid w:val="0028565C"/>
    <w:rsid w:val="00285B0D"/>
    <w:rsid w:val="0028729B"/>
    <w:rsid w:val="002872B8"/>
    <w:rsid w:val="002875DE"/>
    <w:rsid w:val="00287ADB"/>
    <w:rsid w:val="00287E07"/>
    <w:rsid w:val="00287ED5"/>
    <w:rsid w:val="00290B28"/>
    <w:rsid w:val="00290EB3"/>
    <w:rsid w:val="002910C4"/>
    <w:rsid w:val="00291DBA"/>
    <w:rsid w:val="0029213F"/>
    <w:rsid w:val="002921ED"/>
    <w:rsid w:val="00292336"/>
    <w:rsid w:val="00292846"/>
    <w:rsid w:val="00292A90"/>
    <w:rsid w:val="0029512C"/>
    <w:rsid w:val="002955B0"/>
    <w:rsid w:val="00295619"/>
    <w:rsid w:val="00295A38"/>
    <w:rsid w:val="00295C1A"/>
    <w:rsid w:val="0029641D"/>
    <w:rsid w:val="00296744"/>
    <w:rsid w:val="0029684F"/>
    <w:rsid w:val="00296BB1"/>
    <w:rsid w:val="0029718C"/>
    <w:rsid w:val="002971D6"/>
    <w:rsid w:val="002971E0"/>
    <w:rsid w:val="002A0CA3"/>
    <w:rsid w:val="002A1444"/>
    <w:rsid w:val="002A222D"/>
    <w:rsid w:val="002A271D"/>
    <w:rsid w:val="002A2CEF"/>
    <w:rsid w:val="002A2DB5"/>
    <w:rsid w:val="002A2E17"/>
    <w:rsid w:val="002A2F08"/>
    <w:rsid w:val="002A31CF"/>
    <w:rsid w:val="002A3641"/>
    <w:rsid w:val="002A4372"/>
    <w:rsid w:val="002A44AE"/>
    <w:rsid w:val="002A495F"/>
    <w:rsid w:val="002A5186"/>
    <w:rsid w:val="002A6054"/>
    <w:rsid w:val="002A6485"/>
    <w:rsid w:val="002A6C0F"/>
    <w:rsid w:val="002A6D32"/>
    <w:rsid w:val="002A706F"/>
    <w:rsid w:val="002A70EA"/>
    <w:rsid w:val="002A7363"/>
    <w:rsid w:val="002A737C"/>
    <w:rsid w:val="002A78A6"/>
    <w:rsid w:val="002A78C0"/>
    <w:rsid w:val="002A7F43"/>
    <w:rsid w:val="002B1225"/>
    <w:rsid w:val="002B167C"/>
    <w:rsid w:val="002B1802"/>
    <w:rsid w:val="002B1EC0"/>
    <w:rsid w:val="002B28B7"/>
    <w:rsid w:val="002B2AA3"/>
    <w:rsid w:val="002B3250"/>
    <w:rsid w:val="002B365E"/>
    <w:rsid w:val="002B489A"/>
    <w:rsid w:val="002B4B18"/>
    <w:rsid w:val="002B5FD0"/>
    <w:rsid w:val="002B626D"/>
    <w:rsid w:val="002B6341"/>
    <w:rsid w:val="002B7B67"/>
    <w:rsid w:val="002B7E3B"/>
    <w:rsid w:val="002C0526"/>
    <w:rsid w:val="002C1BBB"/>
    <w:rsid w:val="002C1EDB"/>
    <w:rsid w:val="002C27A8"/>
    <w:rsid w:val="002C333E"/>
    <w:rsid w:val="002C36C8"/>
    <w:rsid w:val="002C3933"/>
    <w:rsid w:val="002C4549"/>
    <w:rsid w:val="002C4727"/>
    <w:rsid w:val="002C48E2"/>
    <w:rsid w:val="002C4A89"/>
    <w:rsid w:val="002C51A0"/>
    <w:rsid w:val="002C597C"/>
    <w:rsid w:val="002C5B51"/>
    <w:rsid w:val="002C68B2"/>
    <w:rsid w:val="002C70F7"/>
    <w:rsid w:val="002C77B4"/>
    <w:rsid w:val="002C7971"/>
    <w:rsid w:val="002D016B"/>
    <w:rsid w:val="002D0584"/>
    <w:rsid w:val="002D06A2"/>
    <w:rsid w:val="002D17C4"/>
    <w:rsid w:val="002D18CA"/>
    <w:rsid w:val="002D1CF0"/>
    <w:rsid w:val="002D2ADE"/>
    <w:rsid w:val="002D2E2A"/>
    <w:rsid w:val="002D3F8C"/>
    <w:rsid w:val="002D4629"/>
    <w:rsid w:val="002D513C"/>
    <w:rsid w:val="002D5295"/>
    <w:rsid w:val="002D52BF"/>
    <w:rsid w:val="002D5C2A"/>
    <w:rsid w:val="002D68FA"/>
    <w:rsid w:val="002D69CB"/>
    <w:rsid w:val="002D6A5F"/>
    <w:rsid w:val="002D7A66"/>
    <w:rsid w:val="002D7AF9"/>
    <w:rsid w:val="002D7ECA"/>
    <w:rsid w:val="002E0141"/>
    <w:rsid w:val="002E0B5D"/>
    <w:rsid w:val="002E0B76"/>
    <w:rsid w:val="002E0B98"/>
    <w:rsid w:val="002E1495"/>
    <w:rsid w:val="002E1670"/>
    <w:rsid w:val="002E1AC9"/>
    <w:rsid w:val="002E2900"/>
    <w:rsid w:val="002E34EC"/>
    <w:rsid w:val="002E3C0D"/>
    <w:rsid w:val="002E3EEA"/>
    <w:rsid w:val="002E3F50"/>
    <w:rsid w:val="002E43EC"/>
    <w:rsid w:val="002E563F"/>
    <w:rsid w:val="002E5B3C"/>
    <w:rsid w:val="002E5F57"/>
    <w:rsid w:val="002E6E81"/>
    <w:rsid w:val="002E6F06"/>
    <w:rsid w:val="002E7A79"/>
    <w:rsid w:val="002F1514"/>
    <w:rsid w:val="002F271F"/>
    <w:rsid w:val="002F2C6E"/>
    <w:rsid w:val="002F346A"/>
    <w:rsid w:val="002F3496"/>
    <w:rsid w:val="002F3A36"/>
    <w:rsid w:val="002F3C88"/>
    <w:rsid w:val="002F4067"/>
    <w:rsid w:val="002F47C8"/>
    <w:rsid w:val="002F47EB"/>
    <w:rsid w:val="002F567D"/>
    <w:rsid w:val="002F5A97"/>
    <w:rsid w:val="002F5B8E"/>
    <w:rsid w:val="002F7339"/>
    <w:rsid w:val="002F7461"/>
    <w:rsid w:val="002F75BA"/>
    <w:rsid w:val="002F796A"/>
    <w:rsid w:val="002F7A26"/>
    <w:rsid w:val="002F7FC6"/>
    <w:rsid w:val="00300394"/>
    <w:rsid w:val="00301164"/>
    <w:rsid w:val="003015C0"/>
    <w:rsid w:val="003025E2"/>
    <w:rsid w:val="003026BC"/>
    <w:rsid w:val="00306195"/>
    <w:rsid w:val="00306D24"/>
    <w:rsid w:val="00307380"/>
    <w:rsid w:val="00307712"/>
    <w:rsid w:val="00310B95"/>
    <w:rsid w:val="0031189A"/>
    <w:rsid w:val="00312E6E"/>
    <w:rsid w:val="003138DA"/>
    <w:rsid w:val="00313BC5"/>
    <w:rsid w:val="0031404A"/>
    <w:rsid w:val="00314AA6"/>
    <w:rsid w:val="00314B7C"/>
    <w:rsid w:val="00314E49"/>
    <w:rsid w:val="00314F54"/>
    <w:rsid w:val="0031511A"/>
    <w:rsid w:val="00315445"/>
    <w:rsid w:val="003163DF"/>
    <w:rsid w:val="0031640D"/>
    <w:rsid w:val="00317183"/>
    <w:rsid w:val="003200B9"/>
    <w:rsid w:val="003204AE"/>
    <w:rsid w:val="003208EF"/>
    <w:rsid w:val="00321D63"/>
    <w:rsid w:val="003220BC"/>
    <w:rsid w:val="00323804"/>
    <w:rsid w:val="00323E10"/>
    <w:rsid w:val="00324660"/>
    <w:rsid w:val="00324846"/>
    <w:rsid w:val="00324ABD"/>
    <w:rsid w:val="00324D9B"/>
    <w:rsid w:val="003255D5"/>
    <w:rsid w:val="003260C0"/>
    <w:rsid w:val="00326758"/>
    <w:rsid w:val="00326803"/>
    <w:rsid w:val="003272A6"/>
    <w:rsid w:val="003273CB"/>
    <w:rsid w:val="0033125E"/>
    <w:rsid w:val="00332DB0"/>
    <w:rsid w:val="003336F0"/>
    <w:rsid w:val="00334F36"/>
    <w:rsid w:val="0033584C"/>
    <w:rsid w:val="00335CA5"/>
    <w:rsid w:val="00336760"/>
    <w:rsid w:val="0033684C"/>
    <w:rsid w:val="00336913"/>
    <w:rsid w:val="0033718C"/>
    <w:rsid w:val="00337407"/>
    <w:rsid w:val="00340E02"/>
    <w:rsid w:val="00341588"/>
    <w:rsid w:val="003415D1"/>
    <w:rsid w:val="0034277B"/>
    <w:rsid w:val="00342869"/>
    <w:rsid w:val="00342D80"/>
    <w:rsid w:val="00343E6E"/>
    <w:rsid w:val="00344035"/>
    <w:rsid w:val="003440AF"/>
    <w:rsid w:val="00344996"/>
    <w:rsid w:val="003450C8"/>
    <w:rsid w:val="00345DE3"/>
    <w:rsid w:val="00345EC0"/>
    <w:rsid w:val="0034782B"/>
    <w:rsid w:val="003479DB"/>
    <w:rsid w:val="00350D43"/>
    <w:rsid w:val="00351AA4"/>
    <w:rsid w:val="00351E5C"/>
    <w:rsid w:val="0035286A"/>
    <w:rsid w:val="003544CB"/>
    <w:rsid w:val="0035557C"/>
    <w:rsid w:val="0035580F"/>
    <w:rsid w:val="00355F5A"/>
    <w:rsid w:val="003560DE"/>
    <w:rsid w:val="003578FD"/>
    <w:rsid w:val="00357CB4"/>
    <w:rsid w:val="00357F7C"/>
    <w:rsid w:val="00360339"/>
    <w:rsid w:val="003604EE"/>
    <w:rsid w:val="00360C96"/>
    <w:rsid w:val="00361DDD"/>
    <w:rsid w:val="00361EE9"/>
    <w:rsid w:val="0036284C"/>
    <w:rsid w:val="0036286B"/>
    <w:rsid w:val="00363371"/>
    <w:rsid w:val="003635DF"/>
    <w:rsid w:val="00363704"/>
    <w:rsid w:val="0036395C"/>
    <w:rsid w:val="00363BCE"/>
    <w:rsid w:val="00363DCB"/>
    <w:rsid w:val="00364989"/>
    <w:rsid w:val="00366414"/>
    <w:rsid w:val="003664C0"/>
    <w:rsid w:val="0036652F"/>
    <w:rsid w:val="00366769"/>
    <w:rsid w:val="00367178"/>
    <w:rsid w:val="00367222"/>
    <w:rsid w:val="00367521"/>
    <w:rsid w:val="00367E04"/>
    <w:rsid w:val="00370A5F"/>
    <w:rsid w:val="00371336"/>
    <w:rsid w:val="003718A1"/>
    <w:rsid w:val="00372CBA"/>
    <w:rsid w:val="003736BA"/>
    <w:rsid w:val="003739CB"/>
    <w:rsid w:val="00374FBF"/>
    <w:rsid w:val="0037558E"/>
    <w:rsid w:val="00375EA6"/>
    <w:rsid w:val="00376025"/>
    <w:rsid w:val="003761F2"/>
    <w:rsid w:val="00376A05"/>
    <w:rsid w:val="00376E0D"/>
    <w:rsid w:val="00377479"/>
    <w:rsid w:val="003774FE"/>
    <w:rsid w:val="00377CED"/>
    <w:rsid w:val="003800A4"/>
    <w:rsid w:val="003800CA"/>
    <w:rsid w:val="00382C42"/>
    <w:rsid w:val="00382C84"/>
    <w:rsid w:val="0038374F"/>
    <w:rsid w:val="00383BB9"/>
    <w:rsid w:val="00384375"/>
    <w:rsid w:val="00384565"/>
    <w:rsid w:val="00385771"/>
    <w:rsid w:val="00385AB0"/>
    <w:rsid w:val="00385E7F"/>
    <w:rsid w:val="003864A7"/>
    <w:rsid w:val="0038655F"/>
    <w:rsid w:val="00387A0F"/>
    <w:rsid w:val="0039051A"/>
    <w:rsid w:val="00390E30"/>
    <w:rsid w:val="00391862"/>
    <w:rsid w:val="0039398A"/>
    <w:rsid w:val="00393ABE"/>
    <w:rsid w:val="00394413"/>
    <w:rsid w:val="0039441E"/>
    <w:rsid w:val="0039458D"/>
    <w:rsid w:val="00394D61"/>
    <w:rsid w:val="00395BBA"/>
    <w:rsid w:val="0039602A"/>
    <w:rsid w:val="00396B48"/>
    <w:rsid w:val="003A0E0A"/>
    <w:rsid w:val="003A15E0"/>
    <w:rsid w:val="003A1F5A"/>
    <w:rsid w:val="003A270C"/>
    <w:rsid w:val="003A2ECE"/>
    <w:rsid w:val="003A2FEB"/>
    <w:rsid w:val="003A3D0C"/>
    <w:rsid w:val="003A4252"/>
    <w:rsid w:val="003A539A"/>
    <w:rsid w:val="003A5ACE"/>
    <w:rsid w:val="003A5AD4"/>
    <w:rsid w:val="003A62A4"/>
    <w:rsid w:val="003A632C"/>
    <w:rsid w:val="003A7294"/>
    <w:rsid w:val="003A7476"/>
    <w:rsid w:val="003A79BB"/>
    <w:rsid w:val="003A7D86"/>
    <w:rsid w:val="003B0892"/>
    <w:rsid w:val="003B0AA1"/>
    <w:rsid w:val="003B0B75"/>
    <w:rsid w:val="003B1345"/>
    <w:rsid w:val="003B2269"/>
    <w:rsid w:val="003B243D"/>
    <w:rsid w:val="003B2750"/>
    <w:rsid w:val="003B304F"/>
    <w:rsid w:val="003B33D9"/>
    <w:rsid w:val="003B35B8"/>
    <w:rsid w:val="003B36AF"/>
    <w:rsid w:val="003B4247"/>
    <w:rsid w:val="003B5262"/>
    <w:rsid w:val="003B545D"/>
    <w:rsid w:val="003B578A"/>
    <w:rsid w:val="003B580C"/>
    <w:rsid w:val="003B5826"/>
    <w:rsid w:val="003B5D18"/>
    <w:rsid w:val="003B6E70"/>
    <w:rsid w:val="003B72DD"/>
    <w:rsid w:val="003B77A9"/>
    <w:rsid w:val="003B795D"/>
    <w:rsid w:val="003C005E"/>
    <w:rsid w:val="003C0646"/>
    <w:rsid w:val="003C113B"/>
    <w:rsid w:val="003C1685"/>
    <w:rsid w:val="003C26A6"/>
    <w:rsid w:val="003C26C1"/>
    <w:rsid w:val="003C4AC3"/>
    <w:rsid w:val="003C55E9"/>
    <w:rsid w:val="003C5C11"/>
    <w:rsid w:val="003C5F8F"/>
    <w:rsid w:val="003C6A5A"/>
    <w:rsid w:val="003C6AAD"/>
    <w:rsid w:val="003C7076"/>
    <w:rsid w:val="003C7572"/>
    <w:rsid w:val="003C772C"/>
    <w:rsid w:val="003C7F1F"/>
    <w:rsid w:val="003D08FE"/>
    <w:rsid w:val="003D10F0"/>
    <w:rsid w:val="003D1213"/>
    <w:rsid w:val="003D1AFE"/>
    <w:rsid w:val="003D1D4D"/>
    <w:rsid w:val="003D246E"/>
    <w:rsid w:val="003D2A67"/>
    <w:rsid w:val="003D3650"/>
    <w:rsid w:val="003D37DD"/>
    <w:rsid w:val="003D416B"/>
    <w:rsid w:val="003D42AD"/>
    <w:rsid w:val="003D45DF"/>
    <w:rsid w:val="003D47C6"/>
    <w:rsid w:val="003D531F"/>
    <w:rsid w:val="003D5373"/>
    <w:rsid w:val="003D557D"/>
    <w:rsid w:val="003D62D6"/>
    <w:rsid w:val="003D6A68"/>
    <w:rsid w:val="003D71D5"/>
    <w:rsid w:val="003D7264"/>
    <w:rsid w:val="003D7443"/>
    <w:rsid w:val="003D7E38"/>
    <w:rsid w:val="003D7EAC"/>
    <w:rsid w:val="003E067E"/>
    <w:rsid w:val="003E0A39"/>
    <w:rsid w:val="003E0DC4"/>
    <w:rsid w:val="003E0F87"/>
    <w:rsid w:val="003E14C7"/>
    <w:rsid w:val="003E1E3A"/>
    <w:rsid w:val="003E2CC7"/>
    <w:rsid w:val="003E3710"/>
    <w:rsid w:val="003E379A"/>
    <w:rsid w:val="003E391D"/>
    <w:rsid w:val="003E3DDF"/>
    <w:rsid w:val="003E5121"/>
    <w:rsid w:val="003E52B0"/>
    <w:rsid w:val="003E5D5E"/>
    <w:rsid w:val="003E5FF5"/>
    <w:rsid w:val="003E64DC"/>
    <w:rsid w:val="003E6562"/>
    <w:rsid w:val="003E7395"/>
    <w:rsid w:val="003E7A43"/>
    <w:rsid w:val="003F058F"/>
    <w:rsid w:val="003F0B58"/>
    <w:rsid w:val="003F0D40"/>
    <w:rsid w:val="003F131A"/>
    <w:rsid w:val="003F1431"/>
    <w:rsid w:val="003F14DF"/>
    <w:rsid w:val="003F1933"/>
    <w:rsid w:val="003F1A93"/>
    <w:rsid w:val="003F2236"/>
    <w:rsid w:val="003F27B7"/>
    <w:rsid w:val="003F2DBA"/>
    <w:rsid w:val="003F4051"/>
    <w:rsid w:val="003F4468"/>
    <w:rsid w:val="003F4527"/>
    <w:rsid w:val="003F51C7"/>
    <w:rsid w:val="003F5249"/>
    <w:rsid w:val="003F5812"/>
    <w:rsid w:val="003F5883"/>
    <w:rsid w:val="003F69A2"/>
    <w:rsid w:val="003F6AA4"/>
    <w:rsid w:val="003F6EA1"/>
    <w:rsid w:val="003F7731"/>
    <w:rsid w:val="003F78F2"/>
    <w:rsid w:val="003F7B57"/>
    <w:rsid w:val="003F7E36"/>
    <w:rsid w:val="004000FC"/>
    <w:rsid w:val="00400CFF"/>
    <w:rsid w:val="00400E4A"/>
    <w:rsid w:val="00402E9A"/>
    <w:rsid w:val="004030AF"/>
    <w:rsid w:val="0040318F"/>
    <w:rsid w:val="00403BCE"/>
    <w:rsid w:val="00403CF3"/>
    <w:rsid w:val="00403FA8"/>
    <w:rsid w:val="00404040"/>
    <w:rsid w:val="00404213"/>
    <w:rsid w:val="0040423B"/>
    <w:rsid w:val="004048AC"/>
    <w:rsid w:val="00404B8E"/>
    <w:rsid w:val="00404C01"/>
    <w:rsid w:val="004051ED"/>
    <w:rsid w:val="0040645C"/>
    <w:rsid w:val="004068C2"/>
    <w:rsid w:val="0040693F"/>
    <w:rsid w:val="00407B18"/>
    <w:rsid w:val="00410351"/>
    <w:rsid w:val="0041090D"/>
    <w:rsid w:val="004129BF"/>
    <w:rsid w:val="0041362A"/>
    <w:rsid w:val="00414451"/>
    <w:rsid w:val="00414AFA"/>
    <w:rsid w:val="00414F13"/>
    <w:rsid w:val="004153D9"/>
    <w:rsid w:val="00415E7F"/>
    <w:rsid w:val="00415F1A"/>
    <w:rsid w:val="0041612A"/>
    <w:rsid w:val="00416C94"/>
    <w:rsid w:val="00417573"/>
    <w:rsid w:val="00417B30"/>
    <w:rsid w:val="00417D2E"/>
    <w:rsid w:val="00420288"/>
    <w:rsid w:val="004203DE"/>
    <w:rsid w:val="0042066D"/>
    <w:rsid w:val="0042103D"/>
    <w:rsid w:val="00421C78"/>
    <w:rsid w:val="00421E43"/>
    <w:rsid w:val="004224CE"/>
    <w:rsid w:val="00422A71"/>
    <w:rsid w:val="00422C7B"/>
    <w:rsid w:val="00422DAE"/>
    <w:rsid w:val="00422E4A"/>
    <w:rsid w:val="0042305F"/>
    <w:rsid w:val="00423136"/>
    <w:rsid w:val="004244FA"/>
    <w:rsid w:val="004247B1"/>
    <w:rsid w:val="00424A78"/>
    <w:rsid w:val="00424D89"/>
    <w:rsid w:val="00425223"/>
    <w:rsid w:val="004253EE"/>
    <w:rsid w:val="004254DB"/>
    <w:rsid w:val="0042588D"/>
    <w:rsid w:val="004265B4"/>
    <w:rsid w:val="004268D4"/>
    <w:rsid w:val="00426A16"/>
    <w:rsid w:val="00426C5E"/>
    <w:rsid w:val="0042758C"/>
    <w:rsid w:val="0042763F"/>
    <w:rsid w:val="004279EC"/>
    <w:rsid w:val="00427EEA"/>
    <w:rsid w:val="00430478"/>
    <w:rsid w:val="004305AC"/>
    <w:rsid w:val="004305AD"/>
    <w:rsid w:val="004313A0"/>
    <w:rsid w:val="00431592"/>
    <w:rsid w:val="00431651"/>
    <w:rsid w:val="00431836"/>
    <w:rsid w:val="00431945"/>
    <w:rsid w:val="004321E6"/>
    <w:rsid w:val="0043278E"/>
    <w:rsid w:val="0043397A"/>
    <w:rsid w:val="00435230"/>
    <w:rsid w:val="004356A5"/>
    <w:rsid w:val="004360AC"/>
    <w:rsid w:val="00436250"/>
    <w:rsid w:val="0043646D"/>
    <w:rsid w:val="00436B83"/>
    <w:rsid w:val="00436ECD"/>
    <w:rsid w:val="0043735A"/>
    <w:rsid w:val="00437BFC"/>
    <w:rsid w:val="00437C43"/>
    <w:rsid w:val="00440006"/>
    <w:rsid w:val="00440F74"/>
    <w:rsid w:val="00441061"/>
    <w:rsid w:val="00441636"/>
    <w:rsid w:val="004422A7"/>
    <w:rsid w:val="0044332C"/>
    <w:rsid w:val="00443341"/>
    <w:rsid w:val="00443D38"/>
    <w:rsid w:val="00444713"/>
    <w:rsid w:val="00444871"/>
    <w:rsid w:val="004464B7"/>
    <w:rsid w:val="0044798D"/>
    <w:rsid w:val="00447BDB"/>
    <w:rsid w:val="00450032"/>
    <w:rsid w:val="00450980"/>
    <w:rsid w:val="00450C70"/>
    <w:rsid w:val="004517C7"/>
    <w:rsid w:val="00451A1D"/>
    <w:rsid w:val="004522D9"/>
    <w:rsid w:val="00452909"/>
    <w:rsid w:val="00453344"/>
    <w:rsid w:val="00453806"/>
    <w:rsid w:val="00454638"/>
    <w:rsid w:val="00454D0F"/>
    <w:rsid w:val="00454E76"/>
    <w:rsid w:val="004553B6"/>
    <w:rsid w:val="00456B8B"/>
    <w:rsid w:val="00457080"/>
    <w:rsid w:val="00460076"/>
    <w:rsid w:val="00460891"/>
    <w:rsid w:val="00460B8B"/>
    <w:rsid w:val="004617F5"/>
    <w:rsid w:val="004625B0"/>
    <w:rsid w:val="004626AA"/>
    <w:rsid w:val="004627D9"/>
    <w:rsid w:val="004638F4"/>
    <w:rsid w:val="004639B8"/>
    <w:rsid w:val="00463BBA"/>
    <w:rsid w:val="00463DE5"/>
    <w:rsid w:val="00464AC9"/>
    <w:rsid w:val="00464FB2"/>
    <w:rsid w:val="00466383"/>
    <w:rsid w:val="0046657E"/>
    <w:rsid w:val="00466CDC"/>
    <w:rsid w:val="004670E1"/>
    <w:rsid w:val="0046745E"/>
    <w:rsid w:val="00470093"/>
    <w:rsid w:val="0047148A"/>
    <w:rsid w:val="00471FD4"/>
    <w:rsid w:val="00472C71"/>
    <w:rsid w:val="00472E48"/>
    <w:rsid w:val="004733ED"/>
    <w:rsid w:val="004736BE"/>
    <w:rsid w:val="00474E49"/>
    <w:rsid w:val="0047556D"/>
    <w:rsid w:val="00475789"/>
    <w:rsid w:val="0047583A"/>
    <w:rsid w:val="00475DF9"/>
    <w:rsid w:val="00476170"/>
    <w:rsid w:val="00476492"/>
    <w:rsid w:val="00477801"/>
    <w:rsid w:val="00477812"/>
    <w:rsid w:val="004778BD"/>
    <w:rsid w:val="00477ECA"/>
    <w:rsid w:val="00477EE5"/>
    <w:rsid w:val="0048067C"/>
    <w:rsid w:val="00481E54"/>
    <w:rsid w:val="004820B0"/>
    <w:rsid w:val="0048241A"/>
    <w:rsid w:val="00482E2F"/>
    <w:rsid w:val="004834DC"/>
    <w:rsid w:val="0048417F"/>
    <w:rsid w:val="004841E1"/>
    <w:rsid w:val="0048495E"/>
    <w:rsid w:val="00484DF6"/>
    <w:rsid w:val="00485235"/>
    <w:rsid w:val="00485680"/>
    <w:rsid w:val="0048585C"/>
    <w:rsid w:val="004859B4"/>
    <w:rsid w:val="00486ACD"/>
    <w:rsid w:val="0048737E"/>
    <w:rsid w:val="00490066"/>
    <w:rsid w:val="004913B8"/>
    <w:rsid w:val="004917E8"/>
    <w:rsid w:val="00492841"/>
    <w:rsid w:val="00492C65"/>
    <w:rsid w:val="0049335B"/>
    <w:rsid w:val="0049387F"/>
    <w:rsid w:val="00493BC9"/>
    <w:rsid w:val="0049403F"/>
    <w:rsid w:val="00494323"/>
    <w:rsid w:val="00494349"/>
    <w:rsid w:val="00494485"/>
    <w:rsid w:val="00496EB4"/>
    <w:rsid w:val="00497A88"/>
    <w:rsid w:val="004A080A"/>
    <w:rsid w:val="004A09B8"/>
    <w:rsid w:val="004A0F27"/>
    <w:rsid w:val="004A0F37"/>
    <w:rsid w:val="004A0F68"/>
    <w:rsid w:val="004A1473"/>
    <w:rsid w:val="004A14FC"/>
    <w:rsid w:val="004A1981"/>
    <w:rsid w:val="004A1AC1"/>
    <w:rsid w:val="004A1B3E"/>
    <w:rsid w:val="004A2920"/>
    <w:rsid w:val="004A2DCF"/>
    <w:rsid w:val="004A3608"/>
    <w:rsid w:val="004A46EC"/>
    <w:rsid w:val="004A4A9F"/>
    <w:rsid w:val="004A4FBD"/>
    <w:rsid w:val="004A5211"/>
    <w:rsid w:val="004A55A6"/>
    <w:rsid w:val="004A5A59"/>
    <w:rsid w:val="004A5A90"/>
    <w:rsid w:val="004A5DF4"/>
    <w:rsid w:val="004A64E6"/>
    <w:rsid w:val="004A737D"/>
    <w:rsid w:val="004A746A"/>
    <w:rsid w:val="004A77C1"/>
    <w:rsid w:val="004A7810"/>
    <w:rsid w:val="004A7E93"/>
    <w:rsid w:val="004B0B64"/>
    <w:rsid w:val="004B3459"/>
    <w:rsid w:val="004B393D"/>
    <w:rsid w:val="004B3CFB"/>
    <w:rsid w:val="004B3FED"/>
    <w:rsid w:val="004B428A"/>
    <w:rsid w:val="004B49DF"/>
    <w:rsid w:val="004B4BDA"/>
    <w:rsid w:val="004B4CE6"/>
    <w:rsid w:val="004B4EE1"/>
    <w:rsid w:val="004B508E"/>
    <w:rsid w:val="004B56EF"/>
    <w:rsid w:val="004B5A94"/>
    <w:rsid w:val="004B5D6B"/>
    <w:rsid w:val="004B641B"/>
    <w:rsid w:val="004B6839"/>
    <w:rsid w:val="004B6EE6"/>
    <w:rsid w:val="004B744D"/>
    <w:rsid w:val="004B76F8"/>
    <w:rsid w:val="004B796A"/>
    <w:rsid w:val="004B7AFC"/>
    <w:rsid w:val="004C06D8"/>
    <w:rsid w:val="004C0914"/>
    <w:rsid w:val="004C0BE0"/>
    <w:rsid w:val="004C1C79"/>
    <w:rsid w:val="004C1FA6"/>
    <w:rsid w:val="004C2709"/>
    <w:rsid w:val="004C290F"/>
    <w:rsid w:val="004C38D1"/>
    <w:rsid w:val="004C3CC1"/>
    <w:rsid w:val="004C47F1"/>
    <w:rsid w:val="004C50C3"/>
    <w:rsid w:val="004C529F"/>
    <w:rsid w:val="004C5549"/>
    <w:rsid w:val="004C5CFD"/>
    <w:rsid w:val="004D0CC0"/>
    <w:rsid w:val="004D124C"/>
    <w:rsid w:val="004D12C0"/>
    <w:rsid w:val="004D12CE"/>
    <w:rsid w:val="004D174B"/>
    <w:rsid w:val="004D18EA"/>
    <w:rsid w:val="004D1981"/>
    <w:rsid w:val="004D19B6"/>
    <w:rsid w:val="004D2B27"/>
    <w:rsid w:val="004D3713"/>
    <w:rsid w:val="004D4E31"/>
    <w:rsid w:val="004D6254"/>
    <w:rsid w:val="004D6315"/>
    <w:rsid w:val="004D6A13"/>
    <w:rsid w:val="004D700C"/>
    <w:rsid w:val="004D72CB"/>
    <w:rsid w:val="004D7C0D"/>
    <w:rsid w:val="004D7DC7"/>
    <w:rsid w:val="004D7E99"/>
    <w:rsid w:val="004E000F"/>
    <w:rsid w:val="004E00CE"/>
    <w:rsid w:val="004E0557"/>
    <w:rsid w:val="004E05B9"/>
    <w:rsid w:val="004E066E"/>
    <w:rsid w:val="004E151B"/>
    <w:rsid w:val="004E2942"/>
    <w:rsid w:val="004E2BDB"/>
    <w:rsid w:val="004E4057"/>
    <w:rsid w:val="004E5BC1"/>
    <w:rsid w:val="004E778C"/>
    <w:rsid w:val="004E7CAF"/>
    <w:rsid w:val="004F0127"/>
    <w:rsid w:val="004F0432"/>
    <w:rsid w:val="004F04D4"/>
    <w:rsid w:val="004F06D2"/>
    <w:rsid w:val="004F0B51"/>
    <w:rsid w:val="004F1377"/>
    <w:rsid w:val="004F242B"/>
    <w:rsid w:val="004F2E45"/>
    <w:rsid w:val="004F3162"/>
    <w:rsid w:val="004F36AF"/>
    <w:rsid w:val="004F36F5"/>
    <w:rsid w:val="004F3BB5"/>
    <w:rsid w:val="004F4EE2"/>
    <w:rsid w:val="004F50AF"/>
    <w:rsid w:val="004F5BF2"/>
    <w:rsid w:val="004F6379"/>
    <w:rsid w:val="004F681D"/>
    <w:rsid w:val="004F6945"/>
    <w:rsid w:val="004F6E14"/>
    <w:rsid w:val="004F6E4B"/>
    <w:rsid w:val="004F71EC"/>
    <w:rsid w:val="005014DB"/>
    <w:rsid w:val="00501EF5"/>
    <w:rsid w:val="00501F6F"/>
    <w:rsid w:val="0050228C"/>
    <w:rsid w:val="005022B0"/>
    <w:rsid w:val="00502857"/>
    <w:rsid w:val="00502E5A"/>
    <w:rsid w:val="00503EDF"/>
    <w:rsid w:val="005044A9"/>
    <w:rsid w:val="00504DED"/>
    <w:rsid w:val="00505994"/>
    <w:rsid w:val="00505AB5"/>
    <w:rsid w:val="00505CBC"/>
    <w:rsid w:val="00505FD4"/>
    <w:rsid w:val="005064AD"/>
    <w:rsid w:val="00506C31"/>
    <w:rsid w:val="00506E25"/>
    <w:rsid w:val="005071F4"/>
    <w:rsid w:val="0051008B"/>
    <w:rsid w:val="0051132C"/>
    <w:rsid w:val="00511629"/>
    <w:rsid w:val="0051188A"/>
    <w:rsid w:val="005130D9"/>
    <w:rsid w:val="00513483"/>
    <w:rsid w:val="005146BA"/>
    <w:rsid w:val="00514919"/>
    <w:rsid w:val="00514A55"/>
    <w:rsid w:val="00514B51"/>
    <w:rsid w:val="00514EF5"/>
    <w:rsid w:val="005150F8"/>
    <w:rsid w:val="0051782D"/>
    <w:rsid w:val="00517948"/>
    <w:rsid w:val="00520110"/>
    <w:rsid w:val="0052087E"/>
    <w:rsid w:val="00520E24"/>
    <w:rsid w:val="00521613"/>
    <w:rsid w:val="00521B4A"/>
    <w:rsid w:val="00521F8E"/>
    <w:rsid w:val="0052315E"/>
    <w:rsid w:val="00523203"/>
    <w:rsid w:val="005244B9"/>
    <w:rsid w:val="00525635"/>
    <w:rsid w:val="00525991"/>
    <w:rsid w:val="005266C8"/>
    <w:rsid w:val="005273D5"/>
    <w:rsid w:val="005277B7"/>
    <w:rsid w:val="00530ED3"/>
    <w:rsid w:val="00531340"/>
    <w:rsid w:val="005313EF"/>
    <w:rsid w:val="005316CF"/>
    <w:rsid w:val="00531BD9"/>
    <w:rsid w:val="0053219B"/>
    <w:rsid w:val="0053245C"/>
    <w:rsid w:val="00532A88"/>
    <w:rsid w:val="00534097"/>
    <w:rsid w:val="0053438E"/>
    <w:rsid w:val="005355EE"/>
    <w:rsid w:val="00535B16"/>
    <w:rsid w:val="00535CA6"/>
    <w:rsid w:val="005366D0"/>
    <w:rsid w:val="0053796B"/>
    <w:rsid w:val="00537E27"/>
    <w:rsid w:val="00537F79"/>
    <w:rsid w:val="005400DA"/>
    <w:rsid w:val="005407D9"/>
    <w:rsid w:val="00540B4D"/>
    <w:rsid w:val="00540BAF"/>
    <w:rsid w:val="00540DFF"/>
    <w:rsid w:val="00540FFA"/>
    <w:rsid w:val="005413A7"/>
    <w:rsid w:val="005414C5"/>
    <w:rsid w:val="00541559"/>
    <w:rsid w:val="005422B5"/>
    <w:rsid w:val="00542842"/>
    <w:rsid w:val="00542862"/>
    <w:rsid w:val="00542930"/>
    <w:rsid w:val="005430E1"/>
    <w:rsid w:val="005435B3"/>
    <w:rsid w:val="00543E68"/>
    <w:rsid w:val="00544001"/>
    <w:rsid w:val="00544384"/>
    <w:rsid w:val="00544FB6"/>
    <w:rsid w:val="005451F7"/>
    <w:rsid w:val="005465BB"/>
    <w:rsid w:val="005468D6"/>
    <w:rsid w:val="00546CCB"/>
    <w:rsid w:val="005471BB"/>
    <w:rsid w:val="00547A88"/>
    <w:rsid w:val="00547B78"/>
    <w:rsid w:val="00547D2C"/>
    <w:rsid w:val="00550849"/>
    <w:rsid w:val="0055121F"/>
    <w:rsid w:val="00551FB7"/>
    <w:rsid w:val="005527DB"/>
    <w:rsid w:val="00552C97"/>
    <w:rsid w:val="00553558"/>
    <w:rsid w:val="00554087"/>
    <w:rsid w:val="00554B32"/>
    <w:rsid w:val="00554BF3"/>
    <w:rsid w:val="00555D8B"/>
    <w:rsid w:val="00555EA0"/>
    <w:rsid w:val="0055625C"/>
    <w:rsid w:val="0055655F"/>
    <w:rsid w:val="0055657D"/>
    <w:rsid w:val="005567F6"/>
    <w:rsid w:val="00560D0D"/>
    <w:rsid w:val="00561443"/>
    <w:rsid w:val="00561DE9"/>
    <w:rsid w:val="00562801"/>
    <w:rsid w:val="00563569"/>
    <w:rsid w:val="00563B47"/>
    <w:rsid w:val="00563FD2"/>
    <w:rsid w:val="00564048"/>
    <w:rsid w:val="005648F8"/>
    <w:rsid w:val="00564E69"/>
    <w:rsid w:val="0056519E"/>
    <w:rsid w:val="00565FB1"/>
    <w:rsid w:val="005662FB"/>
    <w:rsid w:val="00566DE1"/>
    <w:rsid w:val="00567781"/>
    <w:rsid w:val="00567B1A"/>
    <w:rsid w:val="00567ECC"/>
    <w:rsid w:val="005713B1"/>
    <w:rsid w:val="005727A0"/>
    <w:rsid w:val="00574589"/>
    <w:rsid w:val="00574AA5"/>
    <w:rsid w:val="00574E00"/>
    <w:rsid w:val="00576286"/>
    <w:rsid w:val="0057694C"/>
    <w:rsid w:val="00576A93"/>
    <w:rsid w:val="00576AB4"/>
    <w:rsid w:val="00576B65"/>
    <w:rsid w:val="005805D9"/>
    <w:rsid w:val="00580A7C"/>
    <w:rsid w:val="0058188C"/>
    <w:rsid w:val="00582E98"/>
    <w:rsid w:val="00582FAB"/>
    <w:rsid w:val="00583090"/>
    <w:rsid w:val="0058321D"/>
    <w:rsid w:val="005835F4"/>
    <w:rsid w:val="00583EFE"/>
    <w:rsid w:val="00584155"/>
    <w:rsid w:val="005841A3"/>
    <w:rsid w:val="00585BB7"/>
    <w:rsid w:val="005860A4"/>
    <w:rsid w:val="00587151"/>
    <w:rsid w:val="005875B6"/>
    <w:rsid w:val="005900BC"/>
    <w:rsid w:val="005904B2"/>
    <w:rsid w:val="00590EAE"/>
    <w:rsid w:val="0059112A"/>
    <w:rsid w:val="00592A01"/>
    <w:rsid w:val="00592B51"/>
    <w:rsid w:val="00593216"/>
    <w:rsid w:val="00593A11"/>
    <w:rsid w:val="00594138"/>
    <w:rsid w:val="005943D9"/>
    <w:rsid w:val="005945EE"/>
    <w:rsid w:val="00594655"/>
    <w:rsid w:val="00594BC3"/>
    <w:rsid w:val="00594E5F"/>
    <w:rsid w:val="005958D3"/>
    <w:rsid w:val="0059649B"/>
    <w:rsid w:val="00596CA7"/>
    <w:rsid w:val="00596DC8"/>
    <w:rsid w:val="00596E16"/>
    <w:rsid w:val="00596E80"/>
    <w:rsid w:val="005A010D"/>
    <w:rsid w:val="005A164A"/>
    <w:rsid w:val="005A16A3"/>
    <w:rsid w:val="005A1C48"/>
    <w:rsid w:val="005A2406"/>
    <w:rsid w:val="005A253A"/>
    <w:rsid w:val="005A2F01"/>
    <w:rsid w:val="005A30FD"/>
    <w:rsid w:val="005A3189"/>
    <w:rsid w:val="005A333B"/>
    <w:rsid w:val="005A338D"/>
    <w:rsid w:val="005A3C86"/>
    <w:rsid w:val="005A4285"/>
    <w:rsid w:val="005A5935"/>
    <w:rsid w:val="005A5D3D"/>
    <w:rsid w:val="005A6E2F"/>
    <w:rsid w:val="005A7008"/>
    <w:rsid w:val="005A7E04"/>
    <w:rsid w:val="005B0056"/>
    <w:rsid w:val="005B0102"/>
    <w:rsid w:val="005B164B"/>
    <w:rsid w:val="005B1C4D"/>
    <w:rsid w:val="005B264B"/>
    <w:rsid w:val="005B2AD2"/>
    <w:rsid w:val="005B3060"/>
    <w:rsid w:val="005B39E7"/>
    <w:rsid w:val="005B3BF5"/>
    <w:rsid w:val="005B4421"/>
    <w:rsid w:val="005B6188"/>
    <w:rsid w:val="005B686F"/>
    <w:rsid w:val="005B7177"/>
    <w:rsid w:val="005B74BB"/>
    <w:rsid w:val="005B777C"/>
    <w:rsid w:val="005B7929"/>
    <w:rsid w:val="005B7E90"/>
    <w:rsid w:val="005C04D3"/>
    <w:rsid w:val="005C07DA"/>
    <w:rsid w:val="005C095B"/>
    <w:rsid w:val="005C11BD"/>
    <w:rsid w:val="005C1837"/>
    <w:rsid w:val="005C1B6F"/>
    <w:rsid w:val="005C1C0E"/>
    <w:rsid w:val="005C1D5C"/>
    <w:rsid w:val="005C25D1"/>
    <w:rsid w:val="005C35A9"/>
    <w:rsid w:val="005C37A3"/>
    <w:rsid w:val="005C457A"/>
    <w:rsid w:val="005C464B"/>
    <w:rsid w:val="005C54FA"/>
    <w:rsid w:val="005C7354"/>
    <w:rsid w:val="005C74A0"/>
    <w:rsid w:val="005C7DEC"/>
    <w:rsid w:val="005D052C"/>
    <w:rsid w:val="005D16FE"/>
    <w:rsid w:val="005D1EAE"/>
    <w:rsid w:val="005D240B"/>
    <w:rsid w:val="005D25E3"/>
    <w:rsid w:val="005D32CF"/>
    <w:rsid w:val="005D3482"/>
    <w:rsid w:val="005D3C5C"/>
    <w:rsid w:val="005D3E39"/>
    <w:rsid w:val="005D4084"/>
    <w:rsid w:val="005D4777"/>
    <w:rsid w:val="005D4815"/>
    <w:rsid w:val="005D4B58"/>
    <w:rsid w:val="005D4C2B"/>
    <w:rsid w:val="005D5F14"/>
    <w:rsid w:val="005D7894"/>
    <w:rsid w:val="005E080F"/>
    <w:rsid w:val="005E0DDF"/>
    <w:rsid w:val="005E11EB"/>
    <w:rsid w:val="005E2211"/>
    <w:rsid w:val="005E3306"/>
    <w:rsid w:val="005E3906"/>
    <w:rsid w:val="005E46A4"/>
    <w:rsid w:val="005E57A6"/>
    <w:rsid w:val="005E6615"/>
    <w:rsid w:val="005E69E1"/>
    <w:rsid w:val="005E6CE7"/>
    <w:rsid w:val="005E70BF"/>
    <w:rsid w:val="005E7953"/>
    <w:rsid w:val="005E7E82"/>
    <w:rsid w:val="005F0121"/>
    <w:rsid w:val="005F0177"/>
    <w:rsid w:val="005F0762"/>
    <w:rsid w:val="005F2A5A"/>
    <w:rsid w:val="005F2EE3"/>
    <w:rsid w:val="005F33B8"/>
    <w:rsid w:val="005F33F2"/>
    <w:rsid w:val="005F419F"/>
    <w:rsid w:val="005F4BEA"/>
    <w:rsid w:val="005F5EAE"/>
    <w:rsid w:val="005F62F7"/>
    <w:rsid w:val="005F645B"/>
    <w:rsid w:val="005F66EB"/>
    <w:rsid w:val="005F67DD"/>
    <w:rsid w:val="005F6C28"/>
    <w:rsid w:val="005F6E8E"/>
    <w:rsid w:val="005F7AB6"/>
    <w:rsid w:val="005F7E3C"/>
    <w:rsid w:val="0060001C"/>
    <w:rsid w:val="00600972"/>
    <w:rsid w:val="00600D7D"/>
    <w:rsid w:val="00600E7B"/>
    <w:rsid w:val="00600F24"/>
    <w:rsid w:val="00600F91"/>
    <w:rsid w:val="00600FA8"/>
    <w:rsid w:val="006026A3"/>
    <w:rsid w:val="00603977"/>
    <w:rsid w:val="00603C3C"/>
    <w:rsid w:val="00603EE8"/>
    <w:rsid w:val="0060429D"/>
    <w:rsid w:val="00604F3D"/>
    <w:rsid w:val="00605A9B"/>
    <w:rsid w:val="00605BAE"/>
    <w:rsid w:val="00606068"/>
    <w:rsid w:val="006063DA"/>
    <w:rsid w:val="00606CE3"/>
    <w:rsid w:val="00610A12"/>
    <w:rsid w:val="00610DD3"/>
    <w:rsid w:val="00611DD3"/>
    <w:rsid w:val="00611E02"/>
    <w:rsid w:val="00611EF0"/>
    <w:rsid w:val="006121E9"/>
    <w:rsid w:val="00612219"/>
    <w:rsid w:val="006125A8"/>
    <w:rsid w:val="0061291A"/>
    <w:rsid w:val="00612E04"/>
    <w:rsid w:val="00613179"/>
    <w:rsid w:val="006143F0"/>
    <w:rsid w:val="0061468D"/>
    <w:rsid w:val="00614C1F"/>
    <w:rsid w:val="0061569A"/>
    <w:rsid w:val="00616E5C"/>
    <w:rsid w:val="00617277"/>
    <w:rsid w:val="006173A4"/>
    <w:rsid w:val="00617C44"/>
    <w:rsid w:val="00622CE4"/>
    <w:rsid w:val="006234A7"/>
    <w:rsid w:val="006236F8"/>
    <w:rsid w:val="006237C6"/>
    <w:rsid w:val="006246ED"/>
    <w:rsid w:val="00624FAE"/>
    <w:rsid w:val="0062571E"/>
    <w:rsid w:val="0062585F"/>
    <w:rsid w:val="00625917"/>
    <w:rsid w:val="00625B7F"/>
    <w:rsid w:val="00626AF7"/>
    <w:rsid w:val="00627144"/>
    <w:rsid w:val="0062789F"/>
    <w:rsid w:val="006301BE"/>
    <w:rsid w:val="0063030B"/>
    <w:rsid w:val="006307C5"/>
    <w:rsid w:val="006307F2"/>
    <w:rsid w:val="0063096E"/>
    <w:rsid w:val="00630B6E"/>
    <w:rsid w:val="00631055"/>
    <w:rsid w:val="00632485"/>
    <w:rsid w:val="00632EA9"/>
    <w:rsid w:val="00633349"/>
    <w:rsid w:val="00633D61"/>
    <w:rsid w:val="0063402A"/>
    <w:rsid w:val="0063402B"/>
    <w:rsid w:val="00636095"/>
    <w:rsid w:val="00636295"/>
    <w:rsid w:val="0063648C"/>
    <w:rsid w:val="00636570"/>
    <w:rsid w:val="0063693E"/>
    <w:rsid w:val="00636AF1"/>
    <w:rsid w:val="00636EBA"/>
    <w:rsid w:val="00637901"/>
    <w:rsid w:val="00637955"/>
    <w:rsid w:val="00637E1B"/>
    <w:rsid w:val="006402DF"/>
    <w:rsid w:val="00640BE1"/>
    <w:rsid w:val="00640DDF"/>
    <w:rsid w:val="0064164B"/>
    <w:rsid w:val="006417B1"/>
    <w:rsid w:val="006420AE"/>
    <w:rsid w:val="00642C1F"/>
    <w:rsid w:val="00643B34"/>
    <w:rsid w:val="00643D3B"/>
    <w:rsid w:val="00644468"/>
    <w:rsid w:val="0064472A"/>
    <w:rsid w:val="0064501B"/>
    <w:rsid w:val="0064510E"/>
    <w:rsid w:val="00645F5E"/>
    <w:rsid w:val="0064645E"/>
    <w:rsid w:val="006474AE"/>
    <w:rsid w:val="00647B1E"/>
    <w:rsid w:val="00647C55"/>
    <w:rsid w:val="0065008B"/>
    <w:rsid w:val="0065076D"/>
    <w:rsid w:val="00651CB8"/>
    <w:rsid w:val="0065201C"/>
    <w:rsid w:val="00652130"/>
    <w:rsid w:val="00652608"/>
    <w:rsid w:val="00653365"/>
    <w:rsid w:val="00653776"/>
    <w:rsid w:val="00653A3B"/>
    <w:rsid w:val="00653B07"/>
    <w:rsid w:val="00653D93"/>
    <w:rsid w:val="00653FD9"/>
    <w:rsid w:val="0065459E"/>
    <w:rsid w:val="00654619"/>
    <w:rsid w:val="00654D42"/>
    <w:rsid w:val="00654E1B"/>
    <w:rsid w:val="00655200"/>
    <w:rsid w:val="0065563B"/>
    <w:rsid w:val="00656328"/>
    <w:rsid w:val="006563FF"/>
    <w:rsid w:val="00656DA0"/>
    <w:rsid w:val="006572DA"/>
    <w:rsid w:val="00657B86"/>
    <w:rsid w:val="00660279"/>
    <w:rsid w:val="00660D2D"/>
    <w:rsid w:val="0066144D"/>
    <w:rsid w:val="00661B6A"/>
    <w:rsid w:val="00661DD8"/>
    <w:rsid w:val="006622B9"/>
    <w:rsid w:val="006625C6"/>
    <w:rsid w:val="00662A87"/>
    <w:rsid w:val="00662E1E"/>
    <w:rsid w:val="0066371E"/>
    <w:rsid w:val="00663D0D"/>
    <w:rsid w:val="00664807"/>
    <w:rsid w:val="0066491D"/>
    <w:rsid w:val="0066497C"/>
    <w:rsid w:val="00664F03"/>
    <w:rsid w:val="00664F25"/>
    <w:rsid w:val="006653F9"/>
    <w:rsid w:val="00665679"/>
    <w:rsid w:val="006659DA"/>
    <w:rsid w:val="00666FAB"/>
    <w:rsid w:val="00667388"/>
    <w:rsid w:val="00667F0C"/>
    <w:rsid w:val="006711A3"/>
    <w:rsid w:val="006716B7"/>
    <w:rsid w:val="0067213F"/>
    <w:rsid w:val="006724AD"/>
    <w:rsid w:val="00672BAB"/>
    <w:rsid w:val="0067314A"/>
    <w:rsid w:val="0067345C"/>
    <w:rsid w:val="00673D1E"/>
    <w:rsid w:val="006742AA"/>
    <w:rsid w:val="00675063"/>
    <w:rsid w:val="00675839"/>
    <w:rsid w:val="00676239"/>
    <w:rsid w:val="0067677D"/>
    <w:rsid w:val="006775A1"/>
    <w:rsid w:val="0067762A"/>
    <w:rsid w:val="006779CF"/>
    <w:rsid w:val="00677A8F"/>
    <w:rsid w:val="00677F8A"/>
    <w:rsid w:val="00681178"/>
    <w:rsid w:val="00681719"/>
    <w:rsid w:val="006819C0"/>
    <w:rsid w:val="00681A5B"/>
    <w:rsid w:val="006821E3"/>
    <w:rsid w:val="0068241F"/>
    <w:rsid w:val="006826E6"/>
    <w:rsid w:val="0068282C"/>
    <w:rsid w:val="006832FA"/>
    <w:rsid w:val="00683643"/>
    <w:rsid w:val="00683AD6"/>
    <w:rsid w:val="00683B69"/>
    <w:rsid w:val="006842AE"/>
    <w:rsid w:val="00685749"/>
    <w:rsid w:val="00685A3D"/>
    <w:rsid w:val="00685AE2"/>
    <w:rsid w:val="00687BE9"/>
    <w:rsid w:val="0069097D"/>
    <w:rsid w:val="00690D00"/>
    <w:rsid w:val="00691464"/>
    <w:rsid w:val="00691C39"/>
    <w:rsid w:val="00691E48"/>
    <w:rsid w:val="006929F9"/>
    <w:rsid w:val="00692B89"/>
    <w:rsid w:val="0069323C"/>
    <w:rsid w:val="00693CAC"/>
    <w:rsid w:val="00693E21"/>
    <w:rsid w:val="00694523"/>
    <w:rsid w:val="00694FDC"/>
    <w:rsid w:val="00695046"/>
    <w:rsid w:val="0069541E"/>
    <w:rsid w:val="0069591B"/>
    <w:rsid w:val="00696CBD"/>
    <w:rsid w:val="00696FD6"/>
    <w:rsid w:val="006A3542"/>
    <w:rsid w:val="006A5773"/>
    <w:rsid w:val="006A5804"/>
    <w:rsid w:val="006A58F0"/>
    <w:rsid w:val="006A5902"/>
    <w:rsid w:val="006A6407"/>
    <w:rsid w:val="006A65A5"/>
    <w:rsid w:val="006A6730"/>
    <w:rsid w:val="006A7851"/>
    <w:rsid w:val="006A7E4A"/>
    <w:rsid w:val="006B0372"/>
    <w:rsid w:val="006B0764"/>
    <w:rsid w:val="006B1B20"/>
    <w:rsid w:val="006B20B0"/>
    <w:rsid w:val="006B24DD"/>
    <w:rsid w:val="006B2BC0"/>
    <w:rsid w:val="006B2C2E"/>
    <w:rsid w:val="006B3C26"/>
    <w:rsid w:val="006B4467"/>
    <w:rsid w:val="006B4E00"/>
    <w:rsid w:val="006B5194"/>
    <w:rsid w:val="006B52A4"/>
    <w:rsid w:val="006B59B3"/>
    <w:rsid w:val="006B6C46"/>
    <w:rsid w:val="006B6E78"/>
    <w:rsid w:val="006B7B83"/>
    <w:rsid w:val="006B7C24"/>
    <w:rsid w:val="006C0039"/>
    <w:rsid w:val="006C0286"/>
    <w:rsid w:val="006C094B"/>
    <w:rsid w:val="006C1752"/>
    <w:rsid w:val="006C17EB"/>
    <w:rsid w:val="006C1927"/>
    <w:rsid w:val="006C1949"/>
    <w:rsid w:val="006C1C6A"/>
    <w:rsid w:val="006C20FB"/>
    <w:rsid w:val="006C2585"/>
    <w:rsid w:val="006C2A15"/>
    <w:rsid w:val="006C2A2A"/>
    <w:rsid w:val="006C2DC0"/>
    <w:rsid w:val="006C4008"/>
    <w:rsid w:val="006C447F"/>
    <w:rsid w:val="006C4C00"/>
    <w:rsid w:val="006C55C4"/>
    <w:rsid w:val="006C5931"/>
    <w:rsid w:val="006C65EC"/>
    <w:rsid w:val="006C73EF"/>
    <w:rsid w:val="006C7483"/>
    <w:rsid w:val="006D0202"/>
    <w:rsid w:val="006D035D"/>
    <w:rsid w:val="006D05D8"/>
    <w:rsid w:val="006D1723"/>
    <w:rsid w:val="006D2343"/>
    <w:rsid w:val="006D2A2A"/>
    <w:rsid w:val="006D2D35"/>
    <w:rsid w:val="006D39CC"/>
    <w:rsid w:val="006D4F04"/>
    <w:rsid w:val="006D544E"/>
    <w:rsid w:val="006D5D3F"/>
    <w:rsid w:val="006D60ED"/>
    <w:rsid w:val="006D78D9"/>
    <w:rsid w:val="006E10C9"/>
    <w:rsid w:val="006E1166"/>
    <w:rsid w:val="006E13C2"/>
    <w:rsid w:val="006E1807"/>
    <w:rsid w:val="006E3B39"/>
    <w:rsid w:val="006E468A"/>
    <w:rsid w:val="006E52F2"/>
    <w:rsid w:val="006E596E"/>
    <w:rsid w:val="006E7A72"/>
    <w:rsid w:val="006F033F"/>
    <w:rsid w:val="006F0492"/>
    <w:rsid w:val="006F04AC"/>
    <w:rsid w:val="006F1D6D"/>
    <w:rsid w:val="006F24D8"/>
    <w:rsid w:val="006F2B81"/>
    <w:rsid w:val="006F33B8"/>
    <w:rsid w:val="006F407A"/>
    <w:rsid w:val="006F461B"/>
    <w:rsid w:val="006F4C9C"/>
    <w:rsid w:val="006F5790"/>
    <w:rsid w:val="006F5D4E"/>
    <w:rsid w:val="006F640F"/>
    <w:rsid w:val="006F6E84"/>
    <w:rsid w:val="006F762A"/>
    <w:rsid w:val="006F78B2"/>
    <w:rsid w:val="007010DF"/>
    <w:rsid w:val="0070143D"/>
    <w:rsid w:val="00701B6B"/>
    <w:rsid w:val="007025C6"/>
    <w:rsid w:val="0070351C"/>
    <w:rsid w:val="00703649"/>
    <w:rsid w:val="0070384F"/>
    <w:rsid w:val="00703A9E"/>
    <w:rsid w:val="00703D6D"/>
    <w:rsid w:val="00704152"/>
    <w:rsid w:val="007043FE"/>
    <w:rsid w:val="0070492B"/>
    <w:rsid w:val="00704E0A"/>
    <w:rsid w:val="00704E8A"/>
    <w:rsid w:val="00704FB5"/>
    <w:rsid w:val="007051AC"/>
    <w:rsid w:val="00705352"/>
    <w:rsid w:val="0070564D"/>
    <w:rsid w:val="00705C71"/>
    <w:rsid w:val="00706552"/>
    <w:rsid w:val="007067AB"/>
    <w:rsid w:val="00706B71"/>
    <w:rsid w:val="00706EB7"/>
    <w:rsid w:val="0070768B"/>
    <w:rsid w:val="00710B7D"/>
    <w:rsid w:val="00711142"/>
    <w:rsid w:val="007112C7"/>
    <w:rsid w:val="0071277A"/>
    <w:rsid w:val="00712EE5"/>
    <w:rsid w:val="00713493"/>
    <w:rsid w:val="00713494"/>
    <w:rsid w:val="00714031"/>
    <w:rsid w:val="00714365"/>
    <w:rsid w:val="0071466E"/>
    <w:rsid w:val="00714A6C"/>
    <w:rsid w:val="00714CD3"/>
    <w:rsid w:val="00714CDB"/>
    <w:rsid w:val="00715B55"/>
    <w:rsid w:val="007163C7"/>
    <w:rsid w:val="00716FD9"/>
    <w:rsid w:val="0071712A"/>
    <w:rsid w:val="0071769A"/>
    <w:rsid w:val="00720024"/>
    <w:rsid w:val="007200F5"/>
    <w:rsid w:val="00720315"/>
    <w:rsid w:val="007206A8"/>
    <w:rsid w:val="00720956"/>
    <w:rsid w:val="00720F75"/>
    <w:rsid w:val="0072116D"/>
    <w:rsid w:val="007212D2"/>
    <w:rsid w:val="00721548"/>
    <w:rsid w:val="00721934"/>
    <w:rsid w:val="00721AEE"/>
    <w:rsid w:val="00721B2C"/>
    <w:rsid w:val="0072226F"/>
    <w:rsid w:val="007235F3"/>
    <w:rsid w:val="00723D04"/>
    <w:rsid w:val="00724209"/>
    <w:rsid w:val="00725892"/>
    <w:rsid w:val="00725B78"/>
    <w:rsid w:val="00727082"/>
    <w:rsid w:val="00727186"/>
    <w:rsid w:val="00730136"/>
    <w:rsid w:val="00730A7E"/>
    <w:rsid w:val="0073120C"/>
    <w:rsid w:val="007313BC"/>
    <w:rsid w:val="00731699"/>
    <w:rsid w:val="00731C59"/>
    <w:rsid w:val="007320E1"/>
    <w:rsid w:val="0073233C"/>
    <w:rsid w:val="00732473"/>
    <w:rsid w:val="00732B3F"/>
    <w:rsid w:val="00732D0C"/>
    <w:rsid w:val="00732E78"/>
    <w:rsid w:val="00733D66"/>
    <w:rsid w:val="00733EAD"/>
    <w:rsid w:val="00734F54"/>
    <w:rsid w:val="00737443"/>
    <w:rsid w:val="00737C04"/>
    <w:rsid w:val="0074243B"/>
    <w:rsid w:val="00744110"/>
    <w:rsid w:val="007441E9"/>
    <w:rsid w:val="00744331"/>
    <w:rsid w:val="00744595"/>
    <w:rsid w:val="007446C2"/>
    <w:rsid w:val="00744E63"/>
    <w:rsid w:val="007452EE"/>
    <w:rsid w:val="00745A30"/>
    <w:rsid w:val="00747345"/>
    <w:rsid w:val="00747821"/>
    <w:rsid w:val="00747A52"/>
    <w:rsid w:val="007509B7"/>
    <w:rsid w:val="00750DD0"/>
    <w:rsid w:val="00750DF5"/>
    <w:rsid w:val="00750EEA"/>
    <w:rsid w:val="00750F1E"/>
    <w:rsid w:val="0075106E"/>
    <w:rsid w:val="00751C12"/>
    <w:rsid w:val="007524D7"/>
    <w:rsid w:val="00752691"/>
    <w:rsid w:val="007528F2"/>
    <w:rsid w:val="0075534D"/>
    <w:rsid w:val="007553EC"/>
    <w:rsid w:val="0075589A"/>
    <w:rsid w:val="00755BB8"/>
    <w:rsid w:val="00755F9B"/>
    <w:rsid w:val="007564A2"/>
    <w:rsid w:val="00756F05"/>
    <w:rsid w:val="007575C4"/>
    <w:rsid w:val="007579A0"/>
    <w:rsid w:val="00757A38"/>
    <w:rsid w:val="007603BC"/>
    <w:rsid w:val="0076050F"/>
    <w:rsid w:val="007610C3"/>
    <w:rsid w:val="007615B3"/>
    <w:rsid w:val="00762C21"/>
    <w:rsid w:val="00763700"/>
    <w:rsid w:val="00763B2B"/>
    <w:rsid w:val="0076427C"/>
    <w:rsid w:val="0076439A"/>
    <w:rsid w:val="00764D9C"/>
    <w:rsid w:val="00764E5E"/>
    <w:rsid w:val="00765217"/>
    <w:rsid w:val="007659AA"/>
    <w:rsid w:val="00766564"/>
    <w:rsid w:val="007667B6"/>
    <w:rsid w:val="00766B8A"/>
    <w:rsid w:val="00766C90"/>
    <w:rsid w:val="00766CBB"/>
    <w:rsid w:val="00767866"/>
    <w:rsid w:val="00767F69"/>
    <w:rsid w:val="007713DB"/>
    <w:rsid w:val="0077217F"/>
    <w:rsid w:val="0077266C"/>
    <w:rsid w:val="00772802"/>
    <w:rsid w:val="00772A09"/>
    <w:rsid w:val="007731D6"/>
    <w:rsid w:val="00773A9C"/>
    <w:rsid w:val="00773E05"/>
    <w:rsid w:val="00773EE4"/>
    <w:rsid w:val="0077420B"/>
    <w:rsid w:val="007747FD"/>
    <w:rsid w:val="00775066"/>
    <w:rsid w:val="00775328"/>
    <w:rsid w:val="007760EB"/>
    <w:rsid w:val="00776406"/>
    <w:rsid w:val="007764F4"/>
    <w:rsid w:val="0077676A"/>
    <w:rsid w:val="0077676E"/>
    <w:rsid w:val="00777391"/>
    <w:rsid w:val="00777706"/>
    <w:rsid w:val="0078005A"/>
    <w:rsid w:val="007801DA"/>
    <w:rsid w:val="00780370"/>
    <w:rsid w:val="00780F75"/>
    <w:rsid w:val="007811C6"/>
    <w:rsid w:val="00781B19"/>
    <w:rsid w:val="00781B6F"/>
    <w:rsid w:val="00781CC7"/>
    <w:rsid w:val="00781E43"/>
    <w:rsid w:val="00781F9C"/>
    <w:rsid w:val="00782703"/>
    <w:rsid w:val="0078284C"/>
    <w:rsid w:val="00782DFD"/>
    <w:rsid w:val="007837B1"/>
    <w:rsid w:val="00783BCD"/>
    <w:rsid w:val="00783EDC"/>
    <w:rsid w:val="00784424"/>
    <w:rsid w:val="0078497D"/>
    <w:rsid w:val="00785474"/>
    <w:rsid w:val="0078565B"/>
    <w:rsid w:val="00785AE2"/>
    <w:rsid w:val="0078634F"/>
    <w:rsid w:val="00786A52"/>
    <w:rsid w:val="00787B99"/>
    <w:rsid w:val="00787C44"/>
    <w:rsid w:val="00791810"/>
    <w:rsid w:val="0079185F"/>
    <w:rsid w:val="007918AA"/>
    <w:rsid w:val="00791ED7"/>
    <w:rsid w:val="00792B1A"/>
    <w:rsid w:val="00793042"/>
    <w:rsid w:val="007931C4"/>
    <w:rsid w:val="00793A10"/>
    <w:rsid w:val="007941C2"/>
    <w:rsid w:val="0079421C"/>
    <w:rsid w:val="0079450D"/>
    <w:rsid w:val="00794B09"/>
    <w:rsid w:val="0079526D"/>
    <w:rsid w:val="00795A2C"/>
    <w:rsid w:val="00795F59"/>
    <w:rsid w:val="0079615C"/>
    <w:rsid w:val="00797390"/>
    <w:rsid w:val="0079747C"/>
    <w:rsid w:val="00797601"/>
    <w:rsid w:val="007A005C"/>
    <w:rsid w:val="007A05B6"/>
    <w:rsid w:val="007A0DD4"/>
    <w:rsid w:val="007A103D"/>
    <w:rsid w:val="007A1C0A"/>
    <w:rsid w:val="007A1C59"/>
    <w:rsid w:val="007A23F7"/>
    <w:rsid w:val="007A2F7C"/>
    <w:rsid w:val="007A4406"/>
    <w:rsid w:val="007A49DA"/>
    <w:rsid w:val="007A542F"/>
    <w:rsid w:val="007A5AC2"/>
    <w:rsid w:val="007A5B41"/>
    <w:rsid w:val="007A5D08"/>
    <w:rsid w:val="007A6E04"/>
    <w:rsid w:val="007B04EE"/>
    <w:rsid w:val="007B06FA"/>
    <w:rsid w:val="007B0C97"/>
    <w:rsid w:val="007B1825"/>
    <w:rsid w:val="007B1929"/>
    <w:rsid w:val="007B333A"/>
    <w:rsid w:val="007B39C7"/>
    <w:rsid w:val="007B3EEC"/>
    <w:rsid w:val="007B46B1"/>
    <w:rsid w:val="007B5792"/>
    <w:rsid w:val="007B642C"/>
    <w:rsid w:val="007C1660"/>
    <w:rsid w:val="007C1A28"/>
    <w:rsid w:val="007C31E2"/>
    <w:rsid w:val="007C36D0"/>
    <w:rsid w:val="007C3D2B"/>
    <w:rsid w:val="007C58A4"/>
    <w:rsid w:val="007C5CE1"/>
    <w:rsid w:val="007C60C2"/>
    <w:rsid w:val="007C6A88"/>
    <w:rsid w:val="007C6F85"/>
    <w:rsid w:val="007C737D"/>
    <w:rsid w:val="007C74D8"/>
    <w:rsid w:val="007C75AF"/>
    <w:rsid w:val="007D0569"/>
    <w:rsid w:val="007D0915"/>
    <w:rsid w:val="007D0927"/>
    <w:rsid w:val="007D0C06"/>
    <w:rsid w:val="007D16B1"/>
    <w:rsid w:val="007D17B4"/>
    <w:rsid w:val="007D19E4"/>
    <w:rsid w:val="007D256E"/>
    <w:rsid w:val="007D2EF6"/>
    <w:rsid w:val="007D3BD0"/>
    <w:rsid w:val="007D3FCC"/>
    <w:rsid w:val="007D44E5"/>
    <w:rsid w:val="007D451C"/>
    <w:rsid w:val="007D46C4"/>
    <w:rsid w:val="007D49BF"/>
    <w:rsid w:val="007D4ED4"/>
    <w:rsid w:val="007D4FE0"/>
    <w:rsid w:val="007D6170"/>
    <w:rsid w:val="007D6185"/>
    <w:rsid w:val="007D64FE"/>
    <w:rsid w:val="007D7400"/>
    <w:rsid w:val="007D7761"/>
    <w:rsid w:val="007D79FF"/>
    <w:rsid w:val="007D7E1D"/>
    <w:rsid w:val="007E02A7"/>
    <w:rsid w:val="007E04AB"/>
    <w:rsid w:val="007E05B6"/>
    <w:rsid w:val="007E0E3D"/>
    <w:rsid w:val="007E0FC0"/>
    <w:rsid w:val="007E1FF2"/>
    <w:rsid w:val="007E21FB"/>
    <w:rsid w:val="007E2CB3"/>
    <w:rsid w:val="007E3E8C"/>
    <w:rsid w:val="007E41DD"/>
    <w:rsid w:val="007E468A"/>
    <w:rsid w:val="007E479A"/>
    <w:rsid w:val="007E4FB7"/>
    <w:rsid w:val="007E51A5"/>
    <w:rsid w:val="007E5CB9"/>
    <w:rsid w:val="007E5FC1"/>
    <w:rsid w:val="007E7633"/>
    <w:rsid w:val="007E7806"/>
    <w:rsid w:val="007E7F4C"/>
    <w:rsid w:val="007E7F88"/>
    <w:rsid w:val="007F0577"/>
    <w:rsid w:val="007F0B36"/>
    <w:rsid w:val="007F0C11"/>
    <w:rsid w:val="007F14EE"/>
    <w:rsid w:val="007F2864"/>
    <w:rsid w:val="007F3018"/>
    <w:rsid w:val="007F35CD"/>
    <w:rsid w:val="007F3B02"/>
    <w:rsid w:val="007F3BEB"/>
    <w:rsid w:val="007F52CF"/>
    <w:rsid w:val="007F5901"/>
    <w:rsid w:val="007F5ACD"/>
    <w:rsid w:val="007F5C41"/>
    <w:rsid w:val="007F73EC"/>
    <w:rsid w:val="007F74AA"/>
    <w:rsid w:val="007F765A"/>
    <w:rsid w:val="007F788B"/>
    <w:rsid w:val="007F7E39"/>
    <w:rsid w:val="0080000F"/>
    <w:rsid w:val="00801648"/>
    <w:rsid w:val="008018F1"/>
    <w:rsid w:val="00802465"/>
    <w:rsid w:val="008046D9"/>
    <w:rsid w:val="00805B1E"/>
    <w:rsid w:val="008060C3"/>
    <w:rsid w:val="008063A1"/>
    <w:rsid w:val="00806CCA"/>
    <w:rsid w:val="00807C0E"/>
    <w:rsid w:val="00807F00"/>
    <w:rsid w:val="00807F75"/>
    <w:rsid w:val="00810054"/>
    <w:rsid w:val="008106B5"/>
    <w:rsid w:val="008107BC"/>
    <w:rsid w:val="008109D6"/>
    <w:rsid w:val="00810A7C"/>
    <w:rsid w:val="00811159"/>
    <w:rsid w:val="008111F5"/>
    <w:rsid w:val="00812095"/>
    <w:rsid w:val="008134BD"/>
    <w:rsid w:val="00813C04"/>
    <w:rsid w:val="0081435E"/>
    <w:rsid w:val="00814656"/>
    <w:rsid w:val="00815253"/>
    <w:rsid w:val="008152E7"/>
    <w:rsid w:val="00815F39"/>
    <w:rsid w:val="00820955"/>
    <w:rsid w:val="00820DEE"/>
    <w:rsid w:val="00820E45"/>
    <w:rsid w:val="00821E2C"/>
    <w:rsid w:val="00822306"/>
    <w:rsid w:val="00822835"/>
    <w:rsid w:val="008236A9"/>
    <w:rsid w:val="008236C4"/>
    <w:rsid w:val="00823CA6"/>
    <w:rsid w:val="00823F5C"/>
    <w:rsid w:val="008244C9"/>
    <w:rsid w:val="00824566"/>
    <w:rsid w:val="0082464C"/>
    <w:rsid w:val="00825254"/>
    <w:rsid w:val="008252B3"/>
    <w:rsid w:val="008263A2"/>
    <w:rsid w:val="00826758"/>
    <w:rsid w:val="008269CD"/>
    <w:rsid w:val="00826BE1"/>
    <w:rsid w:val="008272B7"/>
    <w:rsid w:val="0083053E"/>
    <w:rsid w:val="0083144E"/>
    <w:rsid w:val="00831E2B"/>
    <w:rsid w:val="00831EF3"/>
    <w:rsid w:val="00832C52"/>
    <w:rsid w:val="00832E34"/>
    <w:rsid w:val="008339A2"/>
    <w:rsid w:val="008347F3"/>
    <w:rsid w:val="00834DC2"/>
    <w:rsid w:val="00834E94"/>
    <w:rsid w:val="00834EC5"/>
    <w:rsid w:val="00835138"/>
    <w:rsid w:val="008353E0"/>
    <w:rsid w:val="0083593B"/>
    <w:rsid w:val="00836234"/>
    <w:rsid w:val="008365F0"/>
    <w:rsid w:val="008376F3"/>
    <w:rsid w:val="00837F7A"/>
    <w:rsid w:val="00840006"/>
    <w:rsid w:val="00840559"/>
    <w:rsid w:val="00840D18"/>
    <w:rsid w:val="00841534"/>
    <w:rsid w:val="00841739"/>
    <w:rsid w:val="00843840"/>
    <w:rsid w:val="00843B5D"/>
    <w:rsid w:val="008446EA"/>
    <w:rsid w:val="008450BF"/>
    <w:rsid w:val="008452A1"/>
    <w:rsid w:val="008462F1"/>
    <w:rsid w:val="00846930"/>
    <w:rsid w:val="008477C5"/>
    <w:rsid w:val="00850FDE"/>
    <w:rsid w:val="00851D65"/>
    <w:rsid w:val="00851F02"/>
    <w:rsid w:val="008521A9"/>
    <w:rsid w:val="00852876"/>
    <w:rsid w:val="00853FC9"/>
    <w:rsid w:val="00854018"/>
    <w:rsid w:val="008543F5"/>
    <w:rsid w:val="00854AB8"/>
    <w:rsid w:val="00855004"/>
    <w:rsid w:val="008556AF"/>
    <w:rsid w:val="00855759"/>
    <w:rsid w:val="00856013"/>
    <w:rsid w:val="0085623A"/>
    <w:rsid w:val="00856BA3"/>
    <w:rsid w:val="00856F68"/>
    <w:rsid w:val="008572C4"/>
    <w:rsid w:val="0085733E"/>
    <w:rsid w:val="00857CA1"/>
    <w:rsid w:val="00860008"/>
    <w:rsid w:val="008604A8"/>
    <w:rsid w:val="00860577"/>
    <w:rsid w:val="00860736"/>
    <w:rsid w:val="0086083B"/>
    <w:rsid w:val="00861AFA"/>
    <w:rsid w:val="00862244"/>
    <w:rsid w:val="00862B9F"/>
    <w:rsid w:val="00862E86"/>
    <w:rsid w:val="0086309A"/>
    <w:rsid w:val="00863C61"/>
    <w:rsid w:val="008642C0"/>
    <w:rsid w:val="00865522"/>
    <w:rsid w:val="008658E5"/>
    <w:rsid w:val="00865ADF"/>
    <w:rsid w:val="00865F40"/>
    <w:rsid w:val="008661B9"/>
    <w:rsid w:val="0086644C"/>
    <w:rsid w:val="008666B5"/>
    <w:rsid w:val="00866728"/>
    <w:rsid w:val="00867933"/>
    <w:rsid w:val="00867D17"/>
    <w:rsid w:val="008700D9"/>
    <w:rsid w:val="00870320"/>
    <w:rsid w:val="00870393"/>
    <w:rsid w:val="008703B3"/>
    <w:rsid w:val="00870938"/>
    <w:rsid w:val="00871056"/>
    <w:rsid w:val="00871189"/>
    <w:rsid w:val="008715C8"/>
    <w:rsid w:val="00871B7B"/>
    <w:rsid w:val="00872013"/>
    <w:rsid w:val="00872532"/>
    <w:rsid w:val="00873953"/>
    <w:rsid w:val="008749D8"/>
    <w:rsid w:val="00874B05"/>
    <w:rsid w:val="00874B6D"/>
    <w:rsid w:val="00875A20"/>
    <w:rsid w:val="00875A3B"/>
    <w:rsid w:val="00875A7D"/>
    <w:rsid w:val="00876330"/>
    <w:rsid w:val="00876985"/>
    <w:rsid w:val="0088042F"/>
    <w:rsid w:val="0088063E"/>
    <w:rsid w:val="00880889"/>
    <w:rsid w:val="00880934"/>
    <w:rsid w:val="0088151C"/>
    <w:rsid w:val="00881D24"/>
    <w:rsid w:val="00882844"/>
    <w:rsid w:val="00882B2A"/>
    <w:rsid w:val="00882D5C"/>
    <w:rsid w:val="00882DEF"/>
    <w:rsid w:val="00883295"/>
    <w:rsid w:val="00883780"/>
    <w:rsid w:val="00883B99"/>
    <w:rsid w:val="00884A3D"/>
    <w:rsid w:val="00885066"/>
    <w:rsid w:val="00885471"/>
    <w:rsid w:val="00885798"/>
    <w:rsid w:val="00885F85"/>
    <w:rsid w:val="0088665E"/>
    <w:rsid w:val="00886A1F"/>
    <w:rsid w:val="00887068"/>
    <w:rsid w:val="0089050E"/>
    <w:rsid w:val="00890585"/>
    <w:rsid w:val="00890827"/>
    <w:rsid w:val="008908AD"/>
    <w:rsid w:val="00891208"/>
    <w:rsid w:val="00891241"/>
    <w:rsid w:val="008912DE"/>
    <w:rsid w:val="00891829"/>
    <w:rsid w:val="00891AE4"/>
    <w:rsid w:val="00891CC6"/>
    <w:rsid w:val="00891DB9"/>
    <w:rsid w:val="008923C8"/>
    <w:rsid w:val="00892B50"/>
    <w:rsid w:val="00893260"/>
    <w:rsid w:val="008932A8"/>
    <w:rsid w:val="00893756"/>
    <w:rsid w:val="00894205"/>
    <w:rsid w:val="00894A1A"/>
    <w:rsid w:val="00894A9E"/>
    <w:rsid w:val="00894AD7"/>
    <w:rsid w:val="008950F6"/>
    <w:rsid w:val="008956E7"/>
    <w:rsid w:val="00895863"/>
    <w:rsid w:val="00896815"/>
    <w:rsid w:val="00897327"/>
    <w:rsid w:val="00897703"/>
    <w:rsid w:val="008A0744"/>
    <w:rsid w:val="008A0A6E"/>
    <w:rsid w:val="008A0AF5"/>
    <w:rsid w:val="008A0B6D"/>
    <w:rsid w:val="008A0D0F"/>
    <w:rsid w:val="008A13A9"/>
    <w:rsid w:val="008A2F33"/>
    <w:rsid w:val="008A2FB3"/>
    <w:rsid w:val="008A398B"/>
    <w:rsid w:val="008A3EA7"/>
    <w:rsid w:val="008A3F2B"/>
    <w:rsid w:val="008A3F61"/>
    <w:rsid w:val="008A405A"/>
    <w:rsid w:val="008A4A08"/>
    <w:rsid w:val="008A4C9C"/>
    <w:rsid w:val="008A556A"/>
    <w:rsid w:val="008A5601"/>
    <w:rsid w:val="008A59AD"/>
    <w:rsid w:val="008A64C4"/>
    <w:rsid w:val="008A7285"/>
    <w:rsid w:val="008A7E16"/>
    <w:rsid w:val="008A7E46"/>
    <w:rsid w:val="008B028D"/>
    <w:rsid w:val="008B0666"/>
    <w:rsid w:val="008B0EEB"/>
    <w:rsid w:val="008B159E"/>
    <w:rsid w:val="008B1D71"/>
    <w:rsid w:val="008B36DF"/>
    <w:rsid w:val="008B3EF5"/>
    <w:rsid w:val="008B4205"/>
    <w:rsid w:val="008B431D"/>
    <w:rsid w:val="008B43E6"/>
    <w:rsid w:val="008B4F16"/>
    <w:rsid w:val="008B51C3"/>
    <w:rsid w:val="008B51FD"/>
    <w:rsid w:val="008B529F"/>
    <w:rsid w:val="008B601A"/>
    <w:rsid w:val="008B672E"/>
    <w:rsid w:val="008B6902"/>
    <w:rsid w:val="008B7186"/>
    <w:rsid w:val="008B7762"/>
    <w:rsid w:val="008B7BD0"/>
    <w:rsid w:val="008B7C25"/>
    <w:rsid w:val="008B7E5A"/>
    <w:rsid w:val="008C035E"/>
    <w:rsid w:val="008C0823"/>
    <w:rsid w:val="008C12DD"/>
    <w:rsid w:val="008C1501"/>
    <w:rsid w:val="008C1939"/>
    <w:rsid w:val="008C1B3A"/>
    <w:rsid w:val="008C2845"/>
    <w:rsid w:val="008C2E2F"/>
    <w:rsid w:val="008C3396"/>
    <w:rsid w:val="008C34D5"/>
    <w:rsid w:val="008C36B4"/>
    <w:rsid w:val="008C4104"/>
    <w:rsid w:val="008C4875"/>
    <w:rsid w:val="008C4CF7"/>
    <w:rsid w:val="008C589B"/>
    <w:rsid w:val="008C621C"/>
    <w:rsid w:val="008C62B6"/>
    <w:rsid w:val="008C697C"/>
    <w:rsid w:val="008C705D"/>
    <w:rsid w:val="008C75D1"/>
    <w:rsid w:val="008C75ED"/>
    <w:rsid w:val="008C7649"/>
    <w:rsid w:val="008C7D40"/>
    <w:rsid w:val="008C7FE3"/>
    <w:rsid w:val="008D1285"/>
    <w:rsid w:val="008D16E6"/>
    <w:rsid w:val="008D1BBA"/>
    <w:rsid w:val="008D2CF1"/>
    <w:rsid w:val="008D33D6"/>
    <w:rsid w:val="008D36E9"/>
    <w:rsid w:val="008D4B46"/>
    <w:rsid w:val="008D6CED"/>
    <w:rsid w:val="008D70DF"/>
    <w:rsid w:val="008E0991"/>
    <w:rsid w:val="008E0B56"/>
    <w:rsid w:val="008E1209"/>
    <w:rsid w:val="008E1DF5"/>
    <w:rsid w:val="008E214C"/>
    <w:rsid w:val="008E2472"/>
    <w:rsid w:val="008E2515"/>
    <w:rsid w:val="008E2F16"/>
    <w:rsid w:val="008E331D"/>
    <w:rsid w:val="008E338E"/>
    <w:rsid w:val="008E3DFB"/>
    <w:rsid w:val="008E57FE"/>
    <w:rsid w:val="008E590A"/>
    <w:rsid w:val="008E79BA"/>
    <w:rsid w:val="008F0E88"/>
    <w:rsid w:val="008F16BF"/>
    <w:rsid w:val="008F1719"/>
    <w:rsid w:val="008F1A9B"/>
    <w:rsid w:val="008F2665"/>
    <w:rsid w:val="008F2944"/>
    <w:rsid w:val="008F5E0B"/>
    <w:rsid w:val="008F6376"/>
    <w:rsid w:val="008F757D"/>
    <w:rsid w:val="008F7AE6"/>
    <w:rsid w:val="009003E1"/>
    <w:rsid w:val="0090055F"/>
    <w:rsid w:val="00900CC2"/>
    <w:rsid w:val="00900FF6"/>
    <w:rsid w:val="009019FB"/>
    <w:rsid w:val="009039D9"/>
    <w:rsid w:val="00905016"/>
    <w:rsid w:val="00905836"/>
    <w:rsid w:val="00905B05"/>
    <w:rsid w:val="00905D94"/>
    <w:rsid w:val="00905F33"/>
    <w:rsid w:val="009068CB"/>
    <w:rsid w:val="00906909"/>
    <w:rsid w:val="00906C25"/>
    <w:rsid w:val="00906D1A"/>
    <w:rsid w:val="00907206"/>
    <w:rsid w:val="0090753C"/>
    <w:rsid w:val="00910167"/>
    <w:rsid w:val="0091032B"/>
    <w:rsid w:val="009104E5"/>
    <w:rsid w:val="009106C9"/>
    <w:rsid w:val="00910C18"/>
    <w:rsid w:val="00910CE4"/>
    <w:rsid w:val="009116AF"/>
    <w:rsid w:val="00911B66"/>
    <w:rsid w:val="00911DEF"/>
    <w:rsid w:val="00912404"/>
    <w:rsid w:val="00912A7E"/>
    <w:rsid w:val="00912F05"/>
    <w:rsid w:val="00915330"/>
    <w:rsid w:val="00915B51"/>
    <w:rsid w:val="00916198"/>
    <w:rsid w:val="00916526"/>
    <w:rsid w:val="0091652E"/>
    <w:rsid w:val="00916E69"/>
    <w:rsid w:val="00917525"/>
    <w:rsid w:val="0091777D"/>
    <w:rsid w:val="00917823"/>
    <w:rsid w:val="00917B1B"/>
    <w:rsid w:val="00917B99"/>
    <w:rsid w:val="00917D0E"/>
    <w:rsid w:val="0092057D"/>
    <w:rsid w:val="00921398"/>
    <w:rsid w:val="0092142E"/>
    <w:rsid w:val="009218DE"/>
    <w:rsid w:val="009220E9"/>
    <w:rsid w:val="00922D00"/>
    <w:rsid w:val="00923F17"/>
    <w:rsid w:val="00923F26"/>
    <w:rsid w:val="009240B8"/>
    <w:rsid w:val="009246CF"/>
    <w:rsid w:val="009258CF"/>
    <w:rsid w:val="009266DA"/>
    <w:rsid w:val="00926BA5"/>
    <w:rsid w:val="0092726C"/>
    <w:rsid w:val="00927323"/>
    <w:rsid w:val="009278DF"/>
    <w:rsid w:val="009300C0"/>
    <w:rsid w:val="00930DE8"/>
    <w:rsid w:val="00930DEE"/>
    <w:rsid w:val="009318DD"/>
    <w:rsid w:val="00931FA1"/>
    <w:rsid w:val="0093283F"/>
    <w:rsid w:val="00932A84"/>
    <w:rsid w:val="00933CF0"/>
    <w:rsid w:val="00933F58"/>
    <w:rsid w:val="009342CF"/>
    <w:rsid w:val="009345DD"/>
    <w:rsid w:val="00934B5A"/>
    <w:rsid w:val="009351D5"/>
    <w:rsid w:val="00935413"/>
    <w:rsid w:val="00935619"/>
    <w:rsid w:val="00935F5D"/>
    <w:rsid w:val="00936082"/>
    <w:rsid w:val="00936290"/>
    <w:rsid w:val="009368E0"/>
    <w:rsid w:val="0093788D"/>
    <w:rsid w:val="0094004F"/>
    <w:rsid w:val="00940481"/>
    <w:rsid w:val="00941206"/>
    <w:rsid w:val="0094253C"/>
    <w:rsid w:val="0094260B"/>
    <w:rsid w:val="00942661"/>
    <w:rsid w:val="00942696"/>
    <w:rsid w:val="009430F7"/>
    <w:rsid w:val="009434B4"/>
    <w:rsid w:val="00943647"/>
    <w:rsid w:val="009448C8"/>
    <w:rsid w:val="00945307"/>
    <w:rsid w:val="0094558D"/>
    <w:rsid w:val="0094699A"/>
    <w:rsid w:val="00946C8F"/>
    <w:rsid w:val="00946FCE"/>
    <w:rsid w:val="00947AD5"/>
    <w:rsid w:val="00947D59"/>
    <w:rsid w:val="00950326"/>
    <w:rsid w:val="0095049C"/>
    <w:rsid w:val="009515BC"/>
    <w:rsid w:val="0095215A"/>
    <w:rsid w:val="00952E10"/>
    <w:rsid w:val="0095393C"/>
    <w:rsid w:val="00953ED0"/>
    <w:rsid w:val="00954217"/>
    <w:rsid w:val="0095492E"/>
    <w:rsid w:val="00954A0D"/>
    <w:rsid w:val="00954CD4"/>
    <w:rsid w:val="00955671"/>
    <w:rsid w:val="00955F7D"/>
    <w:rsid w:val="00956634"/>
    <w:rsid w:val="00956985"/>
    <w:rsid w:val="0095737B"/>
    <w:rsid w:val="009574BD"/>
    <w:rsid w:val="00957661"/>
    <w:rsid w:val="0096055C"/>
    <w:rsid w:val="0096062B"/>
    <w:rsid w:val="0096082F"/>
    <w:rsid w:val="00960A45"/>
    <w:rsid w:val="00960F07"/>
    <w:rsid w:val="00961048"/>
    <w:rsid w:val="00962086"/>
    <w:rsid w:val="0096242F"/>
    <w:rsid w:val="00962709"/>
    <w:rsid w:val="00962DC4"/>
    <w:rsid w:val="00962E3B"/>
    <w:rsid w:val="00962EF6"/>
    <w:rsid w:val="00962FF5"/>
    <w:rsid w:val="00963079"/>
    <w:rsid w:val="009644EE"/>
    <w:rsid w:val="00964A4E"/>
    <w:rsid w:val="009658A7"/>
    <w:rsid w:val="00965B02"/>
    <w:rsid w:val="00965C07"/>
    <w:rsid w:val="00965D2D"/>
    <w:rsid w:val="00966554"/>
    <w:rsid w:val="00966B85"/>
    <w:rsid w:val="00967CF2"/>
    <w:rsid w:val="00970BA7"/>
    <w:rsid w:val="00970C7F"/>
    <w:rsid w:val="00970F82"/>
    <w:rsid w:val="00971107"/>
    <w:rsid w:val="00971847"/>
    <w:rsid w:val="00971C46"/>
    <w:rsid w:val="00971D49"/>
    <w:rsid w:val="00971D64"/>
    <w:rsid w:val="00971F7A"/>
    <w:rsid w:val="00971FE2"/>
    <w:rsid w:val="00972964"/>
    <w:rsid w:val="00973BC8"/>
    <w:rsid w:val="00973E6C"/>
    <w:rsid w:val="00974D0F"/>
    <w:rsid w:val="0097581E"/>
    <w:rsid w:val="00976764"/>
    <w:rsid w:val="00976E60"/>
    <w:rsid w:val="00977267"/>
    <w:rsid w:val="0097762F"/>
    <w:rsid w:val="0098028A"/>
    <w:rsid w:val="0098086F"/>
    <w:rsid w:val="00980FAA"/>
    <w:rsid w:val="00981698"/>
    <w:rsid w:val="009816B8"/>
    <w:rsid w:val="00981B57"/>
    <w:rsid w:val="009831B6"/>
    <w:rsid w:val="009835D7"/>
    <w:rsid w:val="00983B45"/>
    <w:rsid w:val="00983BE5"/>
    <w:rsid w:val="00984330"/>
    <w:rsid w:val="00985720"/>
    <w:rsid w:val="00985CA0"/>
    <w:rsid w:val="00987000"/>
    <w:rsid w:val="0098766F"/>
    <w:rsid w:val="0099088E"/>
    <w:rsid w:val="009917A5"/>
    <w:rsid w:val="00991C36"/>
    <w:rsid w:val="00992470"/>
    <w:rsid w:val="0099275D"/>
    <w:rsid w:val="00993912"/>
    <w:rsid w:val="00993EE3"/>
    <w:rsid w:val="00994050"/>
    <w:rsid w:val="00995A3A"/>
    <w:rsid w:val="00995C3C"/>
    <w:rsid w:val="009962CF"/>
    <w:rsid w:val="009967BE"/>
    <w:rsid w:val="009969D6"/>
    <w:rsid w:val="00996FA8"/>
    <w:rsid w:val="00997877"/>
    <w:rsid w:val="009A00A5"/>
    <w:rsid w:val="009A045E"/>
    <w:rsid w:val="009A0480"/>
    <w:rsid w:val="009A101F"/>
    <w:rsid w:val="009A124E"/>
    <w:rsid w:val="009A140A"/>
    <w:rsid w:val="009A14F7"/>
    <w:rsid w:val="009A22D7"/>
    <w:rsid w:val="009A2679"/>
    <w:rsid w:val="009A2F2F"/>
    <w:rsid w:val="009A3D65"/>
    <w:rsid w:val="009A4543"/>
    <w:rsid w:val="009A47BF"/>
    <w:rsid w:val="009A4832"/>
    <w:rsid w:val="009A4A5B"/>
    <w:rsid w:val="009A51FF"/>
    <w:rsid w:val="009A5B4A"/>
    <w:rsid w:val="009A5DB1"/>
    <w:rsid w:val="009A658E"/>
    <w:rsid w:val="009A6A66"/>
    <w:rsid w:val="009A6A9C"/>
    <w:rsid w:val="009A7573"/>
    <w:rsid w:val="009A7C5A"/>
    <w:rsid w:val="009A7E51"/>
    <w:rsid w:val="009B11D3"/>
    <w:rsid w:val="009B21B9"/>
    <w:rsid w:val="009B2277"/>
    <w:rsid w:val="009B2880"/>
    <w:rsid w:val="009B34C2"/>
    <w:rsid w:val="009B3DC8"/>
    <w:rsid w:val="009B4381"/>
    <w:rsid w:val="009B4798"/>
    <w:rsid w:val="009B481B"/>
    <w:rsid w:val="009B4CD0"/>
    <w:rsid w:val="009B4DA7"/>
    <w:rsid w:val="009B530A"/>
    <w:rsid w:val="009B553B"/>
    <w:rsid w:val="009B55A2"/>
    <w:rsid w:val="009B5C6A"/>
    <w:rsid w:val="009B61F8"/>
    <w:rsid w:val="009B67B9"/>
    <w:rsid w:val="009B6B8C"/>
    <w:rsid w:val="009B73E4"/>
    <w:rsid w:val="009B7DC6"/>
    <w:rsid w:val="009C075B"/>
    <w:rsid w:val="009C17F8"/>
    <w:rsid w:val="009C180A"/>
    <w:rsid w:val="009C1895"/>
    <w:rsid w:val="009C1937"/>
    <w:rsid w:val="009C21C6"/>
    <w:rsid w:val="009C37E8"/>
    <w:rsid w:val="009C383B"/>
    <w:rsid w:val="009C3902"/>
    <w:rsid w:val="009C3A80"/>
    <w:rsid w:val="009C46EF"/>
    <w:rsid w:val="009C5238"/>
    <w:rsid w:val="009C6AEC"/>
    <w:rsid w:val="009C70FF"/>
    <w:rsid w:val="009C7AEF"/>
    <w:rsid w:val="009D12B4"/>
    <w:rsid w:val="009D1984"/>
    <w:rsid w:val="009D1E70"/>
    <w:rsid w:val="009D2135"/>
    <w:rsid w:val="009D2FA7"/>
    <w:rsid w:val="009D38AD"/>
    <w:rsid w:val="009D3902"/>
    <w:rsid w:val="009D4393"/>
    <w:rsid w:val="009D4859"/>
    <w:rsid w:val="009D4929"/>
    <w:rsid w:val="009D4CAE"/>
    <w:rsid w:val="009D4E7C"/>
    <w:rsid w:val="009D55F9"/>
    <w:rsid w:val="009D5A11"/>
    <w:rsid w:val="009D7760"/>
    <w:rsid w:val="009D7AE5"/>
    <w:rsid w:val="009E0C1B"/>
    <w:rsid w:val="009E16E6"/>
    <w:rsid w:val="009E2953"/>
    <w:rsid w:val="009E2AA7"/>
    <w:rsid w:val="009E30CE"/>
    <w:rsid w:val="009E33A0"/>
    <w:rsid w:val="009E3BC1"/>
    <w:rsid w:val="009E4849"/>
    <w:rsid w:val="009E4A19"/>
    <w:rsid w:val="009E5283"/>
    <w:rsid w:val="009E5848"/>
    <w:rsid w:val="009E67E6"/>
    <w:rsid w:val="009E7AEE"/>
    <w:rsid w:val="009E7D3E"/>
    <w:rsid w:val="009F006B"/>
    <w:rsid w:val="009F00A9"/>
    <w:rsid w:val="009F01D9"/>
    <w:rsid w:val="009F04C3"/>
    <w:rsid w:val="009F0740"/>
    <w:rsid w:val="009F0760"/>
    <w:rsid w:val="009F0863"/>
    <w:rsid w:val="009F0E56"/>
    <w:rsid w:val="009F1343"/>
    <w:rsid w:val="009F1E7F"/>
    <w:rsid w:val="009F2A10"/>
    <w:rsid w:val="009F2A34"/>
    <w:rsid w:val="009F2BAE"/>
    <w:rsid w:val="009F3B29"/>
    <w:rsid w:val="009F42CE"/>
    <w:rsid w:val="009F4860"/>
    <w:rsid w:val="009F49C4"/>
    <w:rsid w:val="009F566E"/>
    <w:rsid w:val="00A00057"/>
    <w:rsid w:val="00A00485"/>
    <w:rsid w:val="00A01475"/>
    <w:rsid w:val="00A01A5F"/>
    <w:rsid w:val="00A0215B"/>
    <w:rsid w:val="00A023DA"/>
    <w:rsid w:val="00A02B88"/>
    <w:rsid w:val="00A02C96"/>
    <w:rsid w:val="00A02E65"/>
    <w:rsid w:val="00A02E66"/>
    <w:rsid w:val="00A02E9C"/>
    <w:rsid w:val="00A0340A"/>
    <w:rsid w:val="00A0440C"/>
    <w:rsid w:val="00A04879"/>
    <w:rsid w:val="00A05753"/>
    <w:rsid w:val="00A0585F"/>
    <w:rsid w:val="00A05AB6"/>
    <w:rsid w:val="00A05C79"/>
    <w:rsid w:val="00A0694A"/>
    <w:rsid w:val="00A07C85"/>
    <w:rsid w:val="00A10A30"/>
    <w:rsid w:val="00A10CA5"/>
    <w:rsid w:val="00A10FB5"/>
    <w:rsid w:val="00A1137C"/>
    <w:rsid w:val="00A113D7"/>
    <w:rsid w:val="00A11548"/>
    <w:rsid w:val="00A1194F"/>
    <w:rsid w:val="00A11F0F"/>
    <w:rsid w:val="00A12A73"/>
    <w:rsid w:val="00A13BC2"/>
    <w:rsid w:val="00A147D5"/>
    <w:rsid w:val="00A14FA2"/>
    <w:rsid w:val="00A15487"/>
    <w:rsid w:val="00A157E2"/>
    <w:rsid w:val="00A16126"/>
    <w:rsid w:val="00A176AE"/>
    <w:rsid w:val="00A2014C"/>
    <w:rsid w:val="00A203C4"/>
    <w:rsid w:val="00A21080"/>
    <w:rsid w:val="00A21955"/>
    <w:rsid w:val="00A21E42"/>
    <w:rsid w:val="00A24133"/>
    <w:rsid w:val="00A24369"/>
    <w:rsid w:val="00A24B19"/>
    <w:rsid w:val="00A2501B"/>
    <w:rsid w:val="00A25AFC"/>
    <w:rsid w:val="00A262BF"/>
    <w:rsid w:val="00A26823"/>
    <w:rsid w:val="00A270FE"/>
    <w:rsid w:val="00A2746F"/>
    <w:rsid w:val="00A27809"/>
    <w:rsid w:val="00A27B00"/>
    <w:rsid w:val="00A30533"/>
    <w:rsid w:val="00A308A4"/>
    <w:rsid w:val="00A317B0"/>
    <w:rsid w:val="00A32001"/>
    <w:rsid w:val="00A321BA"/>
    <w:rsid w:val="00A32C78"/>
    <w:rsid w:val="00A32D8A"/>
    <w:rsid w:val="00A32E96"/>
    <w:rsid w:val="00A336FC"/>
    <w:rsid w:val="00A34577"/>
    <w:rsid w:val="00A34591"/>
    <w:rsid w:val="00A34E44"/>
    <w:rsid w:val="00A3596D"/>
    <w:rsid w:val="00A3640F"/>
    <w:rsid w:val="00A36696"/>
    <w:rsid w:val="00A372F0"/>
    <w:rsid w:val="00A4003D"/>
    <w:rsid w:val="00A40180"/>
    <w:rsid w:val="00A40CE2"/>
    <w:rsid w:val="00A41398"/>
    <w:rsid w:val="00A41DCA"/>
    <w:rsid w:val="00A432BB"/>
    <w:rsid w:val="00A43393"/>
    <w:rsid w:val="00A43E8E"/>
    <w:rsid w:val="00A43EDC"/>
    <w:rsid w:val="00A4450A"/>
    <w:rsid w:val="00A4498A"/>
    <w:rsid w:val="00A44DAD"/>
    <w:rsid w:val="00A44E4F"/>
    <w:rsid w:val="00A45BB8"/>
    <w:rsid w:val="00A45DC0"/>
    <w:rsid w:val="00A46633"/>
    <w:rsid w:val="00A46D4D"/>
    <w:rsid w:val="00A46F17"/>
    <w:rsid w:val="00A47176"/>
    <w:rsid w:val="00A474BB"/>
    <w:rsid w:val="00A475C5"/>
    <w:rsid w:val="00A4768C"/>
    <w:rsid w:val="00A47A0D"/>
    <w:rsid w:val="00A47A36"/>
    <w:rsid w:val="00A500BE"/>
    <w:rsid w:val="00A5066C"/>
    <w:rsid w:val="00A50A68"/>
    <w:rsid w:val="00A50D3B"/>
    <w:rsid w:val="00A518AA"/>
    <w:rsid w:val="00A51CCF"/>
    <w:rsid w:val="00A5217A"/>
    <w:rsid w:val="00A52370"/>
    <w:rsid w:val="00A52FCB"/>
    <w:rsid w:val="00A53000"/>
    <w:rsid w:val="00A53049"/>
    <w:rsid w:val="00A53723"/>
    <w:rsid w:val="00A53952"/>
    <w:rsid w:val="00A53B55"/>
    <w:rsid w:val="00A53FAE"/>
    <w:rsid w:val="00A5419D"/>
    <w:rsid w:val="00A5445A"/>
    <w:rsid w:val="00A54A90"/>
    <w:rsid w:val="00A551E5"/>
    <w:rsid w:val="00A56348"/>
    <w:rsid w:val="00A56A7D"/>
    <w:rsid w:val="00A5703F"/>
    <w:rsid w:val="00A57D39"/>
    <w:rsid w:val="00A6057E"/>
    <w:rsid w:val="00A60972"/>
    <w:rsid w:val="00A60EB2"/>
    <w:rsid w:val="00A61A00"/>
    <w:rsid w:val="00A6316B"/>
    <w:rsid w:val="00A63330"/>
    <w:rsid w:val="00A641AB"/>
    <w:rsid w:val="00A64B0E"/>
    <w:rsid w:val="00A65107"/>
    <w:rsid w:val="00A65316"/>
    <w:rsid w:val="00A653B6"/>
    <w:rsid w:val="00A65421"/>
    <w:rsid w:val="00A6551B"/>
    <w:rsid w:val="00A6555B"/>
    <w:rsid w:val="00A657AB"/>
    <w:rsid w:val="00A66052"/>
    <w:rsid w:val="00A66716"/>
    <w:rsid w:val="00A6725F"/>
    <w:rsid w:val="00A674FF"/>
    <w:rsid w:val="00A67504"/>
    <w:rsid w:val="00A67668"/>
    <w:rsid w:val="00A67A58"/>
    <w:rsid w:val="00A67BD1"/>
    <w:rsid w:val="00A708B5"/>
    <w:rsid w:val="00A70C39"/>
    <w:rsid w:val="00A70F69"/>
    <w:rsid w:val="00A71606"/>
    <w:rsid w:val="00A7208C"/>
    <w:rsid w:val="00A725A7"/>
    <w:rsid w:val="00A72611"/>
    <w:rsid w:val="00A72D74"/>
    <w:rsid w:val="00A731F7"/>
    <w:rsid w:val="00A733DD"/>
    <w:rsid w:val="00A73ABB"/>
    <w:rsid w:val="00A74181"/>
    <w:rsid w:val="00A74939"/>
    <w:rsid w:val="00A756ED"/>
    <w:rsid w:val="00A75D6F"/>
    <w:rsid w:val="00A75F11"/>
    <w:rsid w:val="00A760E1"/>
    <w:rsid w:val="00A76D2C"/>
    <w:rsid w:val="00A77746"/>
    <w:rsid w:val="00A77BFD"/>
    <w:rsid w:val="00A80673"/>
    <w:rsid w:val="00A806AA"/>
    <w:rsid w:val="00A80F18"/>
    <w:rsid w:val="00A81CD0"/>
    <w:rsid w:val="00A81FE1"/>
    <w:rsid w:val="00A82316"/>
    <w:rsid w:val="00A82792"/>
    <w:rsid w:val="00A828A1"/>
    <w:rsid w:val="00A83BF6"/>
    <w:rsid w:val="00A84D2A"/>
    <w:rsid w:val="00A8512C"/>
    <w:rsid w:val="00A85296"/>
    <w:rsid w:val="00A85CAE"/>
    <w:rsid w:val="00A86F7D"/>
    <w:rsid w:val="00A87059"/>
    <w:rsid w:val="00A87F31"/>
    <w:rsid w:val="00A9018D"/>
    <w:rsid w:val="00A90210"/>
    <w:rsid w:val="00A908EA"/>
    <w:rsid w:val="00A90D27"/>
    <w:rsid w:val="00A9103B"/>
    <w:rsid w:val="00A91082"/>
    <w:rsid w:val="00A91284"/>
    <w:rsid w:val="00A91411"/>
    <w:rsid w:val="00A91773"/>
    <w:rsid w:val="00A918A7"/>
    <w:rsid w:val="00A92131"/>
    <w:rsid w:val="00A92871"/>
    <w:rsid w:val="00A9332D"/>
    <w:rsid w:val="00A935C5"/>
    <w:rsid w:val="00A937F8"/>
    <w:rsid w:val="00A93BDC"/>
    <w:rsid w:val="00A94398"/>
    <w:rsid w:val="00A94FE6"/>
    <w:rsid w:val="00A9518B"/>
    <w:rsid w:val="00A95564"/>
    <w:rsid w:val="00A955EB"/>
    <w:rsid w:val="00A956C3"/>
    <w:rsid w:val="00A96620"/>
    <w:rsid w:val="00A968AD"/>
    <w:rsid w:val="00A97A4B"/>
    <w:rsid w:val="00A97E97"/>
    <w:rsid w:val="00AA180B"/>
    <w:rsid w:val="00AA1F49"/>
    <w:rsid w:val="00AA28F8"/>
    <w:rsid w:val="00AA2CE1"/>
    <w:rsid w:val="00AA3A2E"/>
    <w:rsid w:val="00AA3E5E"/>
    <w:rsid w:val="00AA4099"/>
    <w:rsid w:val="00AA43DD"/>
    <w:rsid w:val="00AA455A"/>
    <w:rsid w:val="00AA4D79"/>
    <w:rsid w:val="00AA4FD2"/>
    <w:rsid w:val="00AA5B9A"/>
    <w:rsid w:val="00AA61D5"/>
    <w:rsid w:val="00AA6913"/>
    <w:rsid w:val="00AA6A5C"/>
    <w:rsid w:val="00AA7DF8"/>
    <w:rsid w:val="00AB012B"/>
    <w:rsid w:val="00AB033F"/>
    <w:rsid w:val="00AB0795"/>
    <w:rsid w:val="00AB0A99"/>
    <w:rsid w:val="00AB1177"/>
    <w:rsid w:val="00AB13FF"/>
    <w:rsid w:val="00AB2190"/>
    <w:rsid w:val="00AB2742"/>
    <w:rsid w:val="00AB2D1E"/>
    <w:rsid w:val="00AB36D1"/>
    <w:rsid w:val="00AB3979"/>
    <w:rsid w:val="00AB39EB"/>
    <w:rsid w:val="00AB3F27"/>
    <w:rsid w:val="00AB3FD9"/>
    <w:rsid w:val="00AB4E90"/>
    <w:rsid w:val="00AB53F3"/>
    <w:rsid w:val="00AB64CB"/>
    <w:rsid w:val="00AB7DE7"/>
    <w:rsid w:val="00AB7FBE"/>
    <w:rsid w:val="00AC045D"/>
    <w:rsid w:val="00AC10FE"/>
    <w:rsid w:val="00AC142C"/>
    <w:rsid w:val="00AC1BE7"/>
    <w:rsid w:val="00AC272F"/>
    <w:rsid w:val="00AC275F"/>
    <w:rsid w:val="00AC30D3"/>
    <w:rsid w:val="00AC3AB9"/>
    <w:rsid w:val="00AC4A23"/>
    <w:rsid w:val="00AC4CEA"/>
    <w:rsid w:val="00AC4E7B"/>
    <w:rsid w:val="00AC50A4"/>
    <w:rsid w:val="00AC5429"/>
    <w:rsid w:val="00AC5A95"/>
    <w:rsid w:val="00AC5CC6"/>
    <w:rsid w:val="00AC6074"/>
    <w:rsid w:val="00AC6346"/>
    <w:rsid w:val="00AC6471"/>
    <w:rsid w:val="00AC6CA5"/>
    <w:rsid w:val="00AC6CBB"/>
    <w:rsid w:val="00AC6DB2"/>
    <w:rsid w:val="00AC7676"/>
    <w:rsid w:val="00AC7FA1"/>
    <w:rsid w:val="00AD0DF7"/>
    <w:rsid w:val="00AD1751"/>
    <w:rsid w:val="00AD1D93"/>
    <w:rsid w:val="00AD2B6E"/>
    <w:rsid w:val="00AD2D95"/>
    <w:rsid w:val="00AD3443"/>
    <w:rsid w:val="00AD348A"/>
    <w:rsid w:val="00AD3C17"/>
    <w:rsid w:val="00AD4B3C"/>
    <w:rsid w:val="00AD50BF"/>
    <w:rsid w:val="00AD5BF6"/>
    <w:rsid w:val="00AD5E25"/>
    <w:rsid w:val="00AD6886"/>
    <w:rsid w:val="00AD68A5"/>
    <w:rsid w:val="00AD6A68"/>
    <w:rsid w:val="00AD702E"/>
    <w:rsid w:val="00AD7196"/>
    <w:rsid w:val="00AD75DC"/>
    <w:rsid w:val="00AE0584"/>
    <w:rsid w:val="00AE129F"/>
    <w:rsid w:val="00AE185D"/>
    <w:rsid w:val="00AE1BFE"/>
    <w:rsid w:val="00AE1C03"/>
    <w:rsid w:val="00AE2320"/>
    <w:rsid w:val="00AE3842"/>
    <w:rsid w:val="00AE3D83"/>
    <w:rsid w:val="00AE4374"/>
    <w:rsid w:val="00AE485C"/>
    <w:rsid w:val="00AE4917"/>
    <w:rsid w:val="00AE5A50"/>
    <w:rsid w:val="00AE64DD"/>
    <w:rsid w:val="00AE64E3"/>
    <w:rsid w:val="00AE68A3"/>
    <w:rsid w:val="00AE6E2D"/>
    <w:rsid w:val="00AE72B7"/>
    <w:rsid w:val="00AE73C9"/>
    <w:rsid w:val="00AE7D4F"/>
    <w:rsid w:val="00AE7FE4"/>
    <w:rsid w:val="00AF0EFA"/>
    <w:rsid w:val="00AF17D3"/>
    <w:rsid w:val="00AF1871"/>
    <w:rsid w:val="00AF1D77"/>
    <w:rsid w:val="00AF244F"/>
    <w:rsid w:val="00AF24C0"/>
    <w:rsid w:val="00AF38BA"/>
    <w:rsid w:val="00AF4E83"/>
    <w:rsid w:val="00AF4F67"/>
    <w:rsid w:val="00AF55C4"/>
    <w:rsid w:val="00AF5811"/>
    <w:rsid w:val="00AF5B10"/>
    <w:rsid w:val="00AF61F7"/>
    <w:rsid w:val="00AF6509"/>
    <w:rsid w:val="00AF684D"/>
    <w:rsid w:val="00AF6E06"/>
    <w:rsid w:val="00AF6F37"/>
    <w:rsid w:val="00AF748B"/>
    <w:rsid w:val="00AF7F7F"/>
    <w:rsid w:val="00B002DE"/>
    <w:rsid w:val="00B00BBE"/>
    <w:rsid w:val="00B00E38"/>
    <w:rsid w:val="00B0186B"/>
    <w:rsid w:val="00B0205C"/>
    <w:rsid w:val="00B02217"/>
    <w:rsid w:val="00B02425"/>
    <w:rsid w:val="00B028E8"/>
    <w:rsid w:val="00B02C59"/>
    <w:rsid w:val="00B02DEB"/>
    <w:rsid w:val="00B02F25"/>
    <w:rsid w:val="00B0419D"/>
    <w:rsid w:val="00B0456E"/>
    <w:rsid w:val="00B04825"/>
    <w:rsid w:val="00B04B5B"/>
    <w:rsid w:val="00B04C94"/>
    <w:rsid w:val="00B052CD"/>
    <w:rsid w:val="00B05C22"/>
    <w:rsid w:val="00B064E7"/>
    <w:rsid w:val="00B06A05"/>
    <w:rsid w:val="00B06BF6"/>
    <w:rsid w:val="00B06F7F"/>
    <w:rsid w:val="00B0715C"/>
    <w:rsid w:val="00B0747B"/>
    <w:rsid w:val="00B07EC9"/>
    <w:rsid w:val="00B100F0"/>
    <w:rsid w:val="00B121F7"/>
    <w:rsid w:val="00B122DF"/>
    <w:rsid w:val="00B12DE8"/>
    <w:rsid w:val="00B12F77"/>
    <w:rsid w:val="00B1306B"/>
    <w:rsid w:val="00B13466"/>
    <w:rsid w:val="00B13BA9"/>
    <w:rsid w:val="00B13C6C"/>
    <w:rsid w:val="00B1402E"/>
    <w:rsid w:val="00B14865"/>
    <w:rsid w:val="00B14AD9"/>
    <w:rsid w:val="00B162E5"/>
    <w:rsid w:val="00B173BC"/>
    <w:rsid w:val="00B1779A"/>
    <w:rsid w:val="00B17EDC"/>
    <w:rsid w:val="00B218F2"/>
    <w:rsid w:val="00B2197F"/>
    <w:rsid w:val="00B21D50"/>
    <w:rsid w:val="00B2258E"/>
    <w:rsid w:val="00B22A77"/>
    <w:rsid w:val="00B22D56"/>
    <w:rsid w:val="00B22F9B"/>
    <w:rsid w:val="00B23460"/>
    <w:rsid w:val="00B23747"/>
    <w:rsid w:val="00B23A29"/>
    <w:rsid w:val="00B23AC9"/>
    <w:rsid w:val="00B23B0B"/>
    <w:rsid w:val="00B24090"/>
    <w:rsid w:val="00B24893"/>
    <w:rsid w:val="00B24FFE"/>
    <w:rsid w:val="00B25486"/>
    <w:rsid w:val="00B254C1"/>
    <w:rsid w:val="00B257E3"/>
    <w:rsid w:val="00B25994"/>
    <w:rsid w:val="00B25DC3"/>
    <w:rsid w:val="00B26059"/>
    <w:rsid w:val="00B260C7"/>
    <w:rsid w:val="00B261C0"/>
    <w:rsid w:val="00B26BA6"/>
    <w:rsid w:val="00B27020"/>
    <w:rsid w:val="00B27494"/>
    <w:rsid w:val="00B279B9"/>
    <w:rsid w:val="00B27BFD"/>
    <w:rsid w:val="00B27DCA"/>
    <w:rsid w:val="00B30CD5"/>
    <w:rsid w:val="00B3124F"/>
    <w:rsid w:val="00B3195C"/>
    <w:rsid w:val="00B31DD5"/>
    <w:rsid w:val="00B3223E"/>
    <w:rsid w:val="00B32412"/>
    <w:rsid w:val="00B32F1A"/>
    <w:rsid w:val="00B336C1"/>
    <w:rsid w:val="00B33EFB"/>
    <w:rsid w:val="00B342A5"/>
    <w:rsid w:val="00B349BA"/>
    <w:rsid w:val="00B34F48"/>
    <w:rsid w:val="00B354BC"/>
    <w:rsid w:val="00B36656"/>
    <w:rsid w:val="00B36DBA"/>
    <w:rsid w:val="00B37D3B"/>
    <w:rsid w:val="00B40214"/>
    <w:rsid w:val="00B4084D"/>
    <w:rsid w:val="00B40CBA"/>
    <w:rsid w:val="00B41585"/>
    <w:rsid w:val="00B41746"/>
    <w:rsid w:val="00B41F2F"/>
    <w:rsid w:val="00B435E0"/>
    <w:rsid w:val="00B43965"/>
    <w:rsid w:val="00B439AA"/>
    <w:rsid w:val="00B43D3C"/>
    <w:rsid w:val="00B445CB"/>
    <w:rsid w:val="00B4462A"/>
    <w:rsid w:val="00B4486F"/>
    <w:rsid w:val="00B44E79"/>
    <w:rsid w:val="00B45120"/>
    <w:rsid w:val="00B463AF"/>
    <w:rsid w:val="00B46A80"/>
    <w:rsid w:val="00B47FA2"/>
    <w:rsid w:val="00B51BA0"/>
    <w:rsid w:val="00B51BDA"/>
    <w:rsid w:val="00B51C8C"/>
    <w:rsid w:val="00B51E95"/>
    <w:rsid w:val="00B52C89"/>
    <w:rsid w:val="00B530C7"/>
    <w:rsid w:val="00B53278"/>
    <w:rsid w:val="00B533C2"/>
    <w:rsid w:val="00B535BD"/>
    <w:rsid w:val="00B53701"/>
    <w:rsid w:val="00B53BBD"/>
    <w:rsid w:val="00B53E1F"/>
    <w:rsid w:val="00B547C0"/>
    <w:rsid w:val="00B5543D"/>
    <w:rsid w:val="00B55D24"/>
    <w:rsid w:val="00B55DBE"/>
    <w:rsid w:val="00B56A26"/>
    <w:rsid w:val="00B56DA3"/>
    <w:rsid w:val="00B5729B"/>
    <w:rsid w:val="00B60A46"/>
    <w:rsid w:val="00B60EB5"/>
    <w:rsid w:val="00B6110A"/>
    <w:rsid w:val="00B6176A"/>
    <w:rsid w:val="00B618B9"/>
    <w:rsid w:val="00B619DF"/>
    <w:rsid w:val="00B61EEB"/>
    <w:rsid w:val="00B6301A"/>
    <w:rsid w:val="00B63B81"/>
    <w:rsid w:val="00B63DAC"/>
    <w:rsid w:val="00B64724"/>
    <w:rsid w:val="00B649CB"/>
    <w:rsid w:val="00B649DC"/>
    <w:rsid w:val="00B64CAD"/>
    <w:rsid w:val="00B66751"/>
    <w:rsid w:val="00B66894"/>
    <w:rsid w:val="00B66907"/>
    <w:rsid w:val="00B6771E"/>
    <w:rsid w:val="00B67AA6"/>
    <w:rsid w:val="00B67FED"/>
    <w:rsid w:val="00B70272"/>
    <w:rsid w:val="00B7066C"/>
    <w:rsid w:val="00B7140D"/>
    <w:rsid w:val="00B7149F"/>
    <w:rsid w:val="00B717D8"/>
    <w:rsid w:val="00B718A9"/>
    <w:rsid w:val="00B718C7"/>
    <w:rsid w:val="00B71945"/>
    <w:rsid w:val="00B72DF3"/>
    <w:rsid w:val="00B73739"/>
    <w:rsid w:val="00B740B9"/>
    <w:rsid w:val="00B74146"/>
    <w:rsid w:val="00B7439C"/>
    <w:rsid w:val="00B74F5D"/>
    <w:rsid w:val="00B7580E"/>
    <w:rsid w:val="00B75A33"/>
    <w:rsid w:val="00B75FFB"/>
    <w:rsid w:val="00B76A4E"/>
    <w:rsid w:val="00B76CE4"/>
    <w:rsid w:val="00B76F6C"/>
    <w:rsid w:val="00B77120"/>
    <w:rsid w:val="00B778AC"/>
    <w:rsid w:val="00B77A01"/>
    <w:rsid w:val="00B8080B"/>
    <w:rsid w:val="00B811EF"/>
    <w:rsid w:val="00B81ECC"/>
    <w:rsid w:val="00B82B63"/>
    <w:rsid w:val="00B835D4"/>
    <w:rsid w:val="00B8395D"/>
    <w:rsid w:val="00B84149"/>
    <w:rsid w:val="00B842A3"/>
    <w:rsid w:val="00B843B7"/>
    <w:rsid w:val="00B84B87"/>
    <w:rsid w:val="00B8558C"/>
    <w:rsid w:val="00B85F4D"/>
    <w:rsid w:val="00B860E3"/>
    <w:rsid w:val="00B86EF1"/>
    <w:rsid w:val="00B873FE"/>
    <w:rsid w:val="00B876E6"/>
    <w:rsid w:val="00B90674"/>
    <w:rsid w:val="00B914CF"/>
    <w:rsid w:val="00B917E0"/>
    <w:rsid w:val="00B934E3"/>
    <w:rsid w:val="00B94323"/>
    <w:rsid w:val="00B95157"/>
    <w:rsid w:val="00B954FE"/>
    <w:rsid w:val="00B9566B"/>
    <w:rsid w:val="00B95D17"/>
    <w:rsid w:val="00B95E0A"/>
    <w:rsid w:val="00B961B7"/>
    <w:rsid w:val="00B963D4"/>
    <w:rsid w:val="00B97274"/>
    <w:rsid w:val="00B9772B"/>
    <w:rsid w:val="00B97805"/>
    <w:rsid w:val="00B97968"/>
    <w:rsid w:val="00BA1216"/>
    <w:rsid w:val="00BA18F0"/>
    <w:rsid w:val="00BA1BA1"/>
    <w:rsid w:val="00BA261F"/>
    <w:rsid w:val="00BA2DEF"/>
    <w:rsid w:val="00BA3421"/>
    <w:rsid w:val="00BA3CFF"/>
    <w:rsid w:val="00BA42FB"/>
    <w:rsid w:val="00BA4768"/>
    <w:rsid w:val="00BA4B28"/>
    <w:rsid w:val="00BA516F"/>
    <w:rsid w:val="00BA540C"/>
    <w:rsid w:val="00BA5AE8"/>
    <w:rsid w:val="00BA5F4F"/>
    <w:rsid w:val="00BA628C"/>
    <w:rsid w:val="00BA63B8"/>
    <w:rsid w:val="00BA6D37"/>
    <w:rsid w:val="00BA6F4E"/>
    <w:rsid w:val="00BA6F8D"/>
    <w:rsid w:val="00BA7059"/>
    <w:rsid w:val="00BB0051"/>
    <w:rsid w:val="00BB02C6"/>
    <w:rsid w:val="00BB0529"/>
    <w:rsid w:val="00BB0DFB"/>
    <w:rsid w:val="00BB1082"/>
    <w:rsid w:val="00BB13BA"/>
    <w:rsid w:val="00BB1BD2"/>
    <w:rsid w:val="00BB1F33"/>
    <w:rsid w:val="00BB2127"/>
    <w:rsid w:val="00BB219B"/>
    <w:rsid w:val="00BB33D3"/>
    <w:rsid w:val="00BB3805"/>
    <w:rsid w:val="00BB3D74"/>
    <w:rsid w:val="00BB3F15"/>
    <w:rsid w:val="00BB4CC2"/>
    <w:rsid w:val="00BB52A5"/>
    <w:rsid w:val="00BB5E91"/>
    <w:rsid w:val="00BB608E"/>
    <w:rsid w:val="00BB60B0"/>
    <w:rsid w:val="00BB6273"/>
    <w:rsid w:val="00BB62B0"/>
    <w:rsid w:val="00BB6723"/>
    <w:rsid w:val="00BB6740"/>
    <w:rsid w:val="00BB7EA1"/>
    <w:rsid w:val="00BB7F81"/>
    <w:rsid w:val="00BC1017"/>
    <w:rsid w:val="00BC1209"/>
    <w:rsid w:val="00BC123B"/>
    <w:rsid w:val="00BC13AA"/>
    <w:rsid w:val="00BC16DC"/>
    <w:rsid w:val="00BC1E9A"/>
    <w:rsid w:val="00BC1F52"/>
    <w:rsid w:val="00BC207D"/>
    <w:rsid w:val="00BC269B"/>
    <w:rsid w:val="00BC27D2"/>
    <w:rsid w:val="00BC2F17"/>
    <w:rsid w:val="00BC335B"/>
    <w:rsid w:val="00BC4148"/>
    <w:rsid w:val="00BC46E3"/>
    <w:rsid w:val="00BC54AE"/>
    <w:rsid w:val="00BC5AD1"/>
    <w:rsid w:val="00BC663B"/>
    <w:rsid w:val="00BC6D47"/>
    <w:rsid w:val="00BC7734"/>
    <w:rsid w:val="00BC7947"/>
    <w:rsid w:val="00BC797C"/>
    <w:rsid w:val="00BC7D43"/>
    <w:rsid w:val="00BD1A6F"/>
    <w:rsid w:val="00BD285E"/>
    <w:rsid w:val="00BD3342"/>
    <w:rsid w:val="00BD35E1"/>
    <w:rsid w:val="00BD4548"/>
    <w:rsid w:val="00BD4D4D"/>
    <w:rsid w:val="00BD4F12"/>
    <w:rsid w:val="00BD54FC"/>
    <w:rsid w:val="00BD5B6C"/>
    <w:rsid w:val="00BD6097"/>
    <w:rsid w:val="00BD63C3"/>
    <w:rsid w:val="00BD652E"/>
    <w:rsid w:val="00BD67CE"/>
    <w:rsid w:val="00BD6972"/>
    <w:rsid w:val="00BD764F"/>
    <w:rsid w:val="00BD76A4"/>
    <w:rsid w:val="00BD7D80"/>
    <w:rsid w:val="00BE163B"/>
    <w:rsid w:val="00BE192F"/>
    <w:rsid w:val="00BE1C8A"/>
    <w:rsid w:val="00BE2121"/>
    <w:rsid w:val="00BE2D68"/>
    <w:rsid w:val="00BE4089"/>
    <w:rsid w:val="00BE40F0"/>
    <w:rsid w:val="00BE425E"/>
    <w:rsid w:val="00BE480F"/>
    <w:rsid w:val="00BE4857"/>
    <w:rsid w:val="00BE4EF3"/>
    <w:rsid w:val="00BE550C"/>
    <w:rsid w:val="00BE55D7"/>
    <w:rsid w:val="00BE5701"/>
    <w:rsid w:val="00BE5847"/>
    <w:rsid w:val="00BE5BE0"/>
    <w:rsid w:val="00BE70E8"/>
    <w:rsid w:val="00BF0A3D"/>
    <w:rsid w:val="00BF0E76"/>
    <w:rsid w:val="00BF1218"/>
    <w:rsid w:val="00BF19DC"/>
    <w:rsid w:val="00BF2210"/>
    <w:rsid w:val="00BF2527"/>
    <w:rsid w:val="00BF2B3E"/>
    <w:rsid w:val="00BF2DAF"/>
    <w:rsid w:val="00BF333A"/>
    <w:rsid w:val="00BF4E1B"/>
    <w:rsid w:val="00BF5532"/>
    <w:rsid w:val="00BF582C"/>
    <w:rsid w:val="00BF6AF7"/>
    <w:rsid w:val="00BF71EF"/>
    <w:rsid w:val="00BF7389"/>
    <w:rsid w:val="00C00A3D"/>
    <w:rsid w:val="00C023AF"/>
    <w:rsid w:val="00C02799"/>
    <w:rsid w:val="00C0480F"/>
    <w:rsid w:val="00C05E57"/>
    <w:rsid w:val="00C05E74"/>
    <w:rsid w:val="00C072BF"/>
    <w:rsid w:val="00C07A32"/>
    <w:rsid w:val="00C1043C"/>
    <w:rsid w:val="00C10519"/>
    <w:rsid w:val="00C10A8A"/>
    <w:rsid w:val="00C11E28"/>
    <w:rsid w:val="00C12A51"/>
    <w:rsid w:val="00C12CD1"/>
    <w:rsid w:val="00C12D05"/>
    <w:rsid w:val="00C137C1"/>
    <w:rsid w:val="00C157DD"/>
    <w:rsid w:val="00C1591E"/>
    <w:rsid w:val="00C15AB1"/>
    <w:rsid w:val="00C163C8"/>
    <w:rsid w:val="00C17101"/>
    <w:rsid w:val="00C172C0"/>
    <w:rsid w:val="00C17747"/>
    <w:rsid w:val="00C20241"/>
    <w:rsid w:val="00C207AA"/>
    <w:rsid w:val="00C20D36"/>
    <w:rsid w:val="00C21038"/>
    <w:rsid w:val="00C215C0"/>
    <w:rsid w:val="00C217B4"/>
    <w:rsid w:val="00C225C8"/>
    <w:rsid w:val="00C22E21"/>
    <w:rsid w:val="00C23726"/>
    <w:rsid w:val="00C2396B"/>
    <w:rsid w:val="00C251A9"/>
    <w:rsid w:val="00C25E5A"/>
    <w:rsid w:val="00C261AC"/>
    <w:rsid w:val="00C264DD"/>
    <w:rsid w:val="00C26A08"/>
    <w:rsid w:val="00C270CF"/>
    <w:rsid w:val="00C27304"/>
    <w:rsid w:val="00C2748B"/>
    <w:rsid w:val="00C274DA"/>
    <w:rsid w:val="00C2769A"/>
    <w:rsid w:val="00C276BA"/>
    <w:rsid w:val="00C2785F"/>
    <w:rsid w:val="00C27E71"/>
    <w:rsid w:val="00C27EF5"/>
    <w:rsid w:val="00C3052F"/>
    <w:rsid w:val="00C30808"/>
    <w:rsid w:val="00C30BA6"/>
    <w:rsid w:val="00C31410"/>
    <w:rsid w:val="00C31467"/>
    <w:rsid w:val="00C31E56"/>
    <w:rsid w:val="00C32506"/>
    <w:rsid w:val="00C32774"/>
    <w:rsid w:val="00C328CD"/>
    <w:rsid w:val="00C33469"/>
    <w:rsid w:val="00C337DB"/>
    <w:rsid w:val="00C33D73"/>
    <w:rsid w:val="00C34833"/>
    <w:rsid w:val="00C34CCB"/>
    <w:rsid w:val="00C34D57"/>
    <w:rsid w:val="00C35515"/>
    <w:rsid w:val="00C3563C"/>
    <w:rsid w:val="00C35807"/>
    <w:rsid w:val="00C35A0A"/>
    <w:rsid w:val="00C35A4B"/>
    <w:rsid w:val="00C361CB"/>
    <w:rsid w:val="00C364A4"/>
    <w:rsid w:val="00C36696"/>
    <w:rsid w:val="00C36720"/>
    <w:rsid w:val="00C3687A"/>
    <w:rsid w:val="00C36BC8"/>
    <w:rsid w:val="00C36D67"/>
    <w:rsid w:val="00C37518"/>
    <w:rsid w:val="00C37739"/>
    <w:rsid w:val="00C37800"/>
    <w:rsid w:val="00C37F00"/>
    <w:rsid w:val="00C37FC7"/>
    <w:rsid w:val="00C40289"/>
    <w:rsid w:val="00C421C9"/>
    <w:rsid w:val="00C42A3A"/>
    <w:rsid w:val="00C42F62"/>
    <w:rsid w:val="00C43CE6"/>
    <w:rsid w:val="00C44332"/>
    <w:rsid w:val="00C4517F"/>
    <w:rsid w:val="00C45232"/>
    <w:rsid w:val="00C45637"/>
    <w:rsid w:val="00C46882"/>
    <w:rsid w:val="00C4698F"/>
    <w:rsid w:val="00C469B7"/>
    <w:rsid w:val="00C46C49"/>
    <w:rsid w:val="00C46CD3"/>
    <w:rsid w:val="00C46E3D"/>
    <w:rsid w:val="00C46E94"/>
    <w:rsid w:val="00C5084D"/>
    <w:rsid w:val="00C50C22"/>
    <w:rsid w:val="00C51208"/>
    <w:rsid w:val="00C51FA9"/>
    <w:rsid w:val="00C52BA5"/>
    <w:rsid w:val="00C52EED"/>
    <w:rsid w:val="00C53028"/>
    <w:rsid w:val="00C53323"/>
    <w:rsid w:val="00C53600"/>
    <w:rsid w:val="00C53D38"/>
    <w:rsid w:val="00C54513"/>
    <w:rsid w:val="00C54C27"/>
    <w:rsid w:val="00C54D8C"/>
    <w:rsid w:val="00C55988"/>
    <w:rsid w:val="00C5645A"/>
    <w:rsid w:val="00C566DE"/>
    <w:rsid w:val="00C60D3D"/>
    <w:rsid w:val="00C6227F"/>
    <w:rsid w:val="00C62A55"/>
    <w:rsid w:val="00C62EDF"/>
    <w:rsid w:val="00C637E4"/>
    <w:rsid w:val="00C63874"/>
    <w:rsid w:val="00C63B6F"/>
    <w:rsid w:val="00C63B85"/>
    <w:rsid w:val="00C66CEF"/>
    <w:rsid w:val="00C670FE"/>
    <w:rsid w:val="00C71087"/>
    <w:rsid w:val="00C71E3C"/>
    <w:rsid w:val="00C71F32"/>
    <w:rsid w:val="00C72A54"/>
    <w:rsid w:val="00C741B4"/>
    <w:rsid w:val="00C75492"/>
    <w:rsid w:val="00C75B2D"/>
    <w:rsid w:val="00C76803"/>
    <w:rsid w:val="00C76918"/>
    <w:rsid w:val="00C772AF"/>
    <w:rsid w:val="00C77C78"/>
    <w:rsid w:val="00C77FA2"/>
    <w:rsid w:val="00C80628"/>
    <w:rsid w:val="00C80FBE"/>
    <w:rsid w:val="00C81332"/>
    <w:rsid w:val="00C8136C"/>
    <w:rsid w:val="00C8146C"/>
    <w:rsid w:val="00C818FD"/>
    <w:rsid w:val="00C82A64"/>
    <w:rsid w:val="00C82D22"/>
    <w:rsid w:val="00C83EF8"/>
    <w:rsid w:val="00C83F51"/>
    <w:rsid w:val="00C845B0"/>
    <w:rsid w:val="00C846DD"/>
    <w:rsid w:val="00C850A0"/>
    <w:rsid w:val="00C8516E"/>
    <w:rsid w:val="00C85CA6"/>
    <w:rsid w:val="00C86910"/>
    <w:rsid w:val="00C86F2B"/>
    <w:rsid w:val="00C872E8"/>
    <w:rsid w:val="00C87CAD"/>
    <w:rsid w:val="00C90EAB"/>
    <w:rsid w:val="00C9132D"/>
    <w:rsid w:val="00C9141C"/>
    <w:rsid w:val="00C9147E"/>
    <w:rsid w:val="00C9157A"/>
    <w:rsid w:val="00C918F9"/>
    <w:rsid w:val="00C9195E"/>
    <w:rsid w:val="00C919EB"/>
    <w:rsid w:val="00C925ED"/>
    <w:rsid w:val="00C929E3"/>
    <w:rsid w:val="00C9339F"/>
    <w:rsid w:val="00C939C5"/>
    <w:rsid w:val="00C93CCC"/>
    <w:rsid w:val="00C93CE7"/>
    <w:rsid w:val="00C9465A"/>
    <w:rsid w:val="00C947A5"/>
    <w:rsid w:val="00C953F4"/>
    <w:rsid w:val="00C95725"/>
    <w:rsid w:val="00C959DB"/>
    <w:rsid w:val="00C95A55"/>
    <w:rsid w:val="00C96A10"/>
    <w:rsid w:val="00C9753B"/>
    <w:rsid w:val="00CA0C87"/>
    <w:rsid w:val="00CA0DEC"/>
    <w:rsid w:val="00CA1444"/>
    <w:rsid w:val="00CA1450"/>
    <w:rsid w:val="00CA19CD"/>
    <w:rsid w:val="00CA3E5A"/>
    <w:rsid w:val="00CA3F40"/>
    <w:rsid w:val="00CA402E"/>
    <w:rsid w:val="00CA4204"/>
    <w:rsid w:val="00CA43CE"/>
    <w:rsid w:val="00CA49B4"/>
    <w:rsid w:val="00CA4A62"/>
    <w:rsid w:val="00CA561E"/>
    <w:rsid w:val="00CA659E"/>
    <w:rsid w:val="00CA7CF1"/>
    <w:rsid w:val="00CB1C3B"/>
    <w:rsid w:val="00CB1DD9"/>
    <w:rsid w:val="00CB23DD"/>
    <w:rsid w:val="00CB2757"/>
    <w:rsid w:val="00CB2FE7"/>
    <w:rsid w:val="00CB30CA"/>
    <w:rsid w:val="00CB3B57"/>
    <w:rsid w:val="00CB3F75"/>
    <w:rsid w:val="00CB428F"/>
    <w:rsid w:val="00CB42AE"/>
    <w:rsid w:val="00CB6768"/>
    <w:rsid w:val="00CB713D"/>
    <w:rsid w:val="00CC111E"/>
    <w:rsid w:val="00CC14FC"/>
    <w:rsid w:val="00CC1543"/>
    <w:rsid w:val="00CC17DB"/>
    <w:rsid w:val="00CC19A4"/>
    <w:rsid w:val="00CC24F1"/>
    <w:rsid w:val="00CC2F01"/>
    <w:rsid w:val="00CC30BF"/>
    <w:rsid w:val="00CC5274"/>
    <w:rsid w:val="00CC556C"/>
    <w:rsid w:val="00CC6453"/>
    <w:rsid w:val="00CD07C8"/>
    <w:rsid w:val="00CD0C49"/>
    <w:rsid w:val="00CD10E0"/>
    <w:rsid w:val="00CD12E3"/>
    <w:rsid w:val="00CD1BCC"/>
    <w:rsid w:val="00CD26D4"/>
    <w:rsid w:val="00CD26EA"/>
    <w:rsid w:val="00CD2D8A"/>
    <w:rsid w:val="00CD31EA"/>
    <w:rsid w:val="00CD4627"/>
    <w:rsid w:val="00CD4CD3"/>
    <w:rsid w:val="00CD5131"/>
    <w:rsid w:val="00CD58A0"/>
    <w:rsid w:val="00CD63CF"/>
    <w:rsid w:val="00CD692F"/>
    <w:rsid w:val="00CD6AB1"/>
    <w:rsid w:val="00CD6ACF"/>
    <w:rsid w:val="00CD6E0E"/>
    <w:rsid w:val="00CD705B"/>
    <w:rsid w:val="00CD76E4"/>
    <w:rsid w:val="00CE0392"/>
    <w:rsid w:val="00CE03FD"/>
    <w:rsid w:val="00CE069A"/>
    <w:rsid w:val="00CE099C"/>
    <w:rsid w:val="00CE112A"/>
    <w:rsid w:val="00CE192C"/>
    <w:rsid w:val="00CE2060"/>
    <w:rsid w:val="00CE20A8"/>
    <w:rsid w:val="00CE2830"/>
    <w:rsid w:val="00CE2E72"/>
    <w:rsid w:val="00CE320A"/>
    <w:rsid w:val="00CE33D5"/>
    <w:rsid w:val="00CE3A1B"/>
    <w:rsid w:val="00CE4301"/>
    <w:rsid w:val="00CE5162"/>
    <w:rsid w:val="00CE5481"/>
    <w:rsid w:val="00CE5643"/>
    <w:rsid w:val="00CE5866"/>
    <w:rsid w:val="00CE6F85"/>
    <w:rsid w:val="00CF0045"/>
    <w:rsid w:val="00CF01AA"/>
    <w:rsid w:val="00CF08E6"/>
    <w:rsid w:val="00CF1770"/>
    <w:rsid w:val="00CF1979"/>
    <w:rsid w:val="00CF421E"/>
    <w:rsid w:val="00CF5413"/>
    <w:rsid w:val="00CF5E0C"/>
    <w:rsid w:val="00CF6111"/>
    <w:rsid w:val="00CF6A1E"/>
    <w:rsid w:val="00CF7194"/>
    <w:rsid w:val="00CF7C90"/>
    <w:rsid w:val="00CF7CA3"/>
    <w:rsid w:val="00CF7EA0"/>
    <w:rsid w:val="00D00600"/>
    <w:rsid w:val="00D01067"/>
    <w:rsid w:val="00D01108"/>
    <w:rsid w:val="00D01716"/>
    <w:rsid w:val="00D028B1"/>
    <w:rsid w:val="00D030C5"/>
    <w:rsid w:val="00D0329F"/>
    <w:rsid w:val="00D0510B"/>
    <w:rsid w:val="00D05F0A"/>
    <w:rsid w:val="00D06299"/>
    <w:rsid w:val="00D0718E"/>
    <w:rsid w:val="00D073A8"/>
    <w:rsid w:val="00D07F46"/>
    <w:rsid w:val="00D1025E"/>
    <w:rsid w:val="00D1045D"/>
    <w:rsid w:val="00D1130B"/>
    <w:rsid w:val="00D116E3"/>
    <w:rsid w:val="00D11FF7"/>
    <w:rsid w:val="00D12B2A"/>
    <w:rsid w:val="00D133AA"/>
    <w:rsid w:val="00D13B0B"/>
    <w:rsid w:val="00D13CCF"/>
    <w:rsid w:val="00D1496F"/>
    <w:rsid w:val="00D14CF7"/>
    <w:rsid w:val="00D14E6E"/>
    <w:rsid w:val="00D1509A"/>
    <w:rsid w:val="00D152B6"/>
    <w:rsid w:val="00D15DEA"/>
    <w:rsid w:val="00D15E67"/>
    <w:rsid w:val="00D166F1"/>
    <w:rsid w:val="00D16880"/>
    <w:rsid w:val="00D16F0B"/>
    <w:rsid w:val="00D1776C"/>
    <w:rsid w:val="00D17C27"/>
    <w:rsid w:val="00D17E68"/>
    <w:rsid w:val="00D20206"/>
    <w:rsid w:val="00D20210"/>
    <w:rsid w:val="00D20ABB"/>
    <w:rsid w:val="00D20FF6"/>
    <w:rsid w:val="00D21086"/>
    <w:rsid w:val="00D21415"/>
    <w:rsid w:val="00D21762"/>
    <w:rsid w:val="00D21801"/>
    <w:rsid w:val="00D224E2"/>
    <w:rsid w:val="00D22F41"/>
    <w:rsid w:val="00D23339"/>
    <w:rsid w:val="00D236F7"/>
    <w:rsid w:val="00D240FE"/>
    <w:rsid w:val="00D24165"/>
    <w:rsid w:val="00D24AEE"/>
    <w:rsid w:val="00D24E10"/>
    <w:rsid w:val="00D255FD"/>
    <w:rsid w:val="00D26A33"/>
    <w:rsid w:val="00D27235"/>
    <w:rsid w:val="00D277C6"/>
    <w:rsid w:val="00D27AEB"/>
    <w:rsid w:val="00D304CE"/>
    <w:rsid w:val="00D3073E"/>
    <w:rsid w:val="00D31676"/>
    <w:rsid w:val="00D316C8"/>
    <w:rsid w:val="00D31AFE"/>
    <w:rsid w:val="00D324FA"/>
    <w:rsid w:val="00D33228"/>
    <w:rsid w:val="00D33447"/>
    <w:rsid w:val="00D337D5"/>
    <w:rsid w:val="00D33D23"/>
    <w:rsid w:val="00D343E0"/>
    <w:rsid w:val="00D3454B"/>
    <w:rsid w:val="00D34817"/>
    <w:rsid w:val="00D34CFD"/>
    <w:rsid w:val="00D350F8"/>
    <w:rsid w:val="00D35AA9"/>
    <w:rsid w:val="00D35F84"/>
    <w:rsid w:val="00D36002"/>
    <w:rsid w:val="00D365BB"/>
    <w:rsid w:val="00D366EF"/>
    <w:rsid w:val="00D3795A"/>
    <w:rsid w:val="00D37AB5"/>
    <w:rsid w:val="00D37AE3"/>
    <w:rsid w:val="00D40212"/>
    <w:rsid w:val="00D40C74"/>
    <w:rsid w:val="00D41926"/>
    <w:rsid w:val="00D420E2"/>
    <w:rsid w:val="00D4280A"/>
    <w:rsid w:val="00D43282"/>
    <w:rsid w:val="00D4328B"/>
    <w:rsid w:val="00D43EA4"/>
    <w:rsid w:val="00D44508"/>
    <w:rsid w:val="00D44CCF"/>
    <w:rsid w:val="00D44D43"/>
    <w:rsid w:val="00D452D2"/>
    <w:rsid w:val="00D455F7"/>
    <w:rsid w:val="00D45EF3"/>
    <w:rsid w:val="00D47810"/>
    <w:rsid w:val="00D50FD6"/>
    <w:rsid w:val="00D5128E"/>
    <w:rsid w:val="00D51A8E"/>
    <w:rsid w:val="00D51BA5"/>
    <w:rsid w:val="00D52FD0"/>
    <w:rsid w:val="00D535B6"/>
    <w:rsid w:val="00D53BBB"/>
    <w:rsid w:val="00D54385"/>
    <w:rsid w:val="00D55DDB"/>
    <w:rsid w:val="00D560D9"/>
    <w:rsid w:val="00D60A6A"/>
    <w:rsid w:val="00D60E1E"/>
    <w:rsid w:val="00D60FF3"/>
    <w:rsid w:val="00D61865"/>
    <w:rsid w:val="00D624CE"/>
    <w:rsid w:val="00D6259C"/>
    <w:rsid w:val="00D632FE"/>
    <w:rsid w:val="00D63586"/>
    <w:rsid w:val="00D638D3"/>
    <w:rsid w:val="00D63B91"/>
    <w:rsid w:val="00D64445"/>
    <w:rsid w:val="00D6467B"/>
    <w:rsid w:val="00D64A4A"/>
    <w:rsid w:val="00D657E0"/>
    <w:rsid w:val="00D6679C"/>
    <w:rsid w:val="00D66A79"/>
    <w:rsid w:val="00D671B9"/>
    <w:rsid w:val="00D67273"/>
    <w:rsid w:val="00D6732D"/>
    <w:rsid w:val="00D67418"/>
    <w:rsid w:val="00D70837"/>
    <w:rsid w:val="00D717FE"/>
    <w:rsid w:val="00D71AEC"/>
    <w:rsid w:val="00D721D4"/>
    <w:rsid w:val="00D72370"/>
    <w:rsid w:val="00D72591"/>
    <w:rsid w:val="00D73EE6"/>
    <w:rsid w:val="00D742D2"/>
    <w:rsid w:val="00D744DC"/>
    <w:rsid w:val="00D74F43"/>
    <w:rsid w:val="00D75CF7"/>
    <w:rsid w:val="00D75F59"/>
    <w:rsid w:val="00D76F57"/>
    <w:rsid w:val="00D77262"/>
    <w:rsid w:val="00D776C3"/>
    <w:rsid w:val="00D80153"/>
    <w:rsid w:val="00D80649"/>
    <w:rsid w:val="00D80E6A"/>
    <w:rsid w:val="00D819E8"/>
    <w:rsid w:val="00D81AC7"/>
    <w:rsid w:val="00D81CBC"/>
    <w:rsid w:val="00D81DAD"/>
    <w:rsid w:val="00D82878"/>
    <w:rsid w:val="00D830B4"/>
    <w:rsid w:val="00D835E7"/>
    <w:rsid w:val="00D8366F"/>
    <w:rsid w:val="00D8374B"/>
    <w:rsid w:val="00D84568"/>
    <w:rsid w:val="00D8495C"/>
    <w:rsid w:val="00D84C97"/>
    <w:rsid w:val="00D8547C"/>
    <w:rsid w:val="00D854BD"/>
    <w:rsid w:val="00D85892"/>
    <w:rsid w:val="00D85A24"/>
    <w:rsid w:val="00D85C3B"/>
    <w:rsid w:val="00D86737"/>
    <w:rsid w:val="00D8696A"/>
    <w:rsid w:val="00D86CAE"/>
    <w:rsid w:val="00D87108"/>
    <w:rsid w:val="00D900F6"/>
    <w:rsid w:val="00D909A0"/>
    <w:rsid w:val="00D90C33"/>
    <w:rsid w:val="00D90FA1"/>
    <w:rsid w:val="00D9153B"/>
    <w:rsid w:val="00D9154A"/>
    <w:rsid w:val="00D93E2F"/>
    <w:rsid w:val="00D942DE"/>
    <w:rsid w:val="00D94D23"/>
    <w:rsid w:val="00D95903"/>
    <w:rsid w:val="00D95922"/>
    <w:rsid w:val="00D95D78"/>
    <w:rsid w:val="00D96D5D"/>
    <w:rsid w:val="00D978C4"/>
    <w:rsid w:val="00D97AD1"/>
    <w:rsid w:val="00DA0810"/>
    <w:rsid w:val="00DA23B3"/>
    <w:rsid w:val="00DA371A"/>
    <w:rsid w:val="00DA3B5B"/>
    <w:rsid w:val="00DA3FCE"/>
    <w:rsid w:val="00DA42E6"/>
    <w:rsid w:val="00DA47DE"/>
    <w:rsid w:val="00DB0449"/>
    <w:rsid w:val="00DB0EC7"/>
    <w:rsid w:val="00DB16FB"/>
    <w:rsid w:val="00DB1BA8"/>
    <w:rsid w:val="00DB1CFB"/>
    <w:rsid w:val="00DB211F"/>
    <w:rsid w:val="00DB251E"/>
    <w:rsid w:val="00DB2989"/>
    <w:rsid w:val="00DB2A23"/>
    <w:rsid w:val="00DB40A5"/>
    <w:rsid w:val="00DB4203"/>
    <w:rsid w:val="00DB4523"/>
    <w:rsid w:val="00DB46B7"/>
    <w:rsid w:val="00DB4C45"/>
    <w:rsid w:val="00DB568D"/>
    <w:rsid w:val="00DB60D9"/>
    <w:rsid w:val="00DB64A0"/>
    <w:rsid w:val="00DB660B"/>
    <w:rsid w:val="00DB6967"/>
    <w:rsid w:val="00DB6C25"/>
    <w:rsid w:val="00DB763B"/>
    <w:rsid w:val="00DB7920"/>
    <w:rsid w:val="00DB7CA1"/>
    <w:rsid w:val="00DC1F04"/>
    <w:rsid w:val="00DC2004"/>
    <w:rsid w:val="00DC2319"/>
    <w:rsid w:val="00DC25DA"/>
    <w:rsid w:val="00DC3032"/>
    <w:rsid w:val="00DC37C7"/>
    <w:rsid w:val="00DC3D42"/>
    <w:rsid w:val="00DC459A"/>
    <w:rsid w:val="00DC4A32"/>
    <w:rsid w:val="00DC4A4C"/>
    <w:rsid w:val="00DC4C59"/>
    <w:rsid w:val="00DC5149"/>
    <w:rsid w:val="00DC53CC"/>
    <w:rsid w:val="00DC686C"/>
    <w:rsid w:val="00DC6D1A"/>
    <w:rsid w:val="00DC70E8"/>
    <w:rsid w:val="00DC7F73"/>
    <w:rsid w:val="00DD0468"/>
    <w:rsid w:val="00DD10C5"/>
    <w:rsid w:val="00DD159D"/>
    <w:rsid w:val="00DD1B88"/>
    <w:rsid w:val="00DD1C8A"/>
    <w:rsid w:val="00DD21AF"/>
    <w:rsid w:val="00DD24FB"/>
    <w:rsid w:val="00DD258E"/>
    <w:rsid w:val="00DD28EA"/>
    <w:rsid w:val="00DD327D"/>
    <w:rsid w:val="00DD3C08"/>
    <w:rsid w:val="00DD3FE2"/>
    <w:rsid w:val="00DD44E5"/>
    <w:rsid w:val="00DD484F"/>
    <w:rsid w:val="00DD5654"/>
    <w:rsid w:val="00DD6874"/>
    <w:rsid w:val="00DD73CD"/>
    <w:rsid w:val="00DE0476"/>
    <w:rsid w:val="00DE0995"/>
    <w:rsid w:val="00DE176F"/>
    <w:rsid w:val="00DE2172"/>
    <w:rsid w:val="00DE274C"/>
    <w:rsid w:val="00DE2AAC"/>
    <w:rsid w:val="00DE4961"/>
    <w:rsid w:val="00DE4E46"/>
    <w:rsid w:val="00DE4FC8"/>
    <w:rsid w:val="00DE5A49"/>
    <w:rsid w:val="00DE62C0"/>
    <w:rsid w:val="00DE6919"/>
    <w:rsid w:val="00DF04B2"/>
    <w:rsid w:val="00DF0A34"/>
    <w:rsid w:val="00DF0D23"/>
    <w:rsid w:val="00DF1125"/>
    <w:rsid w:val="00DF11A2"/>
    <w:rsid w:val="00DF152C"/>
    <w:rsid w:val="00DF18F0"/>
    <w:rsid w:val="00DF27AC"/>
    <w:rsid w:val="00DF28E7"/>
    <w:rsid w:val="00DF2FAE"/>
    <w:rsid w:val="00DF31CF"/>
    <w:rsid w:val="00DF3925"/>
    <w:rsid w:val="00DF399A"/>
    <w:rsid w:val="00DF40E2"/>
    <w:rsid w:val="00DF4E62"/>
    <w:rsid w:val="00DF4F4D"/>
    <w:rsid w:val="00DF592F"/>
    <w:rsid w:val="00DF59AA"/>
    <w:rsid w:val="00DF5B23"/>
    <w:rsid w:val="00DF627C"/>
    <w:rsid w:val="00DF6280"/>
    <w:rsid w:val="00DF638F"/>
    <w:rsid w:val="00DF6E41"/>
    <w:rsid w:val="00DF7B14"/>
    <w:rsid w:val="00E00009"/>
    <w:rsid w:val="00E01AFA"/>
    <w:rsid w:val="00E01D5C"/>
    <w:rsid w:val="00E01EF4"/>
    <w:rsid w:val="00E02222"/>
    <w:rsid w:val="00E02CF2"/>
    <w:rsid w:val="00E03B07"/>
    <w:rsid w:val="00E03E26"/>
    <w:rsid w:val="00E04094"/>
    <w:rsid w:val="00E04947"/>
    <w:rsid w:val="00E04D65"/>
    <w:rsid w:val="00E06176"/>
    <w:rsid w:val="00E069F7"/>
    <w:rsid w:val="00E06C35"/>
    <w:rsid w:val="00E06CB4"/>
    <w:rsid w:val="00E0710D"/>
    <w:rsid w:val="00E07B9F"/>
    <w:rsid w:val="00E07CA7"/>
    <w:rsid w:val="00E07F71"/>
    <w:rsid w:val="00E1134B"/>
    <w:rsid w:val="00E11351"/>
    <w:rsid w:val="00E114D8"/>
    <w:rsid w:val="00E12444"/>
    <w:rsid w:val="00E12BCF"/>
    <w:rsid w:val="00E1347F"/>
    <w:rsid w:val="00E14458"/>
    <w:rsid w:val="00E14D19"/>
    <w:rsid w:val="00E15333"/>
    <w:rsid w:val="00E1577D"/>
    <w:rsid w:val="00E15D04"/>
    <w:rsid w:val="00E1621B"/>
    <w:rsid w:val="00E16347"/>
    <w:rsid w:val="00E16378"/>
    <w:rsid w:val="00E170A7"/>
    <w:rsid w:val="00E177D3"/>
    <w:rsid w:val="00E17993"/>
    <w:rsid w:val="00E2062E"/>
    <w:rsid w:val="00E20D9F"/>
    <w:rsid w:val="00E21114"/>
    <w:rsid w:val="00E22B84"/>
    <w:rsid w:val="00E230A8"/>
    <w:rsid w:val="00E2393A"/>
    <w:rsid w:val="00E25B7E"/>
    <w:rsid w:val="00E26045"/>
    <w:rsid w:val="00E2606A"/>
    <w:rsid w:val="00E26BDB"/>
    <w:rsid w:val="00E270F6"/>
    <w:rsid w:val="00E27304"/>
    <w:rsid w:val="00E30EAD"/>
    <w:rsid w:val="00E3214D"/>
    <w:rsid w:val="00E327DC"/>
    <w:rsid w:val="00E331ED"/>
    <w:rsid w:val="00E33741"/>
    <w:rsid w:val="00E337F5"/>
    <w:rsid w:val="00E339E4"/>
    <w:rsid w:val="00E34EBC"/>
    <w:rsid w:val="00E36A3F"/>
    <w:rsid w:val="00E37211"/>
    <w:rsid w:val="00E37848"/>
    <w:rsid w:val="00E4034D"/>
    <w:rsid w:val="00E404B3"/>
    <w:rsid w:val="00E41EE7"/>
    <w:rsid w:val="00E42084"/>
    <w:rsid w:val="00E42626"/>
    <w:rsid w:val="00E42F22"/>
    <w:rsid w:val="00E433C6"/>
    <w:rsid w:val="00E43663"/>
    <w:rsid w:val="00E43CEE"/>
    <w:rsid w:val="00E43D94"/>
    <w:rsid w:val="00E44854"/>
    <w:rsid w:val="00E44EF8"/>
    <w:rsid w:val="00E46953"/>
    <w:rsid w:val="00E46AA5"/>
    <w:rsid w:val="00E46D7F"/>
    <w:rsid w:val="00E46F02"/>
    <w:rsid w:val="00E474E8"/>
    <w:rsid w:val="00E47878"/>
    <w:rsid w:val="00E50E32"/>
    <w:rsid w:val="00E512FA"/>
    <w:rsid w:val="00E5131D"/>
    <w:rsid w:val="00E51A8E"/>
    <w:rsid w:val="00E523C5"/>
    <w:rsid w:val="00E532AF"/>
    <w:rsid w:val="00E5356E"/>
    <w:rsid w:val="00E5438D"/>
    <w:rsid w:val="00E54477"/>
    <w:rsid w:val="00E551D4"/>
    <w:rsid w:val="00E55808"/>
    <w:rsid w:val="00E559EA"/>
    <w:rsid w:val="00E562CD"/>
    <w:rsid w:val="00E5696D"/>
    <w:rsid w:val="00E56E45"/>
    <w:rsid w:val="00E5778C"/>
    <w:rsid w:val="00E6051D"/>
    <w:rsid w:val="00E60F03"/>
    <w:rsid w:val="00E6161C"/>
    <w:rsid w:val="00E61EA8"/>
    <w:rsid w:val="00E629D9"/>
    <w:rsid w:val="00E62C55"/>
    <w:rsid w:val="00E62DEC"/>
    <w:rsid w:val="00E63233"/>
    <w:rsid w:val="00E63A35"/>
    <w:rsid w:val="00E64DA5"/>
    <w:rsid w:val="00E65F8A"/>
    <w:rsid w:val="00E66D34"/>
    <w:rsid w:val="00E66ECB"/>
    <w:rsid w:val="00E66FD0"/>
    <w:rsid w:val="00E67486"/>
    <w:rsid w:val="00E67CDB"/>
    <w:rsid w:val="00E70FA4"/>
    <w:rsid w:val="00E7206C"/>
    <w:rsid w:val="00E727CE"/>
    <w:rsid w:val="00E74315"/>
    <w:rsid w:val="00E749E1"/>
    <w:rsid w:val="00E754A7"/>
    <w:rsid w:val="00E77222"/>
    <w:rsid w:val="00E8007A"/>
    <w:rsid w:val="00E8036F"/>
    <w:rsid w:val="00E80578"/>
    <w:rsid w:val="00E80B43"/>
    <w:rsid w:val="00E815DA"/>
    <w:rsid w:val="00E81B9E"/>
    <w:rsid w:val="00E81C29"/>
    <w:rsid w:val="00E81E0B"/>
    <w:rsid w:val="00E82C91"/>
    <w:rsid w:val="00E833CB"/>
    <w:rsid w:val="00E83995"/>
    <w:rsid w:val="00E83CBA"/>
    <w:rsid w:val="00E83CC0"/>
    <w:rsid w:val="00E83D2E"/>
    <w:rsid w:val="00E83FB2"/>
    <w:rsid w:val="00E84058"/>
    <w:rsid w:val="00E85F49"/>
    <w:rsid w:val="00E86387"/>
    <w:rsid w:val="00E86D5C"/>
    <w:rsid w:val="00E872A1"/>
    <w:rsid w:val="00E8793D"/>
    <w:rsid w:val="00E87AA9"/>
    <w:rsid w:val="00E90615"/>
    <w:rsid w:val="00E91FE0"/>
    <w:rsid w:val="00E92232"/>
    <w:rsid w:val="00E92BFB"/>
    <w:rsid w:val="00E94C15"/>
    <w:rsid w:val="00E959F1"/>
    <w:rsid w:val="00E95AC2"/>
    <w:rsid w:val="00E960A5"/>
    <w:rsid w:val="00E96597"/>
    <w:rsid w:val="00E96ACB"/>
    <w:rsid w:val="00E970E3"/>
    <w:rsid w:val="00E97167"/>
    <w:rsid w:val="00E97491"/>
    <w:rsid w:val="00E977F4"/>
    <w:rsid w:val="00E97DB8"/>
    <w:rsid w:val="00E97DBB"/>
    <w:rsid w:val="00E97F5D"/>
    <w:rsid w:val="00EA0169"/>
    <w:rsid w:val="00EA0187"/>
    <w:rsid w:val="00EA163F"/>
    <w:rsid w:val="00EA2093"/>
    <w:rsid w:val="00EA33BA"/>
    <w:rsid w:val="00EA3436"/>
    <w:rsid w:val="00EA3781"/>
    <w:rsid w:val="00EA39C1"/>
    <w:rsid w:val="00EA3DEE"/>
    <w:rsid w:val="00EA4A12"/>
    <w:rsid w:val="00EA5023"/>
    <w:rsid w:val="00EA50FC"/>
    <w:rsid w:val="00EA5563"/>
    <w:rsid w:val="00EA5841"/>
    <w:rsid w:val="00EA6B99"/>
    <w:rsid w:val="00EA6F95"/>
    <w:rsid w:val="00EA7061"/>
    <w:rsid w:val="00EB0B31"/>
    <w:rsid w:val="00EB13FE"/>
    <w:rsid w:val="00EB18E7"/>
    <w:rsid w:val="00EB254B"/>
    <w:rsid w:val="00EB39F1"/>
    <w:rsid w:val="00EB3A3F"/>
    <w:rsid w:val="00EB43E9"/>
    <w:rsid w:val="00EB456B"/>
    <w:rsid w:val="00EB472E"/>
    <w:rsid w:val="00EB5000"/>
    <w:rsid w:val="00EB501E"/>
    <w:rsid w:val="00EB507D"/>
    <w:rsid w:val="00EB5434"/>
    <w:rsid w:val="00EB5BCA"/>
    <w:rsid w:val="00EB5D6C"/>
    <w:rsid w:val="00EB6319"/>
    <w:rsid w:val="00EB6A9B"/>
    <w:rsid w:val="00EB6CE3"/>
    <w:rsid w:val="00EB7239"/>
    <w:rsid w:val="00EB73DE"/>
    <w:rsid w:val="00EB76D6"/>
    <w:rsid w:val="00EC00F0"/>
    <w:rsid w:val="00EC0178"/>
    <w:rsid w:val="00EC049F"/>
    <w:rsid w:val="00EC05F3"/>
    <w:rsid w:val="00EC0800"/>
    <w:rsid w:val="00EC0AE3"/>
    <w:rsid w:val="00EC1566"/>
    <w:rsid w:val="00EC1FD6"/>
    <w:rsid w:val="00EC23AB"/>
    <w:rsid w:val="00EC262F"/>
    <w:rsid w:val="00EC2780"/>
    <w:rsid w:val="00EC288C"/>
    <w:rsid w:val="00EC3021"/>
    <w:rsid w:val="00EC5162"/>
    <w:rsid w:val="00EC5388"/>
    <w:rsid w:val="00EC6007"/>
    <w:rsid w:val="00EC61FE"/>
    <w:rsid w:val="00EC7FA6"/>
    <w:rsid w:val="00ED024E"/>
    <w:rsid w:val="00ED0251"/>
    <w:rsid w:val="00ED03AD"/>
    <w:rsid w:val="00ED04B2"/>
    <w:rsid w:val="00ED05BA"/>
    <w:rsid w:val="00ED18CA"/>
    <w:rsid w:val="00ED194C"/>
    <w:rsid w:val="00ED22BD"/>
    <w:rsid w:val="00ED2C26"/>
    <w:rsid w:val="00ED3175"/>
    <w:rsid w:val="00ED32FD"/>
    <w:rsid w:val="00ED34BC"/>
    <w:rsid w:val="00ED3898"/>
    <w:rsid w:val="00ED3C3D"/>
    <w:rsid w:val="00ED3CFB"/>
    <w:rsid w:val="00ED3DE3"/>
    <w:rsid w:val="00ED4229"/>
    <w:rsid w:val="00ED4409"/>
    <w:rsid w:val="00ED4CF9"/>
    <w:rsid w:val="00ED5EC2"/>
    <w:rsid w:val="00ED637B"/>
    <w:rsid w:val="00EE0384"/>
    <w:rsid w:val="00EE03F3"/>
    <w:rsid w:val="00EE0674"/>
    <w:rsid w:val="00EE0DF2"/>
    <w:rsid w:val="00EE1CE5"/>
    <w:rsid w:val="00EE1EE2"/>
    <w:rsid w:val="00EE21DD"/>
    <w:rsid w:val="00EE38ED"/>
    <w:rsid w:val="00EE3B48"/>
    <w:rsid w:val="00EE4090"/>
    <w:rsid w:val="00EE42DE"/>
    <w:rsid w:val="00EE4ED0"/>
    <w:rsid w:val="00EE4FE1"/>
    <w:rsid w:val="00EE52B7"/>
    <w:rsid w:val="00EE52DF"/>
    <w:rsid w:val="00EE56DF"/>
    <w:rsid w:val="00EE6ED3"/>
    <w:rsid w:val="00EE75B4"/>
    <w:rsid w:val="00EF0501"/>
    <w:rsid w:val="00EF1A24"/>
    <w:rsid w:val="00EF1BF1"/>
    <w:rsid w:val="00EF3DAA"/>
    <w:rsid w:val="00EF3F68"/>
    <w:rsid w:val="00EF3F6F"/>
    <w:rsid w:val="00EF4DAA"/>
    <w:rsid w:val="00EF5069"/>
    <w:rsid w:val="00EF544D"/>
    <w:rsid w:val="00EF5544"/>
    <w:rsid w:val="00EF5A20"/>
    <w:rsid w:val="00EF5DC5"/>
    <w:rsid w:val="00EF62FE"/>
    <w:rsid w:val="00EF63DE"/>
    <w:rsid w:val="00EF7147"/>
    <w:rsid w:val="00EF71E1"/>
    <w:rsid w:val="00EF72D0"/>
    <w:rsid w:val="00EF73A3"/>
    <w:rsid w:val="00EF7C7D"/>
    <w:rsid w:val="00F0106F"/>
    <w:rsid w:val="00F015BB"/>
    <w:rsid w:val="00F017C5"/>
    <w:rsid w:val="00F01BD5"/>
    <w:rsid w:val="00F022F9"/>
    <w:rsid w:val="00F0264E"/>
    <w:rsid w:val="00F04103"/>
    <w:rsid w:val="00F04A5D"/>
    <w:rsid w:val="00F05125"/>
    <w:rsid w:val="00F05EAF"/>
    <w:rsid w:val="00F06D7C"/>
    <w:rsid w:val="00F0790D"/>
    <w:rsid w:val="00F07A54"/>
    <w:rsid w:val="00F10210"/>
    <w:rsid w:val="00F1049D"/>
    <w:rsid w:val="00F10AA2"/>
    <w:rsid w:val="00F119F0"/>
    <w:rsid w:val="00F12530"/>
    <w:rsid w:val="00F125F1"/>
    <w:rsid w:val="00F1340D"/>
    <w:rsid w:val="00F13691"/>
    <w:rsid w:val="00F14342"/>
    <w:rsid w:val="00F147FD"/>
    <w:rsid w:val="00F14EC3"/>
    <w:rsid w:val="00F1551A"/>
    <w:rsid w:val="00F1591A"/>
    <w:rsid w:val="00F15FC1"/>
    <w:rsid w:val="00F16689"/>
    <w:rsid w:val="00F168AA"/>
    <w:rsid w:val="00F16A5D"/>
    <w:rsid w:val="00F16AB8"/>
    <w:rsid w:val="00F17762"/>
    <w:rsid w:val="00F2008D"/>
    <w:rsid w:val="00F2088C"/>
    <w:rsid w:val="00F229AE"/>
    <w:rsid w:val="00F236EF"/>
    <w:rsid w:val="00F23C5A"/>
    <w:rsid w:val="00F23C9C"/>
    <w:rsid w:val="00F23E91"/>
    <w:rsid w:val="00F269F1"/>
    <w:rsid w:val="00F26AA7"/>
    <w:rsid w:val="00F272B5"/>
    <w:rsid w:val="00F27390"/>
    <w:rsid w:val="00F277D4"/>
    <w:rsid w:val="00F302D2"/>
    <w:rsid w:val="00F30975"/>
    <w:rsid w:val="00F31104"/>
    <w:rsid w:val="00F3167F"/>
    <w:rsid w:val="00F3344F"/>
    <w:rsid w:val="00F33905"/>
    <w:rsid w:val="00F33E65"/>
    <w:rsid w:val="00F344BA"/>
    <w:rsid w:val="00F34E93"/>
    <w:rsid w:val="00F34EC0"/>
    <w:rsid w:val="00F352CD"/>
    <w:rsid w:val="00F35680"/>
    <w:rsid w:val="00F35737"/>
    <w:rsid w:val="00F36689"/>
    <w:rsid w:val="00F36B34"/>
    <w:rsid w:val="00F371FB"/>
    <w:rsid w:val="00F3787A"/>
    <w:rsid w:val="00F4032B"/>
    <w:rsid w:val="00F41CEB"/>
    <w:rsid w:val="00F42C41"/>
    <w:rsid w:val="00F43246"/>
    <w:rsid w:val="00F43BCE"/>
    <w:rsid w:val="00F43DCC"/>
    <w:rsid w:val="00F4444A"/>
    <w:rsid w:val="00F4474B"/>
    <w:rsid w:val="00F452F7"/>
    <w:rsid w:val="00F456B3"/>
    <w:rsid w:val="00F45B90"/>
    <w:rsid w:val="00F46466"/>
    <w:rsid w:val="00F46C8F"/>
    <w:rsid w:val="00F4721A"/>
    <w:rsid w:val="00F47C1C"/>
    <w:rsid w:val="00F5013B"/>
    <w:rsid w:val="00F50220"/>
    <w:rsid w:val="00F50884"/>
    <w:rsid w:val="00F513E5"/>
    <w:rsid w:val="00F5219B"/>
    <w:rsid w:val="00F5241C"/>
    <w:rsid w:val="00F52DB3"/>
    <w:rsid w:val="00F53138"/>
    <w:rsid w:val="00F534C0"/>
    <w:rsid w:val="00F54690"/>
    <w:rsid w:val="00F54930"/>
    <w:rsid w:val="00F55192"/>
    <w:rsid w:val="00F5523B"/>
    <w:rsid w:val="00F55A53"/>
    <w:rsid w:val="00F55B96"/>
    <w:rsid w:val="00F56188"/>
    <w:rsid w:val="00F56313"/>
    <w:rsid w:val="00F5696D"/>
    <w:rsid w:val="00F56BB1"/>
    <w:rsid w:val="00F56CED"/>
    <w:rsid w:val="00F570CC"/>
    <w:rsid w:val="00F57A40"/>
    <w:rsid w:val="00F60AC8"/>
    <w:rsid w:val="00F61AA1"/>
    <w:rsid w:val="00F62395"/>
    <w:rsid w:val="00F623B6"/>
    <w:rsid w:val="00F624F6"/>
    <w:rsid w:val="00F6280F"/>
    <w:rsid w:val="00F62819"/>
    <w:rsid w:val="00F6304D"/>
    <w:rsid w:val="00F63387"/>
    <w:rsid w:val="00F6394B"/>
    <w:rsid w:val="00F655AA"/>
    <w:rsid w:val="00F65E3E"/>
    <w:rsid w:val="00F6653B"/>
    <w:rsid w:val="00F66561"/>
    <w:rsid w:val="00F66F83"/>
    <w:rsid w:val="00F708D9"/>
    <w:rsid w:val="00F715B9"/>
    <w:rsid w:val="00F71955"/>
    <w:rsid w:val="00F71AAF"/>
    <w:rsid w:val="00F71EB7"/>
    <w:rsid w:val="00F720FB"/>
    <w:rsid w:val="00F721C2"/>
    <w:rsid w:val="00F7369B"/>
    <w:rsid w:val="00F7389B"/>
    <w:rsid w:val="00F73D50"/>
    <w:rsid w:val="00F73F94"/>
    <w:rsid w:val="00F744BD"/>
    <w:rsid w:val="00F75320"/>
    <w:rsid w:val="00F7651F"/>
    <w:rsid w:val="00F76DBB"/>
    <w:rsid w:val="00F77FD7"/>
    <w:rsid w:val="00F80602"/>
    <w:rsid w:val="00F81376"/>
    <w:rsid w:val="00F82A37"/>
    <w:rsid w:val="00F82BC8"/>
    <w:rsid w:val="00F83B30"/>
    <w:rsid w:val="00F8472E"/>
    <w:rsid w:val="00F84C20"/>
    <w:rsid w:val="00F85550"/>
    <w:rsid w:val="00F857E4"/>
    <w:rsid w:val="00F85ED5"/>
    <w:rsid w:val="00F86821"/>
    <w:rsid w:val="00F86B3F"/>
    <w:rsid w:val="00F90429"/>
    <w:rsid w:val="00F904C9"/>
    <w:rsid w:val="00F90C3D"/>
    <w:rsid w:val="00F91606"/>
    <w:rsid w:val="00F9169A"/>
    <w:rsid w:val="00F91E45"/>
    <w:rsid w:val="00F92112"/>
    <w:rsid w:val="00F9230A"/>
    <w:rsid w:val="00F92366"/>
    <w:rsid w:val="00F92753"/>
    <w:rsid w:val="00F92B3A"/>
    <w:rsid w:val="00F93F23"/>
    <w:rsid w:val="00F94402"/>
    <w:rsid w:val="00F94685"/>
    <w:rsid w:val="00F947A1"/>
    <w:rsid w:val="00F951B4"/>
    <w:rsid w:val="00F9598E"/>
    <w:rsid w:val="00F95A84"/>
    <w:rsid w:val="00F95FD6"/>
    <w:rsid w:val="00F969C6"/>
    <w:rsid w:val="00F96B32"/>
    <w:rsid w:val="00F9735A"/>
    <w:rsid w:val="00F97644"/>
    <w:rsid w:val="00F97A65"/>
    <w:rsid w:val="00FA0910"/>
    <w:rsid w:val="00FA1093"/>
    <w:rsid w:val="00FA14BD"/>
    <w:rsid w:val="00FA267E"/>
    <w:rsid w:val="00FA2A59"/>
    <w:rsid w:val="00FA3439"/>
    <w:rsid w:val="00FA3476"/>
    <w:rsid w:val="00FA3767"/>
    <w:rsid w:val="00FA42F4"/>
    <w:rsid w:val="00FA442A"/>
    <w:rsid w:val="00FA4B73"/>
    <w:rsid w:val="00FA580B"/>
    <w:rsid w:val="00FA6502"/>
    <w:rsid w:val="00FA67F4"/>
    <w:rsid w:val="00FA7F8B"/>
    <w:rsid w:val="00FB0730"/>
    <w:rsid w:val="00FB0BC1"/>
    <w:rsid w:val="00FB14A0"/>
    <w:rsid w:val="00FB2496"/>
    <w:rsid w:val="00FB283E"/>
    <w:rsid w:val="00FB2AB5"/>
    <w:rsid w:val="00FB30D9"/>
    <w:rsid w:val="00FB34F8"/>
    <w:rsid w:val="00FB3BAE"/>
    <w:rsid w:val="00FB3C2B"/>
    <w:rsid w:val="00FB43AC"/>
    <w:rsid w:val="00FB46E6"/>
    <w:rsid w:val="00FB4960"/>
    <w:rsid w:val="00FB4BF9"/>
    <w:rsid w:val="00FB4CBB"/>
    <w:rsid w:val="00FB4E2D"/>
    <w:rsid w:val="00FB4E4A"/>
    <w:rsid w:val="00FB5B60"/>
    <w:rsid w:val="00FB6588"/>
    <w:rsid w:val="00FB6AA8"/>
    <w:rsid w:val="00FB6D3A"/>
    <w:rsid w:val="00FB724A"/>
    <w:rsid w:val="00FB7924"/>
    <w:rsid w:val="00FB7F35"/>
    <w:rsid w:val="00FC0A2D"/>
    <w:rsid w:val="00FC0E01"/>
    <w:rsid w:val="00FC11D6"/>
    <w:rsid w:val="00FC1A09"/>
    <w:rsid w:val="00FC25AB"/>
    <w:rsid w:val="00FC3382"/>
    <w:rsid w:val="00FC3538"/>
    <w:rsid w:val="00FC420B"/>
    <w:rsid w:val="00FC48DD"/>
    <w:rsid w:val="00FC52BE"/>
    <w:rsid w:val="00FC569E"/>
    <w:rsid w:val="00FC65F9"/>
    <w:rsid w:val="00FC67E5"/>
    <w:rsid w:val="00FC6A47"/>
    <w:rsid w:val="00FC6A5D"/>
    <w:rsid w:val="00FC6BFF"/>
    <w:rsid w:val="00FC7091"/>
    <w:rsid w:val="00FC70BA"/>
    <w:rsid w:val="00FC7C5D"/>
    <w:rsid w:val="00FC7E85"/>
    <w:rsid w:val="00FD04EB"/>
    <w:rsid w:val="00FD0B2C"/>
    <w:rsid w:val="00FD0C61"/>
    <w:rsid w:val="00FD1036"/>
    <w:rsid w:val="00FD10F6"/>
    <w:rsid w:val="00FD131D"/>
    <w:rsid w:val="00FD15CB"/>
    <w:rsid w:val="00FD178B"/>
    <w:rsid w:val="00FD19D2"/>
    <w:rsid w:val="00FD230B"/>
    <w:rsid w:val="00FD28AF"/>
    <w:rsid w:val="00FD2AB5"/>
    <w:rsid w:val="00FD2D4D"/>
    <w:rsid w:val="00FD3EC1"/>
    <w:rsid w:val="00FD44FE"/>
    <w:rsid w:val="00FD451B"/>
    <w:rsid w:val="00FD481F"/>
    <w:rsid w:val="00FD5177"/>
    <w:rsid w:val="00FD58D6"/>
    <w:rsid w:val="00FD5F5D"/>
    <w:rsid w:val="00FD5FD0"/>
    <w:rsid w:val="00FD72B6"/>
    <w:rsid w:val="00FE0AF4"/>
    <w:rsid w:val="00FE10B8"/>
    <w:rsid w:val="00FE19EF"/>
    <w:rsid w:val="00FE256F"/>
    <w:rsid w:val="00FE2BAB"/>
    <w:rsid w:val="00FE2F7E"/>
    <w:rsid w:val="00FE31CE"/>
    <w:rsid w:val="00FE35E1"/>
    <w:rsid w:val="00FE38CE"/>
    <w:rsid w:val="00FE3E8B"/>
    <w:rsid w:val="00FE4FAA"/>
    <w:rsid w:val="00FE57D3"/>
    <w:rsid w:val="00FE5D5E"/>
    <w:rsid w:val="00FE5E1A"/>
    <w:rsid w:val="00FE5FB2"/>
    <w:rsid w:val="00FE6AFD"/>
    <w:rsid w:val="00FE6D86"/>
    <w:rsid w:val="00FE6E04"/>
    <w:rsid w:val="00FE6F6C"/>
    <w:rsid w:val="00FE7037"/>
    <w:rsid w:val="00FE735A"/>
    <w:rsid w:val="00FE74A4"/>
    <w:rsid w:val="00FE7B38"/>
    <w:rsid w:val="00FE7C8B"/>
    <w:rsid w:val="00FE7E76"/>
    <w:rsid w:val="00FF0252"/>
    <w:rsid w:val="00FF05E6"/>
    <w:rsid w:val="00FF0968"/>
    <w:rsid w:val="00FF0DA7"/>
    <w:rsid w:val="00FF158B"/>
    <w:rsid w:val="00FF1BD7"/>
    <w:rsid w:val="00FF25D2"/>
    <w:rsid w:val="00FF2652"/>
    <w:rsid w:val="00FF304E"/>
    <w:rsid w:val="00FF3276"/>
    <w:rsid w:val="00FF37AC"/>
    <w:rsid w:val="00FF4656"/>
    <w:rsid w:val="00FF4E12"/>
    <w:rsid w:val="00FF5B26"/>
    <w:rsid w:val="00FF5C35"/>
    <w:rsid w:val="00FF69CB"/>
    <w:rsid w:val="00FF6AFA"/>
    <w:rsid w:val="00FF73C7"/>
    <w:rsid w:val="00FF7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010A7E3"/>
  <w15:docId w15:val="{2BECA4C6-04F1-0142-9E06-39A2CFC2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195A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883295"/>
    <w:pPr>
      <w:widowControl w:val="0"/>
    </w:pPr>
    <w:rPr>
      <w:sz w:val="16"/>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WB Para,Bullets,List Paragraph1,Akapit z listą BS,Project Profile name,Lapis Bulleted List,List Square,Colorful List - Accent 11,Dot pt,F5 List Paragraph,List Paragraph Char Char Char,Indicator Text,Bullet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883295"/>
    <w:rPr>
      <w:sz w:val="16"/>
      <w:lang w:eastAsia="en-US"/>
    </w:rPr>
  </w:style>
  <w:style w:type="character" w:customStyle="1" w:styleId="ListParagraphChar">
    <w:name w:val="List Paragraph Char"/>
    <w:aliases w:val="List Paragraph (numbered (a)) Char,WB Para Char,Bullets Char,List Paragraph1 Char,Akapit z listą BS Char,Project Profile name Char,Lapis Bulleted List Char,List Square Char,Colorful List - Accent 11 Char,Dot p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Char2">
    <w:name w:val="Char2"/>
    <w:basedOn w:val="Normal"/>
    <w:link w:val="FootnoteReference"/>
    <w:uiPriority w:val="99"/>
    <w:rsid w:val="003E5D5E"/>
    <w:pPr>
      <w:spacing w:after="160" w:line="240" w:lineRule="exact"/>
      <w:jc w:val="both"/>
    </w:pPr>
    <w:rPr>
      <w:vertAlign w:val="superscript"/>
      <w:lang w:eastAsia="en-GB"/>
    </w:rPr>
  </w:style>
  <w:style w:type="paragraph" w:styleId="NoSpacing">
    <w:name w:val="No Spacing"/>
    <w:link w:val="NoSpacingChar"/>
    <w:qFormat/>
    <w:rsid w:val="003E5D5E"/>
    <w:rPr>
      <w:rFonts w:ascii="Calibri" w:hAnsi="Calibri"/>
      <w:sz w:val="22"/>
      <w:szCs w:val="22"/>
      <w:lang w:val="en-US" w:eastAsia="en-US"/>
    </w:rPr>
  </w:style>
  <w:style w:type="character" w:customStyle="1" w:styleId="NoSpacingChar">
    <w:name w:val="No Spacing Char"/>
    <w:link w:val="NoSpacing"/>
    <w:rsid w:val="003E5D5E"/>
    <w:rPr>
      <w:rFonts w:ascii="Calibri" w:hAnsi="Calibri"/>
      <w:sz w:val="22"/>
      <w:szCs w:val="22"/>
      <w:lang w:val="en-US" w:eastAsia="en-US"/>
    </w:rPr>
  </w:style>
  <w:style w:type="paragraph" w:customStyle="1" w:styleId="NoSpacing1">
    <w:name w:val="No Spacing1"/>
    <w:qFormat/>
    <w:rsid w:val="0038374F"/>
    <w:rPr>
      <w:rFonts w:ascii="Calibri" w:hAnsi="Calibri" w:cs="Calibri"/>
      <w:sz w:val="22"/>
      <w:szCs w:val="22"/>
      <w:lang w:val="en-AU" w:eastAsia="en-US"/>
    </w:rPr>
  </w:style>
  <w:style w:type="character" w:styleId="FollowedHyperlink">
    <w:name w:val="FollowedHyperlink"/>
    <w:basedOn w:val="DefaultParagraphFont"/>
    <w:semiHidden/>
    <w:unhideWhenUsed/>
    <w:rsid w:val="004A1473"/>
    <w:rPr>
      <w:color w:val="800080" w:themeColor="followedHyperlink"/>
      <w:u w:val="single"/>
    </w:rPr>
  </w:style>
  <w:style w:type="paragraph" w:customStyle="1" w:styleId="Default">
    <w:name w:val="Default"/>
    <w:rsid w:val="00FE7037"/>
    <w:pPr>
      <w:autoSpaceDE w:val="0"/>
      <w:autoSpaceDN w:val="0"/>
      <w:adjustRightInd w:val="0"/>
    </w:pPr>
    <w:rPr>
      <w:color w:val="000000"/>
      <w:lang w:val="en-US"/>
    </w:rPr>
  </w:style>
  <w:style w:type="paragraph" w:styleId="NormalWeb">
    <w:name w:val="Normal (Web)"/>
    <w:aliases w:val=" Char"/>
    <w:basedOn w:val="Normal"/>
    <w:uiPriority w:val="99"/>
    <w:unhideWhenUsed/>
    <w:rsid w:val="00FE7037"/>
    <w:pPr>
      <w:spacing w:before="100" w:beforeAutospacing="1" w:after="100" w:afterAutospacing="1"/>
    </w:pPr>
    <w:rPr>
      <w:rFonts w:eastAsiaTheme="minorEastAsia"/>
      <w:lang w:val="de-DE" w:eastAsia="de-DE"/>
    </w:rPr>
  </w:style>
  <w:style w:type="character" w:customStyle="1" w:styleId="Heading3Char">
    <w:name w:val="Heading 3 Char"/>
    <w:basedOn w:val="DefaultParagraphFont"/>
    <w:link w:val="Heading3"/>
    <w:rsid w:val="00195AD8"/>
    <w:rPr>
      <w:rFonts w:asciiTheme="majorHAnsi" w:eastAsiaTheme="majorEastAsia" w:hAnsiTheme="majorHAnsi" w:cstheme="majorBidi"/>
      <w:color w:val="243F60" w:themeColor="accent1" w:themeShade="7F"/>
      <w:sz w:val="24"/>
      <w:szCs w:val="24"/>
      <w:lang w:val="en-US" w:eastAsia="en-US"/>
    </w:rPr>
  </w:style>
  <w:style w:type="character" w:customStyle="1" w:styleId="formatdata">
    <w:name w:val="format_data"/>
    <w:basedOn w:val="DefaultParagraphFont"/>
    <w:rsid w:val="00195AD8"/>
  </w:style>
  <w:style w:type="paragraph" w:customStyle="1" w:styleId="ADRText">
    <w:name w:val="ADR_Text"/>
    <w:basedOn w:val="Normal"/>
    <w:qFormat/>
    <w:rsid w:val="00862B9F"/>
    <w:pPr>
      <w:autoSpaceDE w:val="0"/>
      <w:autoSpaceDN w:val="0"/>
      <w:adjustRightInd w:val="0"/>
    </w:pPr>
    <w:rPr>
      <w:rFonts w:ascii="Calibri" w:hAnsi="Calibri"/>
      <w:sz w:val="22"/>
    </w:rPr>
  </w:style>
  <w:style w:type="paragraph" w:styleId="EndnoteText">
    <w:name w:val="endnote text"/>
    <w:basedOn w:val="Normal"/>
    <w:link w:val="EndnoteTextChar"/>
    <w:uiPriority w:val="99"/>
    <w:unhideWhenUsed/>
    <w:rsid w:val="00862B9F"/>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862B9F"/>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862B9F"/>
    <w:rPr>
      <w:vertAlign w:val="superscript"/>
    </w:rPr>
  </w:style>
  <w:style w:type="character" w:styleId="Emphasis">
    <w:name w:val="Emphasis"/>
    <w:basedOn w:val="DefaultParagraphFont"/>
    <w:uiPriority w:val="20"/>
    <w:qFormat/>
    <w:locked/>
    <w:rsid w:val="00CD26EA"/>
    <w:rPr>
      <w:i/>
      <w:iCs/>
    </w:rPr>
  </w:style>
  <w:style w:type="character" w:customStyle="1" w:styleId="apple-converted-space">
    <w:name w:val="apple-converted-space"/>
    <w:basedOn w:val="DefaultParagraphFont"/>
    <w:rsid w:val="00F50884"/>
  </w:style>
  <w:style w:type="paragraph" w:customStyle="1" w:styleId="p1">
    <w:name w:val="p1"/>
    <w:basedOn w:val="Normal"/>
    <w:rsid w:val="001B0232"/>
    <w:pPr>
      <w:ind w:left="720" w:hanging="720"/>
      <w:jc w:val="both"/>
    </w:pPr>
    <w:rPr>
      <w:rFonts w:ascii="Calibri" w:eastAsiaTheme="minorHAnsi" w:hAnsi="Calibri"/>
      <w:sz w:val="17"/>
      <w:szCs w:val="17"/>
      <w:lang w:val="en-US"/>
    </w:rPr>
  </w:style>
  <w:style w:type="character" w:customStyle="1" w:styleId="s1">
    <w:name w:val="s1"/>
    <w:basedOn w:val="DefaultParagraphFont"/>
    <w:rsid w:val="001B0232"/>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187EF8"/>
    <w:pPr>
      <w:spacing w:after="160" w:line="240" w:lineRule="exact"/>
    </w:pPr>
    <w:rPr>
      <w:rFonts w:eastAsiaTheme="minorHAnsi" w:cstheme="minorBidi"/>
      <w:sz w:val="20"/>
      <w:vertAlign w:val="superscript"/>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360339"/>
    <w:pPr>
      <w:spacing w:after="160" w:line="240" w:lineRule="exact"/>
      <w:jc w:val="both"/>
    </w:pPr>
    <w:rPr>
      <w:rFonts w:ascii="Arial" w:eastAsiaTheme="minorEastAsia" w:hAnsi="Arial"/>
      <w:sz w:val="18"/>
      <w:vertAlign w:val="superscript"/>
      <w:lang w:val="en-US"/>
    </w:rPr>
  </w:style>
  <w:style w:type="character" w:customStyle="1" w:styleId="Mention1">
    <w:name w:val="Mention1"/>
    <w:basedOn w:val="DefaultParagraphFont"/>
    <w:uiPriority w:val="99"/>
    <w:semiHidden/>
    <w:unhideWhenUsed/>
    <w:rsid w:val="00762C21"/>
    <w:rPr>
      <w:color w:val="2B579A"/>
      <w:shd w:val="clear" w:color="auto" w:fill="E6E6E6"/>
    </w:rPr>
  </w:style>
  <w:style w:type="paragraph" w:customStyle="1" w:styleId="4G">
    <w:name w:val="4_G"/>
    <w:basedOn w:val="Normal"/>
    <w:uiPriority w:val="99"/>
    <w:rsid w:val="00897703"/>
    <w:pPr>
      <w:jc w:val="both"/>
    </w:pPr>
    <w:rPr>
      <w:rFonts w:asciiTheme="minorHAnsi" w:eastAsiaTheme="minorHAnsi" w:hAnsiTheme="minorHAnsi" w:cstheme="minorBidi"/>
      <w:vertAlign w:val="superscript"/>
      <w:lang w:val="en-US"/>
    </w:rPr>
  </w:style>
  <w:style w:type="paragraph" w:customStyle="1" w:styleId="Pa20">
    <w:name w:val="Pa20"/>
    <w:basedOn w:val="Normal"/>
    <w:next w:val="Normal"/>
    <w:uiPriority w:val="99"/>
    <w:rsid w:val="00897703"/>
    <w:pPr>
      <w:autoSpaceDE w:val="0"/>
      <w:autoSpaceDN w:val="0"/>
      <w:adjustRightInd w:val="0"/>
      <w:spacing w:line="191" w:lineRule="atLeast"/>
    </w:pPr>
    <w:rPr>
      <w:rFonts w:ascii="Myriad Pro Light" w:eastAsia="Calibri" w:hAnsi="Myriad Pro Light"/>
      <w:lang w:val="en-US"/>
    </w:rPr>
  </w:style>
  <w:style w:type="character" w:customStyle="1" w:styleId="A24">
    <w:name w:val="A24"/>
    <w:uiPriority w:val="99"/>
    <w:rsid w:val="00897703"/>
    <w:rPr>
      <w:rFonts w:cs="Myriad Pro Light"/>
      <w:b/>
      <w:bCs/>
      <w:color w:val="000000"/>
      <w:sz w:val="28"/>
      <w:szCs w:val="28"/>
    </w:rPr>
  </w:style>
  <w:style w:type="character" w:customStyle="1" w:styleId="UnresolvedMention1">
    <w:name w:val="Unresolved Mention1"/>
    <w:basedOn w:val="DefaultParagraphFont"/>
    <w:rsid w:val="00881D24"/>
    <w:rPr>
      <w:color w:val="605E5C"/>
      <w:shd w:val="clear" w:color="auto" w:fill="E1DFDD"/>
    </w:rPr>
  </w:style>
  <w:style w:type="character" w:styleId="UnresolvedMention">
    <w:name w:val="Unresolved Mention"/>
    <w:basedOn w:val="DefaultParagraphFont"/>
    <w:uiPriority w:val="99"/>
    <w:semiHidden/>
    <w:unhideWhenUsed/>
    <w:rsid w:val="001C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9933316">
      <w:bodyDiv w:val="1"/>
      <w:marLeft w:val="0"/>
      <w:marRight w:val="0"/>
      <w:marTop w:val="0"/>
      <w:marBottom w:val="0"/>
      <w:divBdr>
        <w:top w:val="none" w:sz="0" w:space="0" w:color="auto"/>
        <w:left w:val="none" w:sz="0" w:space="0" w:color="auto"/>
        <w:bottom w:val="none" w:sz="0" w:space="0" w:color="auto"/>
        <w:right w:val="none" w:sz="0" w:space="0" w:color="auto"/>
      </w:divBdr>
    </w:div>
    <w:div w:id="122426358">
      <w:bodyDiv w:val="1"/>
      <w:marLeft w:val="0"/>
      <w:marRight w:val="0"/>
      <w:marTop w:val="0"/>
      <w:marBottom w:val="0"/>
      <w:divBdr>
        <w:top w:val="none" w:sz="0" w:space="0" w:color="auto"/>
        <w:left w:val="none" w:sz="0" w:space="0" w:color="auto"/>
        <w:bottom w:val="none" w:sz="0" w:space="0" w:color="auto"/>
        <w:right w:val="none" w:sz="0" w:space="0" w:color="auto"/>
      </w:divBdr>
    </w:div>
    <w:div w:id="229118345">
      <w:bodyDiv w:val="1"/>
      <w:marLeft w:val="0"/>
      <w:marRight w:val="0"/>
      <w:marTop w:val="0"/>
      <w:marBottom w:val="0"/>
      <w:divBdr>
        <w:top w:val="none" w:sz="0" w:space="0" w:color="auto"/>
        <w:left w:val="none" w:sz="0" w:space="0" w:color="auto"/>
        <w:bottom w:val="none" w:sz="0" w:space="0" w:color="auto"/>
        <w:right w:val="none" w:sz="0" w:space="0" w:color="auto"/>
      </w:divBdr>
    </w:div>
    <w:div w:id="400719161">
      <w:bodyDiv w:val="1"/>
      <w:marLeft w:val="0"/>
      <w:marRight w:val="0"/>
      <w:marTop w:val="0"/>
      <w:marBottom w:val="0"/>
      <w:divBdr>
        <w:top w:val="none" w:sz="0" w:space="0" w:color="auto"/>
        <w:left w:val="none" w:sz="0" w:space="0" w:color="auto"/>
        <w:bottom w:val="none" w:sz="0" w:space="0" w:color="auto"/>
        <w:right w:val="none" w:sz="0" w:space="0" w:color="auto"/>
      </w:divBdr>
    </w:div>
    <w:div w:id="463735903">
      <w:bodyDiv w:val="1"/>
      <w:marLeft w:val="0"/>
      <w:marRight w:val="0"/>
      <w:marTop w:val="0"/>
      <w:marBottom w:val="0"/>
      <w:divBdr>
        <w:top w:val="none" w:sz="0" w:space="0" w:color="auto"/>
        <w:left w:val="none" w:sz="0" w:space="0" w:color="auto"/>
        <w:bottom w:val="none" w:sz="0" w:space="0" w:color="auto"/>
        <w:right w:val="none" w:sz="0" w:space="0" w:color="auto"/>
      </w:divBdr>
    </w:div>
    <w:div w:id="477576319">
      <w:bodyDiv w:val="1"/>
      <w:marLeft w:val="0"/>
      <w:marRight w:val="0"/>
      <w:marTop w:val="0"/>
      <w:marBottom w:val="0"/>
      <w:divBdr>
        <w:top w:val="none" w:sz="0" w:space="0" w:color="auto"/>
        <w:left w:val="none" w:sz="0" w:space="0" w:color="auto"/>
        <w:bottom w:val="none" w:sz="0" w:space="0" w:color="auto"/>
        <w:right w:val="none" w:sz="0" w:space="0" w:color="auto"/>
      </w:divBdr>
    </w:div>
    <w:div w:id="482889077">
      <w:bodyDiv w:val="1"/>
      <w:marLeft w:val="0"/>
      <w:marRight w:val="0"/>
      <w:marTop w:val="0"/>
      <w:marBottom w:val="0"/>
      <w:divBdr>
        <w:top w:val="none" w:sz="0" w:space="0" w:color="auto"/>
        <w:left w:val="none" w:sz="0" w:space="0" w:color="auto"/>
        <w:bottom w:val="none" w:sz="0" w:space="0" w:color="auto"/>
        <w:right w:val="none" w:sz="0" w:space="0" w:color="auto"/>
      </w:divBdr>
    </w:div>
    <w:div w:id="606280876">
      <w:bodyDiv w:val="1"/>
      <w:marLeft w:val="0"/>
      <w:marRight w:val="0"/>
      <w:marTop w:val="0"/>
      <w:marBottom w:val="0"/>
      <w:divBdr>
        <w:top w:val="none" w:sz="0" w:space="0" w:color="auto"/>
        <w:left w:val="none" w:sz="0" w:space="0" w:color="auto"/>
        <w:bottom w:val="none" w:sz="0" w:space="0" w:color="auto"/>
        <w:right w:val="none" w:sz="0" w:space="0" w:color="auto"/>
      </w:divBdr>
    </w:div>
    <w:div w:id="668022803">
      <w:bodyDiv w:val="1"/>
      <w:marLeft w:val="0"/>
      <w:marRight w:val="0"/>
      <w:marTop w:val="0"/>
      <w:marBottom w:val="0"/>
      <w:divBdr>
        <w:top w:val="none" w:sz="0" w:space="0" w:color="auto"/>
        <w:left w:val="none" w:sz="0" w:space="0" w:color="auto"/>
        <w:bottom w:val="none" w:sz="0" w:space="0" w:color="auto"/>
        <w:right w:val="none" w:sz="0" w:space="0" w:color="auto"/>
      </w:divBdr>
    </w:div>
    <w:div w:id="714354502">
      <w:bodyDiv w:val="1"/>
      <w:marLeft w:val="0"/>
      <w:marRight w:val="0"/>
      <w:marTop w:val="0"/>
      <w:marBottom w:val="0"/>
      <w:divBdr>
        <w:top w:val="none" w:sz="0" w:space="0" w:color="auto"/>
        <w:left w:val="none" w:sz="0" w:space="0" w:color="auto"/>
        <w:bottom w:val="none" w:sz="0" w:space="0" w:color="auto"/>
        <w:right w:val="none" w:sz="0" w:space="0" w:color="auto"/>
      </w:divBdr>
    </w:div>
    <w:div w:id="759568440">
      <w:bodyDiv w:val="1"/>
      <w:marLeft w:val="0"/>
      <w:marRight w:val="0"/>
      <w:marTop w:val="0"/>
      <w:marBottom w:val="0"/>
      <w:divBdr>
        <w:top w:val="none" w:sz="0" w:space="0" w:color="auto"/>
        <w:left w:val="none" w:sz="0" w:space="0" w:color="auto"/>
        <w:bottom w:val="none" w:sz="0" w:space="0" w:color="auto"/>
        <w:right w:val="none" w:sz="0" w:space="0" w:color="auto"/>
      </w:divBdr>
    </w:div>
    <w:div w:id="777943145">
      <w:bodyDiv w:val="1"/>
      <w:marLeft w:val="0"/>
      <w:marRight w:val="0"/>
      <w:marTop w:val="0"/>
      <w:marBottom w:val="0"/>
      <w:divBdr>
        <w:top w:val="none" w:sz="0" w:space="0" w:color="auto"/>
        <w:left w:val="none" w:sz="0" w:space="0" w:color="auto"/>
        <w:bottom w:val="none" w:sz="0" w:space="0" w:color="auto"/>
        <w:right w:val="none" w:sz="0" w:space="0" w:color="auto"/>
      </w:divBdr>
    </w:div>
    <w:div w:id="806707451">
      <w:bodyDiv w:val="1"/>
      <w:marLeft w:val="0"/>
      <w:marRight w:val="0"/>
      <w:marTop w:val="0"/>
      <w:marBottom w:val="0"/>
      <w:divBdr>
        <w:top w:val="none" w:sz="0" w:space="0" w:color="auto"/>
        <w:left w:val="none" w:sz="0" w:space="0" w:color="auto"/>
        <w:bottom w:val="none" w:sz="0" w:space="0" w:color="auto"/>
        <w:right w:val="none" w:sz="0" w:space="0" w:color="auto"/>
      </w:divBdr>
    </w:div>
    <w:div w:id="955215042">
      <w:bodyDiv w:val="1"/>
      <w:marLeft w:val="0"/>
      <w:marRight w:val="0"/>
      <w:marTop w:val="0"/>
      <w:marBottom w:val="0"/>
      <w:divBdr>
        <w:top w:val="none" w:sz="0" w:space="0" w:color="auto"/>
        <w:left w:val="none" w:sz="0" w:space="0" w:color="auto"/>
        <w:bottom w:val="none" w:sz="0" w:space="0" w:color="auto"/>
        <w:right w:val="none" w:sz="0" w:space="0" w:color="auto"/>
      </w:divBdr>
    </w:div>
    <w:div w:id="1000737765">
      <w:bodyDiv w:val="1"/>
      <w:marLeft w:val="0"/>
      <w:marRight w:val="0"/>
      <w:marTop w:val="0"/>
      <w:marBottom w:val="0"/>
      <w:divBdr>
        <w:top w:val="none" w:sz="0" w:space="0" w:color="auto"/>
        <w:left w:val="none" w:sz="0" w:space="0" w:color="auto"/>
        <w:bottom w:val="none" w:sz="0" w:space="0" w:color="auto"/>
        <w:right w:val="none" w:sz="0" w:space="0" w:color="auto"/>
      </w:divBdr>
    </w:div>
    <w:div w:id="1039404209">
      <w:bodyDiv w:val="1"/>
      <w:marLeft w:val="0"/>
      <w:marRight w:val="0"/>
      <w:marTop w:val="0"/>
      <w:marBottom w:val="0"/>
      <w:divBdr>
        <w:top w:val="none" w:sz="0" w:space="0" w:color="auto"/>
        <w:left w:val="none" w:sz="0" w:space="0" w:color="auto"/>
        <w:bottom w:val="none" w:sz="0" w:space="0" w:color="auto"/>
        <w:right w:val="none" w:sz="0" w:space="0" w:color="auto"/>
      </w:divBdr>
    </w:div>
    <w:div w:id="1042289291">
      <w:bodyDiv w:val="1"/>
      <w:marLeft w:val="0"/>
      <w:marRight w:val="0"/>
      <w:marTop w:val="0"/>
      <w:marBottom w:val="0"/>
      <w:divBdr>
        <w:top w:val="none" w:sz="0" w:space="0" w:color="auto"/>
        <w:left w:val="none" w:sz="0" w:space="0" w:color="auto"/>
        <w:bottom w:val="none" w:sz="0" w:space="0" w:color="auto"/>
        <w:right w:val="none" w:sz="0" w:space="0" w:color="auto"/>
      </w:divBdr>
    </w:div>
    <w:div w:id="1064569447">
      <w:bodyDiv w:val="1"/>
      <w:marLeft w:val="0"/>
      <w:marRight w:val="0"/>
      <w:marTop w:val="0"/>
      <w:marBottom w:val="0"/>
      <w:divBdr>
        <w:top w:val="none" w:sz="0" w:space="0" w:color="auto"/>
        <w:left w:val="none" w:sz="0" w:space="0" w:color="auto"/>
        <w:bottom w:val="none" w:sz="0" w:space="0" w:color="auto"/>
        <w:right w:val="none" w:sz="0" w:space="0" w:color="auto"/>
      </w:divBdr>
      <w:divsChild>
        <w:div w:id="1575430502">
          <w:marLeft w:val="0"/>
          <w:marRight w:val="0"/>
          <w:marTop w:val="0"/>
          <w:marBottom w:val="0"/>
          <w:divBdr>
            <w:top w:val="none" w:sz="0" w:space="0" w:color="auto"/>
            <w:left w:val="none" w:sz="0" w:space="0" w:color="auto"/>
            <w:bottom w:val="none" w:sz="0" w:space="0" w:color="auto"/>
            <w:right w:val="none" w:sz="0" w:space="0" w:color="auto"/>
          </w:divBdr>
          <w:divsChild>
            <w:div w:id="990332452">
              <w:marLeft w:val="0"/>
              <w:marRight w:val="0"/>
              <w:marTop w:val="0"/>
              <w:marBottom w:val="0"/>
              <w:divBdr>
                <w:top w:val="none" w:sz="0" w:space="0" w:color="auto"/>
                <w:left w:val="none" w:sz="0" w:space="0" w:color="auto"/>
                <w:bottom w:val="none" w:sz="0" w:space="0" w:color="auto"/>
                <w:right w:val="none" w:sz="0" w:space="0" w:color="auto"/>
              </w:divBdr>
              <w:divsChild>
                <w:div w:id="969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400">
      <w:bodyDiv w:val="1"/>
      <w:marLeft w:val="0"/>
      <w:marRight w:val="0"/>
      <w:marTop w:val="0"/>
      <w:marBottom w:val="0"/>
      <w:divBdr>
        <w:top w:val="none" w:sz="0" w:space="0" w:color="auto"/>
        <w:left w:val="none" w:sz="0" w:space="0" w:color="auto"/>
        <w:bottom w:val="none" w:sz="0" w:space="0" w:color="auto"/>
        <w:right w:val="none" w:sz="0" w:space="0" w:color="auto"/>
      </w:divBdr>
      <w:divsChild>
        <w:div w:id="1679771815">
          <w:marLeft w:val="0"/>
          <w:marRight w:val="0"/>
          <w:marTop w:val="0"/>
          <w:marBottom w:val="0"/>
          <w:divBdr>
            <w:top w:val="none" w:sz="0" w:space="0" w:color="auto"/>
            <w:left w:val="none" w:sz="0" w:space="0" w:color="auto"/>
            <w:bottom w:val="none" w:sz="0" w:space="0" w:color="auto"/>
            <w:right w:val="none" w:sz="0" w:space="0" w:color="auto"/>
          </w:divBdr>
          <w:divsChild>
            <w:div w:id="408965939">
              <w:marLeft w:val="0"/>
              <w:marRight w:val="0"/>
              <w:marTop w:val="0"/>
              <w:marBottom w:val="0"/>
              <w:divBdr>
                <w:top w:val="none" w:sz="0" w:space="0" w:color="auto"/>
                <w:left w:val="none" w:sz="0" w:space="0" w:color="auto"/>
                <w:bottom w:val="none" w:sz="0" w:space="0" w:color="auto"/>
                <w:right w:val="none" w:sz="0" w:space="0" w:color="auto"/>
              </w:divBdr>
              <w:divsChild>
                <w:div w:id="670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7896">
      <w:bodyDiv w:val="1"/>
      <w:marLeft w:val="0"/>
      <w:marRight w:val="0"/>
      <w:marTop w:val="0"/>
      <w:marBottom w:val="0"/>
      <w:divBdr>
        <w:top w:val="none" w:sz="0" w:space="0" w:color="auto"/>
        <w:left w:val="none" w:sz="0" w:space="0" w:color="auto"/>
        <w:bottom w:val="none" w:sz="0" w:space="0" w:color="auto"/>
        <w:right w:val="none" w:sz="0" w:space="0" w:color="auto"/>
      </w:divBdr>
    </w:div>
    <w:div w:id="1139566991">
      <w:bodyDiv w:val="1"/>
      <w:marLeft w:val="0"/>
      <w:marRight w:val="0"/>
      <w:marTop w:val="0"/>
      <w:marBottom w:val="0"/>
      <w:divBdr>
        <w:top w:val="none" w:sz="0" w:space="0" w:color="auto"/>
        <w:left w:val="none" w:sz="0" w:space="0" w:color="auto"/>
        <w:bottom w:val="none" w:sz="0" w:space="0" w:color="auto"/>
        <w:right w:val="none" w:sz="0" w:space="0" w:color="auto"/>
      </w:divBdr>
    </w:div>
    <w:div w:id="1141656648">
      <w:bodyDiv w:val="1"/>
      <w:marLeft w:val="0"/>
      <w:marRight w:val="0"/>
      <w:marTop w:val="0"/>
      <w:marBottom w:val="0"/>
      <w:divBdr>
        <w:top w:val="none" w:sz="0" w:space="0" w:color="auto"/>
        <w:left w:val="none" w:sz="0" w:space="0" w:color="auto"/>
        <w:bottom w:val="none" w:sz="0" w:space="0" w:color="auto"/>
        <w:right w:val="none" w:sz="0" w:space="0" w:color="auto"/>
      </w:divBdr>
    </w:div>
    <w:div w:id="1144078808">
      <w:bodyDiv w:val="1"/>
      <w:marLeft w:val="0"/>
      <w:marRight w:val="0"/>
      <w:marTop w:val="0"/>
      <w:marBottom w:val="0"/>
      <w:divBdr>
        <w:top w:val="none" w:sz="0" w:space="0" w:color="auto"/>
        <w:left w:val="none" w:sz="0" w:space="0" w:color="auto"/>
        <w:bottom w:val="none" w:sz="0" w:space="0" w:color="auto"/>
        <w:right w:val="none" w:sz="0" w:space="0" w:color="auto"/>
      </w:divBdr>
    </w:div>
    <w:div w:id="1195924174">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5891981">
      <w:bodyDiv w:val="1"/>
      <w:marLeft w:val="0"/>
      <w:marRight w:val="0"/>
      <w:marTop w:val="0"/>
      <w:marBottom w:val="0"/>
      <w:divBdr>
        <w:top w:val="none" w:sz="0" w:space="0" w:color="auto"/>
        <w:left w:val="none" w:sz="0" w:space="0" w:color="auto"/>
        <w:bottom w:val="none" w:sz="0" w:space="0" w:color="auto"/>
        <w:right w:val="none" w:sz="0" w:space="0" w:color="auto"/>
      </w:divBdr>
    </w:div>
    <w:div w:id="1352419835">
      <w:bodyDiv w:val="1"/>
      <w:marLeft w:val="0"/>
      <w:marRight w:val="0"/>
      <w:marTop w:val="0"/>
      <w:marBottom w:val="0"/>
      <w:divBdr>
        <w:top w:val="none" w:sz="0" w:space="0" w:color="auto"/>
        <w:left w:val="none" w:sz="0" w:space="0" w:color="auto"/>
        <w:bottom w:val="none" w:sz="0" w:space="0" w:color="auto"/>
        <w:right w:val="none" w:sz="0" w:space="0" w:color="auto"/>
      </w:divBdr>
    </w:div>
    <w:div w:id="1562445504">
      <w:bodyDiv w:val="1"/>
      <w:marLeft w:val="0"/>
      <w:marRight w:val="0"/>
      <w:marTop w:val="0"/>
      <w:marBottom w:val="0"/>
      <w:divBdr>
        <w:top w:val="none" w:sz="0" w:space="0" w:color="auto"/>
        <w:left w:val="none" w:sz="0" w:space="0" w:color="auto"/>
        <w:bottom w:val="none" w:sz="0" w:space="0" w:color="auto"/>
        <w:right w:val="none" w:sz="0" w:space="0" w:color="auto"/>
      </w:divBdr>
    </w:div>
    <w:div w:id="1600874905">
      <w:bodyDiv w:val="1"/>
      <w:marLeft w:val="0"/>
      <w:marRight w:val="0"/>
      <w:marTop w:val="0"/>
      <w:marBottom w:val="0"/>
      <w:divBdr>
        <w:top w:val="none" w:sz="0" w:space="0" w:color="auto"/>
        <w:left w:val="none" w:sz="0" w:space="0" w:color="auto"/>
        <w:bottom w:val="none" w:sz="0" w:space="0" w:color="auto"/>
        <w:right w:val="none" w:sz="0" w:space="0" w:color="auto"/>
      </w:divBdr>
    </w:div>
    <w:div w:id="1663197271">
      <w:bodyDiv w:val="1"/>
      <w:marLeft w:val="0"/>
      <w:marRight w:val="0"/>
      <w:marTop w:val="0"/>
      <w:marBottom w:val="0"/>
      <w:divBdr>
        <w:top w:val="none" w:sz="0" w:space="0" w:color="auto"/>
        <w:left w:val="none" w:sz="0" w:space="0" w:color="auto"/>
        <w:bottom w:val="none" w:sz="0" w:space="0" w:color="auto"/>
        <w:right w:val="none" w:sz="0" w:space="0" w:color="auto"/>
      </w:divBdr>
    </w:div>
    <w:div w:id="1681279418">
      <w:bodyDiv w:val="1"/>
      <w:marLeft w:val="0"/>
      <w:marRight w:val="0"/>
      <w:marTop w:val="0"/>
      <w:marBottom w:val="0"/>
      <w:divBdr>
        <w:top w:val="none" w:sz="0" w:space="0" w:color="auto"/>
        <w:left w:val="none" w:sz="0" w:space="0" w:color="auto"/>
        <w:bottom w:val="none" w:sz="0" w:space="0" w:color="auto"/>
        <w:right w:val="none" w:sz="0" w:space="0" w:color="auto"/>
      </w:divBdr>
    </w:div>
    <w:div w:id="1760785520">
      <w:bodyDiv w:val="1"/>
      <w:marLeft w:val="0"/>
      <w:marRight w:val="0"/>
      <w:marTop w:val="0"/>
      <w:marBottom w:val="0"/>
      <w:divBdr>
        <w:top w:val="none" w:sz="0" w:space="0" w:color="auto"/>
        <w:left w:val="none" w:sz="0" w:space="0" w:color="auto"/>
        <w:bottom w:val="none" w:sz="0" w:space="0" w:color="auto"/>
        <w:right w:val="none" w:sz="0" w:space="0" w:color="auto"/>
      </w:divBdr>
    </w:div>
    <w:div w:id="1776556353">
      <w:bodyDiv w:val="1"/>
      <w:marLeft w:val="0"/>
      <w:marRight w:val="0"/>
      <w:marTop w:val="0"/>
      <w:marBottom w:val="0"/>
      <w:divBdr>
        <w:top w:val="none" w:sz="0" w:space="0" w:color="auto"/>
        <w:left w:val="none" w:sz="0" w:space="0" w:color="auto"/>
        <w:bottom w:val="none" w:sz="0" w:space="0" w:color="auto"/>
        <w:right w:val="none" w:sz="0" w:space="0" w:color="auto"/>
      </w:divBdr>
    </w:div>
    <w:div w:id="1939363731">
      <w:bodyDiv w:val="1"/>
      <w:marLeft w:val="0"/>
      <w:marRight w:val="0"/>
      <w:marTop w:val="0"/>
      <w:marBottom w:val="0"/>
      <w:divBdr>
        <w:top w:val="none" w:sz="0" w:space="0" w:color="auto"/>
        <w:left w:val="none" w:sz="0" w:space="0" w:color="auto"/>
        <w:bottom w:val="none" w:sz="0" w:space="0" w:color="auto"/>
        <w:right w:val="none" w:sz="0" w:space="0" w:color="auto"/>
      </w:divBdr>
    </w:div>
    <w:div w:id="1991860050">
      <w:bodyDiv w:val="1"/>
      <w:marLeft w:val="0"/>
      <w:marRight w:val="0"/>
      <w:marTop w:val="0"/>
      <w:marBottom w:val="0"/>
      <w:divBdr>
        <w:top w:val="none" w:sz="0" w:space="0" w:color="auto"/>
        <w:left w:val="none" w:sz="0" w:space="0" w:color="auto"/>
        <w:bottom w:val="none" w:sz="0" w:space="0" w:color="auto"/>
        <w:right w:val="none" w:sz="0" w:space="0" w:color="auto"/>
      </w:divBdr>
      <w:divsChild>
        <w:div w:id="363871493">
          <w:marLeft w:val="360"/>
          <w:marRight w:val="0"/>
          <w:marTop w:val="200"/>
          <w:marBottom w:val="0"/>
          <w:divBdr>
            <w:top w:val="none" w:sz="0" w:space="0" w:color="auto"/>
            <w:left w:val="none" w:sz="0" w:space="0" w:color="auto"/>
            <w:bottom w:val="none" w:sz="0" w:space="0" w:color="auto"/>
            <w:right w:val="none" w:sz="0" w:space="0" w:color="auto"/>
          </w:divBdr>
        </w:div>
        <w:div w:id="691881957">
          <w:marLeft w:val="360"/>
          <w:marRight w:val="0"/>
          <w:marTop w:val="200"/>
          <w:marBottom w:val="0"/>
          <w:divBdr>
            <w:top w:val="none" w:sz="0" w:space="0" w:color="auto"/>
            <w:left w:val="none" w:sz="0" w:space="0" w:color="auto"/>
            <w:bottom w:val="none" w:sz="0" w:space="0" w:color="auto"/>
            <w:right w:val="none" w:sz="0" w:space="0" w:color="auto"/>
          </w:divBdr>
        </w:div>
        <w:div w:id="1462965812">
          <w:marLeft w:val="360"/>
          <w:marRight w:val="0"/>
          <w:marTop w:val="200"/>
          <w:marBottom w:val="0"/>
          <w:divBdr>
            <w:top w:val="none" w:sz="0" w:space="0" w:color="auto"/>
            <w:left w:val="none" w:sz="0" w:space="0" w:color="auto"/>
            <w:bottom w:val="none" w:sz="0" w:space="0" w:color="auto"/>
            <w:right w:val="none" w:sz="0" w:space="0" w:color="auto"/>
          </w:divBdr>
        </w:div>
        <w:div w:id="1547914001">
          <w:marLeft w:val="360"/>
          <w:marRight w:val="0"/>
          <w:marTop w:val="200"/>
          <w:marBottom w:val="0"/>
          <w:divBdr>
            <w:top w:val="none" w:sz="0" w:space="0" w:color="auto"/>
            <w:left w:val="none" w:sz="0" w:space="0" w:color="auto"/>
            <w:bottom w:val="none" w:sz="0" w:space="0" w:color="auto"/>
            <w:right w:val="none" w:sz="0" w:space="0" w:color="auto"/>
          </w:divBdr>
        </w:div>
      </w:divsChild>
    </w:div>
    <w:div w:id="2089841419">
      <w:bodyDiv w:val="1"/>
      <w:marLeft w:val="0"/>
      <w:marRight w:val="0"/>
      <w:marTop w:val="0"/>
      <w:marBottom w:val="0"/>
      <w:divBdr>
        <w:top w:val="none" w:sz="0" w:space="0" w:color="auto"/>
        <w:left w:val="none" w:sz="0" w:space="0" w:color="auto"/>
        <w:bottom w:val="none" w:sz="0" w:space="0" w:color="auto"/>
        <w:right w:val="none" w:sz="0" w:space="0" w:color="auto"/>
      </w:divBdr>
    </w:div>
    <w:div w:id="2106883390">
      <w:bodyDiv w:val="1"/>
      <w:marLeft w:val="0"/>
      <w:marRight w:val="0"/>
      <w:marTop w:val="0"/>
      <w:marBottom w:val="0"/>
      <w:divBdr>
        <w:top w:val="none" w:sz="0" w:space="0" w:color="auto"/>
        <w:left w:val="none" w:sz="0" w:space="0" w:color="auto"/>
        <w:bottom w:val="none" w:sz="0" w:space="0" w:color="auto"/>
        <w:right w:val="none" w:sz="0" w:space="0" w:color="auto"/>
      </w:divBdr>
      <w:divsChild>
        <w:div w:id="667830667">
          <w:marLeft w:val="0"/>
          <w:marRight w:val="0"/>
          <w:marTop w:val="0"/>
          <w:marBottom w:val="0"/>
          <w:divBdr>
            <w:top w:val="none" w:sz="0" w:space="0" w:color="auto"/>
            <w:left w:val="none" w:sz="0" w:space="0" w:color="auto"/>
            <w:bottom w:val="none" w:sz="0" w:space="0" w:color="auto"/>
            <w:right w:val="none" w:sz="0" w:space="0" w:color="auto"/>
          </w:divBdr>
          <w:divsChild>
            <w:div w:id="1329209087">
              <w:marLeft w:val="0"/>
              <w:marRight w:val="0"/>
              <w:marTop w:val="0"/>
              <w:marBottom w:val="0"/>
              <w:divBdr>
                <w:top w:val="none" w:sz="0" w:space="0" w:color="auto"/>
                <w:left w:val="none" w:sz="0" w:space="0" w:color="auto"/>
                <w:bottom w:val="none" w:sz="0" w:space="0" w:color="auto"/>
                <w:right w:val="none" w:sz="0" w:space="0" w:color="auto"/>
              </w:divBdr>
              <w:divsChild>
                <w:div w:id="6214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fo.undp.org/global/popp/rma/Pages/internal-control-framework.aspx"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programme_and_operationspoliciesandprocedure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news.kuwaittimes.net/website/kuwait-improves-seven-ranks-in-corruption-index/" TargetMode="External"/><Relationship Id="rId3" Type="http://schemas.openxmlformats.org/officeDocument/2006/relationships/hyperlink" Target="http://databank.worldbank.org/data/Views/Reports/ReportWidgetCustom.aspx?Report_Name=CountryProfile&amp;Id=b450fd57&amp;tbar=y&amp;dd=y&amp;inf=n&amp;zm=n&amp;country=KWT" TargetMode="External"/><Relationship Id="rId7" Type="http://schemas.openxmlformats.org/officeDocument/2006/relationships/hyperlink" Target="https://info.worldbank.org/governance/wgi/Home/Reports" TargetMode="External"/><Relationship Id="rId2" Type="http://schemas.openxmlformats.org/officeDocument/2006/relationships/hyperlink" Target="http://stat.paci.gov.kw/englishreports/" TargetMode="External"/><Relationship Id="rId1" Type="http://schemas.openxmlformats.org/officeDocument/2006/relationships/hyperlink" Target="https://tradingeconomics.com/kuwait/gdp-per-capita" TargetMode="External"/><Relationship Id="rId6" Type="http://schemas.openxmlformats.org/officeDocument/2006/relationships/hyperlink" Target="https://www.google.com/url?sa=t&amp;rct=j&amp;q=&amp;esrc=s&amp;source=web&amp;cd=1&amp;ved=2ahUKEwjyoOre9dniAhVOLBoKHRiUBEsQFjAAegQIBBAC&amp;url=https%3A%2F%2Fwww.imf.org%2F~%2Fmedia%2FFiles%2FPublications%2FCR%2F2019%2F1KWTEA2019001.ashx&amp;usg=AOvVaw0_E6LjOPu1Ty2s6mTsAkB4" TargetMode="External"/><Relationship Id="rId5" Type="http://schemas.openxmlformats.org/officeDocument/2006/relationships/hyperlink" Target="http://www.newkuwait.gov.kw/en/" TargetMode="External"/><Relationship Id="rId4" Type="http://schemas.openxmlformats.org/officeDocument/2006/relationships/hyperlink" Target="http://www.forbes.com/places/kuwait/" TargetMode="External"/><Relationship Id="rId9" Type="http://schemas.openxmlformats.org/officeDocument/2006/relationships/hyperlink" Target="http://www3.weforum.org/docs/WEF_GGGR_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a8946dc4-2e98-472c-b2e6-ca9019b8dfda"/>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B240936-B504-479A-B028-D0AB1307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F366B-1FF7-4BE7-9A2E-F9D839DF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5556</Words>
  <Characters>33893</Characters>
  <Application>Microsoft Office Word</Application>
  <DocSecurity>0</DocSecurity>
  <Lines>1210</Lines>
  <Paragraphs>379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39070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9</cp:revision>
  <cp:lastPrinted>2019-11-11T21:57:00Z</cp:lastPrinted>
  <dcterms:created xsi:type="dcterms:W3CDTF">2019-11-11T21:49:00Z</dcterms:created>
  <dcterms:modified xsi:type="dcterms:W3CDTF">2019-11-11T22:03:00Z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4befce12-72d2-465a-9392-36d9f116fc3d</vt:lpwstr>
  </property>
</Properties>
</file>