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B4785" w14:textId="77777777" w:rsidR="00401237" w:rsidRDefault="00401237">
      <w:pPr>
        <w:rPr>
          <w:spacing w:val="4"/>
          <w:w w:val="103"/>
          <w:kern w:val="14"/>
          <w:lang w:val="en-GB"/>
        </w:rPr>
      </w:pPr>
      <w:bookmarkStart w:id="0" w:name="_GoBack"/>
      <w:bookmarkEnd w:id="0"/>
    </w:p>
    <w:p w14:paraId="221385E5" w14:textId="77777777" w:rsidR="00401237" w:rsidRPr="005C04AC" w:rsidRDefault="00401237" w:rsidP="00401237">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0" w:right="1080"/>
        <w:jc w:val="left"/>
        <w:rPr>
          <w:b/>
        </w:rPr>
      </w:pPr>
      <w:r w:rsidRPr="00932DEF">
        <w:rPr>
          <w:b/>
          <w:sz w:val="24"/>
          <w:szCs w:val="24"/>
        </w:rPr>
        <w:t>A</w:t>
      </w:r>
      <w:r w:rsidR="00AD3EB9" w:rsidRPr="00932DEF">
        <w:rPr>
          <w:b/>
          <w:sz w:val="24"/>
          <w:szCs w:val="24"/>
        </w:rPr>
        <w:t>nnex</w:t>
      </w:r>
      <w:r w:rsidR="000878CB">
        <w:rPr>
          <w:b/>
          <w:sz w:val="24"/>
          <w:szCs w:val="24"/>
        </w:rPr>
        <w:t xml:space="preserve"> 2</w:t>
      </w:r>
      <w:r w:rsidR="00932DEF">
        <w:rPr>
          <w:b/>
          <w:sz w:val="24"/>
          <w:szCs w:val="24"/>
        </w:rPr>
        <w:t>.</w:t>
      </w:r>
    </w:p>
    <w:p w14:paraId="62046E18" w14:textId="77777777" w:rsidR="00401237" w:rsidRPr="005C04AC" w:rsidRDefault="00907380" w:rsidP="00401237">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080"/>
        <w:jc w:val="center"/>
        <w:rPr>
          <w:b/>
          <w:u w:val="single"/>
        </w:rPr>
      </w:pPr>
      <w:r w:rsidRPr="005C04AC">
        <w:rPr>
          <w:b/>
          <w:u w:val="single"/>
        </w:rPr>
        <w:t>201</w:t>
      </w:r>
      <w:r w:rsidR="008A0B3C">
        <w:rPr>
          <w:b/>
          <w:u w:val="single"/>
        </w:rPr>
        <w:t>8</w:t>
      </w:r>
      <w:r w:rsidRPr="005C04AC">
        <w:rPr>
          <w:b/>
          <w:u w:val="single"/>
        </w:rPr>
        <w:t xml:space="preserve"> </w:t>
      </w:r>
      <w:r w:rsidR="00401237" w:rsidRPr="005C04AC">
        <w:rPr>
          <w:b/>
          <w:u w:val="single"/>
        </w:rPr>
        <w:t>UNDP BOARD RECOMMENDATIONS AND PRIOR YEAR RECOMMENDATIONS THAT ARE UNDER IMPLEMENATION</w:t>
      </w:r>
    </w:p>
    <w:p w14:paraId="5F0068A2" w14:textId="77777777" w:rsidR="00401237" w:rsidRPr="005C04AC" w:rsidRDefault="00401237" w:rsidP="00EB26A7">
      <w:pPr>
        <w:pStyle w:val="HCh"/>
        <w:keepNext w:val="0"/>
        <w:keepLines w:val="0"/>
        <w:widowControl w:val="0"/>
        <w:numPr>
          <w:ilvl w:val="1"/>
          <w:numId w:val="8"/>
        </w:numPr>
        <w:tabs>
          <w:tab w:val="clear" w:pos="1440"/>
          <w:tab w:val="left" w:pos="450"/>
          <w:tab w:val="left" w:pos="540"/>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left="216" w:right="29" w:firstLine="0"/>
        <w:rPr>
          <w:sz w:val="20"/>
        </w:rPr>
      </w:pPr>
      <w:r w:rsidRPr="005C04AC">
        <w:rPr>
          <w:sz w:val="20"/>
        </w:rPr>
        <w:t>UNDP Recommendations contained in the report o</w:t>
      </w:r>
      <w:r w:rsidR="00907380" w:rsidRPr="005C04AC">
        <w:rPr>
          <w:sz w:val="20"/>
        </w:rPr>
        <w:t>f the Board of Auditors for 201</w:t>
      </w:r>
      <w:r w:rsidR="00FF67D6">
        <w:rPr>
          <w:sz w:val="20"/>
        </w:rPr>
        <w:t>8</w:t>
      </w:r>
    </w:p>
    <w:p w14:paraId="2DBAE77E" w14:textId="77777777" w:rsidR="00F55518" w:rsidRPr="005C04AC" w:rsidRDefault="00F55518" w:rsidP="00EB26A7">
      <w:pPr>
        <w:tabs>
          <w:tab w:val="left" w:pos="450"/>
        </w:tabs>
        <w:rPr>
          <w:sz w:val="20"/>
          <w:szCs w:val="20"/>
          <w:lang w:val="en-GB"/>
        </w:rPr>
      </w:pPr>
    </w:p>
    <w:p w14:paraId="764FA20A" w14:textId="77777777" w:rsidR="005C04AC" w:rsidRDefault="005C04AC"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68084E98" w14:textId="77777777" w:rsidR="0078541F" w:rsidRDefault="002D4AD8"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41, the Board recommended that UNDP continue refining its policies and procedures and reviewing its contribution agreements in order to have in place an enhanced decision basis for recognition of non-exchange transactions in line with IPSAS 23.</w:t>
      </w:r>
    </w:p>
    <w:p w14:paraId="21BC0BE4" w14:textId="77777777" w:rsidR="00E82911" w:rsidRDefault="00E82911" w:rsidP="00E8291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4620E82B" w14:textId="77777777" w:rsidR="00E82911" w:rsidRPr="00E82911" w:rsidRDefault="00E82911" w:rsidP="00E8291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82911">
        <w:rPr>
          <w:spacing w:val="4"/>
          <w:w w:val="103"/>
          <w:kern w:val="14"/>
          <w:sz w:val="20"/>
          <w:szCs w:val="20"/>
          <w:lang w:val="en-GB"/>
        </w:rPr>
        <w:t>UNDP is reviewing its non-exchange revenue accounting policies against IPSAS 23 requirements with the aim of making any necessary changes effective starting with the 2019 financial statements.</w:t>
      </w:r>
    </w:p>
    <w:p w14:paraId="77779841"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7C13199F" w14:textId="77777777" w:rsidTr="00D15D56">
        <w:tc>
          <w:tcPr>
            <w:tcW w:w="2970" w:type="dxa"/>
            <w:hideMark/>
          </w:tcPr>
          <w:p w14:paraId="4218DF43"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4F39EBAD" w14:textId="77777777" w:rsidR="00215381" w:rsidRPr="005C04AC" w:rsidRDefault="0070799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07994">
              <w:rPr>
                <w:spacing w:val="4"/>
                <w:sz w:val="20"/>
                <w:szCs w:val="20"/>
              </w:rPr>
              <w:t>BMS/Office of Financial Resources Management</w:t>
            </w:r>
          </w:p>
        </w:tc>
      </w:tr>
      <w:tr w:rsidR="00215381" w:rsidRPr="005C04AC" w14:paraId="7512E743" w14:textId="77777777" w:rsidTr="00D15D56">
        <w:tc>
          <w:tcPr>
            <w:tcW w:w="2970" w:type="dxa"/>
            <w:hideMark/>
          </w:tcPr>
          <w:p w14:paraId="03CAD76F"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17B77BBE"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215381" w:rsidRPr="005C04AC" w14:paraId="4B5794E1" w14:textId="77777777" w:rsidTr="00D15D56">
        <w:tc>
          <w:tcPr>
            <w:tcW w:w="2970" w:type="dxa"/>
            <w:hideMark/>
          </w:tcPr>
          <w:p w14:paraId="713EDADD"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135F5549"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High</w:t>
            </w:r>
          </w:p>
        </w:tc>
      </w:tr>
      <w:tr w:rsidR="00215381" w:rsidRPr="005C04AC" w14:paraId="7C2977A3" w14:textId="77777777" w:rsidTr="00D15D56">
        <w:tc>
          <w:tcPr>
            <w:tcW w:w="2970" w:type="dxa"/>
            <w:hideMark/>
          </w:tcPr>
          <w:p w14:paraId="79F760E3"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224CECE9" w14:textId="77777777" w:rsidR="00215381" w:rsidRPr="005C04AC" w:rsidRDefault="00921252"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First</w:t>
            </w:r>
            <w:r w:rsidR="00215381" w:rsidRPr="005C04AC">
              <w:rPr>
                <w:spacing w:val="4"/>
                <w:sz w:val="20"/>
                <w:szCs w:val="20"/>
              </w:rPr>
              <w:t xml:space="preserve"> quarter of 20</w:t>
            </w:r>
            <w:r w:rsidR="009F12D4">
              <w:rPr>
                <w:spacing w:val="4"/>
                <w:sz w:val="20"/>
                <w:szCs w:val="20"/>
              </w:rPr>
              <w:t>20</w:t>
            </w:r>
          </w:p>
        </w:tc>
      </w:tr>
    </w:tbl>
    <w:p w14:paraId="5DDFB5FA"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6A552B22" w14:textId="77777777" w:rsidR="0078541F" w:rsidRPr="00077767" w:rsidRDefault="0078541F" w:rsidP="0078541F">
      <w:pPr>
        <w:pStyle w:val="ListParagraph"/>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spacing w:val="4"/>
          <w:w w:val="103"/>
          <w:kern w:val="14"/>
          <w:sz w:val="20"/>
          <w:szCs w:val="20"/>
          <w:lang w:val="en-GB"/>
        </w:rPr>
      </w:pPr>
    </w:p>
    <w:p w14:paraId="6064A618" w14:textId="77777777" w:rsidR="0078541F"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47, the Board recommended that UNDP enhance the process for manual recording of exchange transactions at country office level in order to ensure that revenue is recorded in the period in which UNDP rendered the services as required under an accrual basis of accounting.</w:t>
      </w:r>
    </w:p>
    <w:p w14:paraId="1044D265" w14:textId="77777777" w:rsidR="00AF1756" w:rsidRPr="00AF1756" w:rsidRDefault="00AF1756" w:rsidP="00AF17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3B4820D8" w14:textId="77777777" w:rsidR="00AF1756" w:rsidRPr="00AF1756" w:rsidRDefault="00AF1756" w:rsidP="00AF17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AF1756">
        <w:rPr>
          <w:spacing w:val="4"/>
          <w:w w:val="103"/>
          <w:kern w:val="14"/>
          <w:sz w:val="20"/>
          <w:szCs w:val="20"/>
          <w:lang w:val="en-GB"/>
        </w:rPr>
        <w:t>UNDP will (1) include confirmation of recording of exchange revenue in the annual assertion, (2) initiate processes and build tools that highlight outstanding payments and (3) train staff to pursue collection efforts and book revenue in line with UNDP policies and procedures.</w:t>
      </w:r>
    </w:p>
    <w:p w14:paraId="5920C221"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69AF711F" w14:textId="77777777" w:rsidTr="00D15D56">
        <w:tc>
          <w:tcPr>
            <w:tcW w:w="2970" w:type="dxa"/>
            <w:hideMark/>
          </w:tcPr>
          <w:p w14:paraId="58C446A6"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7CD74643" w14:textId="77777777" w:rsidR="00215381" w:rsidRPr="005C04AC" w:rsidRDefault="0070799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07994">
              <w:rPr>
                <w:spacing w:val="4"/>
                <w:sz w:val="20"/>
                <w:szCs w:val="20"/>
              </w:rPr>
              <w:t>BMS/OFRM and Regional Bureaux</w:t>
            </w:r>
          </w:p>
        </w:tc>
      </w:tr>
      <w:tr w:rsidR="00215381" w:rsidRPr="005C04AC" w14:paraId="14D52A3E" w14:textId="77777777" w:rsidTr="00D15D56">
        <w:tc>
          <w:tcPr>
            <w:tcW w:w="2970" w:type="dxa"/>
            <w:hideMark/>
          </w:tcPr>
          <w:p w14:paraId="0A93AAFA"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5E12DDD5"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Not Started</w:t>
            </w:r>
          </w:p>
        </w:tc>
      </w:tr>
      <w:tr w:rsidR="00215381" w:rsidRPr="005C04AC" w14:paraId="5B176E87" w14:textId="77777777" w:rsidTr="00D15D56">
        <w:tc>
          <w:tcPr>
            <w:tcW w:w="2970" w:type="dxa"/>
            <w:hideMark/>
          </w:tcPr>
          <w:p w14:paraId="50C25BA6"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4B42C1F3"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2397A57C" w14:textId="77777777" w:rsidTr="00D15D56">
        <w:tc>
          <w:tcPr>
            <w:tcW w:w="2970" w:type="dxa"/>
            <w:hideMark/>
          </w:tcPr>
          <w:p w14:paraId="2CF8166C"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4480FDDB"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0BB4413E"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1D37AE09" w14:textId="77777777" w:rsidR="0078541F" w:rsidRPr="00077767" w:rsidRDefault="0078541F" w:rsidP="0078541F">
      <w:pPr>
        <w:pStyle w:val="ListParagraph"/>
        <w:rPr>
          <w:b/>
          <w:spacing w:val="4"/>
          <w:w w:val="103"/>
          <w:kern w:val="14"/>
          <w:sz w:val="20"/>
          <w:szCs w:val="20"/>
          <w:lang w:val="en-GB"/>
        </w:rPr>
      </w:pPr>
    </w:p>
    <w:p w14:paraId="7C1C3FD2" w14:textId="77777777" w:rsidR="0078541F"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48, the Board recommended that UNDP ensure that country offices enhance the process for collecting payments so that payments are collected in a timely manner.</w:t>
      </w:r>
    </w:p>
    <w:p w14:paraId="62C9501A" w14:textId="77777777" w:rsidR="00AF1756" w:rsidRDefault="00AF1756" w:rsidP="00AF17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6012D62D" w14:textId="77777777" w:rsidR="00AF1756" w:rsidRPr="00AF1756" w:rsidRDefault="00AF1756" w:rsidP="00AF17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AF1756">
        <w:rPr>
          <w:spacing w:val="4"/>
          <w:w w:val="103"/>
          <w:kern w:val="14"/>
          <w:sz w:val="20"/>
          <w:szCs w:val="20"/>
          <w:lang w:val="en-GB"/>
        </w:rPr>
        <w:t>UNDP will (1) include confirmation of recording of exchange revenue in the annual assertion, (2) initiate processes and build tools that highlight outstanding payments and (3) train staff to pursue collection efforts and book revenue in line with UNDP policies and procedures.</w:t>
      </w:r>
    </w:p>
    <w:p w14:paraId="4DAF694B"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68834E3E" w14:textId="77777777" w:rsidTr="00D15D56">
        <w:tc>
          <w:tcPr>
            <w:tcW w:w="2970" w:type="dxa"/>
            <w:hideMark/>
          </w:tcPr>
          <w:p w14:paraId="5D674021"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5D1422AE" w14:textId="77777777" w:rsidR="00215381" w:rsidRPr="005C04AC" w:rsidRDefault="007D307A"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D307A">
              <w:rPr>
                <w:spacing w:val="4"/>
                <w:sz w:val="20"/>
                <w:szCs w:val="20"/>
              </w:rPr>
              <w:t>Regional Bureaux</w:t>
            </w:r>
          </w:p>
        </w:tc>
      </w:tr>
      <w:tr w:rsidR="00215381" w:rsidRPr="005C04AC" w14:paraId="5894DA52" w14:textId="77777777" w:rsidTr="00D15D56">
        <w:tc>
          <w:tcPr>
            <w:tcW w:w="2970" w:type="dxa"/>
            <w:hideMark/>
          </w:tcPr>
          <w:p w14:paraId="105D82FC"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6E76A495"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Not Started</w:t>
            </w:r>
          </w:p>
        </w:tc>
      </w:tr>
      <w:tr w:rsidR="00215381" w:rsidRPr="005C04AC" w14:paraId="77E89757" w14:textId="77777777" w:rsidTr="00D15D56">
        <w:tc>
          <w:tcPr>
            <w:tcW w:w="2970" w:type="dxa"/>
            <w:hideMark/>
          </w:tcPr>
          <w:p w14:paraId="61884EBC"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45415F0F"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57236BA9" w14:textId="77777777" w:rsidTr="00D15D56">
        <w:tc>
          <w:tcPr>
            <w:tcW w:w="2970" w:type="dxa"/>
            <w:hideMark/>
          </w:tcPr>
          <w:p w14:paraId="3102DD17"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55E89831"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04E626C3"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0C69BDB1" w14:textId="77777777" w:rsidR="0078541F" w:rsidRPr="00077767" w:rsidRDefault="0078541F" w:rsidP="0078541F">
      <w:pPr>
        <w:pStyle w:val="ListParagraph"/>
        <w:rPr>
          <w:b/>
          <w:spacing w:val="4"/>
          <w:w w:val="103"/>
          <w:kern w:val="14"/>
          <w:sz w:val="20"/>
          <w:szCs w:val="20"/>
          <w:lang w:val="en-GB"/>
        </w:rPr>
      </w:pPr>
    </w:p>
    <w:p w14:paraId="4F9EE147" w14:textId="77777777" w:rsidR="0078541F"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49, the Board recommended that UNDP ensure that country office provide on-the-job training so that personnel have the required sustainable awareness to accurately record exchange transactions in accordance with UNDP policies and instructions.</w:t>
      </w:r>
    </w:p>
    <w:p w14:paraId="1D35408E" w14:textId="77777777" w:rsidR="00AF1756" w:rsidRPr="00AF1756" w:rsidRDefault="00AF1756" w:rsidP="00AF17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1EFA404F" w14:textId="77777777" w:rsidR="00AF1756" w:rsidRPr="00AF1756" w:rsidRDefault="00AF1756" w:rsidP="00AF17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AF1756">
        <w:rPr>
          <w:spacing w:val="4"/>
          <w:w w:val="103"/>
          <w:kern w:val="14"/>
          <w:sz w:val="20"/>
          <w:szCs w:val="20"/>
          <w:lang w:val="en-GB"/>
        </w:rPr>
        <w:t>UNDP will (1) include confirmation of recording of exchange revenue in the annual assertion, (2) initiate processes and build tools that highlight outstanding payments and (3) train staff to pursue collection efforts and book revenue in line with UNDP policies and procedures.</w:t>
      </w:r>
    </w:p>
    <w:p w14:paraId="0181DD70"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525CE621" w14:textId="77777777" w:rsidTr="00D15D56">
        <w:tc>
          <w:tcPr>
            <w:tcW w:w="2970" w:type="dxa"/>
            <w:hideMark/>
          </w:tcPr>
          <w:p w14:paraId="6E18B0C8"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4442D11C" w14:textId="77777777" w:rsidR="00215381" w:rsidRPr="005C04AC" w:rsidRDefault="0070799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07994">
              <w:rPr>
                <w:spacing w:val="4"/>
                <w:sz w:val="20"/>
                <w:szCs w:val="20"/>
              </w:rPr>
              <w:t>BMS/OFRM and Regional Bureaux</w:t>
            </w:r>
          </w:p>
        </w:tc>
      </w:tr>
      <w:tr w:rsidR="00215381" w:rsidRPr="005C04AC" w14:paraId="36E27D90" w14:textId="77777777" w:rsidTr="00D15D56">
        <w:tc>
          <w:tcPr>
            <w:tcW w:w="2970" w:type="dxa"/>
            <w:hideMark/>
          </w:tcPr>
          <w:p w14:paraId="50F55A5A"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6F980AC8"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Not Started</w:t>
            </w:r>
          </w:p>
        </w:tc>
      </w:tr>
      <w:tr w:rsidR="00215381" w:rsidRPr="005C04AC" w14:paraId="5B5BA29D" w14:textId="77777777" w:rsidTr="00D15D56">
        <w:tc>
          <w:tcPr>
            <w:tcW w:w="2970" w:type="dxa"/>
            <w:hideMark/>
          </w:tcPr>
          <w:p w14:paraId="29F7CE29"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22ACD45C"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6D616B56" w14:textId="77777777" w:rsidTr="00D15D56">
        <w:tc>
          <w:tcPr>
            <w:tcW w:w="2970" w:type="dxa"/>
            <w:hideMark/>
          </w:tcPr>
          <w:p w14:paraId="657A4F07"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2036B243"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4D5FA885"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69D0CDE8" w14:textId="77777777" w:rsidR="0078541F" w:rsidRPr="00077767" w:rsidRDefault="0078541F" w:rsidP="0078541F">
      <w:pPr>
        <w:pStyle w:val="ListParagraph"/>
        <w:rPr>
          <w:b/>
          <w:spacing w:val="4"/>
          <w:w w:val="103"/>
          <w:kern w:val="14"/>
          <w:sz w:val="20"/>
          <w:szCs w:val="20"/>
          <w:lang w:val="en-GB"/>
        </w:rPr>
      </w:pPr>
    </w:p>
    <w:p w14:paraId="0A782416" w14:textId="77777777" w:rsidR="0078541F"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54, the Board recommended that UNDP, based on an analysis of the effects, raise the threshold for the recognition of property, plant and equipment as an asset to reduce the administrative burden.</w:t>
      </w:r>
    </w:p>
    <w:p w14:paraId="3E0D1B90" w14:textId="77777777" w:rsidR="00AF1756" w:rsidRDefault="00AF1756" w:rsidP="00AF17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17E7264D" w14:textId="77777777" w:rsidR="00AF1756" w:rsidRPr="00AF1756" w:rsidRDefault="00AF1756" w:rsidP="00AF17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AF1756">
        <w:rPr>
          <w:spacing w:val="4"/>
          <w:w w:val="103"/>
          <w:kern w:val="14"/>
          <w:sz w:val="20"/>
          <w:szCs w:val="20"/>
          <w:lang w:val="en-GB"/>
        </w:rPr>
        <w:t>UNDP will increase the property, plant and equipment threshold to $5,000 effective 2020. UNDP policies and procedures will be revised to reflect the new thre</w:t>
      </w:r>
      <w:r>
        <w:rPr>
          <w:spacing w:val="4"/>
          <w:w w:val="103"/>
          <w:kern w:val="14"/>
          <w:sz w:val="20"/>
          <w:szCs w:val="20"/>
          <w:lang w:val="en-GB"/>
        </w:rPr>
        <w:t>s</w:t>
      </w:r>
      <w:r w:rsidRPr="00AF1756">
        <w:rPr>
          <w:spacing w:val="4"/>
          <w:w w:val="103"/>
          <w:kern w:val="14"/>
          <w:sz w:val="20"/>
          <w:szCs w:val="20"/>
          <w:lang w:val="en-GB"/>
        </w:rPr>
        <w:t>hold.</w:t>
      </w:r>
    </w:p>
    <w:p w14:paraId="19B51A49"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287754FF" w14:textId="77777777" w:rsidTr="00D15D56">
        <w:tc>
          <w:tcPr>
            <w:tcW w:w="2970" w:type="dxa"/>
            <w:hideMark/>
          </w:tcPr>
          <w:p w14:paraId="53BE32D7"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42B15785" w14:textId="77777777" w:rsidR="00215381" w:rsidRPr="005C04AC" w:rsidRDefault="007D307A"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D307A">
              <w:rPr>
                <w:spacing w:val="4"/>
                <w:sz w:val="20"/>
                <w:szCs w:val="20"/>
              </w:rPr>
              <w:t>BMS/OSO</w:t>
            </w:r>
          </w:p>
        </w:tc>
      </w:tr>
      <w:tr w:rsidR="00215381" w:rsidRPr="005C04AC" w14:paraId="109A3510" w14:textId="77777777" w:rsidTr="00D15D56">
        <w:tc>
          <w:tcPr>
            <w:tcW w:w="2970" w:type="dxa"/>
            <w:hideMark/>
          </w:tcPr>
          <w:p w14:paraId="05047FA6"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18A1C1F3"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215381" w:rsidRPr="005C04AC" w14:paraId="258259F6" w14:textId="77777777" w:rsidTr="00D15D56">
        <w:tc>
          <w:tcPr>
            <w:tcW w:w="2970" w:type="dxa"/>
            <w:hideMark/>
          </w:tcPr>
          <w:p w14:paraId="06F2599E"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1A64BBB9"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62BB895A" w14:textId="77777777" w:rsidTr="00D15D56">
        <w:tc>
          <w:tcPr>
            <w:tcW w:w="2970" w:type="dxa"/>
            <w:hideMark/>
          </w:tcPr>
          <w:p w14:paraId="14C1FD39"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711C38CA"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4F913828"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1124370B" w14:textId="77777777" w:rsidR="0078541F" w:rsidRPr="00077767" w:rsidRDefault="0078541F" w:rsidP="0078541F">
      <w:pPr>
        <w:pStyle w:val="ListParagraph"/>
        <w:rPr>
          <w:b/>
          <w:spacing w:val="4"/>
          <w:w w:val="103"/>
          <w:kern w:val="14"/>
          <w:sz w:val="20"/>
          <w:szCs w:val="20"/>
          <w:lang w:val="en-GB"/>
        </w:rPr>
      </w:pPr>
    </w:p>
    <w:p w14:paraId="356052AD" w14:textId="77777777" w:rsidR="0078541F"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60, the Board recommended that UNDP ensure that changes of signatories required are followed up with banks</w:t>
      </w:r>
    </w:p>
    <w:p w14:paraId="4B507ABB" w14:textId="77777777" w:rsidR="00925573" w:rsidRDefault="00925573" w:rsidP="00925573">
      <w:pPr>
        <w:pStyle w:val="ListParagraph"/>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69814780" w14:textId="77777777" w:rsidR="00215381" w:rsidRDefault="00654CF2" w:rsidP="00CE2C9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Pr>
          <w:spacing w:val="4"/>
          <w:w w:val="103"/>
          <w:kern w:val="14"/>
          <w:sz w:val="20"/>
          <w:szCs w:val="20"/>
          <w:lang w:val="en-GB"/>
        </w:rPr>
        <w:t>UNDP T</w:t>
      </w:r>
      <w:r w:rsidR="00CE2C9C" w:rsidRPr="00CE2C9C">
        <w:rPr>
          <w:spacing w:val="4"/>
          <w:w w:val="103"/>
          <w:kern w:val="14"/>
          <w:sz w:val="20"/>
          <w:szCs w:val="20"/>
          <w:lang w:val="en-GB"/>
        </w:rPr>
        <w:t>reasury ensure</w:t>
      </w:r>
      <w:r w:rsidR="00DF6E3C">
        <w:rPr>
          <w:spacing w:val="4"/>
          <w:w w:val="103"/>
          <w:kern w:val="14"/>
          <w:sz w:val="20"/>
          <w:szCs w:val="20"/>
          <w:lang w:val="en-GB"/>
        </w:rPr>
        <w:t>s</w:t>
      </w:r>
      <w:r w:rsidR="00CE2C9C" w:rsidRPr="00CE2C9C">
        <w:rPr>
          <w:spacing w:val="4"/>
          <w:w w:val="103"/>
          <w:kern w:val="14"/>
          <w:sz w:val="20"/>
          <w:szCs w:val="20"/>
          <w:lang w:val="en-GB"/>
        </w:rPr>
        <w:t xml:space="preserve"> that any changes of signatories are followed up with banks.</w:t>
      </w:r>
    </w:p>
    <w:p w14:paraId="1FA0E519" w14:textId="77777777" w:rsidR="00CE2C9C" w:rsidRDefault="00CE2C9C"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6BC89481" w14:textId="77777777" w:rsidTr="00D15D56">
        <w:tc>
          <w:tcPr>
            <w:tcW w:w="2970" w:type="dxa"/>
            <w:hideMark/>
          </w:tcPr>
          <w:p w14:paraId="7A81C3A0"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5F3ABF45" w14:textId="77777777" w:rsidR="00215381" w:rsidRPr="005C04AC" w:rsidRDefault="007D307A"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D307A">
              <w:rPr>
                <w:spacing w:val="4"/>
                <w:sz w:val="20"/>
                <w:szCs w:val="20"/>
              </w:rPr>
              <w:t>Regional Bureaux</w:t>
            </w:r>
          </w:p>
        </w:tc>
      </w:tr>
      <w:tr w:rsidR="00215381" w:rsidRPr="005C04AC" w14:paraId="0745A080" w14:textId="77777777" w:rsidTr="00D15D56">
        <w:tc>
          <w:tcPr>
            <w:tcW w:w="2970" w:type="dxa"/>
            <w:hideMark/>
          </w:tcPr>
          <w:p w14:paraId="08F5FBEC"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5FCE454E"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215381" w:rsidRPr="005C04AC" w14:paraId="4805A9E0" w14:textId="77777777" w:rsidTr="00D15D56">
        <w:tc>
          <w:tcPr>
            <w:tcW w:w="2970" w:type="dxa"/>
            <w:hideMark/>
          </w:tcPr>
          <w:p w14:paraId="152AF5D7"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2C25FA72"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0CD60A9C" w14:textId="77777777" w:rsidTr="00D15D56">
        <w:tc>
          <w:tcPr>
            <w:tcW w:w="2970" w:type="dxa"/>
            <w:hideMark/>
          </w:tcPr>
          <w:p w14:paraId="1C52D4A3"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30B43806"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0A61C0A4"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63280F5E" w14:textId="77777777" w:rsidR="0078541F" w:rsidRPr="00077767" w:rsidRDefault="0078541F" w:rsidP="0078541F">
      <w:pPr>
        <w:pStyle w:val="ListParagraph"/>
        <w:rPr>
          <w:b/>
          <w:spacing w:val="4"/>
          <w:w w:val="103"/>
          <w:kern w:val="14"/>
          <w:sz w:val="20"/>
          <w:szCs w:val="20"/>
          <w:lang w:val="en-GB"/>
        </w:rPr>
      </w:pPr>
    </w:p>
    <w:p w14:paraId="12E28768" w14:textId="77777777" w:rsidR="0078541F"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75, the Board recommended that UNDP review the cases of non-compliance presented by the Board and analyse the reasons and circumstances why Bureaux and Country Offices did not fully comply with the corporate internal control framework.</w:t>
      </w:r>
    </w:p>
    <w:p w14:paraId="177156BC" w14:textId="77777777" w:rsidR="00925573" w:rsidRDefault="00925573" w:rsidP="00925573">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72191561" w14:textId="77777777" w:rsidR="00925573" w:rsidRPr="00925573" w:rsidRDefault="00925573" w:rsidP="00925573">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925573">
        <w:rPr>
          <w:spacing w:val="4"/>
          <w:w w:val="103"/>
          <w:kern w:val="14"/>
          <w:sz w:val="20"/>
          <w:szCs w:val="20"/>
          <w:lang w:val="en-GB"/>
        </w:rPr>
        <w:t>UNDP will analyse material past cases of non-compliance raised by the Board.</w:t>
      </w:r>
    </w:p>
    <w:p w14:paraId="47561516"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03BEE1CE" w14:textId="77777777" w:rsidTr="00D15D56">
        <w:tc>
          <w:tcPr>
            <w:tcW w:w="2970" w:type="dxa"/>
            <w:hideMark/>
          </w:tcPr>
          <w:p w14:paraId="4C73C7BB"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10C22981" w14:textId="77777777" w:rsidR="00215381" w:rsidRPr="005C04AC" w:rsidRDefault="0070799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07994">
              <w:rPr>
                <w:spacing w:val="4"/>
                <w:sz w:val="20"/>
                <w:szCs w:val="20"/>
              </w:rPr>
              <w:t>BMS/OFRM and Regional Bureaux</w:t>
            </w:r>
          </w:p>
        </w:tc>
      </w:tr>
      <w:tr w:rsidR="00215381" w:rsidRPr="005C04AC" w14:paraId="49209713" w14:textId="77777777" w:rsidTr="00D15D56">
        <w:tc>
          <w:tcPr>
            <w:tcW w:w="2970" w:type="dxa"/>
            <w:hideMark/>
          </w:tcPr>
          <w:p w14:paraId="4CE94831"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2C836E06"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Not Started</w:t>
            </w:r>
          </w:p>
        </w:tc>
      </w:tr>
      <w:tr w:rsidR="00215381" w:rsidRPr="005C04AC" w14:paraId="42064DF5" w14:textId="77777777" w:rsidTr="00D15D56">
        <w:tc>
          <w:tcPr>
            <w:tcW w:w="2970" w:type="dxa"/>
            <w:hideMark/>
          </w:tcPr>
          <w:p w14:paraId="025084E7"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660752F4"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1E78DB61" w14:textId="77777777" w:rsidTr="00D15D56">
        <w:tc>
          <w:tcPr>
            <w:tcW w:w="2970" w:type="dxa"/>
            <w:hideMark/>
          </w:tcPr>
          <w:p w14:paraId="06E98F64"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492EAB92"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First</w:t>
            </w:r>
            <w:r w:rsidR="00215381" w:rsidRPr="005C04AC">
              <w:rPr>
                <w:spacing w:val="4"/>
                <w:sz w:val="20"/>
                <w:szCs w:val="20"/>
              </w:rPr>
              <w:t xml:space="preserve"> quarter </w:t>
            </w:r>
            <w:r w:rsidR="009F12D4">
              <w:rPr>
                <w:spacing w:val="4"/>
                <w:sz w:val="20"/>
                <w:szCs w:val="20"/>
              </w:rPr>
              <w:t>of 2020</w:t>
            </w:r>
          </w:p>
        </w:tc>
      </w:tr>
    </w:tbl>
    <w:p w14:paraId="1D84DBD3"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0CF2015A" w14:textId="77777777" w:rsidR="0078541F" w:rsidRPr="00077767" w:rsidRDefault="0078541F" w:rsidP="0078541F">
      <w:pPr>
        <w:pStyle w:val="ListParagraph"/>
        <w:rPr>
          <w:b/>
          <w:spacing w:val="4"/>
          <w:w w:val="103"/>
          <w:kern w:val="14"/>
          <w:sz w:val="20"/>
          <w:szCs w:val="20"/>
          <w:lang w:val="en-GB"/>
        </w:rPr>
      </w:pPr>
    </w:p>
    <w:p w14:paraId="3B2A890D" w14:textId="77777777" w:rsidR="0078541F"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76, the Board recommended that UNDP, based on the above analysis, further refine its internal control framework to strengthen its implementation.</w:t>
      </w:r>
    </w:p>
    <w:p w14:paraId="69D889C4" w14:textId="77777777" w:rsidR="00925573" w:rsidRDefault="00925573" w:rsidP="00925573">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332A206F" w14:textId="77777777" w:rsidR="00925573" w:rsidRPr="00925573" w:rsidRDefault="00925573" w:rsidP="00925573">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925573">
        <w:rPr>
          <w:spacing w:val="4"/>
          <w:w w:val="103"/>
          <w:kern w:val="14"/>
          <w:sz w:val="20"/>
          <w:szCs w:val="20"/>
          <w:lang w:val="en-GB"/>
        </w:rPr>
        <w:t>An instruction was issued for every CO to review its ICF and adjust, if necessary, to prevent conflicts between the first and second authority of any value, as well as the issue of assignment of control functions to non-staff. In addition</w:t>
      </w:r>
      <w:r w:rsidR="00AB16E0">
        <w:rPr>
          <w:spacing w:val="4"/>
          <w:w w:val="103"/>
          <w:kern w:val="14"/>
          <w:sz w:val="20"/>
          <w:szCs w:val="20"/>
          <w:lang w:val="en-GB"/>
        </w:rPr>
        <w:t>,</w:t>
      </w:r>
      <w:r w:rsidRPr="00925573">
        <w:rPr>
          <w:spacing w:val="4"/>
          <w:w w:val="103"/>
          <w:kern w:val="14"/>
          <w:sz w:val="20"/>
          <w:szCs w:val="20"/>
          <w:lang w:val="en-GB"/>
        </w:rPr>
        <w:t xml:space="preserve"> a new control has been put into place in Atlas ERP system that will enforce the segregation of duty between the approvers of Requisitions and </w:t>
      </w:r>
      <w:proofErr w:type="spellStart"/>
      <w:r w:rsidRPr="00925573">
        <w:rPr>
          <w:spacing w:val="4"/>
          <w:w w:val="103"/>
          <w:kern w:val="14"/>
          <w:sz w:val="20"/>
          <w:szCs w:val="20"/>
          <w:lang w:val="en-GB"/>
        </w:rPr>
        <w:t>POs.</w:t>
      </w:r>
      <w:proofErr w:type="spellEnd"/>
      <w:r w:rsidRPr="00925573">
        <w:rPr>
          <w:spacing w:val="4"/>
          <w:w w:val="103"/>
          <w:kern w:val="14"/>
          <w:sz w:val="20"/>
          <w:szCs w:val="20"/>
          <w:lang w:val="en-GB"/>
        </w:rPr>
        <w:t xml:space="preserve"> UNDP considers this recommendation closed, pending review by the Board.</w:t>
      </w:r>
    </w:p>
    <w:p w14:paraId="722B224E"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7C15491E" w14:textId="77777777" w:rsidTr="00D15D56">
        <w:tc>
          <w:tcPr>
            <w:tcW w:w="2970" w:type="dxa"/>
            <w:hideMark/>
          </w:tcPr>
          <w:p w14:paraId="7BCFFE52"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755C96E2" w14:textId="77777777" w:rsidR="00215381" w:rsidRPr="005C04AC" w:rsidRDefault="0070799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07994">
              <w:rPr>
                <w:spacing w:val="4"/>
                <w:sz w:val="20"/>
                <w:szCs w:val="20"/>
              </w:rPr>
              <w:t>BMS/OFRM and Regional Bureaux</w:t>
            </w:r>
          </w:p>
        </w:tc>
      </w:tr>
      <w:tr w:rsidR="00215381" w:rsidRPr="005C04AC" w14:paraId="50F80EFA" w14:textId="77777777" w:rsidTr="00D15D56">
        <w:tc>
          <w:tcPr>
            <w:tcW w:w="2970" w:type="dxa"/>
            <w:hideMark/>
          </w:tcPr>
          <w:p w14:paraId="57A30F30"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258A980E"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Implemented</w:t>
            </w:r>
          </w:p>
        </w:tc>
      </w:tr>
      <w:tr w:rsidR="00215381" w:rsidRPr="005C04AC" w14:paraId="7BB55E98" w14:textId="77777777" w:rsidTr="00D15D56">
        <w:tc>
          <w:tcPr>
            <w:tcW w:w="2970" w:type="dxa"/>
            <w:hideMark/>
          </w:tcPr>
          <w:p w14:paraId="57636802"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1B99F0BE"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High</w:t>
            </w:r>
          </w:p>
        </w:tc>
      </w:tr>
      <w:tr w:rsidR="00215381" w:rsidRPr="005C04AC" w14:paraId="0ADA8F99" w14:textId="77777777" w:rsidTr="00D15D56">
        <w:tc>
          <w:tcPr>
            <w:tcW w:w="2970" w:type="dxa"/>
            <w:hideMark/>
          </w:tcPr>
          <w:p w14:paraId="77FAE88C"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6FB84276" w14:textId="77777777" w:rsidR="00215381" w:rsidRPr="005C04AC" w:rsidRDefault="009549A8"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w:t>
            </w:r>
          </w:p>
        </w:tc>
      </w:tr>
    </w:tbl>
    <w:p w14:paraId="7DC39541"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5341D30D" w14:textId="77777777" w:rsidR="0078541F" w:rsidRPr="00077767" w:rsidRDefault="0078541F" w:rsidP="0078541F">
      <w:pPr>
        <w:pStyle w:val="ListParagraph"/>
        <w:rPr>
          <w:b/>
          <w:spacing w:val="4"/>
          <w:w w:val="103"/>
          <w:kern w:val="14"/>
          <w:sz w:val="20"/>
          <w:szCs w:val="20"/>
          <w:lang w:val="en-GB"/>
        </w:rPr>
      </w:pPr>
    </w:p>
    <w:p w14:paraId="1F4A7E0E" w14:textId="77777777" w:rsidR="0078541F"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77, the Board recommended that UNDP consider the feasibility of incorporating more automated controls into UNDP’s enterprise resources planning system or supplementary related IT systems to enhance compliance with the corporate internal control framework.</w:t>
      </w:r>
    </w:p>
    <w:p w14:paraId="07D29AE2" w14:textId="77777777" w:rsidR="00925573" w:rsidRDefault="00925573" w:rsidP="00925573">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358C81A1" w14:textId="77777777" w:rsidR="00925573" w:rsidRPr="00925573" w:rsidRDefault="00925573" w:rsidP="00925573">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925573">
        <w:rPr>
          <w:spacing w:val="4"/>
          <w:w w:val="103"/>
          <w:kern w:val="14"/>
          <w:sz w:val="20"/>
          <w:szCs w:val="20"/>
          <w:lang w:val="en-GB"/>
        </w:rPr>
        <w:t xml:space="preserve">Atlas will be upgraded during the 2020-2021 timeframe. As part of this upgrade, UNDP will consider more automated controls as </w:t>
      </w:r>
      <w:proofErr w:type="gramStart"/>
      <w:r w:rsidRPr="00925573">
        <w:rPr>
          <w:spacing w:val="4"/>
          <w:w w:val="103"/>
          <w:kern w:val="14"/>
          <w:sz w:val="20"/>
          <w:szCs w:val="20"/>
          <w:lang w:val="en-GB"/>
        </w:rPr>
        <w:t>it</w:t>
      </w:r>
      <w:proofErr w:type="gramEnd"/>
      <w:r w:rsidRPr="00925573">
        <w:rPr>
          <w:spacing w:val="4"/>
          <w:w w:val="103"/>
          <w:kern w:val="14"/>
          <w:sz w:val="20"/>
          <w:szCs w:val="20"/>
          <w:lang w:val="en-GB"/>
        </w:rPr>
        <w:t xml:space="preserve"> re-architectures</w:t>
      </w:r>
      <w:r w:rsidR="009549A8">
        <w:rPr>
          <w:spacing w:val="4"/>
          <w:w w:val="103"/>
          <w:kern w:val="14"/>
          <w:sz w:val="20"/>
          <w:szCs w:val="20"/>
          <w:lang w:val="en-GB"/>
        </w:rPr>
        <w:t>,</w:t>
      </w:r>
      <w:r w:rsidRPr="00925573">
        <w:rPr>
          <w:spacing w:val="4"/>
          <w:w w:val="103"/>
          <w:kern w:val="14"/>
          <w:sz w:val="20"/>
          <w:szCs w:val="20"/>
          <w:lang w:val="en-GB"/>
        </w:rPr>
        <w:t xml:space="preserve"> and potentially changes</w:t>
      </w:r>
      <w:r w:rsidR="009549A8">
        <w:rPr>
          <w:spacing w:val="4"/>
          <w:w w:val="103"/>
          <w:kern w:val="14"/>
          <w:sz w:val="20"/>
          <w:szCs w:val="20"/>
          <w:lang w:val="en-GB"/>
        </w:rPr>
        <w:t>,</w:t>
      </w:r>
      <w:r w:rsidRPr="00925573">
        <w:rPr>
          <w:spacing w:val="4"/>
          <w:w w:val="103"/>
          <w:kern w:val="14"/>
          <w:sz w:val="20"/>
          <w:szCs w:val="20"/>
          <w:lang w:val="en-GB"/>
        </w:rPr>
        <w:t xml:space="preserve"> Argus flow and function.</w:t>
      </w:r>
    </w:p>
    <w:p w14:paraId="6A55D9CC"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51266715" w14:textId="77777777" w:rsidTr="00D15D56">
        <w:tc>
          <w:tcPr>
            <w:tcW w:w="2970" w:type="dxa"/>
            <w:hideMark/>
          </w:tcPr>
          <w:p w14:paraId="7A915EEB"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35F34838" w14:textId="77777777" w:rsidR="00215381" w:rsidRPr="005C04AC" w:rsidRDefault="0070799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07994">
              <w:rPr>
                <w:spacing w:val="4"/>
                <w:sz w:val="20"/>
                <w:szCs w:val="20"/>
              </w:rPr>
              <w:t>BMS/Office of Financial Resources Management</w:t>
            </w:r>
          </w:p>
        </w:tc>
      </w:tr>
      <w:tr w:rsidR="00215381" w:rsidRPr="005C04AC" w14:paraId="0012B4F5" w14:textId="77777777" w:rsidTr="00D15D56">
        <w:tc>
          <w:tcPr>
            <w:tcW w:w="2970" w:type="dxa"/>
            <w:hideMark/>
          </w:tcPr>
          <w:p w14:paraId="494D6932"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39C97177" w14:textId="77777777" w:rsidR="00215381" w:rsidRPr="005C04AC" w:rsidRDefault="00AB16E0"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Not Started</w:t>
            </w:r>
          </w:p>
        </w:tc>
      </w:tr>
      <w:tr w:rsidR="00215381" w:rsidRPr="005C04AC" w14:paraId="1AFD4254" w14:textId="77777777" w:rsidTr="00D15D56">
        <w:tc>
          <w:tcPr>
            <w:tcW w:w="2970" w:type="dxa"/>
            <w:hideMark/>
          </w:tcPr>
          <w:p w14:paraId="68B4BC7F"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78B03564"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High</w:t>
            </w:r>
          </w:p>
        </w:tc>
      </w:tr>
      <w:tr w:rsidR="00215381" w:rsidRPr="005C04AC" w14:paraId="0DA42621" w14:textId="77777777" w:rsidTr="00D15D56">
        <w:tc>
          <w:tcPr>
            <w:tcW w:w="2970" w:type="dxa"/>
            <w:hideMark/>
          </w:tcPr>
          <w:p w14:paraId="00E653E1"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1F2C9D88" w14:textId="77777777" w:rsidR="00215381" w:rsidRPr="005C04AC" w:rsidRDefault="009549A8"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 xml:space="preserve">Second </w:t>
            </w:r>
            <w:r w:rsidR="00215381" w:rsidRPr="005C04AC">
              <w:rPr>
                <w:spacing w:val="4"/>
                <w:sz w:val="20"/>
                <w:szCs w:val="20"/>
              </w:rPr>
              <w:t xml:space="preserve">quarter </w:t>
            </w:r>
            <w:r w:rsidR="009F12D4">
              <w:rPr>
                <w:spacing w:val="4"/>
                <w:sz w:val="20"/>
                <w:szCs w:val="20"/>
              </w:rPr>
              <w:t>of 2020</w:t>
            </w:r>
          </w:p>
        </w:tc>
      </w:tr>
    </w:tbl>
    <w:p w14:paraId="6D57760C"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4F589971" w14:textId="77777777" w:rsidR="0078541F" w:rsidRPr="00077767" w:rsidRDefault="0078541F" w:rsidP="0078541F">
      <w:pPr>
        <w:pStyle w:val="ListParagraph"/>
        <w:rPr>
          <w:b/>
          <w:spacing w:val="4"/>
          <w:w w:val="103"/>
          <w:kern w:val="14"/>
          <w:sz w:val="20"/>
          <w:szCs w:val="20"/>
          <w:lang w:val="en-GB"/>
        </w:rPr>
      </w:pPr>
    </w:p>
    <w:p w14:paraId="150355A7" w14:textId="77777777" w:rsidR="0078541F" w:rsidRPr="00925573"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85, the Board recommended that UNDP assess whether and what internal financial control procedures could be enacted by UNDP to enhance data quality and limit risks of errors by means of having standardized control procedures and an appropriate documentation which evidence that control procedures have been performed.</w:t>
      </w:r>
      <w:r w:rsidRPr="00077767">
        <w:rPr>
          <w:b/>
        </w:rPr>
        <w:t xml:space="preserve"> </w:t>
      </w:r>
    </w:p>
    <w:p w14:paraId="3BF993BA" w14:textId="77777777" w:rsidR="00925573" w:rsidRDefault="00925573" w:rsidP="00925573">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70A518EA" w14:textId="77777777" w:rsidR="00925573" w:rsidRPr="00925573" w:rsidRDefault="00925573" w:rsidP="00925573">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AB16E0">
        <w:rPr>
          <w:spacing w:val="4"/>
          <w:w w:val="103"/>
          <w:kern w:val="14"/>
          <w:sz w:val="20"/>
          <w:szCs w:val="20"/>
          <w:lang w:val="en-GB"/>
        </w:rPr>
        <w:t>The Clustering project has dedicated teams for business integration and ICF ensuring appropriate mechanisms for control and monitoring are embedded in the processes. The existing documentation of controls, as specified in the ICF, and embedded in POPP content, sets out the policy framework for appropriate documentation.</w:t>
      </w:r>
      <w:r w:rsidR="00AB16E0">
        <w:rPr>
          <w:spacing w:val="4"/>
          <w:w w:val="103"/>
          <w:kern w:val="14"/>
          <w:sz w:val="20"/>
          <w:szCs w:val="20"/>
          <w:lang w:val="en-GB"/>
        </w:rPr>
        <w:t xml:space="preserve"> (Update end-December 2019: UNDP considers this recommendation </w:t>
      </w:r>
      <w:r w:rsidR="009549A8">
        <w:rPr>
          <w:spacing w:val="4"/>
          <w:w w:val="103"/>
          <w:kern w:val="14"/>
          <w:sz w:val="20"/>
          <w:szCs w:val="20"/>
          <w:lang w:val="en-GB"/>
        </w:rPr>
        <w:t>Implemented</w:t>
      </w:r>
      <w:r w:rsidR="00AB16E0">
        <w:rPr>
          <w:spacing w:val="4"/>
          <w:w w:val="103"/>
          <w:kern w:val="14"/>
          <w:sz w:val="20"/>
          <w:szCs w:val="20"/>
          <w:lang w:val="en-GB"/>
        </w:rPr>
        <w:t>, pending review by the Board)</w:t>
      </w:r>
    </w:p>
    <w:p w14:paraId="08B9BAC1"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6686B64D" w14:textId="77777777" w:rsidTr="00D15D56">
        <w:tc>
          <w:tcPr>
            <w:tcW w:w="2970" w:type="dxa"/>
            <w:hideMark/>
          </w:tcPr>
          <w:p w14:paraId="583E2766"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637A511D" w14:textId="77777777" w:rsidR="00215381" w:rsidRPr="005C04AC" w:rsidRDefault="0070799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07994">
              <w:rPr>
                <w:spacing w:val="4"/>
                <w:sz w:val="20"/>
                <w:szCs w:val="20"/>
              </w:rPr>
              <w:t>BMS/OFRM and Regional Bureaux</w:t>
            </w:r>
          </w:p>
        </w:tc>
      </w:tr>
      <w:tr w:rsidR="00215381" w:rsidRPr="005C04AC" w14:paraId="50A93685" w14:textId="77777777" w:rsidTr="00D15D56">
        <w:tc>
          <w:tcPr>
            <w:tcW w:w="2970" w:type="dxa"/>
            <w:hideMark/>
          </w:tcPr>
          <w:p w14:paraId="590C8FF9"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51FC21CA" w14:textId="77777777" w:rsidR="00215381" w:rsidRPr="005C04AC" w:rsidRDefault="009549A8"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In progress</w:t>
            </w:r>
            <w:r w:rsidR="00AB16E0">
              <w:rPr>
                <w:spacing w:val="4"/>
                <w:sz w:val="20"/>
                <w:szCs w:val="20"/>
              </w:rPr>
              <w:t xml:space="preserve"> </w:t>
            </w:r>
          </w:p>
        </w:tc>
      </w:tr>
      <w:tr w:rsidR="00215381" w:rsidRPr="005C04AC" w14:paraId="7C2447E2" w14:textId="77777777" w:rsidTr="00D15D56">
        <w:tc>
          <w:tcPr>
            <w:tcW w:w="2970" w:type="dxa"/>
            <w:hideMark/>
          </w:tcPr>
          <w:p w14:paraId="069D7AFD"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6283FA40"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4A5B4FC4" w14:textId="77777777" w:rsidTr="00D15D56">
        <w:tc>
          <w:tcPr>
            <w:tcW w:w="2970" w:type="dxa"/>
            <w:hideMark/>
          </w:tcPr>
          <w:p w14:paraId="16E692C1"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2698AE16"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2C1000E0"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7CFE4FB6" w14:textId="77777777" w:rsidR="0078541F" w:rsidRPr="00077767" w:rsidRDefault="0078541F" w:rsidP="0078541F">
      <w:pPr>
        <w:pStyle w:val="ListParagraph"/>
        <w:rPr>
          <w:b/>
          <w:spacing w:val="4"/>
          <w:w w:val="103"/>
          <w:kern w:val="14"/>
          <w:sz w:val="20"/>
          <w:szCs w:val="20"/>
          <w:lang w:val="en-GB"/>
        </w:rPr>
      </w:pPr>
    </w:p>
    <w:p w14:paraId="4344FE1D" w14:textId="77777777" w:rsidR="0078541F"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93, the Board recommended that UNDP ensure that country offices either establish their own standard template with at least minimum documentation requirements for programmatic output verification or use the template provided by UNDP.</w:t>
      </w:r>
    </w:p>
    <w:p w14:paraId="48D58842" w14:textId="77777777" w:rsidR="00925573" w:rsidRDefault="00925573" w:rsidP="00925573">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42D93121" w14:textId="77777777" w:rsidR="00925573" w:rsidRPr="00AB16E0" w:rsidRDefault="00925573" w:rsidP="00925573">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AB16E0">
        <w:rPr>
          <w:spacing w:val="4"/>
          <w:w w:val="103"/>
          <w:kern w:val="14"/>
          <w:sz w:val="20"/>
          <w:szCs w:val="20"/>
          <w:lang w:val="en-GB"/>
        </w:rPr>
        <w:t>UNDP's Monitoring Policy states output progress and/or completion must be verified at least annually and a corporate template is provided for verification. It views sustained compliance will best result from enhancements to the corporate planning system.</w:t>
      </w:r>
    </w:p>
    <w:p w14:paraId="213EA112"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35524E1F" w14:textId="77777777" w:rsidTr="00D15D56">
        <w:tc>
          <w:tcPr>
            <w:tcW w:w="2970" w:type="dxa"/>
            <w:hideMark/>
          </w:tcPr>
          <w:p w14:paraId="7AB60075"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333C8F4D" w14:textId="77777777" w:rsidR="00215381" w:rsidRPr="005C04AC" w:rsidRDefault="007D307A"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D307A">
              <w:rPr>
                <w:spacing w:val="4"/>
                <w:sz w:val="20"/>
                <w:szCs w:val="20"/>
              </w:rPr>
              <w:t>BPPS and Regional Bureaux</w:t>
            </w:r>
          </w:p>
        </w:tc>
      </w:tr>
      <w:tr w:rsidR="00215381" w:rsidRPr="005C04AC" w14:paraId="03771625" w14:textId="77777777" w:rsidTr="00D15D56">
        <w:tc>
          <w:tcPr>
            <w:tcW w:w="2970" w:type="dxa"/>
            <w:hideMark/>
          </w:tcPr>
          <w:p w14:paraId="318BCA3D"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5ADA4ADE"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Not Started</w:t>
            </w:r>
          </w:p>
        </w:tc>
      </w:tr>
      <w:tr w:rsidR="00215381" w:rsidRPr="005C04AC" w14:paraId="5C0F70A4" w14:textId="77777777" w:rsidTr="00D15D56">
        <w:tc>
          <w:tcPr>
            <w:tcW w:w="2970" w:type="dxa"/>
            <w:hideMark/>
          </w:tcPr>
          <w:p w14:paraId="0A9947B6"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3560C26C"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02359118" w14:textId="77777777" w:rsidTr="00D15D56">
        <w:tc>
          <w:tcPr>
            <w:tcW w:w="2970" w:type="dxa"/>
            <w:hideMark/>
          </w:tcPr>
          <w:p w14:paraId="57612163"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444ABCB0"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5C0C016F"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539FF69D" w14:textId="77777777" w:rsidR="0078541F" w:rsidRPr="00077767" w:rsidRDefault="0078541F" w:rsidP="0078541F">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3AC4B61C" w14:textId="77777777" w:rsidR="00215381" w:rsidRDefault="0078541F" w:rsidP="00215381">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100, the Board recommended that UNDP analyse options to ensure timely certification of combined delivery reports and ensure that country offices and implementing partners sign combined delivery reports within the given time limit.</w:t>
      </w:r>
    </w:p>
    <w:p w14:paraId="278B182E" w14:textId="77777777" w:rsid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1E2B658B" w14:textId="77777777" w:rsidR="00E03341" w:rsidRP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03341">
        <w:rPr>
          <w:spacing w:val="4"/>
          <w:w w:val="103"/>
          <w:kern w:val="14"/>
          <w:sz w:val="20"/>
          <w:szCs w:val="20"/>
          <w:lang w:val="en-GB"/>
        </w:rPr>
        <w:t>UNDP relies on its implementing partners for timely certification of CDR and is exploring an automation solution to ensure timely delivery of CDRs to implementing partners.</w:t>
      </w:r>
    </w:p>
    <w:p w14:paraId="01E34E41"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2E03F10B" w14:textId="77777777" w:rsidTr="00D15D56">
        <w:tc>
          <w:tcPr>
            <w:tcW w:w="2970" w:type="dxa"/>
            <w:hideMark/>
          </w:tcPr>
          <w:p w14:paraId="083DD567"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47309654" w14:textId="77777777" w:rsidR="00215381" w:rsidRPr="005C04AC" w:rsidRDefault="0070799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07994">
              <w:rPr>
                <w:spacing w:val="4"/>
                <w:sz w:val="20"/>
                <w:szCs w:val="20"/>
              </w:rPr>
              <w:t>BMS/OFRM and Regional Bureaux</w:t>
            </w:r>
          </w:p>
        </w:tc>
      </w:tr>
      <w:tr w:rsidR="00215381" w:rsidRPr="005C04AC" w14:paraId="047050F2" w14:textId="77777777" w:rsidTr="00D15D56">
        <w:tc>
          <w:tcPr>
            <w:tcW w:w="2970" w:type="dxa"/>
            <w:hideMark/>
          </w:tcPr>
          <w:p w14:paraId="68430A10"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6EE5E432"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Not Started</w:t>
            </w:r>
          </w:p>
        </w:tc>
      </w:tr>
      <w:tr w:rsidR="00215381" w:rsidRPr="005C04AC" w14:paraId="39885396" w14:textId="77777777" w:rsidTr="00D15D56">
        <w:tc>
          <w:tcPr>
            <w:tcW w:w="2970" w:type="dxa"/>
            <w:hideMark/>
          </w:tcPr>
          <w:p w14:paraId="63DE1447"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59BCC2C1"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6E03307D" w14:textId="77777777" w:rsidTr="00D15D56">
        <w:tc>
          <w:tcPr>
            <w:tcW w:w="2970" w:type="dxa"/>
            <w:hideMark/>
          </w:tcPr>
          <w:p w14:paraId="3DFB636E"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lastRenderedPageBreak/>
              <w:t>Target date:</w:t>
            </w:r>
          </w:p>
        </w:tc>
        <w:tc>
          <w:tcPr>
            <w:tcW w:w="5033" w:type="dxa"/>
            <w:hideMark/>
          </w:tcPr>
          <w:p w14:paraId="702246CE"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0B681BBB" w14:textId="77777777" w:rsidR="0078541F" w:rsidRPr="00215381" w:rsidRDefault="0078541F"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215381">
        <w:rPr>
          <w:b/>
        </w:rPr>
        <w:t xml:space="preserve"> </w:t>
      </w:r>
    </w:p>
    <w:p w14:paraId="33FC9333" w14:textId="77777777" w:rsidR="0078541F" w:rsidRPr="00077767" w:rsidRDefault="0078541F" w:rsidP="0078541F">
      <w:pPr>
        <w:pStyle w:val="ListParagraph"/>
        <w:rPr>
          <w:b/>
          <w:spacing w:val="4"/>
          <w:w w:val="103"/>
          <w:kern w:val="14"/>
          <w:sz w:val="20"/>
          <w:szCs w:val="20"/>
          <w:lang w:val="en-GB"/>
        </w:rPr>
      </w:pPr>
    </w:p>
    <w:p w14:paraId="7BA7E331" w14:textId="77777777" w:rsidR="0075110B" w:rsidRPr="00E03341"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111, the Board recommended that UNDP update the HACT policy to include that the HACT SharePoint should be used for the mandatory planning of all micro assessments and assess possibilities to include the documentation of the required review of micro assessment plans within the HACT SharePoint.</w:t>
      </w:r>
      <w:r w:rsidRPr="00077767">
        <w:rPr>
          <w:b/>
        </w:rPr>
        <w:t xml:space="preserve"> </w:t>
      </w:r>
    </w:p>
    <w:p w14:paraId="72C3BC91" w14:textId="77777777" w:rsid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5A260AEC" w14:textId="77777777" w:rsidR="00E03341" w:rsidRP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03341">
        <w:rPr>
          <w:spacing w:val="4"/>
          <w:w w:val="103"/>
          <w:kern w:val="14"/>
          <w:sz w:val="20"/>
          <w:szCs w:val="20"/>
          <w:lang w:val="en-GB"/>
        </w:rPr>
        <w:t>A micro assessment plan report has been rolled out in the HACT platform and HACT guidance is in the process of being revised to ensure offices use the new report for micro assessment planning.</w:t>
      </w:r>
    </w:p>
    <w:p w14:paraId="007DF081"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53FE3D21" w14:textId="77777777" w:rsidTr="00D15D56">
        <w:tc>
          <w:tcPr>
            <w:tcW w:w="2970" w:type="dxa"/>
            <w:hideMark/>
          </w:tcPr>
          <w:p w14:paraId="7A80467F"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261D7AD6" w14:textId="77777777" w:rsidR="00215381" w:rsidRPr="005C04AC" w:rsidRDefault="0070799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07994">
              <w:rPr>
                <w:spacing w:val="4"/>
                <w:sz w:val="20"/>
                <w:szCs w:val="20"/>
              </w:rPr>
              <w:t>BMS/Office of Financial Resources Management</w:t>
            </w:r>
          </w:p>
        </w:tc>
      </w:tr>
      <w:tr w:rsidR="00215381" w:rsidRPr="005C04AC" w14:paraId="4445F64B" w14:textId="77777777" w:rsidTr="00D15D56">
        <w:tc>
          <w:tcPr>
            <w:tcW w:w="2970" w:type="dxa"/>
            <w:hideMark/>
          </w:tcPr>
          <w:p w14:paraId="5B7C0F93"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416E6C85"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215381" w:rsidRPr="005C04AC" w14:paraId="499C9ADF" w14:textId="77777777" w:rsidTr="00D15D56">
        <w:tc>
          <w:tcPr>
            <w:tcW w:w="2970" w:type="dxa"/>
            <w:hideMark/>
          </w:tcPr>
          <w:p w14:paraId="4B067C21"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52D4D282"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50D31394" w14:textId="77777777" w:rsidTr="00D15D56">
        <w:tc>
          <w:tcPr>
            <w:tcW w:w="2970" w:type="dxa"/>
            <w:hideMark/>
          </w:tcPr>
          <w:p w14:paraId="17EE2818"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2684D459"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4CA2E5EA"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205B10FC" w14:textId="77777777" w:rsidR="0075110B" w:rsidRPr="00077767" w:rsidRDefault="0075110B" w:rsidP="0075110B">
      <w:pPr>
        <w:pStyle w:val="ListParagraph"/>
        <w:rPr>
          <w:b/>
          <w:spacing w:val="4"/>
          <w:w w:val="103"/>
          <w:kern w:val="14"/>
          <w:sz w:val="20"/>
          <w:szCs w:val="20"/>
          <w:lang w:val="en-GB"/>
        </w:rPr>
      </w:pPr>
    </w:p>
    <w:p w14:paraId="60A75841" w14:textId="77777777" w:rsidR="0075110B"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116, the Board recommended that UNDP ensure that Country Offices document the review of and conclusions drawn from micro assessments.</w:t>
      </w:r>
    </w:p>
    <w:p w14:paraId="0EF1A51C" w14:textId="77777777" w:rsid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6757E16F" w14:textId="77777777" w:rsidR="00E03341" w:rsidRP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03341">
        <w:rPr>
          <w:spacing w:val="4"/>
          <w:w w:val="103"/>
          <w:kern w:val="14"/>
          <w:sz w:val="20"/>
          <w:szCs w:val="20"/>
          <w:lang w:val="en-GB"/>
        </w:rPr>
        <w:t>Existing UNDP HACT guidelines require the head of office to sign-off micro assessment including any decisions made to revise the risk ratings. Reminders will be sent to offices to ensure this is adhered to.</w:t>
      </w:r>
    </w:p>
    <w:p w14:paraId="31705D5B"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48A07B5B" w14:textId="77777777" w:rsidTr="00D15D56">
        <w:tc>
          <w:tcPr>
            <w:tcW w:w="2970" w:type="dxa"/>
            <w:hideMark/>
          </w:tcPr>
          <w:p w14:paraId="3EBA3377"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08553A0B" w14:textId="77777777" w:rsidR="00215381" w:rsidRPr="005C04AC" w:rsidRDefault="007D307A"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D307A">
              <w:rPr>
                <w:spacing w:val="4"/>
                <w:sz w:val="20"/>
                <w:szCs w:val="20"/>
              </w:rPr>
              <w:t>Regional Bureaux</w:t>
            </w:r>
          </w:p>
        </w:tc>
      </w:tr>
      <w:tr w:rsidR="00215381" w:rsidRPr="005C04AC" w14:paraId="113347F4" w14:textId="77777777" w:rsidTr="00D15D56">
        <w:tc>
          <w:tcPr>
            <w:tcW w:w="2970" w:type="dxa"/>
            <w:hideMark/>
          </w:tcPr>
          <w:p w14:paraId="4FA93736"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29B7F4B3"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Not Started</w:t>
            </w:r>
          </w:p>
        </w:tc>
      </w:tr>
      <w:tr w:rsidR="00215381" w:rsidRPr="005C04AC" w14:paraId="49DBF7F5" w14:textId="77777777" w:rsidTr="00D15D56">
        <w:tc>
          <w:tcPr>
            <w:tcW w:w="2970" w:type="dxa"/>
            <w:hideMark/>
          </w:tcPr>
          <w:p w14:paraId="775C15B5"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22B9B831"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High</w:t>
            </w:r>
          </w:p>
        </w:tc>
      </w:tr>
      <w:tr w:rsidR="00215381" w:rsidRPr="005C04AC" w14:paraId="46D39BF3" w14:textId="77777777" w:rsidTr="00D15D56">
        <w:tc>
          <w:tcPr>
            <w:tcW w:w="2970" w:type="dxa"/>
            <w:hideMark/>
          </w:tcPr>
          <w:p w14:paraId="16C448C6"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03289472"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First</w:t>
            </w:r>
            <w:r w:rsidRPr="005C04AC">
              <w:rPr>
                <w:spacing w:val="4"/>
                <w:sz w:val="20"/>
                <w:szCs w:val="20"/>
              </w:rPr>
              <w:t xml:space="preserve"> </w:t>
            </w:r>
            <w:r w:rsidR="00215381" w:rsidRPr="005C04AC">
              <w:rPr>
                <w:spacing w:val="4"/>
                <w:sz w:val="20"/>
                <w:szCs w:val="20"/>
              </w:rPr>
              <w:t xml:space="preserve">quarter </w:t>
            </w:r>
            <w:r w:rsidR="009F12D4">
              <w:rPr>
                <w:spacing w:val="4"/>
                <w:sz w:val="20"/>
                <w:szCs w:val="20"/>
              </w:rPr>
              <w:t>of 2020</w:t>
            </w:r>
          </w:p>
        </w:tc>
      </w:tr>
    </w:tbl>
    <w:p w14:paraId="3F129E82"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4857BAEA" w14:textId="77777777" w:rsidR="0075110B" w:rsidRPr="00077767" w:rsidRDefault="0075110B" w:rsidP="0075110B">
      <w:pPr>
        <w:pStyle w:val="ListParagraph"/>
        <w:rPr>
          <w:b/>
          <w:spacing w:val="4"/>
          <w:w w:val="103"/>
          <w:kern w:val="14"/>
          <w:sz w:val="20"/>
          <w:szCs w:val="20"/>
          <w:lang w:val="en-GB"/>
        </w:rPr>
      </w:pPr>
    </w:p>
    <w:p w14:paraId="68AA8D1B" w14:textId="77777777" w:rsidR="0075110B"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124, the Board recommended that UNDP update the HACT policy to include that the HACT SharePoint should be used for the mandatory planning of all assurance activities and that UNDP ensure the review of annual assurance activity plans.</w:t>
      </w:r>
    </w:p>
    <w:p w14:paraId="71F42670" w14:textId="77777777" w:rsid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3E738A87" w14:textId="77777777" w:rsidR="00E03341" w:rsidRP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03341">
        <w:rPr>
          <w:spacing w:val="4"/>
          <w:w w:val="103"/>
          <w:kern w:val="14"/>
          <w:sz w:val="20"/>
          <w:szCs w:val="20"/>
          <w:lang w:val="en-GB"/>
        </w:rPr>
        <w:t>An assurance plan report has been rolled out in the HACT platform and HACT guidance is in the process of being revised to ensure offices use the new report for assurance planning.</w:t>
      </w:r>
    </w:p>
    <w:p w14:paraId="71962FFC"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0DDBCB1B" w14:textId="77777777" w:rsidTr="00D15D56">
        <w:tc>
          <w:tcPr>
            <w:tcW w:w="2970" w:type="dxa"/>
            <w:hideMark/>
          </w:tcPr>
          <w:p w14:paraId="29BBD9AC"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269A7088" w14:textId="77777777" w:rsidR="00215381" w:rsidRPr="005C04AC" w:rsidRDefault="0070799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07994">
              <w:rPr>
                <w:spacing w:val="4"/>
                <w:sz w:val="20"/>
                <w:szCs w:val="20"/>
              </w:rPr>
              <w:t>BMS/Office of Financial Resources Management</w:t>
            </w:r>
          </w:p>
        </w:tc>
      </w:tr>
      <w:tr w:rsidR="00215381" w:rsidRPr="005C04AC" w14:paraId="3D4CA4D8" w14:textId="77777777" w:rsidTr="00D15D56">
        <w:tc>
          <w:tcPr>
            <w:tcW w:w="2970" w:type="dxa"/>
            <w:hideMark/>
          </w:tcPr>
          <w:p w14:paraId="440B790A"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072F513F"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215381" w:rsidRPr="005C04AC" w14:paraId="5F652F22" w14:textId="77777777" w:rsidTr="00D15D56">
        <w:tc>
          <w:tcPr>
            <w:tcW w:w="2970" w:type="dxa"/>
            <w:hideMark/>
          </w:tcPr>
          <w:p w14:paraId="405CCCD5"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432AE377"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00CCF27E" w14:textId="77777777" w:rsidTr="00D15D56">
        <w:tc>
          <w:tcPr>
            <w:tcW w:w="2970" w:type="dxa"/>
            <w:hideMark/>
          </w:tcPr>
          <w:p w14:paraId="47CE2290"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4A10C7C7"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517F6D0A"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20870B5A" w14:textId="77777777" w:rsidR="0075110B" w:rsidRPr="00077767" w:rsidRDefault="0075110B" w:rsidP="0075110B">
      <w:pPr>
        <w:pStyle w:val="ListParagraph"/>
        <w:rPr>
          <w:b/>
          <w:spacing w:val="4"/>
          <w:w w:val="103"/>
          <w:kern w:val="14"/>
          <w:sz w:val="20"/>
          <w:szCs w:val="20"/>
          <w:lang w:val="en-GB"/>
        </w:rPr>
      </w:pPr>
    </w:p>
    <w:p w14:paraId="77CB3E27" w14:textId="77777777" w:rsidR="0075110B" w:rsidRPr="00E03341"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125, the Board recommended that UNDP revise the HACT policy and clarify that management in Country Offices is required to conduct a control designed to review the completeness of assurance activities performed and the completeness of follow-up actions taken.</w:t>
      </w:r>
      <w:r w:rsidRPr="00077767">
        <w:rPr>
          <w:b/>
        </w:rPr>
        <w:t xml:space="preserve"> </w:t>
      </w:r>
    </w:p>
    <w:p w14:paraId="4B1C62CA" w14:textId="77777777" w:rsid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1B06CCB5" w14:textId="77777777" w:rsidR="00E03341" w:rsidRP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03341">
        <w:rPr>
          <w:spacing w:val="4"/>
          <w:w w:val="103"/>
          <w:kern w:val="14"/>
          <w:sz w:val="20"/>
          <w:szCs w:val="20"/>
          <w:lang w:val="en-GB"/>
        </w:rPr>
        <w:t>Confirmation of HACT compliance is included in the year-end assertion which needs to be signed by the head of office.</w:t>
      </w:r>
    </w:p>
    <w:p w14:paraId="6EE7EFC0"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3C55110B" w14:textId="77777777" w:rsidTr="00D15D56">
        <w:tc>
          <w:tcPr>
            <w:tcW w:w="2970" w:type="dxa"/>
            <w:hideMark/>
          </w:tcPr>
          <w:p w14:paraId="52E59B33"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4D7FD682" w14:textId="77777777" w:rsidR="00215381" w:rsidRPr="005C04AC" w:rsidRDefault="0070799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07994">
              <w:rPr>
                <w:spacing w:val="4"/>
                <w:sz w:val="20"/>
                <w:szCs w:val="20"/>
              </w:rPr>
              <w:t>BMS/Office of Financial Resources Management</w:t>
            </w:r>
          </w:p>
        </w:tc>
      </w:tr>
      <w:tr w:rsidR="00215381" w:rsidRPr="005C04AC" w14:paraId="24B26D76" w14:textId="77777777" w:rsidTr="00D15D56">
        <w:tc>
          <w:tcPr>
            <w:tcW w:w="2970" w:type="dxa"/>
            <w:hideMark/>
          </w:tcPr>
          <w:p w14:paraId="267BA857"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70F5E72C"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215381" w:rsidRPr="005C04AC" w14:paraId="168ADAA1" w14:textId="77777777" w:rsidTr="00D15D56">
        <w:tc>
          <w:tcPr>
            <w:tcW w:w="2970" w:type="dxa"/>
            <w:hideMark/>
          </w:tcPr>
          <w:p w14:paraId="6C1DFFB0"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55E6E924"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High</w:t>
            </w:r>
          </w:p>
        </w:tc>
      </w:tr>
      <w:tr w:rsidR="00215381" w:rsidRPr="005C04AC" w14:paraId="0EAD6E0D" w14:textId="77777777" w:rsidTr="00D15D56">
        <w:tc>
          <w:tcPr>
            <w:tcW w:w="2970" w:type="dxa"/>
            <w:hideMark/>
          </w:tcPr>
          <w:p w14:paraId="67F21014"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4C5FB4F1"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2E639CCD"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3E83212A" w14:textId="77777777" w:rsidR="0075110B" w:rsidRPr="00077767" w:rsidRDefault="0075110B" w:rsidP="0075110B">
      <w:pPr>
        <w:pStyle w:val="ListParagraph"/>
        <w:rPr>
          <w:b/>
          <w:spacing w:val="4"/>
          <w:w w:val="103"/>
          <w:kern w:val="14"/>
          <w:sz w:val="20"/>
          <w:szCs w:val="20"/>
          <w:lang w:val="en-GB"/>
        </w:rPr>
      </w:pPr>
    </w:p>
    <w:p w14:paraId="479C270B" w14:textId="77777777" w:rsidR="00215381"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lastRenderedPageBreak/>
        <w:t>In paragraph 129, the Board recommended that UNDP strengthen oversight and monitoring functions for the HACT framework.</w:t>
      </w:r>
    </w:p>
    <w:p w14:paraId="4C92A238" w14:textId="77777777" w:rsid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3066144A" w14:textId="77777777" w:rsidR="00E03341" w:rsidRP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03341">
        <w:rPr>
          <w:spacing w:val="4"/>
          <w:w w:val="103"/>
          <w:kern w:val="14"/>
          <w:sz w:val="20"/>
          <w:szCs w:val="20"/>
          <w:lang w:val="en-GB"/>
        </w:rPr>
        <w:t>Oversight of country office HACT implementation is the responsibility of  regional bureaus. Tools will continue to be made available to strengthen the bureau oversight role.</w:t>
      </w:r>
    </w:p>
    <w:p w14:paraId="57251B78"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641D36E1" w14:textId="77777777" w:rsidTr="00D15D56">
        <w:tc>
          <w:tcPr>
            <w:tcW w:w="2970" w:type="dxa"/>
            <w:hideMark/>
          </w:tcPr>
          <w:p w14:paraId="459BBA76"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024D21FA" w14:textId="77777777" w:rsidR="00215381" w:rsidRPr="005C04AC" w:rsidRDefault="007D307A"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D307A">
              <w:rPr>
                <w:spacing w:val="4"/>
                <w:sz w:val="20"/>
                <w:szCs w:val="20"/>
              </w:rPr>
              <w:t>Regional Bureaux</w:t>
            </w:r>
          </w:p>
        </w:tc>
      </w:tr>
      <w:tr w:rsidR="00215381" w:rsidRPr="005C04AC" w14:paraId="368A028F" w14:textId="77777777" w:rsidTr="00D15D56">
        <w:tc>
          <w:tcPr>
            <w:tcW w:w="2970" w:type="dxa"/>
            <w:hideMark/>
          </w:tcPr>
          <w:p w14:paraId="4FCF4562"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5DA5A3CE"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215381" w:rsidRPr="005C04AC" w14:paraId="10D40514" w14:textId="77777777" w:rsidTr="00D15D56">
        <w:tc>
          <w:tcPr>
            <w:tcW w:w="2970" w:type="dxa"/>
            <w:hideMark/>
          </w:tcPr>
          <w:p w14:paraId="6790F0ED"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3E77B127"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1B562711" w14:textId="77777777" w:rsidTr="00D15D56">
        <w:tc>
          <w:tcPr>
            <w:tcW w:w="2970" w:type="dxa"/>
            <w:hideMark/>
          </w:tcPr>
          <w:p w14:paraId="30D396ED"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4051C097"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53257238" w14:textId="77777777" w:rsidR="0075110B" w:rsidRPr="00215381" w:rsidRDefault="0078541F"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215381">
        <w:rPr>
          <w:b/>
        </w:rPr>
        <w:t xml:space="preserve"> </w:t>
      </w:r>
    </w:p>
    <w:p w14:paraId="5E9BAD47" w14:textId="77777777" w:rsidR="0075110B" w:rsidRPr="00077767" w:rsidRDefault="0075110B" w:rsidP="0075110B">
      <w:pPr>
        <w:pStyle w:val="ListParagraph"/>
        <w:rPr>
          <w:b/>
          <w:spacing w:val="4"/>
          <w:w w:val="103"/>
          <w:kern w:val="14"/>
          <w:sz w:val="20"/>
          <w:szCs w:val="20"/>
          <w:lang w:val="en-GB"/>
        </w:rPr>
      </w:pPr>
    </w:p>
    <w:p w14:paraId="15535BF4" w14:textId="77777777" w:rsidR="009F12D4" w:rsidRPr="00E03341"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140, the Board recommended that UNDP review its policies and guidelines with regard to the use of P-6/P-7 grades in order to provide guidance on the circumstances in which these grades may be used.</w:t>
      </w:r>
      <w:r w:rsidRPr="00077767">
        <w:rPr>
          <w:b/>
        </w:rPr>
        <w:t xml:space="preserve"> </w:t>
      </w:r>
    </w:p>
    <w:p w14:paraId="39FB6D58" w14:textId="77777777" w:rsid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7D9E8A4E" w14:textId="77777777" w:rsidR="00E03341" w:rsidRP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03341">
        <w:rPr>
          <w:spacing w:val="4"/>
          <w:w w:val="103"/>
          <w:kern w:val="14"/>
          <w:sz w:val="20"/>
          <w:szCs w:val="20"/>
          <w:lang w:val="en-GB"/>
        </w:rPr>
        <w:t>Revised policy and guidelines for the use of P6 and P7 grades are being developed as part of implementation of the People for 2030 strategy</w:t>
      </w:r>
    </w:p>
    <w:p w14:paraId="462CBB29" w14:textId="77777777" w:rsidR="009F12D4" w:rsidRPr="009F12D4" w:rsidRDefault="009F12D4" w:rsidP="009F12D4">
      <w:pPr>
        <w:pStyle w:val="ListParagraph"/>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228BD2ED" w14:textId="77777777" w:rsidTr="00D15D56">
        <w:tc>
          <w:tcPr>
            <w:tcW w:w="2970" w:type="dxa"/>
            <w:hideMark/>
          </w:tcPr>
          <w:p w14:paraId="3D14F23B"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679D8F35" w14:textId="77777777" w:rsidR="00215381" w:rsidRPr="005C04AC" w:rsidRDefault="00114710"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114710">
              <w:rPr>
                <w:spacing w:val="4"/>
                <w:sz w:val="20"/>
                <w:szCs w:val="20"/>
              </w:rPr>
              <w:t>BMS/OHR</w:t>
            </w:r>
          </w:p>
        </w:tc>
      </w:tr>
      <w:tr w:rsidR="00215381" w:rsidRPr="005C04AC" w14:paraId="1211CA71" w14:textId="77777777" w:rsidTr="00D15D56">
        <w:tc>
          <w:tcPr>
            <w:tcW w:w="2970" w:type="dxa"/>
            <w:hideMark/>
          </w:tcPr>
          <w:p w14:paraId="69278C70"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2D438353"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215381" w:rsidRPr="005C04AC" w14:paraId="20ECC388" w14:textId="77777777" w:rsidTr="00D15D56">
        <w:tc>
          <w:tcPr>
            <w:tcW w:w="2970" w:type="dxa"/>
            <w:hideMark/>
          </w:tcPr>
          <w:p w14:paraId="4F9008DF"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63B13936"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High</w:t>
            </w:r>
          </w:p>
        </w:tc>
      </w:tr>
      <w:tr w:rsidR="00215381" w:rsidRPr="005C04AC" w14:paraId="0AF07290" w14:textId="77777777" w:rsidTr="00D15D56">
        <w:tc>
          <w:tcPr>
            <w:tcW w:w="2970" w:type="dxa"/>
            <w:hideMark/>
          </w:tcPr>
          <w:p w14:paraId="3615F600"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038B1D52"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First</w:t>
            </w:r>
            <w:r w:rsidR="00215381" w:rsidRPr="005C04AC">
              <w:rPr>
                <w:spacing w:val="4"/>
                <w:sz w:val="20"/>
                <w:szCs w:val="20"/>
              </w:rPr>
              <w:t xml:space="preserve"> quarter </w:t>
            </w:r>
            <w:r w:rsidR="009F12D4">
              <w:rPr>
                <w:spacing w:val="4"/>
                <w:sz w:val="20"/>
                <w:szCs w:val="20"/>
              </w:rPr>
              <w:t>of 2020</w:t>
            </w:r>
          </w:p>
        </w:tc>
      </w:tr>
    </w:tbl>
    <w:p w14:paraId="4567B263"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36336305" w14:textId="77777777" w:rsidR="0075110B" w:rsidRPr="00077767" w:rsidRDefault="0075110B" w:rsidP="0075110B">
      <w:pPr>
        <w:pStyle w:val="ListParagraph"/>
        <w:rPr>
          <w:b/>
          <w:spacing w:val="4"/>
          <w:w w:val="103"/>
          <w:kern w:val="14"/>
          <w:sz w:val="20"/>
          <w:szCs w:val="20"/>
          <w:lang w:val="en-GB"/>
        </w:rPr>
      </w:pPr>
    </w:p>
    <w:p w14:paraId="6C6A9599" w14:textId="77777777" w:rsidR="008C185B" w:rsidRDefault="008C185B"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8C185B">
        <w:rPr>
          <w:b/>
          <w:spacing w:val="4"/>
          <w:w w:val="103"/>
          <w:kern w:val="14"/>
          <w:sz w:val="20"/>
          <w:szCs w:val="20"/>
          <w:lang w:val="en-GB"/>
        </w:rPr>
        <w:t>In paragraph 146, the Board recommended that UNDP enhance its policies and guidelines on strategic placements in order to require adequate documentation when using strategic placements.</w:t>
      </w:r>
    </w:p>
    <w:p w14:paraId="4FFA062B" w14:textId="77777777" w:rsid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45CB7590" w14:textId="77777777" w:rsidR="00E03341" w:rsidRP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03341">
        <w:rPr>
          <w:spacing w:val="4"/>
          <w:w w:val="103"/>
          <w:kern w:val="14"/>
          <w:sz w:val="20"/>
          <w:szCs w:val="20"/>
          <w:lang w:val="en-GB"/>
        </w:rPr>
        <w:t>Revised policy and guidelines, including requirement for documentation, for the use of strategic placements are being developed as part of implementation of the People for 2030 strategy.</w:t>
      </w:r>
    </w:p>
    <w:p w14:paraId="2969FC44" w14:textId="77777777" w:rsidR="008C185B" w:rsidRDefault="008C185B" w:rsidP="008C185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C185B" w:rsidRPr="005C04AC" w14:paraId="1A6532D9" w14:textId="77777777" w:rsidTr="00D15D56">
        <w:tc>
          <w:tcPr>
            <w:tcW w:w="2970" w:type="dxa"/>
            <w:hideMark/>
          </w:tcPr>
          <w:p w14:paraId="61FF8635" w14:textId="77777777" w:rsidR="008C185B" w:rsidRPr="005C04AC" w:rsidRDefault="008C185B"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22CC805D" w14:textId="77777777" w:rsidR="008C185B" w:rsidRPr="005C04AC" w:rsidRDefault="008C185B"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114710">
              <w:rPr>
                <w:spacing w:val="4"/>
                <w:sz w:val="20"/>
                <w:szCs w:val="20"/>
              </w:rPr>
              <w:t>BMS/OHR</w:t>
            </w:r>
          </w:p>
        </w:tc>
      </w:tr>
      <w:tr w:rsidR="008C185B" w:rsidRPr="005C04AC" w14:paraId="3FED6E16" w14:textId="77777777" w:rsidTr="00D15D56">
        <w:tc>
          <w:tcPr>
            <w:tcW w:w="2970" w:type="dxa"/>
            <w:hideMark/>
          </w:tcPr>
          <w:p w14:paraId="375C781D" w14:textId="77777777" w:rsidR="008C185B" w:rsidRPr="005C04AC" w:rsidRDefault="008C185B"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7178BCBC" w14:textId="77777777" w:rsidR="008C185B" w:rsidRPr="005C04AC" w:rsidRDefault="008C185B"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8C185B" w:rsidRPr="005C04AC" w14:paraId="230509EB" w14:textId="77777777" w:rsidTr="00D15D56">
        <w:tc>
          <w:tcPr>
            <w:tcW w:w="2970" w:type="dxa"/>
            <w:hideMark/>
          </w:tcPr>
          <w:p w14:paraId="12A50A27" w14:textId="77777777" w:rsidR="008C185B" w:rsidRPr="005C04AC" w:rsidRDefault="008C185B"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60832A92" w14:textId="77777777" w:rsidR="008C185B"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8C185B" w:rsidRPr="005C04AC" w14:paraId="22277747" w14:textId="77777777" w:rsidTr="00D15D56">
        <w:tc>
          <w:tcPr>
            <w:tcW w:w="2970" w:type="dxa"/>
            <w:hideMark/>
          </w:tcPr>
          <w:p w14:paraId="135A3EE9" w14:textId="77777777" w:rsidR="008C185B" w:rsidRPr="005C04AC" w:rsidRDefault="008C185B"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082C2F83" w14:textId="77777777" w:rsidR="008C185B"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8C185B" w:rsidRPr="005C04AC">
              <w:rPr>
                <w:spacing w:val="4"/>
                <w:sz w:val="20"/>
                <w:szCs w:val="20"/>
              </w:rPr>
              <w:t xml:space="preserve"> quarter </w:t>
            </w:r>
            <w:r w:rsidR="009F12D4">
              <w:rPr>
                <w:spacing w:val="4"/>
                <w:sz w:val="20"/>
                <w:szCs w:val="20"/>
              </w:rPr>
              <w:t>of 2020</w:t>
            </w:r>
          </w:p>
        </w:tc>
      </w:tr>
    </w:tbl>
    <w:p w14:paraId="5F17AB98" w14:textId="77777777" w:rsidR="008C185B" w:rsidRDefault="008C185B" w:rsidP="008C185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2A1EC707" w14:textId="77777777" w:rsidR="008C185B" w:rsidRPr="008C185B" w:rsidRDefault="008C185B" w:rsidP="008C185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79C62517" w14:textId="77777777" w:rsidR="0075110B" w:rsidRPr="00E03341"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157, the Board recommended that UNDP, as part of its people strategy, review the policies on service contracts and individual contracts in order to establish clear criteria for assessing what constitutes a staff task/function and which tasks and functions may be transferred to other contractual modalities than regular staff contracts.</w:t>
      </w:r>
      <w:r w:rsidRPr="00077767">
        <w:rPr>
          <w:b/>
        </w:rPr>
        <w:t xml:space="preserve"> </w:t>
      </w:r>
    </w:p>
    <w:p w14:paraId="4189E37C" w14:textId="77777777" w:rsid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61E8D6E6" w14:textId="77777777" w:rsidR="00E03341" w:rsidRP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03341">
        <w:rPr>
          <w:spacing w:val="4"/>
          <w:w w:val="103"/>
          <w:kern w:val="14"/>
          <w:sz w:val="20"/>
          <w:szCs w:val="20"/>
          <w:lang w:val="en-GB"/>
        </w:rPr>
        <w:t>UNDP is in the process of developing multiple options for changes to its contract modalities to enable it to hire personnel on the appropriate contractual modality needed for UNDP to effectively fulfil its mandate.</w:t>
      </w:r>
    </w:p>
    <w:p w14:paraId="3C892101"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0C2E103A" w14:textId="77777777" w:rsidTr="00D15D56">
        <w:tc>
          <w:tcPr>
            <w:tcW w:w="2970" w:type="dxa"/>
            <w:hideMark/>
          </w:tcPr>
          <w:p w14:paraId="73C3E8F8"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3DCD687B" w14:textId="77777777" w:rsidR="00215381" w:rsidRPr="005C04AC" w:rsidRDefault="007D307A"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D307A">
              <w:rPr>
                <w:spacing w:val="4"/>
                <w:sz w:val="20"/>
                <w:szCs w:val="20"/>
              </w:rPr>
              <w:t>BMS/OHR and BMS/OSO</w:t>
            </w:r>
          </w:p>
        </w:tc>
      </w:tr>
      <w:tr w:rsidR="00215381" w:rsidRPr="005C04AC" w14:paraId="693CFD67" w14:textId="77777777" w:rsidTr="00D15D56">
        <w:tc>
          <w:tcPr>
            <w:tcW w:w="2970" w:type="dxa"/>
            <w:hideMark/>
          </w:tcPr>
          <w:p w14:paraId="5E3136DE"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2112CC86"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215381" w:rsidRPr="005C04AC" w14:paraId="3B0A84B7" w14:textId="77777777" w:rsidTr="00D15D56">
        <w:tc>
          <w:tcPr>
            <w:tcW w:w="2970" w:type="dxa"/>
            <w:hideMark/>
          </w:tcPr>
          <w:p w14:paraId="63D2589E"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179E9D70"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High</w:t>
            </w:r>
          </w:p>
        </w:tc>
      </w:tr>
      <w:tr w:rsidR="00215381" w:rsidRPr="005C04AC" w14:paraId="5B3EC434" w14:textId="77777777" w:rsidTr="00D15D56">
        <w:tc>
          <w:tcPr>
            <w:tcW w:w="2970" w:type="dxa"/>
            <w:hideMark/>
          </w:tcPr>
          <w:p w14:paraId="1D922EB5"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0C16A183"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11F9DFC7"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3A0A8373" w14:textId="77777777" w:rsidR="0075110B" w:rsidRPr="00077767" w:rsidRDefault="0075110B" w:rsidP="0075110B">
      <w:pPr>
        <w:pStyle w:val="ListParagraph"/>
        <w:rPr>
          <w:b/>
          <w:spacing w:val="4"/>
          <w:w w:val="103"/>
          <w:kern w:val="14"/>
          <w:sz w:val="20"/>
          <w:szCs w:val="20"/>
          <w:lang w:val="en-GB"/>
        </w:rPr>
      </w:pPr>
    </w:p>
    <w:p w14:paraId="4061A86C" w14:textId="77777777" w:rsidR="00215381" w:rsidRDefault="0078541F" w:rsidP="00215381">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161, the Board recommended that UNDP review its policy on service contracts in order to clarify recurring matters of non-compliance and consider amending the requirements defined in the policy that UNDP does not intend to implement.</w:t>
      </w:r>
    </w:p>
    <w:p w14:paraId="7D87024F" w14:textId="77777777" w:rsid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3F70910D" w14:textId="77777777" w:rsidR="00E03341" w:rsidRP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03341">
        <w:rPr>
          <w:spacing w:val="4"/>
          <w:w w:val="103"/>
          <w:kern w:val="14"/>
          <w:sz w:val="20"/>
          <w:szCs w:val="20"/>
          <w:lang w:val="en-GB"/>
        </w:rPr>
        <w:lastRenderedPageBreak/>
        <w:t>As part of implementation of the People for 2030 strategy, UNDP is reviewing various aspects of the service contractor modality, including appropriate usage, compensation, recruitment, career progression, etc.</w:t>
      </w:r>
    </w:p>
    <w:p w14:paraId="5C797F68"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7E758B3A" w14:textId="77777777" w:rsidTr="00D15D56">
        <w:tc>
          <w:tcPr>
            <w:tcW w:w="2970" w:type="dxa"/>
            <w:hideMark/>
          </w:tcPr>
          <w:p w14:paraId="3C1990E6"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3BD89269" w14:textId="77777777" w:rsidR="00215381" w:rsidRPr="005C04AC" w:rsidRDefault="007D307A"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D307A">
              <w:rPr>
                <w:spacing w:val="4"/>
                <w:sz w:val="20"/>
                <w:szCs w:val="20"/>
              </w:rPr>
              <w:t>BMS/OHR</w:t>
            </w:r>
          </w:p>
        </w:tc>
      </w:tr>
      <w:tr w:rsidR="00215381" w:rsidRPr="005C04AC" w14:paraId="4E9A534D" w14:textId="77777777" w:rsidTr="00D15D56">
        <w:tc>
          <w:tcPr>
            <w:tcW w:w="2970" w:type="dxa"/>
            <w:hideMark/>
          </w:tcPr>
          <w:p w14:paraId="7E6B1C0A"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6E1FA218"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215381" w:rsidRPr="005C04AC" w14:paraId="4FF80E88" w14:textId="77777777" w:rsidTr="00D15D56">
        <w:tc>
          <w:tcPr>
            <w:tcW w:w="2970" w:type="dxa"/>
            <w:hideMark/>
          </w:tcPr>
          <w:p w14:paraId="117A900F"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25F5562F"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7F158317" w14:textId="77777777" w:rsidTr="00D15D56">
        <w:tc>
          <w:tcPr>
            <w:tcW w:w="2970" w:type="dxa"/>
            <w:hideMark/>
          </w:tcPr>
          <w:p w14:paraId="7A525FDA"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45343657"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7753013D" w14:textId="77777777" w:rsidR="0075110B" w:rsidRPr="00215381" w:rsidRDefault="0078541F"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215381">
        <w:rPr>
          <w:b/>
        </w:rPr>
        <w:t xml:space="preserve"> </w:t>
      </w:r>
    </w:p>
    <w:p w14:paraId="466372FA" w14:textId="77777777" w:rsidR="0075110B" w:rsidRPr="00077767" w:rsidRDefault="0075110B" w:rsidP="0075110B">
      <w:pPr>
        <w:pStyle w:val="ListParagraph"/>
        <w:rPr>
          <w:b/>
          <w:spacing w:val="4"/>
          <w:w w:val="103"/>
          <w:kern w:val="14"/>
          <w:sz w:val="20"/>
          <w:szCs w:val="20"/>
          <w:lang w:val="en-GB"/>
        </w:rPr>
      </w:pPr>
    </w:p>
    <w:p w14:paraId="703EB75C" w14:textId="77777777" w:rsidR="0075110B"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168, the Board recommended that UNDP review its policy on service contracts, including the use and the requirement of the waiver of competitive recruitment.</w:t>
      </w:r>
    </w:p>
    <w:p w14:paraId="310D3CC2" w14:textId="77777777" w:rsid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63E0AD86" w14:textId="77777777" w:rsidR="00E03341" w:rsidRP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03341">
        <w:rPr>
          <w:spacing w:val="4"/>
          <w:w w:val="103"/>
          <w:kern w:val="14"/>
          <w:sz w:val="20"/>
          <w:szCs w:val="20"/>
          <w:lang w:val="en-GB"/>
        </w:rPr>
        <w:t>As part of implementation of the People for 2030 strategy, UNDP is reviewing various aspects of the service contractor modality, including appropriate usage, compensation, recruitment, career progression, etc.</w:t>
      </w:r>
    </w:p>
    <w:p w14:paraId="3D6DDFB9"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251A3AB1" w14:textId="77777777" w:rsidTr="00D15D56">
        <w:tc>
          <w:tcPr>
            <w:tcW w:w="2970" w:type="dxa"/>
            <w:hideMark/>
          </w:tcPr>
          <w:p w14:paraId="3B2C8137"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3565FFFC" w14:textId="77777777" w:rsidR="00215381" w:rsidRPr="005C04AC" w:rsidRDefault="007D307A"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D307A">
              <w:rPr>
                <w:spacing w:val="4"/>
                <w:sz w:val="20"/>
                <w:szCs w:val="20"/>
              </w:rPr>
              <w:t>BMS/OHR</w:t>
            </w:r>
          </w:p>
        </w:tc>
      </w:tr>
      <w:tr w:rsidR="00215381" w:rsidRPr="005C04AC" w14:paraId="4CEF0633" w14:textId="77777777" w:rsidTr="00D15D56">
        <w:tc>
          <w:tcPr>
            <w:tcW w:w="2970" w:type="dxa"/>
            <w:hideMark/>
          </w:tcPr>
          <w:p w14:paraId="7A4A7176"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14EFC1EB"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215381" w:rsidRPr="005C04AC" w14:paraId="70460660" w14:textId="77777777" w:rsidTr="00D15D56">
        <w:tc>
          <w:tcPr>
            <w:tcW w:w="2970" w:type="dxa"/>
            <w:hideMark/>
          </w:tcPr>
          <w:p w14:paraId="08CDA45A"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5426D1A8"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High</w:t>
            </w:r>
          </w:p>
        </w:tc>
      </w:tr>
      <w:tr w:rsidR="00215381" w:rsidRPr="005C04AC" w14:paraId="518278E9" w14:textId="77777777" w:rsidTr="00D15D56">
        <w:tc>
          <w:tcPr>
            <w:tcW w:w="2970" w:type="dxa"/>
            <w:hideMark/>
          </w:tcPr>
          <w:p w14:paraId="496F83BD"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561DD508"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First</w:t>
            </w:r>
            <w:r w:rsidR="00215381" w:rsidRPr="005C04AC">
              <w:rPr>
                <w:spacing w:val="4"/>
                <w:sz w:val="20"/>
                <w:szCs w:val="20"/>
              </w:rPr>
              <w:t xml:space="preserve"> quarter </w:t>
            </w:r>
            <w:r w:rsidR="009F12D4">
              <w:rPr>
                <w:spacing w:val="4"/>
                <w:sz w:val="20"/>
                <w:szCs w:val="20"/>
              </w:rPr>
              <w:t>of 2020</w:t>
            </w:r>
          </w:p>
        </w:tc>
      </w:tr>
    </w:tbl>
    <w:p w14:paraId="156556CB"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6BBF5C8C" w14:textId="77777777" w:rsidR="0075110B" w:rsidRPr="00077767" w:rsidRDefault="0075110B" w:rsidP="0075110B">
      <w:pPr>
        <w:pStyle w:val="ListParagraph"/>
        <w:rPr>
          <w:b/>
          <w:spacing w:val="4"/>
          <w:w w:val="103"/>
          <w:kern w:val="14"/>
          <w:sz w:val="20"/>
          <w:szCs w:val="20"/>
          <w:lang w:val="en-GB"/>
        </w:rPr>
      </w:pPr>
    </w:p>
    <w:p w14:paraId="274E468B" w14:textId="77777777" w:rsidR="0075110B"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173, the Board recommended that UNDP review the responsibilities and monitoring function for the service contract modality as part of implementing the “People for 2030” strategy and define how much monitoring or oversight from headquarters is feasible and reasonable.</w:t>
      </w:r>
    </w:p>
    <w:p w14:paraId="00F51AB1" w14:textId="77777777" w:rsid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560DA3C2" w14:textId="77777777" w:rsidR="00E03341" w:rsidRP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03341">
        <w:rPr>
          <w:spacing w:val="4"/>
          <w:w w:val="103"/>
          <w:kern w:val="14"/>
          <w:sz w:val="20"/>
          <w:szCs w:val="20"/>
          <w:lang w:val="en-GB"/>
        </w:rPr>
        <w:t>As part of implementation of the People for 2030 strategy, UNDP is reviewing various aspects of the service contractor modality, including appropriate usage, compensation, recruitment, career progression, etc.</w:t>
      </w:r>
    </w:p>
    <w:p w14:paraId="645030CD"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08D5E21B" w14:textId="77777777" w:rsidTr="00D15D56">
        <w:tc>
          <w:tcPr>
            <w:tcW w:w="2970" w:type="dxa"/>
            <w:hideMark/>
          </w:tcPr>
          <w:p w14:paraId="736D2048"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3C7C5501" w14:textId="77777777" w:rsidR="00215381" w:rsidRPr="005C04AC" w:rsidRDefault="007D307A"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D307A">
              <w:rPr>
                <w:spacing w:val="4"/>
                <w:sz w:val="20"/>
                <w:szCs w:val="20"/>
              </w:rPr>
              <w:t>BMS/OHR</w:t>
            </w:r>
          </w:p>
        </w:tc>
      </w:tr>
      <w:tr w:rsidR="00215381" w:rsidRPr="005C04AC" w14:paraId="4FBB040C" w14:textId="77777777" w:rsidTr="00D15D56">
        <w:tc>
          <w:tcPr>
            <w:tcW w:w="2970" w:type="dxa"/>
            <w:hideMark/>
          </w:tcPr>
          <w:p w14:paraId="104FD804"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621EB963"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215381" w:rsidRPr="005C04AC" w14:paraId="04AD482E" w14:textId="77777777" w:rsidTr="00D15D56">
        <w:tc>
          <w:tcPr>
            <w:tcW w:w="2970" w:type="dxa"/>
            <w:hideMark/>
          </w:tcPr>
          <w:p w14:paraId="54972E94"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46E2C506"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52CDC0C5" w14:textId="77777777" w:rsidTr="00D15D56">
        <w:tc>
          <w:tcPr>
            <w:tcW w:w="2970" w:type="dxa"/>
            <w:hideMark/>
          </w:tcPr>
          <w:p w14:paraId="06B6CDC1"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2E000BB4"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3A69313D"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7092CBAC" w14:textId="77777777" w:rsidR="0075110B" w:rsidRPr="00077767" w:rsidRDefault="0075110B" w:rsidP="0075110B">
      <w:pPr>
        <w:pStyle w:val="ListParagraph"/>
        <w:rPr>
          <w:b/>
        </w:rPr>
      </w:pPr>
    </w:p>
    <w:p w14:paraId="4A9C6F82" w14:textId="77777777" w:rsidR="00215381"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rPr>
        <w:t xml:space="preserve"> </w:t>
      </w:r>
      <w:r w:rsidRPr="00077767">
        <w:rPr>
          <w:b/>
          <w:spacing w:val="4"/>
          <w:w w:val="103"/>
          <w:kern w:val="14"/>
          <w:sz w:val="20"/>
          <w:szCs w:val="20"/>
          <w:lang w:val="en-GB"/>
        </w:rPr>
        <w:t>In paragraph 191, the Board recommended that UNDP review its policy on individual contracts in order to clarify recurring matters of non-compliance and to strengthen oversight by the procurement committees.</w:t>
      </w:r>
    </w:p>
    <w:p w14:paraId="6E6EA8F6"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rPr>
      </w:pPr>
    </w:p>
    <w:p w14:paraId="2654E44C" w14:textId="77777777" w:rsidR="00E03341" w:rsidRP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03341">
        <w:rPr>
          <w:spacing w:val="4"/>
          <w:w w:val="103"/>
          <w:kern w:val="14"/>
          <w:sz w:val="20"/>
          <w:szCs w:val="20"/>
          <w:lang w:val="en-GB"/>
        </w:rPr>
        <w:t>UNDP views individual contractors an important part of its workforce and its reviewing changes to its usage along with other contract modalities as part of implementing the People for 2030 strategy. This recommendation will be addressed by UNDP as appropriate based on the outcome of this exercise.</w:t>
      </w:r>
    </w:p>
    <w:p w14:paraId="21C70610" w14:textId="77777777" w:rsidR="00E03341" w:rsidRDefault="00E0334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552BCC1A" w14:textId="77777777" w:rsidTr="00D15D56">
        <w:tc>
          <w:tcPr>
            <w:tcW w:w="2970" w:type="dxa"/>
            <w:hideMark/>
          </w:tcPr>
          <w:p w14:paraId="6B404E1B"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1D0147CA" w14:textId="77777777" w:rsidR="00215381" w:rsidRPr="005C04AC" w:rsidRDefault="007D307A"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D307A">
              <w:rPr>
                <w:spacing w:val="4"/>
                <w:sz w:val="20"/>
                <w:szCs w:val="20"/>
              </w:rPr>
              <w:t>BMS/OSO</w:t>
            </w:r>
          </w:p>
        </w:tc>
      </w:tr>
      <w:tr w:rsidR="00215381" w:rsidRPr="005C04AC" w14:paraId="5A2A6533" w14:textId="77777777" w:rsidTr="00D15D56">
        <w:tc>
          <w:tcPr>
            <w:tcW w:w="2970" w:type="dxa"/>
            <w:hideMark/>
          </w:tcPr>
          <w:p w14:paraId="0C41D25F"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54304095"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215381" w:rsidRPr="005C04AC" w14:paraId="007279B9" w14:textId="77777777" w:rsidTr="00D15D56">
        <w:tc>
          <w:tcPr>
            <w:tcW w:w="2970" w:type="dxa"/>
            <w:hideMark/>
          </w:tcPr>
          <w:p w14:paraId="277943E6"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722E9762" w14:textId="77777777" w:rsidR="00215381" w:rsidRPr="005C04AC" w:rsidRDefault="009F12D4"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9F12D4">
              <w:rPr>
                <w:spacing w:val="4"/>
                <w:sz w:val="20"/>
                <w:szCs w:val="20"/>
              </w:rPr>
              <w:t>Medium</w:t>
            </w:r>
          </w:p>
        </w:tc>
      </w:tr>
      <w:tr w:rsidR="00215381" w:rsidRPr="005C04AC" w14:paraId="62F3E8BF" w14:textId="77777777" w:rsidTr="00D15D56">
        <w:tc>
          <w:tcPr>
            <w:tcW w:w="2970" w:type="dxa"/>
            <w:hideMark/>
          </w:tcPr>
          <w:p w14:paraId="42B47012"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1F3C2F6B"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Second</w:t>
            </w:r>
            <w:r w:rsidR="00215381" w:rsidRPr="005C04AC">
              <w:rPr>
                <w:spacing w:val="4"/>
                <w:sz w:val="20"/>
                <w:szCs w:val="20"/>
              </w:rPr>
              <w:t xml:space="preserve"> quarter </w:t>
            </w:r>
            <w:r w:rsidR="009F12D4">
              <w:rPr>
                <w:spacing w:val="4"/>
                <w:sz w:val="20"/>
                <w:szCs w:val="20"/>
              </w:rPr>
              <w:t>of 2020</w:t>
            </w:r>
          </w:p>
        </w:tc>
      </w:tr>
    </w:tbl>
    <w:p w14:paraId="4234CF2A" w14:textId="77777777" w:rsidR="0075110B" w:rsidRPr="00215381" w:rsidRDefault="0078541F"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215381">
        <w:rPr>
          <w:b/>
        </w:rPr>
        <w:t xml:space="preserve"> </w:t>
      </w:r>
    </w:p>
    <w:p w14:paraId="7EFC47AF" w14:textId="77777777" w:rsidR="0075110B" w:rsidRPr="00077767" w:rsidRDefault="0075110B" w:rsidP="0075110B">
      <w:pPr>
        <w:pStyle w:val="ListParagraph"/>
        <w:rPr>
          <w:b/>
          <w:spacing w:val="4"/>
          <w:w w:val="103"/>
          <w:kern w:val="14"/>
          <w:sz w:val="20"/>
          <w:szCs w:val="20"/>
          <w:lang w:val="en-GB"/>
        </w:rPr>
      </w:pPr>
    </w:p>
    <w:p w14:paraId="2F570514" w14:textId="77777777" w:rsidR="0078541F" w:rsidRDefault="0078541F" w:rsidP="0078541F">
      <w:pPr>
        <w:pStyle w:val="ListParagraph"/>
        <w:numPr>
          <w:ilvl w:val="0"/>
          <w:numId w:val="42"/>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r w:rsidRPr="00077767">
        <w:rPr>
          <w:b/>
          <w:spacing w:val="4"/>
          <w:w w:val="103"/>
          <w:kern w:val="14"/>
          <w:sz w:val="20"/>
          <w:szCs w:val="20"/>
          <w:lang w:val="en-GB"/>
        </w:rPr>
        <w:t>In paragraph 192, the Board recommended that UNDP ensure that Country Offices and units which noted matters of non-compliance provide on-the-job training so that personnel has the required sustainable awareness to properly procure and manage individual contracts as required by the policy on individual contracts.</w:t>
      </w:r>
    </w:p>
    <w:p w14:paraId="386A9786" w14:textId="77777777" w:rsid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6C43BF8D" w14:textId="77777777" w:rsidR="00E03341" w:rsidRPr="00E03341" w:rsidRDefault="00E03341" w:rsidP="00E0334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r w:rsidRPr="00E03341">
        <w:rPr>
          <w:spacing w:val="4"/>
          <w:w w:val="103"/>
          <w:kern w:val="14"/>
          <w:sz w:val="20"/>
          <w:szCs w:val="20"/>
          <w:lang w:val="en-GB"/>
        </w:rPr>
        <w:t>UNDP views individual contractors an important part of its workforce and its reviewing changes to its usage along with other contract modalities as part of implementing the People for 2030 strategy. This recommendation will be addressed by UNDP as appropriate based on the outcome of this exercise.</w:t>
      </w:r>
    </w:p>
    <w:p w14:paraId="7E18762F" w14:textId="77777777" w:rsid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14:paraId="0B7AF3EB" w14:textId="77777777" w:rsidR="00215381" w:rsidRPr="00215381" w:rsidRDefault="00215381" w:rsidP="0021538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5381" w:rsidRPr="005C04AC" w14:paraId="71F328AB" w14:textId="77777777" w:rsidTr="00D15D56">
        <w:tc>
          <w:tcPr>
            <w:tcW w:w="2970" w:type="dxa"/>
            <w:hideMark/>
          </w:tcPr>
          <w:p w14:paraId="06EC482E"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3199BCF7" w14:textId="77777777" w:rsidR="00215381" w:rsidRPr="005C04AC" w:rsidRDefault="007D307A"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7D307A">
              <w:rPr>
                <w:spacing w:val="4"/>
                <w:sz w:val="20"/>
                <w:szCs w:val="20"/>
              </w:rPr>
              <w:t>BMS/OSO and Regional Bureaux</w:t>
            </w:r>
          </w:p>
        </w:tc>
      </w:tr>
      <w:tr w:rsidR="00215381" w:rsidRPr="005C04AC" w14:paraId="7C2F18C2" w14:textId="77777777" w:rsidTr="00D15D56">
        <w:tc>
          <w:tcPr>
            <w:tcW w:w="2970" w:type="dxa"/>
            <w:hideMark/>
          </w:tcPr>
          <w:p w14:paraId="186C1944"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061203F9"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215381" w:rsidRPr="005C04AC" w14:paraId="177E4443" w14:textId="77777777" w:rsidTr="00D15D56">
        <w:tc>
          <w:tcPr>
            <w:tcW w:w="2970" w:type="dxa"/>
            <w:hideMark/>
          </w:tcPr>
          <w:p w14:paraId="35D5B83F"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630A26C5"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High</w:t>
            </w:r>
          </w:p>
        </w:tc>
      </w:tr>
      <w:tr w:rsidR="00215381" w:rsidRPr="005C04AC" w14:paraId="19C0EC7A" w14:textId="77777777" w:rsidTr="00D15D56">
        <w:tc>
          <w:tcPr>
            <w:tcW w:w="2970" w:type="dxa"/>
            <w:hideMark/>
          </w:tcPr>
          <w:p w14:paraId="620D7902" w14:textId="77777777" w:rsidR="00215381" w:rsidRPr="005C04AC" w:rsidRDefault="00215381"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39E8242F" w14:textId="77777777" w:rsidR="00215381" w:rsidRPr="005C04AC" w:rsidRDefault="00ED1CB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First</w:t>
            </w:r>
            <w:r w:rsidR="00215381" w:rsidRPr="005C04AC">
              <w:rPr>
                <w:spacing w:val="4"/>
                <w:sz w:val="20"/>
                <w:szCs w:val="20"/>
              </w:rPr>
              <w:t xml:space="preserve"> quarter </w:t>
            </w:r>
            <w:r w:rsidR="009F12D4">
              <w:rPr>
                <w:spacing w:val="4"/>
                <w:sz w:val="20"/>
                <w:szCs w:val="20"/>
              </w:rPr>
              <w:t>of 2020</w:t>
            </w:r>
          </w:p>
        </w:tc>
      </w:tr>
    </w:tbl>
    <w:p w14:paraId="193CD027" w14:textId="77777777" w:rsidR="0078541F" w:rsidRDefault="0078541F"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4D0A14C0" w14:textId="77777777" w:rsidR="0078541F" w:rsidRDefault="0078541F"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16CAE684" w14:textId="77777777" w:rsidR="008A0B3C" w:rsidRPr="005C04AC" w:rsidRDefault="008A0B3C"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00FA047D" w14:textId="77777777" w:rsidR="007D6A91" w:rsidRPr="005C04AC" w:rsidRDefault="007D6A91"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128ADB2C" w14:textId="77777777" w:rsidR="007D6A91" w:rsidRPr="005C04AC" w:rsidRDefault="007D6A91" w:rsidP="00EB26A7">
      <w:pPr>
        <w:pStyle w:val="HCh"/>
        <w:keepNext w:val="0"/>
        <w:keepLines w:val="0"/>
        <w:widowControl w:val="0"/>
        <w:numPr>
          <w:ilvl w:val="2"/>
          <w:numId w:val="8"/>
        </w:numPr>
        <w:tabs>
          <w:tab w:val="left" w:pos="360"/>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left="360" w:right="29"/>
        <w:rPr>
          <w:sz w:val="20"/>
        </w:rPr>
      </w:pPr>
      <w:r w:rsidRPr="005C04AC">
        <w:rPr>
          <w:sz w:val="20"/>
        </w:rPr>
        <w:t>UNDP Recommendations contained in the report of the Board of Auditors for prior financial periods that are under implementation</w:t>
      </w:r>
    </w:p>
    <w:p w14:paraId="7406DD75" w14:textId="77777777" w:rsidR="007D6A91" w:rsidRDefault="007D6A91" w:rsidP="00EB26A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both"/>
        <w:rPr>
          <w:b/>
          <w:spacing w:val="-2"/>
          <w:w w:val="103"/>
          <w:kern w:val="14"/>
          <w:sz w:val="20"/>
          <w:szCs w:val="20"/>
          <w:lang w:val="en-GB"/>
        </w:rPr>
      </w:pPr>
    </w:p>
    <w:p w14:paraId="466AB8DE" w14:textId="77777777" w:rsidR="005853AF" w:rsidRPr="005C04AC" w:rsidRDefault="005853AF" w:rsidP="005853AF">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both"/>
        <w:rPr>
          <w:b/>
          <w:bCs/>
          <w:spacing w:val="4"/>
          <w:w w:val="103"/>
          <w:kern w:val="14"/>
          <w:sz w:val="20"/>
          <w:szCs w:val="20"/>
          <w:u w:val="single"/>
          <w:lang w:val="en-GB"/>
        </w:rPr>
      </w:pPr>
      <w:r w:rsidRPr="005C04AC">
        <w:rPr>
          <w:b/>
          <w:bCs/>
          <w:spacing w:val="4"/>
          <w:w w:val="103"/>
          <w:kern w:val="14"/>
          <w:sz w:val="20"/>
          <w:szCs w:val="20"/>
          <w:u w:val="single"/>
          <w:lang w:val="en-GB"/>
        </w:rPr>
        <w:t>Report of the Board for the financial period ended 31 December 201</w:t>
      </w:r>
      <w:r>
        <w:rPr>
          <w:b/>
          <w:bCs/>
          <w:spacing w:val="4"/>
          <w:w w:val="103"/>
          <w:kern w:val="14"/>
          <w:sz w:val="20"/>
          <w:szCs w:val="20"/>
          <w:u w:val="single"/>
          <w:lang w:val="en-GB"/>
        </w:rPr>
        <w:t>7</w:t>
      </w:r>
    </w:p>
    <w:p w14:paraId="0742F957" w14:textId="77777777" w:rsidR="008A0B3C" w:rsidRDefault="008A0B3C" w:rsidP="00EB26A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both"/>
        <w:rPr>
          <w:b/>
          <w:spacing w:val="-2"/>
          <w:w w:val="103"/>
          <w:kern w:val="14"/>
          <w:sz w:val="20"/>
          <w:szCs w:val="20"/>
          <w:lang w:val="en-GB"/>
        </w:rPr>
      </w:pPr>
    </w:p>
    <w:p w14:paraId="2F64262B" w14:textId="77777777" w:rsidR="008A0B3C" w:rsidRDefault="008A0B3C" w:rsidP="00EB26A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both"/>
        <w:rPr>
          <w:b/>
          <w:spacing w:val="-2"/>
          <w:w w:val="103"/>
          <w:kern w:val="14"/>
          <w:sz w:val="20"/>
          <w:szCs w:val="20"/>
          <w:lang w:val="en-GB"/>
        </w:rPr>
      </w:pPr>
    </w:p>
    <w:p w14:paraId="301915DD" w14:textId="77777777" w:rsidR="008A0B3C" w:rsidRPr="005C04AC" w:rsidRDefault="008A0B3C" w:rsidP="008A0B3C">
      <w:pPr>
        <w:numPr>
          <w:ilvl w:val="0"/>
          <w:numId w:val="34"/>
        </w:numPr>
        <w:tabs>
          <w:tab w:val="left" w:pos="360"/>
          <w:tab w:val="left" w:pos="450"/>
          <w:tab w:val="left" w:pos="540"/>
          <w:tab w:val="left" w:pos="1742"/>
          <w:tab w:val="left" w:pos="2218"/>
          <w:tab w:val="left" w:pos="2693"/>
          <w:tab w:val="left" w:pos="3182"/>
          <w:tab w:val="left" w:pos="3658"/>
          <w:tab w:val="left" w:pos="4133"/>
          <w:tab w:val="left" w:pos="4622"/>
          <w:tab w:val="left" w:pos="5098"/>
          <w:tab w:val="left" w:pos="5573"/>
          <w:tab w:val="left" w:pos="6048"/>
        </w:tabs>
        <w:suppressAutoHyphens/>
        <w:ind w:left="270" w:right="27" w:hanging="270"/>
        <w:rPr>
          <w:b/>
          <w:bCs/>
          <w:spacing w:val="4"/>
          <w:w w:val="103"/>
          <w:kern w:val="14"/>
          <w:sz w:val="20"/>
          <w:szCs w:val="20"/>
        </w:rPr>
      </w:pPr>
      <w:r w:rsidRPr="005C04AC">
        <w:rPr>
          <w:b/>
          <w:bCs/>
          <w:spacing w:val="4"/>
          <w:w w:val="103"/>
          <w:kern w:val="14"/>
          <w:sz w:val="20"/>
          <w:szCs w:val="20"/>
        </w:rPr>
        <w:t>In paragraph 24, UNDP agreed with the Board’s recommendation that UNDP South Africa and Egypt Country Offices  (a) continue to liaise with the key counterparts consisting of implementing partners and UNCT so that the counterparts are fully engaged in UNDAF process to smoothen the UNDAF implementation by conducting  annual reviews and responding on time to recommendations of evaluations, (b) formulate strategies to ensure that results of the current UNDAF evaluations and reviews are used to design the next UNDAF, and (c) ensure the conclusions and recommendations from annual and midterm reviews of country programme enable timely update, and revision of the country programme documents.</w:t>
      </w:r>
    </w:p>
    <w:p w14:paraId="4D689BBF" w14:textId="77777777" w:rsidR="008A0B3C" w:rsidRPr="005C04AC" w:rsidRDefault="008A0B3C" w:rsidP="008A0B3C">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70" w:right="27" w:hanging="270"/>
        <w:rPr>
          <w:spacing w:val="4"/>
          <w:w w:val="103"/>
          <w:kern w:val="14"/>
          <w:sz w:val="20"/>
          <w:szCs w:val="20"/>
        </w:rPr>
      </w:pPr>
      <w:r w:rsidRPr="005C04AC">
        <w:rPr>
          <w:spacing w:val="4"/>
          <w:w w:val="103"/>
          <w:kern w:val="14"/>
          <w:sz w:val="20"/>
          <w:szCs w:val="20"/>
        </w:rPr>
        <w:tab/>
      </w:r>
    </w:p>
    <w:p w14:paraId="412BCDC5" w14:textId="77777777" w:rsidR="00ED69A3" w:rsidRPr="00ED69A3" w:rsidRDefault="008A0B3C" w:rsidP="00ED69A3">
      <w:pPr>
        <w:tabs>
          <w:tab w:val="left" w:pos="360"/>
          <w:tab w:val="left" w:pos="450"/>
          <w:tab w:val="left" w:pos="540"/>
          <w:tab w:val="left" w:pos="630"/>
          <w:tab w:val="left" w:pos="720"/>
          <w:tab w:val="left" w:pos="900"/>
          <w:tab w:val="left" w:pos="2693"/>
          <w:tab w:val="left" w:pos="3182"/>
          <w:tab w:val="left" w:pos="3658"/>
          <w:tab w:val="left" w:pos="4133"/>
          <w:tab w:val="left" w:pos="4622"/>
          <w:tab w:val="left" w:pos="5098"/>
          <w:tab w:val="left" w:pos="5573"/>
          <w:tab w:val="left" w:pos="6048"/>
        </w:tabs>
        <w:suppressAutoHyphens/>
        <w:ind w:left="270" w:right="27" w:hanging="270"/>
        <w:rPr>
          <w:spacing w:val="4"/>
          <w:w w:val="103"/>
          <w:kern w:val="14"/>
          <w:sz w:val="20"/>
          <w:szCs w:val="20"/>
        </w:rPr>
      </w:pPr>
      <w:r w:rsidRPr="005C04AC">
        <w:rPr>
          <w:spacing w:val="4"/>
          <w:w w:val="103"/>
          <w:kern w:val="14"/>
          <w:sz w:val="20"/>
          <w:szCs w:val="20"/>
        </w:rPr>
        <w:tab/>
      </w:r>
      <w:r w:rsidR="00ED69A3" w:rsidRPr="00ED69A3">
        <w:rPr>
          <w:spacing w:val="4"/>
          <w:w w:val="103"/>
          <w:kern w:val="14"/>
          <w:sz w:val="20"/>
          <w:szCs w:val="20"/>
        </w:rPr>
        <w:t xml:space="preserve">The Board closed parts (a) and (b) of this recommendation as overtaken by events. Regarding part c) the Board considers this part of the recommendation for the country office in Egypt as implemented. </w:t>
      </w:r>
    </w:p>
    <w:p w14:paraId="4881E12C" w14:textId="77777777" w:rsidR="00ED69A3" w:rsidRPr="00ED69A3" w:rsidRDefault="00ED69A3" w:rsidP="00ED69A3">
      <w:pPr>
        <w:tabs>
          <w:tab w:val="left" w:pos="360"/>
          <w:tab w:val="left" w:pos="450"/>
          <w:tab w:val="left" w:pos="540"/>
          <w:tab w:val="left" w:pos="630"/>
          <w:tab w:val="left" w:pos="720"/>
          <w:tab w:val="left" w:pos="900"/>
          <w:tab w:val="left" w:pos="2693"/>
          <w:tab w:val="left" w:pos="3182"/>
          <w:tab w:val="left" w:pos="3658"/>
          <w:tab w:val="left" w:pos="4133"/>
          <w:tab w:val="left" w:pos="4622"/>
          <w:tab w:val="left" w:pos="5098"/>
          <w:tab w:val="left" w:pos="5573"/>
          <w:tab w:val="left" w:pos="6048"/>
        </w:tabs>
        <w:suppressAutoHyphens/>
        <w:ind w:left="270" w:right="27" w:hanging="270"/>
        <w:rPr>
          <w:spacing w:val="4"/>
          <w:w w:val="103"/>
          <w:kern w:val="14"/>
          <w:sz w:val="20"/>
          <w:szCs w:val="20"/>
        </w:rPr>
      </w:pPr>
    </w:p>
    <w:p w14:paraId="39A83053" w14:textId="77777777" w:rsidR="008A0B3C" w:rsidRDefault="00ED69A3" w:rsidP="00ED69A3">
      <w:pPr>
        <w:tabs>
          <w:tab w:val="left" w:pos="284"/>
          <w:tab w:val="left" w:pos="360"/>
          <w:tab w:val="left" w:pos="720"/>
          <w:tab w:val="left" w:pos="900"/>
          <w:tab w:val="left" w:pos="2693"/>
          <w:tab w:val="left" w:pos="3182"/>
          <w:tab w:val="left" w:pos="3658"/>
          <w:tab w:val="left" w:pos="4133"/>
          <w:tab w:val="left" w:pos="4622"/>
          <w:tab w:val="left" w:pos="5098"/>
          <w:tab w:val="left" w:pos="5573"/>
          <w:tab w:val="left" w:pos="6048"/>
        </w:tabs>
        <w:suppressAutoHyphens/>
        <w:ind w:left="284" w:right="27" w:hanging="14"/>
        <w:rPr>
          <w:spacing w:val="4"/>
          <w:w w:val="103"/>
          <w:kern w:val="14"/>
          <w:sz w:val="20"/>
          <w:szCs w:val="20"/>
        </w:rPr>
      </w:pPr>
      <w:r w:rsidRPr="00ED69A3">
        <w:rPr>
          <w:spacing w:val="4"/>
          <w:w w:val="103"/>
          <w:kern w:val="14"/>
          <w:sz w:val="20"/>
          <w:szCs w:val="20"/>
        </w:rPr>
        <w:t>Also, regarding part c) the government of South Africa decided to extend the strategic cooperation framework from December 2017 until 31 March 2020 to align it to the government’s 5-year national development implementation plan. Therefore, also the development of the subsequent country programme document for South Africa is delayed in order to align the subsequent country programme document with the new strategic cooperation framework. Therefore, the Board considers part (c) of the recommendation as under implementation for the country office in South Africa.</w:t>
      </w:r>
    </w:p>
    <w:p w14:paraId="0452A3BE" w14:textId="77777777" w:rsidR="00ED69A3" w:rsidRPr="005C04AC" w:rsidRDefault="00ED69A3" w:rsidP="00ED69A3">
      <w:pPr>
        <w:tabs>
          <w:tab w:val="left" w:pos="284"/>
          <w:tab w:val="left" w:pos="360"/>
          <w:tab w:val="left" w:pos="720"/>
          <w:tab w:val="left" w:pos="900"/>
          <w:tab w:val="left" w:pos="2693"/>
          <w:tab w:val="left" w:pos="3182"/>
          <w:tab w:val="left" w:pos="3658"/>
          <w:tab w:val="left" w:pos="4133"/>
          <w:tab w:val="left" w:pos="4622"/>
          <w:tab w:val="left" w:pos="5098"/>
          <w:tab w:val="left" w:pos="5573"/>
          <w:tab w:val="left" w:pos="6048"/>
        </w:tabs>
        <w:suppressAutoHyphens/>
        <w:ind w:left="284" w:right="27" w:hanging="14"/>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4ED97C79" w14:textId="77777777" w:rsidTr="00D15D56">
        <w:tc>
          <w:tcPr>
            <w:tcW w:w="2970" w:type="dxa"/>
            <w:hideMark/>
          </w:tcPr>
          <w:p w14:paraId="71605D5A" w14:textId="77777777" w:rsidR="008A0B3C" w:rsidRPr="005C04AC" w:rsidRDefault="008A0B3C"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14:paraId="18EA41C7" w14:textId="77777777" w:rsidR="008A0B3C" w:rsidRDefault="008A0B3C"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 xml:space="preserve">Regional Bureau for Africa and Regional </w:t>
            </w:r>
            <w:r>
              <w:rPr>
                <w:spacing w:val="4"/>
                <w:sz w:val="20"/>
                <w:szCs w:val="20"/>
              </w:rPr>
              <w:t>Bureau for</w:t>
            </w:r>
          </w:p>
          <w:p w14:paraId="6DEA4156" w14:textId="77777777" w:rsidR="008A0B3C" w:rsidRPr="005C04AC" w:rsidRDefault="008A0B3C"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Arab States</w:t>
            </w:r>
          </w:p>
        </w:tc>
      </w:tr>
      <w:tr w:rsidR="008A0B3C" w:rsidRPr="005C04AC" w14:paraId="307C06DD" w14:textId="77777777" w:rsidTr="00D15D56">
        <w:tc>
          <w:tcPr>
            <w:tcW w:w="2970" w:type="dxa"/>
            <w:hideMark/>
          </w:tcPr>
          <w:p w14:paraId="08890E18" w14:textId="77777777" w:rsidR="008A0B3C" w:rsidRPr="005C04AC" w:rsidRDefault="008A0B3C"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14:paraId="0CEE63EC" w14:textId="77777777" w:rsidR="008A0B3C" w:rsidRPr="005C04AC" w:rsidRDefault="008A0B3C"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8A0B3C" w:rsidRPr="005C04AC" w14:paraId="4027F101" w14:textId="77777777" w:rsidTr="00D15D56">
        <w:tc>
          <w:tcPr>
            <w:tcW w:w="2970" w:type="dxa"/>
            <w:hideMark/>
          </w:tcPr>
          <w:p w14:paraId="2120139E" w14:textId="77777777" w:rsidR="008A0B3C" w:rsidRPr="005C04AC" w:rsidRDefault="008A0B3C"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14:paraId="669D6B3D" w14:textId="77777777" w:rsidR="008A0B3C" w:rsidRPr="005C04AC" w:rsidRDefault="008A0B3C"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High</w:t>
            </w:r>
          </w:p>
        </w:tc>
      </w:tr>
      <w:tr w:rsidR="008A0B3C" w:rsidRPr="005C04AC" w14:paraId="533432BD" w14:textId="77777777" w:rsidTr="00D15D56">
        <w:tc>
          <w:tcPr>
            <w:tcW w:w="2970" w:type="dxa"/>
            <w:hideMark/>
          </w:tcPr>
          <w:p w14:paraId="57559824" w14:textId="77777777" w:rsidR="008A0B3C" w:rsidRPr="005C04AC" w:rsidRDefault="008A0B3C"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14:paraId="09BA82AF" w14:textId="77777777" w:rsidR="008A0B3C" w:rsidRPr="005C04AC" w:rsidRDefault="00ED69A3" w:rsidP="00D15D56">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Pr>
                <w:spacing w:val="4"/>
                <w:sz w:val="20"/>
                <w:szCs w:val="20"/>
              </w:rPr>
              <w:t>-</w:t>
            </w:r>
          </w:p>
        </w:tc>
      </w:tr>
    </w:tbl>
    <w:p w14:paraId="148B5B39"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41375606"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02EC067D"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35, UNDP agreed with the Board recommendations that Country Offices (a) continue consultation with implementing partners such that Combined Delivery Reports (CDRs) are signed on time by UNDP and implementing partners in compliance with the Programme and Operations Policies and Procedures; (b) ensure the follow-up requests to the implementing partners are conducted on time and evidence of the follow up are uploaded to the CDR library in the Corporate Planning System; and (c) certify the CDR on time when implementing partners are not responding after a reasonably extended period.</w:t>
      </w:r>
    </w:p>
    <w:p w14:paraId="33C1A8E0"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p w14:paraId="27786D73" w14:textId="77777777" w:rsidR="008A0B3C" w:rsidRDefault="00ED69A3"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ED69A3">
        <w:rPr>
          <w:spacing w:val="4"/>
          <w:w w:val="103"/>
          <w:kern w:val="14"/>
          <w:sz w:val="20"/>
          <w:szCs w:val="20"/>
        </w:rPr>
        <w:t xml:space="preserve">Regarding part a) UNDP will continue consultation with implementing partners to improve CDR timeliness. Regarding part b) UNDP will enhance efforts that follow-ups are sent on time and evidence is </w:t>
      </w:r>
      <w:r w:rsidRPr="00ED69A3">
        <w:rPr>
          <w:spacing w:val="4"/>
          <w:w w:val="103"/>
          <w:kern w:val="14"/>
          <w:sz w:val="20"/>
          <w:szCs w:val="20"/>
        </w:rPr>
        <w:lastRenderedPageBreak/>
        <w:t>uploaded to the CDR library on time. Regarding part c) UNDP has issued a policy for CDR closure in case of non-responding implementing partners and will monitor compliance. The Board again paid attention to the date of the signatures of the combined delivery reports for 2018. The findings were reaffirmed. Given that the recommendation has been reiterated for a number of years, the Board considers the recommendation as not implemented.</w:t>
      </w:r>
    </w:p>
    <w:p w14:paraId="520B979D" w14:textId="77777777" w:rsidR="00ED69A3" w:rsidRPr="005C04AC" w:rsidRDefault="00ED69A3"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7088E66F" w14:textId="77777777" w:rsidTr="00D15D56">
        <w:tc>
          <w:tcPr>
            <w:tcW w:w="2970" w:type="dxa"/>
            <w:hideMark/>
          </w:tcPr>
          <w:p w14:paraId="21C43CC7"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005C5080"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Bureaux </w:t>
            </w:r>
          </w:p>
        </w:tc>
      </w:tr>
      <w:tr w:rsidR="008A0B3C" w:rsidRPr="005C04AC" w14:paraId="3532ED6D" w14:textId="77777777" w:rsidTr="00D15D56">
        <w:tc>
          <w:tcPr>
            <w:tcW w:w="2970" w:type="dxa"/>
            <w:hideMark/>
          </w:tcPr>
          <w:p w14:paraId="4EFD2969"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612A7763" w14:textId="77777777" w:rsidR="008A0B3C" w:rsidRPr="005C04AC" w:rsidRDefault="00ED69A3"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Not Implemented</w:t>
            </w:r>
          </w:p>
        </w:tc>
      </w:tr>
      <w:tr w:rsidR="008A0B3C" w:rsidRPr="005C04AC" w14:paraId="4AD5B8B8" w14:textId="77777777" w:rsidTr="00D15D56">
        <w:tc>
          <w:tcPr>
            <w:tcW w:w="2970" w:type="dxa"/>
            <w:hideMark/>
          </w:tcPr>
          <w:p w14:paraId="7DCB4DFA"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7B7B78C9"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8A0B3C" w:rsidRPr="005C04AC" w14:paraId="23B605A9" w14:textId="77777777" w:rsidTr="00D15D56">
        <w:tc>
          <w:tcPr>
            <w:tcW w:w="2970" w:type="dxa"/>
            <w:hideMark/>
          </w:tcPr>
          <w:p w14:paraId="041C54DF"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4DF0A350" w14:textId="77777777" w:rsidR="008A0B3C" w:rsidRPr="005C04AC" w:rsidRDefault="00F7506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Second quarter of 2020</w:t>
            </w:r>
          </w:p>
        </w:tc>
      </w:tr>
    </w:tbl>
    <w:p w14:paraId="1903F6D1"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48208246"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41, UNDP agreed with the Board recommendation to ensure that Country Offices review and update projects’ risks, issues and monitoring logs and document information in Atlas on time as the primary source of project information.</w:t>
      </w:r>
    </w:p>
    <w:p w14:paraId="223282CF"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06D10EB4" w14:textId="77777777" w:rsidR="008A0B3C" w:rsidRDefault="00ED69A3"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ED69A3">
        <w:rPr>
          <w:spacing w:val="4"/>
          <w:w w:val="103"/>
          <w:kern w:val="14"/>
          <w:sz w:val="20"/>
          <w:szCs w:val="20"/>
        </w:rPr>
        <w:t>UNDP’s ERM policy was updated and launched in April 2019. It offers a unified and integrated approach to institutional and programmatic risk management across different types and levels of risk including projects. Projects Risk Register has been modified to align to the updated policy and Corporate Planning System. As part of the recently launched ERM toolkit, a project risk dashboard is being developed to monitor compliance with the updated requirements. UNDP will also continue to monitor compliance with these requirements through its annual project quality analysis process</w:t>
      </w:r>
    </w:p>
    <w:p w14:paraId="1D2DB827" w14:textId="77777777" w:rsidR="00ED69A3" w:rsidRPr="005C04AC" w:rsidRDefault="00ED69A3"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55A8AD17" w14:textId="77777777" w:rsidTr="00D15D56">
        <w:tc>
          <w:tcPr>
            <w:tcW w:w="2970" w:type="dxa"/>
            <w:hideMark/>
          </w:tcPr>
          <w:p w14:paraId="7DFE82CF"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27ED4CD1"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Bureaux </w:t>
            </w:r>
          </w:p>
        </w:tc>
      </w:tr>
      <w:tr w:rsidR="008A0B3C" w:rsidRPr="005C04AC" w14:paraId="1EF6BA3F" w14:textId="77777777" w:rsidTr="00D15D56">
        <w:tc>
          <w:tcPr>
            <w:tcW w:w="2970" w:type="dxa"/>
            <w:hideMark/>
          </w:tcPr>
          <w:p w14:paraId="430529EA"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3825D8B0"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8A0B3C" w:rsidRPr="005C04AC" w14:paraId="7B96938C" w14:textId="77777777" w:rsidTr="00D15D56">
        <w:tc>
          <w:tcPr>
            <w:tcW w:w="2970" w:type="dxa"/>
            <w:hideMark/>
          </w:tcPr>
          <w:p w14:paraId="7A53C259"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7A53CAC3"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8A0B3C" w:rsidRPr="005C04AC" w14:paraId="5BC9D04C" w14:textId="77777777" w:rsidTr="00D15D56">
        <w:tc>
          <w:tcPr>
            <w:tcW w:w="2970" w:type="dxa"/>
            <w:hideMark/>
          </w:tcPr>
          <w:p w14:paraId="5AA753AD"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6041EA63" w14:textId="77777777" w:rsidR="008A0B3C" w:rsidRPr="005C04AC" w:rsidRDefault="00F7506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First quarter of 2020</w:t>
            </w:r>
          </w:p>
        </w:tc>
      </w:tr>
    </w:tbl>
    <w:p w14:paraId="6848E8DF"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501A971E"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47, </w:t>
      </w:r>
      <w:r w:rsidRPr="005C04AC">
        <w:rPr>
          <w:b/>
          <w:spacing w:val="4"/>
          <w:w w:val="103"/>
          <w:kern w:val="14"/>
          <w:sz w:val="20"/>
          <w:szCs w:val="20"/>
        </w:rPr>
        <w:t>the Board recommended that the UNDP country offices in consultation with the implementing partner (a) analyze the projects documents on their relevance and timing, and consider for revision due to lapse of time, and (b) consider setting the timeframe for implementing partners to approve the projects’ documents.</w:t>
      </w:r>
    </w:p>
    <w:p w14:paraId="27242727"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30FEC10F"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Regarding part a) UNDP agrees on the need to closely manage pipeline and to develop project documents within a stipulated timeframe agreeable to donors and implementing partners. UNDP will consider additional efforts to improve pipeline management, including review of specification of pipeline mat</w:t>
      </w:r>
      <w:r>
        <w:rPr>
          <w:spacing w:val="4"/>
          <w:w w:val="103"/>
          <w:kern w:val="14"/>
          <w:sz w:val="20"/>
          <w:szCs w:val="20"/>
        </w:rPr>
        <w:t xml:space="preserve">urity periods and recording of </w:t>
      </w:r>
      <w:r>
        <w:rPr>
          <w:spacing w:val="4"/>
          <w:w w:val="103"/>
          <w:kern w:val="14"/>
          <w:sz w:val="20"/>
          <w:szCs w:val="20"/>
        </w:rPr>
        <w:tab/>
      </w:r>
      <w:r w:rsidRPr="005C04AC">
        <w:rPr>
          <w:spacing w:val="4"/>
          <w:w w:val="103"/>
          <w:kern w:val="14"/>
          <w:sz w:val="20"/>
          <w:szCs w:val="20"/>
        </w:rPr>
        <w:t>agreeable timeframes for the signature of project documents</w:t>
      </w:r>
    </w:p>
    <w:p w14:paraId="384137A3"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Regarding part b) UNDP will analyze the potential effects of setting a timeframe for implementing partners.</w:t>
      </w:r>
      <w:r w:rsidRPr="005C04AC">
        <w:rPr>
          <w:spacing w:val="4"/>
          <w:w w:val="103"/>
          <w:kern w:val="14"/>
          <w:sz w:val="20"/>
          <w:szCs w:val="20"/>
        </w:rPr>
        <w:br/>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5438BEB2" w14:textId="77777777" w:rsidTr="00D15D56">
        <w:tc>
          <w:tcPr>
            <w:tcW w:w="2970" w:type="dxa"/>
            <w:hideMark/>
          </w:tcPr>
          <w:p w14:paraId="3900443A"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5A464102"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Bureaux </w:t>
            </w:r>
          </w:p>
        </w:tc>
      </w:tr>
      <w:tr w:rsidR="008A0B3C" w:rsidRPr="005C04AC" w14:paraId="7A34F840" w14:textId="77777777" w:rsidTr="00D15D56">
        <w:tc>
          <w:tcPr>
            <w:tcW w:w="2970" w:type="dxa"/>
            <w:hideMark/>
          </w:tcPr>
          <w:p w14:paraId="1FF88BC2"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1D1643D5"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8A0B3C" w:rsidRPr="005C04AC" w14:paraId="6A59E71B" w14:textId="77777777" w:rsidTr="00D15D56">
        <w:tc>
          <w:tcPr>
            <w:tcW w:w="2970" w:type="dxa"/>
            <w:hideMark/>
          </w:tcPr>
          <w:p w14:paraId="5D24A017"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611E8179"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8A0B3C" w:rsidRPr="005C04AC" w14:paraId="5161AE50" w14:textId="77777777" w:rsidTr="00D15D56">
        <w:tc>
          <w:tcPr>
            <w:tcW w:w="2970" w:type="dxa"/>
            <w:hideMark/>
          </w:tcPr>
          <w:p w14:paraId="1603E315"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2E2B622A" w14:textId="77777777" w:rsidR="008A0B3C" w:rsidRPr="005C04AC" w:rsidRDefault="00F7506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Second quarter of 2020</w:t>
            </w:r>
          </w:p>
        </w:tc>
      </w:tr>
    </w:tbl>
    <w:p w14:paraId="2B6910B9"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78B364FE"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52, UNDP agreed with the Board’s recommendation (a) to provide further guidance to the Country Office concerning implementation of the Harmonized Approach to Cash T</w:t>
      </w:r>
      <w:r w:rsidR="00ED69A3">
        <w:rPr>
          <w:b/>
          <w:bCs/>
          <w:spacing w:val="4"/>
          <w:w w:val="103"/>
          <w:kern w:val="14"/>
          <w:sz w:val="20"/>
          <w:szCs w:val="20"/>
        </w:rPr>
        <w:t>r</w:t>
      </w:r>
      <w:r w:rsidRPr="005C04AC">
        <w:rPr>
          <w:b/>
          <w:bCs/>
          <w:spacing w:val="4"/>
          <w:w w:val="103"/>
          <w:kern w:val="14"/>
          <w:sz w:val="20"/>
          <w:szCs w:val="20"/>
        </w:rPr>
        <w:t>ansfer</w:t>
      </w:r>
      <w:r w:rsidR="00ED69A3">
        <w:rPr>
          <w:b/>
          <w:bCs/>
          <w:spacing w:val="4"/>
          <w:w w:val="103"/>
          <w:kern w:val="14"/>
          <w:sz w:val="20"/>
          <w:szCs w:val="20"/>
        </w:rPr>
        <w:t xml:space="preserve"> </w:t>
      </w:r>
      <w:r w:rsidRPr="005C04AC">
        <w:rPr>
          <w:b/>
          <w:bCs/>
          <w:spacing w:val="4"/>
          <w:w w:val="103"/>
          <w:kern w:val="14"/>
          <w:sz w:val="20"/>
          <w:szCs w:val="20"/>
        </w:rPr>
        <w:t>(HACT) framework; and (b) continue to advocate to the Government and development partners on the importance of implementing HACT framework in the Country Office.</w:t>
      </w:r>
    </w:p>
    <w:p w14:paraId="153651AC"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5FE7EE74" w14:textId="77777777" w:rsidR="008A0B3C" w:rsidRDefault="00ED69A3"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ED69A3">
        <w:rPr>
          <w:spacing w:val="4"/>
          <w:w w:val="103"/>
          <w:kern w:val="14"/>
          <w:sz w:val="20"/>
          <w:szCs w:val="20"/>
        </w:rPr>
        <w:t>The Board understood the difficulties in advocating implementation to the Government and acknowledges the efforts undertaken by UNDP. As recommended by the Board</w:t>
      </w:r>
      <w:r>
        <w:rPr>
          <w:spacing w:val="4"/>
          <w:w w:val="103"/>
          <w:kern w:val="14"/>
          <w:sz w:val="20"/>
          <w:szCs w:val="20"/>
        </w:rPr>
        <w:t>,</w:t>
      </w:r>
      <w:r w:rsidRPr="00ED69A3">
        <w:rPr>
          <w:spacing w:val="4"/>
          <w:w w:val="103"/>
          <w:kern w:val="14"/>
          <w:sz w:val="20"/>
          <w:szCs w:val="20"/>
        </w:rPr>
        <w:t xml:space="preserve"> the Country Office will proceed with the further implementation of the other components of the HACT framework.</w:t>
      </w:r>
    </w:p>
    <w:p w14:paraId="5FB3B01B" w14:textId="77777777" w:rsidR="00ED69A3" w:rsidRPr="005C04AC" w:rsidRDefault="00ED69A3"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3B28F86F" w14:textId="77777777" w:rsidTr="00D15D56">
        <w:tc>
          <w:tcPr>
            <w:tcW w:w="2970" w:type="dxa"/>
            <w:hideMark/>
          </w:tcPr>
          <w:p w14:paraId="0B77DF18"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10B642AF"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Regional Bureau for Europe and the Commonwealth of Independent States</w:t>
            </w:r>
          </w:p>
        </w:tc>
      </w:tr>
      <w:tr w:rsidR="008A0B3C" w:rsidRPr="005C04AC" w14:paraId="7B5B95E4" w14:textId="77777777" w:rsidTr="00D15D56">
        <w:tc>
          <w:tcPr>
            <w:tcW w:w="2970" w:type="dxa"/>
            <w:hideMark/>
          </w:tcPr>
          <w:p w14:paraId="2DCF9164"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0F0985B8"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8A0B3C" w:rsidRPr="005C04AC" w14:paraId="1F1E2C39" w14:textId="77777777" w:rsidTr="00D15D56">
        <w:tc>
          <w:tcPr>
            <w:tcW w:w="2970" w:type="dxa"/>
            <w:hideMark/>
          </w:tcPr>
          <w:p w14:paraId="039258EC"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lastRenderedPageBreak/>
              <w:t>Priority:</w:t>
            </w:r>
          </w:p>
        </w:tc>
        <w:tc>
          <w:tcPr>
            <w:tcW w:w="5033" w:type="dxa"/>
            <w:hideMark/>
          </w:tcPr>
          <w:p w14:paraId="206A0A69"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8A0B3C" w:rsidRPr="005C04AC" w14:paraId="7C6803AF" w14:textId="77777777" w:rsidTr="00D15D56">
        <w:tc>
          <w:tcPr>
            <w:tcW w:w="2970" w:type="dxa"/>
            <w:hideMark/>
          </w:tcPr>
          <w:p w14:paraId="63934485"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23B89CE7"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w:t>
            </w:r>
            <w:r w:rsidR="00F7506C">
              <w:rPr>
                <w:spacing w:val="4"/>
                <w:sz w:val="20"/>
                <w:szCs w:val="20"/>
              </w:rPr>
              <w:t>20</w:t>
            </w:r>
          </w:p>
        </w:tc>
      </w:tr>
    </w:tbl>
    <w:p w14:paraId="3D625280"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0003D125"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spacing w:val="4"/>
          <w:w w:val="103"/>
          <w:kern w:val="14"/>
          <w:sz w:val="20"/>
          <w:szCs w:val="20"/>
        </w:rPr>
      </w:pPr>
      <w:r w:rsidRPr="005C04AC">
        <w:rPr>
          <w:b/>
          <w:bCs/>
          <w:spacing w:val="4"/>
          <w:w w:val="103"/>
          <w:kern w:val="14"/>
          <w:sz w:val="20"/>
          <w:szCs w:val="20"/>
        </w:rPr>
        <w:t xml:space="preserve">In paragraph 57, </w:t>
      </w:r>
      <w:r w:rsidRPr="005C04AC">
        <w:rPr>
          <w:b/>
          <w:spacing w:val="4"/>
          <w:w w:val="103"/>
          <w:kern w:val="14"/>
          <w:sz w:val="20"/>
          <w:szCs w:val="20"/>
        </w:rPr>
        <w:t xml:space="preserve">UNDP agreed with the Board's recommendation that, Turkmenistan, South Africa, Turkey and Paraguay Country Offices encourage that HACT Working Groups are active and perform their duties to facilitate planning and implementation of HACT framework in the respective countries through regular meetings and activities which should be documented. </w:t>
      </w:r>
    </w:p>
    <w:p w14:paraId="2D7B2759"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68A14FEE" w14:textId="77777777" w:rsidR="008A0B3C" w:rsidRDefault="00ED69A3"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ED69A3">
        <w:rPr>
          <w:spacing w:val="4"/>
          <w:w w:val="103"/>
          <w:kern w:val="14"/>
          <w:sz w:val="20"/>
          <w:szCs w:val="20"/>
        </w:rPr>
        <w:t>The Country Offices have reactivated their HACT Working Groups. UNDP considers this recommendation closed, pending review by the Board</w:t>
      </w:r>
    </w:p>
    <w:p w14:paraId="0F8459E2" w14:textId="77777777" w:rsidR="00ED69A3" w:rsidRPr="005C04AC" w:rsidRDefault="00ED69A3"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08A342A1" w14:textId="77777777" w:rsidTr="00D15D56">
        <w:tc>
          <w:tcPr>
            <w:tcW w:w="2970" w:type="dxa"/>
            <w:hideMark/>
          </w:tcPr>
          <w:p w14:paraId="6378EAFF"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30DC25CF"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 for Africa, Regional Bureau for Europe and the Commonwealth of Independent States and Regional Bureau for Latin America and the Caribbean </w:t>
            </w:r>
          </w:p>
        </w:tc>
      </w:tr>
      <w:tr w:rsidR="008A0B3C" w:rsidRPr="005C04AC" w14:paraId="39C787A7" w14:textId="77777777" w:rsidTr="00D15D56">
        <w:tc>
          <w:tcPr>
            <w:tcW w:w="2970" w:type="dxa"/>
            <w:hideMark/>
          </w:tcPr>
          <w:p w14:paraId="7A3FD873"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7E5FBC4B"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8A0B3C" w:rsidRPr="005C04AC" w14:paraId="275CA7DF" w14:textId="77777777" w:rsidTr="00D15D56">
        <w:tc>
          <w:tcPr>
            <w:tcW w:w="2970" w:type="dxa"/>
            <w:hideMark/>
          </w:tcPr>
          <w:p w14:paraId="36ABD5A1"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792F51A9"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8A0B3C" w:rsidRPr="005C04AC" w14:paraId="29768D91" w14:textId="77777777" w:rsidTr="00D15D56">
        <w:tc>
          <w:tcPr>
            <w:tcW w:w="2970" w:type="dxa"/>
            <w:hideMark/>
          </w:tcPr>
          <w:p w14:paraId="28A0EA02"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403E19F4" w14:textId="77777777" w:rsidR="008A0B3C" w:rsidRPr="005C04AC" w:rsidRDefault="00216527"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w:t>
            </w:r>
          </w:p>
        </w:tc>
      </w:tr>
    </w:tbl>
    <w:p w14:paraId="4421CB0B"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5F7736E4"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spacing w:val="4"/>
          <w:w w:val="103"/>
          <w:kern w:val="14"/>
          <w:sz w:val="20"/>
          <w:szCs w:val="20"/>
        </w:rPr>
      </w:pPr>
      <w:r w:rsidRPr="005C04AC">
        <w:rPr>
          <w:b/>
          <w:bCs/>
          <w:spacing w:val="4"/>
          <w:w w:val="103"/>
          <w:kern w:val="14"/>
          <w:sz w:val="20"/>
          <w:szCs w:val="20"/>
        </w:rPr>
        <w:t xml:space="preserve">In paragraph 61, UNDP agreed with the Board recommendation that South Africa Country Office use </w:t>
      </w:r>
      <w:r w:rsidRPr="005C04AC">
        <w:rPr>
          <w:b/>
          <w:spacing w:val="4"/>
          <w:w w:val="103"/>
          <w:kern w:val="14"/>
          <w:sz w:val="20"/>
          <w:szCs w:val="20"/>
        </w:rPr>
        <w:t>Public Expenditure and Financial Accountability</w:t>
      </w:r>
      <w:r w:rsidRPr="005C04AC">
        <w:rPr>
          <w:b/>
          <w:bCs/>
          <w:spacing w:val="4"/>
          <w:w w:val="103"/>
          <w:kern w:val="14"/>
          <w:sz w:val="20"/>
          <w:szCs w:val="20"/>
        </w:rPr>
        <w:t xml:space="preserve"> reports as a source of information and liaise with other United Nation Agencies to conduct HACT macro assessments to align with their Country Office programme cycles as required by Programme and Operations Policies and Procedures on HACT and United Nations Development Group HACT framework.</w:t>
      </w:r>
    </w:p>
    <w:p w14:paraId="7B81B71F"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3A5B087D" w14:textId="77777777" w:rsidR="008A0B3C" w:rsidRDefault="00056A68"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056A68">
        <w:rPr>
          <w:spacing w:val="4"/>
          <w:w w:val="103"/>
          <w:kern w:val="14"/>
          <w:sz w:val="20"/>
          <w:szCs w:val="20"/>
        </w:rPr>
        <w:t>The South Africa country office is in the process of establishing a new United Nations Development Assistance Framework and plans to conduct a macro</w:t>
      </w:r>
      <w:r>
        <w:rPr>
          <w:spacing w:val="4"/>
          <w:w w:val="103"/>
          <w:kern w:val="14"/>
          <w:sz w:val="20"/>
          <w:szCs w:val="20"/>
        </w:rPr>
        <w:t>-</w:t>
      </w:r>
      <w:r w:rsidRPr="00056A68">
        <w:rPr>
          <w:spacing w:val="4"/>
          <w:w w:val="103"/>
          <w:kern w:val="14"/>
          <w:sz w:val="20"/>
          <w:szCs w:val="20"/>
        </w:rPr>
        <w:t>assessment in coordination with the Government.</w:t>
      </w:r>
    </w:p>
    <w:p w14:paraId="5161705C" w14:textId="77777777" w:rsidR="00056A68" w:rsidRPr="005C04AC" w:rsidRDefault="00056A68"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1B68CAFA" w14:textId="77777777" w:rsidTr="00D15D56">
        <w:tc>
          <w:tcPr>
            <w:tcW w:w="2970" w:type="dxa"/>
            <w:hideMark/>
          </w:tcPr>
          <w:p w14:paraId="2220682B"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5048FEEE"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Regional Bureau for Africa</w:t>
            </w:r>
          </w:p>
        </w:tc>
      </w:tr>
      <w:tr w:rsidR="008A0B3C" w:rsidRPr="005C04AC" w14:paraId="346B28EE" w14:textId="77777777" w:rsidTr="00D15D56">
        <w:tc>
          <w:tcPr>
            <w:tcW w:w="2970" w:type="dxa"/>
            <w:hideMark/>
          </w:tcPr>
          <w:p w14:paraId="1E3F9C7C"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0962F55A"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8A0B3C" w:rsidRPr="005C04AC" w14:paraId="47291B28" w14:textId="77777777" w:rsidTr="00D15D56">
        <w:tc>
          <w:tcPr>
            <w:tcW w:w="2970" w:type="dxa"/>
            <w:hideMark/>
          </w:tcPr>
          <w:p w14:paraId="0E0E04E3"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4ADE2473"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8A0B3C" w:rsidRPr="005C04AC" w14:paraId="1B30048E" w14:textId="77777777" w:rsidTr="00D15D56">
        <w:tc>
          <w:tcPr>
            <w:tcW w:w="2970" w:type="dxa"/>
            <w:hideMark/>
          </w:tcPr>
          <w:p w14:paraId="0F039D09"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18AC0B09" w14:textId="77777777" w:rsidR="008A0B3C" w:rsidRPr="005C04AC" w:rsidRDefault="00985498"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w:t>
            </w:r>
          </w:p>
        </w:tc>
      </w:tr>
    </w:tbl>
    <w:p w14:paraId="1C2B7C7A"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4B531356" w14:textId="77777777" w:rsidR="00216527" w:rsidRDefault="00216527"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216527">
        <w:rPr>
          <w:b/>
          <w:bCs/>
          <w:spacing w:val="4"/>
          <w:w w:val="103"/>
          <w:kern w:val="14"/>
          <w:sz w:val="20"/>
          <w:szCs w:val="20"/>
        </w:rPr>
        <w:t>In paragraph 79, the Board recommended that UNDP document their process of annual review performed to evidence the review of useful lives of assets; and specify in the policy guidelines the manner in which the review of useful life of assets will be performed and documented.</w:t>
      </w:r>
    </w:p>
    <w:p w14:paraId="4D199ADD" w14:textId="77777777" w:rsidR="00216527" w:rsidRDefault="00216527" w:rsidP="0021652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p>
    <w:p w14:paraId="6A56FB35" w14:textId="77777777" w:rsidR="00216527" w:rsidRDefault="00216527" w:rsidP="0021652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Cs/>
          <w:spacing w:val="4"/>
          <w:w w:val="103"/>
          <w:kern w:val="14"/>
          <w:sz w:val="20"/>
          <w:szCs w:val="20"/>
        </w:rPr>
      </w:pPr>
      <w:r w:rsidRPr="00216527">
        <w:rPr>
          <w:bCs/>
          <w:spacing w:val="4"/>
          <w:w w:val="103"/>
          <w:kern w:val="14"/>
          <w:sz w:val="20"/>
          <w:szCs w:val="20"/>
        </w:rPr>
        <w:t>The Board noted in May 2019 that UNDP had addressed the recommendation internally. However, a documented review of the useful lives of assets and updated policy guidelines had not been conducted</w:t>
      </w:r>
      <w:r>
        <w:rPr>
          <w:bCs/>
          <w:spacing w:val="4"/>
          <w:w w:val="103"/>
          <w:kern w:val="14"/>
          <w:sz w:val="20"/>
          <w:szCs w:val="20"/>
        </w:rPr>
        <w:t>.</w:t>
      </w:r>
    </w:p>
    <w:p w14:paraId="25F001D0" w14:textId="77777777" w:rsidR="00216527" w:rsidRDefault="00216527" w:rsidP="0021652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Cs/>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216527" w:rsidRPr="005C04AC" w14:paraId="24BC22F5" w14:textId="77777777" w:rsidTr="0046626E">
        <w:tc>
          <w:tcPr>
            <w:tcW w:w="2970" w:type="dxa"/>
            <w:hideMark/>
          </w:tcPr>
          <w:p w14:paraId="03824F13" w14:textId="77777777" w:rsidR="00216527" w:rsidRPr="005C04AC" w:rsidRDefault="00216527" w:rsidP="0046626E">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39203C75" w14:textId="77777777" w:rsidR="00216527" w:rsidRPr="005C04AC" w:rsidRDefault="00216527" w:rsidP="0046626E">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216527">
              <w:rPr>
                <w:spacing w:val="4"/>
                <w:sz w:val="20"/>
                <w:szCs w:val="20"/>
              </w:rPr>
              <w:t>BMS/Office of Sourcing and Operations</w:t>
            </w:r>
          </w:p>
        </w:tc>
      </w:tr>
      <w:tr w:rsidR="00216527" w:rsidRPr="005C04AC" w14:paraId="6F47447F" w14:textId="77777777" w:rsidTr="0046626E">
        <w:tc>
          <w:tcPr>
            <w:tcW w:w="2970" w:type="dxa"/>
            <w:hideMark/>
          </w:tcPr>
          <w:p w14:paraId="6095CB4C" w14:textId="77777777" w:rsidR="00216527" w:rsidRPr="005C04AC" w:rsidRDefault="00216527" w:rsidP="0046626E">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6DA50896" w14:textId="77777777" w:rsidR="00216527" w:rsidRPr="005C04AC" w:rsidRDefault="00216527" w:rsidP="0046626E">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216527" w:rsidRPr="005C04AC" w14:paraId="4743D73B" w14:textId="77777777" w:rsidTr="0046626E">
        <w:tc>
          <w:tcPr>
            <w:tcW w:w="2970" w:type="dxa"/>
            <w:hideMark/>
          </w:tcPr>
          <w:p w14:paraId="1C1BAC75" w14:textId="77777777" w:rsidR="00216527" w:rsidRPr="005C04AC" w:rsidRDefault="00216527" w:rsidP="0046626E">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6CB3C2C4" w14:textId="77777777" w:rsidR="00216527" w:rsidRPr="005C04AC" w:rsidRDefault="00216527" w:rsidP="0046626E">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Medium</w:t>
            </w:r>
          </w:p>
        </w:tc>
      </w:tr>
      <w:tr w:rsidR="00216527" w:rsidRPr="005C04AC" w14:paraId="49F97888" w14:textId="77777777" w:rsidTr="0046626E">
        <w:tc>
          <w:tcPr>
            <w:tcW w:w="2970" w:type="dxa"/>
            <w:hideMark/>
          </w:tcPr>
          <w:p w14:paraId="10A4E05B" w14:textId="77777777" w:rsidR="00216527" w:rsidRPr="005C04AC" w:rsidRDefault="00216527" w:rsidP="0046626E">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203FC872" w14:textId="77777777" w:rsidR="00216527" w:rsidRPr="005C04AC" w:rsidRDefault="00216527" w:rsidP="0046626E">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w:t>
            </w:r>
            <w:r>
              <w:rPr>
                <w:spacing w:val="4"/>
                <w:sz w:val="20"/>
                <w:szCs w:val="20"/>
              </w:rPr>
              <w:t>20</w:t>
            </w:r>
          </w:p>
        </w:tc>
      </w:tr>
    </w:tbl>
    <w:p w14:paraId="0291DF50" w14:textId="77777777" w:rsidR="00216527" w:rsidRPr="00216527" w:rsidRDefault="00216527" w:rsidP="0021652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Cs/>
          <w:spacing w:val="4"/>
          <w:w w:val="103"/>
          <w:kern w:val="14"/>
          <w:sz w:val="20"/>
          <w:szCs w:val="20"/>
        </w:rPr>
      </w:pPr>
    </w:p>
    <w:p w14:paraId="3130B4BD" w14:textId="77777777" w:rsidR="00216527" w:rsidRDefault="00216527" w:rsidP="0021652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p>
    <w:p w14:paraId="349284BD"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88, UNDP agree</w:t>
      </w:r>
      <w:r w:rsidRPr="005C04AC">
        <w:rPr>
          <w:b/>
          <w:spacing w:val="4"/>
          <w:w w:val="103"/>
          <w:kern w:val="14"/>
          <w:sz w:val="20"/>
          <w:szCs w:val="20"/>
        </w:rPr>
        <w:t>d</w:t>
      </w:r>
      <w:r w:rsidRPr="005C04AC">
        <w:rPr>
          <w:b/>
          <w:bCs/>
          <w:spacing w:val="4"/>
          <w:w w:val="103"/>
          <w:kern w:val="14"/>
          <w:sz w:val="20"/>
          <w:szCs w:val="20"/>
        </w:rPr>
        <w:t xml:space="preserve"> with the Board’s recommendation that Malawi, Paraguay and South Africa Country Offices ensure that in future, evaluations of service contracts are completed on time, ideally </w:t>
      </w:r>
      <w:r w:rsidRPr="005C04AC">
        <w:rPr>
          <w:b/>
          <w:spacing w:val="4"/>
          <w:w w:val="103"/>
          <w:kern w:val="14"/>
          <w:sz w:val="20"/>
          <w:szCs w:val="20"/>
        </w:rPr>
        <w:t>one month prior to expiration of contracts as per policy, to give reasonable time for the office to make relevant and timely decisions regarding service contracts.</w:t>
      </w:r>
    </w:p>
    <w:p w14:paraId="73FB1B7A"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035A08D7" w14:textId="77777777" w:rsidR="008A0B3C" w:rsidRDefault="00056A68"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056A68">
        <w:rPr>
          <w:spacing w:val="4"/>
          <w:w w:val="103"/>
          <w:kern w:val="14"/>
          <w:sz w:val="20"/>
          <w:szCs w:val="20"/>
        </w:rPr>
        <w:t>The Country Offices have stepped up their efforts to ensure that service contract evaluations are done on time. This includes reminders sent to project and programme managers. Additional improvement may result from changes to the processes and procedures related to Service Contract holders as part of the People for 2030 strategy</w:t>
      </w:r>
      <w:r>
        <w:rPr>
          <w:spacing w:val="4"/>
          <w:w w:val="103"/>
          <w:kern w:val="14"/>
          <w:sz w:val="20"/>
          <w:szCs w:val="20"/>
        </w:rPr>
        <w:t>.</w:t>
      </w:r>
    </w:p>
    <w:p w14:paraId="3011DAC7" w14:textId="77777777" w:rsidR="00056A68" w:rsidRPr="005C04AC" w:rsidRDefault="00056A68"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503FD8FA" w14:textId="77777777" w:rsidTr="00D15D56">
        <w:tc>
          <w:tcPr>
            <w:tcW w:w="2970" w:type="dxa"/>
            <w:hideMark/>
          </w:tcPr>
          <w:p w14:paraId="3802C063"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lastRenderedPageBreak/>
              <w:t>Department responsible:</w:t>
            </w:r>
          </w:p>
        </w:tc>
        <w:tc>
          <w:tcPr>
            <w:tcW w:w="5033" w:type="dxa"/>
            <w:hideMark/>
          </w:tcPr>
          <w:p w14:paraId="5C9B635D"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Regional Bureau for Africa and Regional Bureau for Latin America and the Caribbean</w:t>
            </w:r>
          </w:p>
        </w:tc>
      </w:tr>
      <w:tr w:rsidR="008A0B3C" w:rsidRPr="005C04AC" w14:paraId="29AAD0A0" w14:textId="77777777" w:rsidTr="00D15D56">
        <w:tc>
          <w:tcPr>
            <w:tcW w:w="2970" w:type="dxa"/>
            <w:hideMark/>
          </w:tcPr>
          <w:p w14:paraId="3C73C1C4"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3FDD58F7"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8A0B3C" w:rsidRPr="005C04AC" w14:paraId="2306CA12" w14:textId="77777777" w:rsidTr="00D15D56">
        <w:tc>
          <w:tcPr>
            <w:tcW w:w="2970" w:type="dxa"/>
            <w:hideMark/>
          </w:tcPr>
          <w:p w14:paraId="19125C40"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7069B9B8"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8A0B3C" w:rsidRPr="005C04AC" w14:paraId="7915CD16" w14:textId="77777777" w:rsidTr="00D15D56">
        <w:tc>
          <w:tcPr>
            <w:tcW w:w="2970" w:type="dxa"/>
            <w:hideMark/>
          </w:tcPr>
          <w:p w14:paraId="5682E2B0"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763F6515"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w:t>
            </w:r>
            <w:r w:rsidR="00056A68">
              <w:rPr>
                <w:spacing w:val="4"/>
                <w:sz w:val="20"/>
                <w:szCs w:val="20"/>
              </w:rPr>
              <w:t>20</w:t>
            </w:r>
          </w:p>
        </w:tc>
      </w:tr>
    </w:tbl>
    <w:p w14:paraId="5469CBF0"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79C19545"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92, UNDP agreed with the Board’s recommendation that Turkmenistan Country Office (a) align the job descriptions for the hired service contract individuals with the Service Contract User Guide, and (b) ensure the service contract holders do not perform internal control functions to compensate for absence of staff</w:t>
      </w:r>
      <w:r w:rsidRPr="005C04AC">
        <w:rPr>
          <w:b/>
          <w:spacing w:val="4"/>
          <w:w w:val="103"/>
          <w:kern w:val="14"/>
          <w:sz w:val="20"/>
          <w:szCs w:val="20"/>
        </w:rPr>
        <w:t>.</w:t>
      </w:r>
    </w:p>
    <w:p w14:paraId="1288652A"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159DC1B8" w14:textId="77777777" w:rsidR="008A0B3C" w:rsidRPr="005C04AC" w:rsidRDefault="00A82487"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A82487">
        <w:rPr>
          <w:spacing w:val="4"/>
          <w:w w:val="103"/>
          <w:kern w:val="14"/>
          <w:sz w:val="20"/>
          <w:szCs w:val="20"/>
        </w:rPr>
        <w:t>The Country Office Turkmenistan has used its usage of service contract with due consideration to the alignment of job descriptions.  UNDP considers this recommendation closed, pending review by the Board</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330BBAF0" w14:textId="77777777" w:rsidTr="00D15D56">
        <w:tc>
          <w:tcPr>
            <w:tcW w:w="2970" w:type="dxa"/>
            <w:hideMark/>
          </w:tcPr>
          <w:p w14:paraId="601D71EE"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64A8993E"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Regional Bureau for Europe and the Commonwealth of Independent States</w:t>
            </w:r>
          </w:p>
        </w:tc>
      </w:tr>
      <w:tr w:rsidR="008A0B3C" w:rsidRPr="005C04AC" w14:paraId="672216AC" w14:textId="77777777" w:rsidTr="00D15D56">
        <w:tc>
          <w:tcPr>
            <w:tcW w:w="2970" w:type="dxa"/>
            <w:hideMark/>
          </w:tcPr>
          <w:p w14:paraId="640F53BD"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3B0C6F99"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8A0B3C" w:rsidRPr="005C04AC" w14:paraId="30987593" w14:textId="77777777" w:rsidTr="00D15D56">
        <w:tc>
          <w:tcPr>
            <w:tcW w:w="2970" w:type="dxa"/>
            <w:hideMark/>
          </w:tcPr>
          <w:p w14:paraId="21CCB960"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45F05923"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8A0B3C" w:rsidRPr="005C04AC" w14:paraId="33ADD512" w14:textId="77777777" w:rsidTr="00D15D56">
        <w:tc>
          <w:tcPr>
            <w:tcW w:w="2970" w:type="dxa"/>
            <w:hideMark/>
          </w:tcPr>
          <w:p w14:paraId="63E3446B"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20C4A9AB" w14:textId="77777777" w:rsidR="008A0B3C" w:rsidRPr="005C04AC" w:rsidRDefault="00A82487"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w:t>
            </w:r>
          </w:p>
        </w:tc>
      </w:tr>
    </w:tbl>
    <w:p w14:paraId="2ED3E61D"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spacing w:val="4"/>
          <w:w w:val="103"/>
          <w:kern w:val="14"/>
          <w:sz w:val="20"/>
          <w:szCs w:val="20"/>
        </w:rPr>
      </w:pPr>
    </w:p>
    <w:p w14:paraId="122FA075"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97, The Board re-iterated its previous recommendations that UNDP ensure all staff members complete mandatory training courses on time.</w:t>
      </w:r>
    </w:p>
    <w:p w14:paraId="482B6BA4"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p w14:paraId="44CD42D4" w14:textId="77777777" w:rsidR="008A0B3C" w:rsidRDefault="00A82487"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A82487">
        <w:rPr>
          <w:spacing w:val="4"/>
          <w:w w:val="103"/>
          <w:kern w:val="14"/>
          <w:sz w:val="20"/>
          <w:szCs w:val="20"/>
        </w:rPr>
        <w:t>UNDP management continues to review compliance with the completion of mandatory trainings on an annual basis and will send reminders to offices with low completion rates. In summer 2019, UNDP’s Operational Governance Group (OPG) approved the creation a new governance framework for the management of corporate learning and development activities. This People Development Governance Group has prepared a People Development Strategy for 2020, which has also been approved by the OPG and also has as a focus area a review of the mandatory training to ensure its relevance and completion.</w:t>
      </w:r>
    </w:p>
    <w:p w14:paraId="1189871A" w14:textId="77777777" w:rsidR="00A82487" w:rsidRPr="005C04AC" w:rsidRDefault="00A82487"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60230FD2" w14:textId="77777777" w:rsidTr="00D15D56">
        <w:tc>
          <w:tcPr>
            <w:tcW w:w="2970" w:type="dxa"/>
            <w:hideMark/>
          </w:tcPr>
          <w:p w14:paraId="641099E1"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6BEC37BC"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UNDP All; tracked by BMS/ Office of Human Resources </w:t>
            </w:r>
          </w:p>
        </w:tc>
      </w:tr>
      <w:tr w:rsidR="008A0B3C" w:rsidRPr="005C04AC" w14:paraId="184C6AEB" w14:textId="77777777" w:rsidTr="00D15D56">
        <w:tc>
          <w:tcPr>
            <w:tcW w:w="2970" w:type="dxa"/>
            <w:hideMark/>
          </w:tcPr>
          <w:p w14:paraId="3C22D41D"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1F303ACC"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8A0B3C" w:rsidRPr="005C04AC" w14:paraId="7FA2F5D7" w14:textId="77777777" w:rsidTr="00D15D56">
        <w:tc>
          <w:tcPr>
            <w:tcW w:w="2970" w:type="dxa"/>
            <w:hideMark/>
          </w:tcPr>
          <w:p w14:paraId="46AE85CC"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304FC771"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8A0B3C" w:rsidRPr="005C04AC" w14:paraId="264BFD9E" w14:textId="77777777" w:rsidTr="00D15D56">
        <w:tc>
          <w:tcPr>
            <w:tcW w:w="2970" w:type="dxa"/>
            <w:hideMark/>
          </w:tcPr>
          <w:p w14:paraId="29BE375D"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015EA0D0"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w:t>
            </w:r>
            <w:r w:rsidR="00A82487">
              <w:rPr>
                <w:spacing w:val="4"/>
                <w:sz w:val="20"/>
                <w:szCs w:val="20"/>
              </w:rPr>
              <w:t>20</w:t>
            </w:r>
          </w:p>
        </w:tc>
      </w:tr>
    </w:tbl>
    <w:p w14:paraId="4C4D56C3"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4E065D4E"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102, </w:t>
      </w:r>
      <w:r w:rsidRPr="005C04AC">
        <w:rPr>
          <w:b/>
          <w:spacing w:val="4"/>
          <w:w w:val="103"/>
          <w:kern w:val="14"/>
          <w:sz w:val="20"/>
          <w:szCs w:val="20"/>
        </w:rPr>
        <w:t>UNDP agreed with the Board’s recommendations that Country Offices (a) encourage staff to exercise their leave within the period in which leave is earned, and (b) ensure the implementation of leave plan so that the office operates efficiently at all times and ultimately reduce cases of forfeited untaken leave days.</w:t>
      </w:r>
    </w:p>
    <w:p w14:paraId="65364F0D"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6F839E21" w14:textId="77777777" w:rsidR="008A0B3C" w:rsidRDefault="00A82487"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A82487">
        <w:rPr>
          <w:spacing w:val="4"/>
          <w:w w:val="103"/>
          <w:kern w:val="14"/>
          <w:sz w:val="20"/>
          <w:szCs w:val="20"/>
        </w:rPr>
        <w:t>UNDP will continue to remind staff to take leave. In particular, reminders to all staff can be sent end of March 2020 when the leave balances are reset by the Organization.</w:t>
      </w:r>
    </w:p>
    <w:p w14:paraId="27565439" w14:textId="77777777" w:rsidR="00A82487" w:rsidRPr="005C04AC" w:rsidRDefault="00A82487"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39E67598" w14:textId="77777777" w:rsidTr="00D15D56">
        <w:tc>
          <w:tcPr>
            <w:tcW w:w="2970" w:type="dxa"/>
            <w:hideMark/>
          </w:tcPr>
          <w:p w14:paraId="35E9C87A"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64BCCBE1"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Bureaux </w:t>
            </w:r>
          </w:p>
        </w:tc>
      </w:tr>
      <w:tr w:rsidR="008A0B3C" w:rsidRPr="005C04AC" w14:paraId="1DDF32A9" w14:textId="77777777" w:rsidTr="00D15D56">
        <w:tc>
          <w:tcPr>
            <w:tcW w:w="2970" w:type="dxa"/>
            <w:hideMark/>
          </w:tcPr>
          <w:p w14:paraId="593A0F8D"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23736B11"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8A0B3C" w:rsidRPr="005C04AC" w14:paraId="43B7F300" w14:textId="77777777" w:rsidTr="00D15D56">
        <w:tc>
          <w:tcPr>
            <w:tcW w:w="2970" w:type="dxa"/>
            <w:hideMark/>
          </w:tcPr>
          <w:p w14:paraId="16A73BD0"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28AE59CE"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8A0B3C" w:rsidRPr="005C04AC" w14:paraId="3EEC1FCC" w14:textId="77777777" w:rsidTr="00D15D56">
        <w:tc>
          <w:tcPr>
            <w:tcW w:w="2970" w:type="dxa"/>
            <w:hideMark/>
          </w:tcPr>
          <w:p w14:paraId="02F22590"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1E97C1A2"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w:t>
            </w:r>
            <w:r w:rsidR="00A82487">
              <w:rPr>
                <w:spacing w:val="4"/>
                <w:sz w:val="20"/>
                <w:szCs w:val="20"/>
              </w:rPr>
              <w:t>20</w:t>
            </w:r>
          </w:p>
        </w:tc>
      </w:tr>
    </w:tbl>
    <w:p w14:paraId="038CAB95"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469F17C5"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108, the Board recommended UNDP (a) conduct the Asset and Liability Management (ALM) study to review the appropriateness of the funding plan and other valuation assumptions, (b) update its policy (for funding of end of services liabilities) to specify the frequency of ALM studies as the current policy is silent in this area</w:t>
      </w:r>
      <w:r w:rsidRPr="005C04AC">
        <w:rPr>
          <w:b/>
          <w:spacing w:val="4"/>
          <w:w w:val="103"/>
          <w:kern w:val="14"/>
          <w:sz w:val="20"/>
          <w:szCs w:val="20"/>
        </w:rPr>
        <w:t>.</w:t>
      </w:r>
    </w:p>
    <w:p w14:paraId="605FB396"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p w14:paraId="52796539" w14:textId="77777777" w:rsidR="008A0B3C" w:rsidRPr="005C04AC" w:rsidRDefault="00A82487"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A82487">
        <w:rPr>
          <w:spacing w:val="4"/>
          <w:w w:val="103"/>
          <w:kern w:val="14"/>
          <w:sz w:val="20"/>
          <w:szCs w:val="20"/>
        </w:rPr>
        <w:t xml:space="preserve">UNDP </w:t>
      </w:r>
      <w:r>
        <w:rPr>
          <w:spacing w:val="4"/>
          <w:w w:val="103"/>
          <w:kern w:val="14"/>
          <w:sz w:val="20"/>
          <w:szCs w:val="20"/>
        </w:rPr>
        <w:t xml:space="preserve">has </w:t>
      </w:r>
      <w:r w:rsidRPr="00A82487">
        <w:rPr>
          <w:spacing w:val="4"/>
          <w:w w:val="103"/>
          <w:kern w:val="14"/>
          <w:sz w:val="20"/>
          <w:szCs w:val="20"/>
        </w:rPr>
        <w:t>conducted an ALM study and will be updating its policy on the funding of end-of-service liabilities accordingly.</w:t>
      </w:r>
    </w:p>
    <w:p w14:paraId="162D0C7C"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41361ECD" w14:textId="77777777" w:rsidTr="00D15D56">
        <w:tc>
          <w:tcPr>
            <w:tcW w:w="2970" w:type="dxa"/>
            <w:hideMark/>
          </w:tcPr>
          <w:p w14:paraId="59449D2E"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384EC707"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BMS/ Office of Financial Resources Management </w:t>
            </w:r>
          </w:p>
        </w:tc>
      </w:tr>
      <w:tr w:rsidR="008A0B3C" w:rsidRPr="005C04AC" w14:paraId="0CA9103B" w14:textId="77777777" w:rsidTr="00D15D56">
        <w:tc>
          <w:tcPr>
            <w:tcW w:w="2970" w:type="dxa"/>
            <w:hideMark/>
          </w:tcPr>
          <w:p w14:paraId="54486E58"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79BE17EE"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8A0B3C" w:rsidRPr="005C04AC" w14:paraId="160D5483" w14:textId="77777777" w:rsidTr="00D15D56">
        <w:tc>
          <w:tcPr>
            <w:tcW w:w="2970" w:type="dxa"/>
            <w:hideMark/>
          </w:tcPr>
          <w:p w14:paraId="4CE06A32"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5856D3EF"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8A0B3C" w:rsidRPr="005C04AC" w14:paraId="70AE8B9F" w14:textId="77777777" w:rsidTr="00D15D56">
        <w:tc>
          <w:tcPr>
            <w:tcW w:w="2970" w:type="dxa"/>
            <w:hideMark/>
          </w:tcPr>
          <w:p w14:paraId="186FF385"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19DDE533"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w:t>
            </w:r>
            <w:r w:rsidR="00A82487">
              <w:rPr>
                <w:spacing w:val="4"/>
                <w:sz w:val="20"/>
                <w:szCs w:val="20"/>
              </w:rPr>
              <w:t>20</w:t>
            </w:r>
          </w:p>
        </w:tc>
      </w:tr>
    </w:tbl>
    <w:p w14:paraId="732F5882"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7A6355E7"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4FE387A9"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123, UNDP agreed with the Board’s recommendation that Country Offices ensure (a) UN Agencies sign the Memorandum of Understanding (MoU) for the occupancy and use of UN common premises, and (b) all amount due for payments or refunds between Agencies are settled on time in accordance with the Memorandum of Understanding</w:t>
      </w:r>
      <w:r w:rsidRPr="005C04AC">
        <w:rPr>
          <w:b/>
          <w:spacing w:val="4"/>
          <w:w w:val="103"/>
          <w:kern w:val="14"/>
          <w:sz w:val="20"/>
          <w:szCs w:val="20"/>
        </w:rPr>
        <w:t>.</w:t>
      </w:r>
    </w:p>
    <w:p w14:paraId="66D84B43"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12CC469F" w14:textId="77777777" w:rsidR="008A0B3C" w:rsidRDefault="00A82487"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A82487">
        <w:rPr>
          <w:spacing w:val="4"/>
          <w:w w:val="103"/>
          <w:kern w:val="14"/>
          <w:sz w:val="20"/>
          <w:szCs w:val="20"/>
        </w:rPr>
        <w:t>UNDP addressed the recommendation to negotiate with the agencies to sign memorandums of understanding on time and to follow-up on payments and refunds between agencies internally. However, the process has not been finalized yet and as such the Board considers this recommendation to be under implementation.</w:t>
      </w:r>
    </w:p>
    <w:p w14:paraId="41BE1036" w14:textId="77777777" w:rsidR="00A82487" w:rsidRPr="005C04AC" w:rsidRDefault="00A82487"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271276CA" w14:textId="77777777" w:rsidTr="00D15D56">
        <w:tc>
          <w:tcPr>
            <w:tcW w:w="2970" w:type="dxa"/>
            <w:hideMark/>
          </w:tcPr>
          <w:p w14:paraId="3380C847"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6E900B68"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Regional Bureaux</w:t>
            </w:r>
          </w:p>
        </w:tc>
      </w:tr>
      <w:tr w:rsidR="008A0B3C" w:rsidRPr="005C04AC" w14:paraId="0880C2D0" w14:textId="77777777" w:rsidTr="00D15D56">
        <w:tc>
          <w:tcPr>
            <w:tcW w:w="2970" w:type="dxa"/>
            <w:hideMark/>
          </w:tcPr>
          <w:p w14:paraId="0A63ED57"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3694E0CC"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8A0B3C" w:rsidRPr="005C04AC" w14:paraId="0AF1D69D" w14:textId="77777777" w:rsidTr="00D15D56">
        <w:tc>
          <w:tcPr>
            <w:tcW w:w="2970" w:type="dxa"/>
            <w:hideMark/>
          </w:tcPr>
          <w:p w14:paraId="4EBE4ABA"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75459F01"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8A0B3C" w:rsidRPr="005C04AC" w14:paraId="7404A410" w14:textId="77777777" w:rsidTr="00D15D56">
        <w:tc>
          <w:tcPr>
            <w:tcW w:w="2970" w:type="dxa"/>
            <w:hideMark/>
          </w:tcPr>
          <w:p w14:paraId="7AC2F237"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23D31621"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w:t>
            </w:r>
            <w:r w:rsidR="00A82487">
              <w:rPr>
                <w:spacing w:val="4"/>
                <w:sz w:val="20"/>
                <w:szCs w:val="20"/>
              </w:rPr>
              <w:t>20</w:t>
            </w:r>
          </w:p>
        </w:tc>
      </w:tr>
    </w:tbl>
    <w:p w14:paraId="7116DCDD"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15240F96"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2376A65D"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136, UNDP agreed with the Board's recommendation that (a) Country Offices implement design of EFT interface as per Atlas banking system guidelines to eliminate manual intervention and prevent unauthorized access to EFT files residing in the network by encryption, and (b) establish a mechanism of keeping backup of EFT files for reconciliation of records.</w:t>
      </w:r>
    </w:p>
    <w:p w14:paraId="19D91275"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p w14:paraId="37A5CFB9"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UNDP Headquarters is developing a project for corporate solution to address the data security issues.</w:t>
      </w:r>
    </w:p>
    <w:p w14:paraId="6F1EAF0A"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63E32B74" w14:textId="77777777" w:rsidTr="00D15D56">
        <w:tc>
          <w:tcPr>
            <w:tcW w:w="2970" w:type="dxa"/>
            <w:hideMark/>
          </w:tcPr>
          <w:p w14:paraId="072E13BD"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0DB7EBF1"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Regional Bureau for Africa and BMS/ Office of Financial Resources Management</w:t>
            </w:r>
          </w:p>
        </w:tc>
      </w:tr>
      <w:tr w:rsidR="008A0B3C" w:rsidRPr="005C04AC" w14:paraId="67B8875E" w14:textId="77777777" w:rsidTr="00D15D56">
        <w:tc>
          <w:tcPr>
            <w:tcW w:w="2970" w:type="dxa"/>
            <w:hideMark/>
          </w:tcPr>
          <w:p w14:paraId="1D06F61B"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2F1C320A"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8A0B3C" w:rsidRPr="005C04AC" w14:paraId="37B99F82" w14:textId="77777777" w:rsidTr="00D15D56">
        <w:tc>
          <w:tcPr>
            <w:tcW w:w="2970" w:type="dxa"/>
            <w:hideMark/>
          </w:tcPr>
          <w:p w14:paraId="2D2E03E8"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59589E31"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8A0B3C" w:rsidRPr="005C04AC" w14:paraId="71BE3717" w14:textId="77777777" w:rsidTr="00D15D56">
        <w:tc>
          <w:tcPr>
            <w:tcW w:w="2970" w:type="dxa"/>
            <w:hideMark/>
          </w:tcPr>
          <w:p w14:paraId="672912AB"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2DBE1F29"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w:t>
            </w:r>
            <w:r w:rsidR="00A82487">
              <w:rPr>
                <w:spacing w:val="4"/>
                <w:sz w:val="20"/>
                <w:szCs w:val="20"/>
              </w:rPr>
              <w:t>20</w:t>
            </w:r>
          </w:p>
        </w:tc>
      </w:tr>
    </w:tbl>
    <w:p w14:paraId="29546D56"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26F33903"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142, </w:t>
      </w:r>
      <w:r w:rsidRPr="005C04AC">
        <w:rPr>
          <w:b/>
          <w:spacing w:val="4"/>
          <w:w w:val="103"/>
          <w:kern w:val="14"/>
          <w:sz w:val="20"/>
          <w:szCs w:val="20"/>
        </w:rPr>
        <w:t>UNDP agreed with the Board’s recommendation that South Africa and Egypt Country Offices</w:t>
      </w:r>
      <w:r w:rsidRPr="005C04AC">
        <w:rPr>
          <w:b/>
          <w:bCs/>
          <w:spacing w:val="4"/>
          <w:w w:val="103"/>
          <w:kern w:val="14"/>
          <w:sz w:val="20"/>
          <w:szCs w:val="20"/>
        </w:rPr>
        <w:t xml:space="preserve"> (a) strengthen controls over information security </w:t>
      </w:r>
      <w:bookmarkStart w:id="1" w:name="_Hlk506226664"/>
      <w:r w:rsidRPr="005C04AC">
        <w:rPr>
          <w:b/>
          <w:bCs/>
          <w:spacing w:val="4"/>
          <w:w w:val="103"/>
          <w:kern w:val="14"/>
          <w:sz w:val="20"/>
          <w:szCs w:val="20"/>
        </w:rPr>
        <w:t xml:space="preserve">to ensure that </w:t>
      </w:r>
      <w:bookmarkEnd w:id="1"/>
      <w:r w:rsidRPr="005C04AC">
        <w:rPr>
          <w:b/>
          <w:bCs/>
          <w:spacing w:val="4"/>
          <w:w w:val="103"/>
          <w:kern w:val="14"/>
          <w:sz w:val="20"/>
          <w:szCs w:val="20"/>
        </w:rPr>
        <w:t>the Disaster Recovery Plans (DRPs) and Business Continuity Plans (BCPs) are tested on time and test results are documented, and (b) review and update the BCP on time</w:t>
      </w:r>
      <w:r w:rsidRPr="005C04AC">
        <w:rPr>
          <w:b/>
          <w:spacing w:val="4"/>
          <w:w w:val="103"/>
          <w:kern w:val="14"/>
          <w:sz w:val="20"/>
          <w:szCs w:val="20"/>
        </w:rPr>
        <w:t>.</w:t>
      </w:r>
    </w:p>
    <w:p w14:paraId="5BDEE77A"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116326CA" w14:textId="77777777" w:rsidR="008A0B3C" w:rsidRDefault="00A82487"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A82487">
        <w:rPr>
          <w:spacing w:val="4"/>
          <w:w w:val="103"/>
          <w:kern w:val="14"/>
          <w:sz w:val="20"/>
          <w:szCs w:val="20"/>
        </w:rPr>
        <w:t>South Africa successfully tested it DRP and the recommendation for South Africa is implemented. Test of the Egypt business contingency and disaster recovery plan is outstanding.</w:t>
      </w:r>
    </w:p>
    <w:p w14:paraId="23D3C357" w14:textId="77777777" w:rsidR="00A82487" w:rsidRPr="005C04AC" w:rsidRDefault="00A82487"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18FD445F" w14:textId="77777777" w:rsidTr="00D15D56">
        <w:tc>
          <w:tcPr>
            <w:tcW w:w="2970" w:type="dxa"/>
            <w:hideMark/>
          </w:tcPr>
          <w:p w14:paraId="0DF99DAD"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3C22AABF"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 for Africa and Regional Bureau for Arab States </w:t>
            </w:r>
          </w:p>
        </w:tc>
      </w:tr>
      <w:tr w:rsidR="008A0B3C" w:rsidRPr="005C04AC" w14:paraId="4490EC78" w14:textId="77777777" w:rsidTr="00D15D56">
        <w:tc>
          <w:tcPr>
            <w:tcW w:w="2970" w:type="dxa"/>
            <w:hideMark/>
          </w:tcPr>
          <w:p w14:paraId="4734A1F7"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49365613"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8A0B3C" w:rsidRPr="005C04AC" w14:paraId="01B283C2" w14:textId="77777777" w:rsidTr="00D15D56">
        <w:tc>
          <w:tcPr>
            <w:tcW w:w="2970" w:type="dxa"/>
            <w:hideMark/>
          </w:tcPr>
          <w:p w14:paraId="06CCA212"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73724448"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8A0B3C" w:rsidRPr="005C04AC" w14:paraId="22F2A2E4" w14:textId="77777777" w:rsidTr="00D15D56">
        <w:tc>
          <w:tcPr>
            <w:tcW w:w="2970" w:type="dxa"/>
            <w:hideMark/>
          </w:tcPr>
          <w:p w14:paraId="387557DC"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08B8571D"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w:t>
            </w:r>
            <w:r w:rsidR="00A82487">
              <w:rPr>
                <w:spacing w:val="4"/>
                <w:sz w:val="20"/>
                <w:szCs w:val="20"/>
              </w:rPr>
              <w:t>20</w:t>
            </w:r>
          </w:p>
        </w:tc>
      </w:tr>
    </w:tbl>
    <w:p w14:paraId="515FD6E0"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64C3253E"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2D789B82" w14:textId="77777777" w:rsidR="008A0B3C" w:rsidRPr="005C04AC" w:rsidRDefault="008A0B3C" w:rsidP="008A0B3C">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160, </w:t>
      </w:r>
      <w:r w:rsidRPr="005C04AC">
        <w:rPr>
          <w:b/>
          <w:spacing w:val="4"/>
          <w:w w:val="103"/>
          <w:kern w:val="14"/>
          <w:sz w:val="20"/>
          <w:szCs w:val="20"/>
        </w:rPr>
        <w:t>UNDP agreed with the Board’s recommendation to ensure that</w:t>
      </w:r>
      <w:r w:rsidRPr="005C04AC">
        <w:rPr>
          <w:spacing w:val="4"/>
          <w:w w:val="103"/>
          <w:kern w:val="14"/>
          <w:sz w:val="20"/>
          <w:szCs w:val="20"/>
        </w:rPr>
        <w:t xml:space="preserve"> </w:t>
      </w:r>
      <w:r w:rsidRPr="005C04AC">
        <w:rPr>
          <w:b/>
          <w:bCs/>
          <w:spacing w:val="4"/>
          <w:w w:val="103"/>
          <w:kern w:val="14"/>
          <w:sz w:val="20"/>
          <w:szCs w:val="20"/>
        </w:rPr>
        <w:t>South Africa Country Office establish a backup internet link and increase internet bandwidth</w:t>
      </w:r>
      <w:r w:rsidRPr="005C04AC">
        <w:rPr>
          <w:b/>
          <w:spacing w:val="4"/>
          <w:w w:val="103"/>
          <w:kern w:val="14"/>
          <w:sz w:val="20"/>
          <w:szCs w:val="20"/>
        </w:rPr>
        <w:t>.</w:t>
      </w:r>
    </w:p>
    <w:p w14:paraId="06F297DB" w14:textId="77777777" w:rsidR="008A0B3C" w:rsidRPr="005C04AC" w:rsidRDefault="008A0B3C"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14:paraId="23B866EE" w14:textId="77777777" w:rsidR="008A0B3C" w:rsidRDefault="00A82487"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A82487">
        <w:rPr>
          <w:spacing w:val="4"/>
          <w:w w:val="103"/>
          <w:kern w:val="14"/>
          <w:sz w:val="20"/>
          <w:szCs w:val="20"/>
        </w:rPr>
        <w:t>UNDP’s South Africa Country Office has increased the internet bandwidth from 30MB to 100MB. It is selecting the service provider for the Backup Secondary Internet link</w:t>
      </w:r>
    </w:p>
    <w:p w14:paraId="74517F0A" w14:textId="77777777" w:rsidR="00A82487" w:rsidRPr="005C04AC" w:rsidRDefault="00A82487" w:rsidP="008A0B3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8A0B3C" w:rsidRPr="005C04AC" w14:paraId="37EE9AF1" w14:textId="77777777" w:rsidTr="00D15D56">
        <w:tc>
          <w:tcPr>
            <w:tcW w:w="2970" w:type="dxa"/>
            <w:hideMark/>
          </w:tcPr>
          <w:p w14:paraId="7583A6E1"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14:paraId="56A5F681"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 for Africa </w:t>
            </w:r>
          </w:p>
        </w:tc>
      </w:tr>
      <w:tr w:rsidR="008A0B3C" w:rsidRPr="005C04AC" w14:paraId="26C221A5" w14:textId="77777777" w:rsidTr="00D15D56">
        <w:tc>
          <w:tcPr>
            <w:tcW w:w="2970" w:type="dxa"/>
            <w:hideMark/>
          </w:tcPr>
          <w:p w14:paraId="57BACE7D"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14:paraId="3490816E"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8A0B3C" w:rsidRPr="005C04AC" w14:paraId="575BA32C" w14:textId="77777777" w:rsidTr="00D15D56">
        <w:tc>
          <w:tcPr>
            <w:tcW w:w="2970" w:type="dxa"/>
            <w:hideMark/>
          </w:tcPr>
          <w:p w14:paraId="009171C4"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14:paraId="66C60FDE"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8A0B3C" w:rsidRPr="005C04AC" w14:paraId="4D16F451" w14:textId="77777777" w:rsidTr="00D15D56">
        <w:tc>
          <w:tcPr>
            <w:tcW w:w="2970" w:type="dxa"/>
            <w:hideMark/>
          </w:tcPr>
          <w:p w14:paraId="718FA706"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14:paraId="2F077B6E" w14:textId="77777777" w:rsidR="008A0B3C" w:rsidRPr="005C04AC" w:rsidRDefault="008A0B3C" w:rsidP="00D15D5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w:t>
            </w:r>
            <w:r w:rsidR="00A82487">
              <w:rPr>
                <w:spacing w:val="4"/>
                <w:sz w:val="20"/>
                <w:szCs w:val="20"/>
              </w:rPr>
              <w:t>20</w:t>
            </w:r>
          </w:p>
        </w:tc>
      </w:tr>
    </w:tbl>
    <w:p w14:paraId="04A79A9A" w14:textId="77777777" w:rsidR="008A0B3C" w:rsidRDefault="008A0B3C" w:rsidP="008A0B3C">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2"/>
          <w:w w:val="103"/>
          <w:kern w:val="14"/>
          <w:sz w:val="20"/>
          <w:szCs w:val="20"/>
          <w:lang w:val="en-GB"/>
        </w:rPr>
      </w:pPr>
    </w:p>
    <w:p w14:paraId="2CE2AAE3" w14:textId="77777777" w:rsidR="008A0B3C" w:rsidRDefault="008A0B3C" w:rsidP="00EB26A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both"/>
        <w:rPr>
          <w:b/>
          <w:spacing w:val="-2"/>
          <w:w w:val="103"/>
          <w:kern w:val="14"/>
          <w:sz w:val="20"/>
          <w:szCs w:val="20"/>
          <w:lang w:val="en-GB"/>
        </w:rPr>
      </w:pPr>
    </w:p>
    <w:p w14:paraId="0EC28F00" w14:textId="77777777" w:rsidR="008A0B3C" w:rsidRPr="005C04AC" w:rsidRDefault="008A0B3C" w:rsidP="00EB26A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both"/>
        <w:rPr>
          <w:b/>
          <w:spacing w:val="-2"/>
          <w:w w:val="103"/>
          <w:kern w:val="14"/>
          <w:sz w:val="20"/>
          <w:szCs w:val="20"/>
          <w:lang w:val="en-GB"/>
        </w:rPr>
      </w:pPr>
    </w:p>
    <w:p w14:paraId="58F49FE1" w14:textId="77777777" w:rsidR="00F55518" w:rsidRPr="005C04AC" w:rsidRDefault="00F55518" w:rsidP="00EB26A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both"/>
        <w:rPr>
          <w:b/>
          <w:bCs/>
          <w:spacing w:val="4"/>
          <w:w w:val="103"/>
          <w:kern w:val="14"/>
          <w:sz w:val="20"/>
          <w:szCs w:val="20"/>
          <w:u w:val="single"/>
          <w:lang w:val="en-GB"/>
        </w:rPr>
      </w:pPr>
      <w:r w:rsidRPr="005C04AC">
        <w:rPr>
          <w:b/>
          <w:bCs/>
          <w:spacing w:val="4"/>
          <w:w w:val="103"/>
          <w:kern w:val="14"/>
          <w:sz w:val="20"/>
          <w:szCs w:val="20"/>
          <w:u w:val="single"/>
          <w:lang w:val="en-GB"/>
        </w:rPr>
        <w:t>Report of the Board for the financi</w:t>
      </w:r>
      <w:r w:rsidR="007D6A91" w:rsidRPr="005C04AC">
        <w:rPr>
          <w:b/>
          <w:bCs/>
          <w:spacing w:val="4"/>
          <w:w w:val="103"/>
          <w:kern w:val="14"/>
          <w:sz w:val="20"/>
          <w:szCs w:val="20"/>
          <w:u w:val="single"/>
          <w:lang w:val="en-GB"/>
        </w:rPr>
        <w:t>al period ended 31 December 2016</w:t>
      </w:r>
    </w:p>
    <w:p w14:paraId="3BA67360" w14:textId="77777777" w:rsidR="00F55518" w:rsidRPr="005C04AC" w:rsidRDefault="00F55518" w:rsidP="00EB26A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jc w:val="both"/>
        <w:rPr>
          <w:b/>
          <w:bCs/>
          <w:spacing w:val="4"/>
          <w:w w:val="103"/>
          <w:kern w:val="14"/>
          <w:sz w:val="20"/>
          <w:szCs w:val="20"/>
          <w:u w:val="single"/>
          <w:lang w:val="en-GB"/>
        </w:rPr>
      </w:pPr>
    </w:p>
    <w:p w14:paraId="7BA4EE48"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p>
    <w:p w14:paraId="01563A25" w14:textId="77777777" w:rsidR="00EB26A7" w:rsidRPr="00EB26A7" w:rsidRDefault="00EB26A7" w:rsidP="009C75E2">
      <w:pPr>
        <w:pStyle w:val="ListParagraph"/>
        <w:numPr>
          <w:ilvl w:val="3"/>
          <w:numId w:val="8"/>
        </w:numPr>
        <w:tabs>
          <w:tab w:val="clear" w:pos="2880"/>
          <w:tab w:val="left" w:pos="270"/>
          <w:tab w:val="center"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t>In paragraph 44, the Board recommended that UNDP (a) introduce a clause in the co-operation agreements for communication obligations of all parties involved in program implementation including measures to motivate implementation of those obligations, and (b) increase follow-ups with counterparts to ensure appropriate measures are taken to address the recurring deficiency of delayed certification of Combined Delivery Reports (CDRs) by both UNDP and implementing partners.</w:t>
      </w:r>
    </w:p>
    <w:p w14:paraId="640145D3" w14:textId="77777777" w:rsidR="00EB26A7" w:rsidRPr="00EB26A7" w:rsidRDefault="00EB26A7" w:rsidP="009C75E2">
      <w:pPr>
        <w:tabs>
          <w:tab w:val="left" w:pos="450"/>
          <w:tab w:val="left" w:pos="54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p>
    <w:p w14:paraId="1FE0AC30" w14:textId="77777777" w:rsidR="00C609C2" w:rsidRDefault="009C75E2" w:rsidP="00C609C2">
      <w:pPr>
        <w:tabs>
          <w:tab w:val="left" w:pos="450"/>
          <w:tab w:val="left" w:pos="54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r w:rsidRPr="005C04AC">
        <w:rPr>
          <w:spacing w:val="4"/>
          <w:w w:val="103"/>
          <w:kern w:val="14"/>
          <w:sz w:val="20"/>
          <w:szCs w:val="20"/>
        </w:rPr>
        <w:tab/>
      </w:r>
      <w:r w:rsidR="00C609C2" w:rsidRPr="00C609C2">
        <w:rPr>
          <w:spacing w:val="4"/>
          <w:w w:val="103"/>
          <w:kern w:val="14"/>
          <w:sz w:val="20"/>
          <w:szCs w:val="20"/>
        </w:rPr>
        <w:t>The Board noted that UNDP updated the programme and operations policies and procedures on combined delivery reports to reflect follow-up policies on outstanding combined delivery reports. However, the updated policies do not fully address the matter and during the 2018 audit the findings of late certification of combined delivery reports were reaffirmed. The Board therefore considers part (a) of the implementation as overtaken by events. Given that part (b) of the recommendation has been reiterated for a number of years, the Board considers the recommendation as not implemented.</w:t>
      </w:r>
    </w:p>
    <w:p w14:paraId="093A6809" w14:textId="77777777" w:rsidR="00C609C2" w:rsidRPr="00EB26A7" w:rsidRDefault="00C609C2" w:rsidP="00C609C2">
      <w:pPr>
        <w:tabs>
          <w:tab w:val="left" w:pos="450"/>
          <w:tab w:val="left" w:pos="54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14:paraId="3237B36F" w14:textId="77777777" w:rsidTr="00EB26A7">
        <w:tc>
          <w:tcPr>
            <w:tcW w:w="2970" w:type="dxa"/>
            <w:hideMark/>
          </w:tcPr>
          <w:p w14:paraId="20B5D665"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14:paraId="7AEEB236"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BMS/ Office of Financial Resources Management and Regional Bureaux</w:t>
            </w:r>
          </w:p>
        </w:tc>
      </w:tr>
      <w:tr w:rsidR="00EB26A7" w:rsidRPr="005C04AC" w14:paraId="6DD057A9" w14:textId="77777777" w:rsidTr="00EB26A7">
        <w:tc>
          <w:tcPr>
            <w:tcW w:w="2970" w:type="dxa"/>
            <w:hideMark/>
          </w:tcPr>
          <w:p w14:paraId="1DEB7FDE"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14:paraId="6E95399E"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 reiterated</w:t>
            </w:r>
          </w:p>
        </w:tc>
      </w:tr>
      <w:tr w:rsidR="00EB26A7" w:rsidRPr="005C04AC" w14:paraId="51F904D7" w14:textId="77777777" w:rsidTr="00EB26A7">
        <w:tc>
          <w:tcPr>
            <w:tcW w:w="2970" w:type="dxa"/>
            <w:hideMark/>
          </w:tcPr>
          <w:p w14:paraId="6CBFD292"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14:paraId="15FE25B3"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5C04AC" w14:paraId="47C99D36" w14:textId="77777777" w:rsidTr="00EB26A7">
        <w:tc>
          <w:tcPr>
            <w:tcW w:w="2970" w:type="dxa"/>
            <w:hideMark/>
          </w:tcPr>
          <w:p w14:paraId="593B8A84"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14:paraId="5C3DBEB2"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w:t>
            </w:r>
          </w:p>
        </w:tc>
      </w:tr>
    </w:tbl>
    <w:p w14:paraId="1CA105B3" w14:textId="77777777"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14:paraId="686458C6" w14:textId="77777777" w:rsidR="00EB26A7" w:rsidRPr="00EB26A7" w:rsidRDefault="00EB26A7" w:rsidP="009C75E2">
      <w:pPr>
        <w:pStyle w:val="ListParagraph"/>
        <w:numPr>
          <w:ilvl w:val="3"/>
          <w:numId w:val="8"/>
        </w:numPr>
        <w:tabs>
          <w:tab w:val="clear" w:pos="2880"/>
          <w:tab w:val="left" w:pos="270"/>
          <w:tab w:val="center"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t xml:space="preserve">In paragraph 51, the Board recommended that UNDP ensure (a) timely review and </w:t>
      </w:r>
      <w:r w:rsidR="0086214F" w:rsidRPr="005C04AC">
        <w:rPr>
          <w:b/>
          <w:bCs/>
          <w:spacing w:val="4"/>
          <w:w w:val="103"/>
          <w:kern w:val="14"/>
          <w:sz w:val="20"/>
          <w:szCs w:val="20"/>
        </w:rPr>
        <w:t xml:space="preserve">updating of the </w:t>
      </w:r>
      <w:r w:rsidRPr="00EB26A7">
        <w:rPr>
          <w:b/>
          <w:bCs/>
          <w:spacing w:val="4"/>
          <w:w w:val="103"/>
          <w:kern w:val="14"/>
          <w:sz w:val="20"/>
          <w:szCs w:val="20"/>
        </w:rPr>
        <w:t>projects risks, issues and monitoring logs and document the same in Atlas as the primary source of projects information, and (b) project boards conduct regular meetings to continuously monitor projects implementation.</w:t>
      </w:r>
    </w:p>
    <w:p w14:paraId="6CAE9F56" w14:textId="77777777" w:rsidR="00EB26A7" w:rsidRDefault="009C75E2" w:rsidP="00C609C2">
      <w:pPr>
        <w:pStyle w:val="ListParagraph"/>
        <w:tabs>
          <w:tab w:val="left" w:pos="270"/>
          <w:tab w:val="center"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jc w:val="both"/>
        <w:rPr>
          <w:spacing w:val="4"/>
          <w:w w:val="103"/>
          <w:kern w:val="14"/>
          <w:sz w:val="20"/>
          <w:szCs w:val="20"/>
        </w:rPr>
      </w:pPr>
      <w:r w:rsidRPr="005C04AC">
        <w:rPr>
          <w:spacing w:val="4"/>
          <w:w w:val="103"/>
          <w:kern w:val="14"/>
          <w:sz w:val="20"/>
          <w:szCs w:val="20"/>
        </w:rPr>
        <w:br/>
      </w:r>
      <w:r w:rsidR="00C609C2" w:rsidRPr="00C609C2">
        <w:rPr>
          <w:spacing w:val="4"/>
          <w:w w:val="103"/>
          <w:kern w:val="14"/>
          <w:sz w:val="20"/>
          <w:szCs w:val="20"/>
        </w:rPr>
        <w:t>The Board noted that UNDP had included risk management, monitoring and project governance into the quality standards for programming. However, there are still a number of projects without well-functioning project boards</w:t>
      </w:r>
      <w:r w:rsidR="00CF0FC7">
        <w:rPr>
          <w:spacing w:val="4"/>
          <w:w w:val="103"/>
          <w:kern w:val="14"/>
          <w:sz w:val="20"/>
          <w:szCs w:val="20"/>
        </w:rPr>
        <w:t xml:space="preserve">, </w:t>
      </w:r>
      <w:r w:rsidR="00C609C2" w:rsidRPr="00C609C2">
        <w:rPr>
          <w:spacing w:val="4"/>
          <w:w w:val="103"/>
          <w:kern w:val="14"/>
          <w:sz w:val="20"/>
          <w:szCs w:val="20"/>
        </w:rPr>
        <w:t>active monitoring of project results</w:t>
      </w:r>
      <w:r w:rsidR="00CF0FC7">
        <w:rPr>
          <w:spacing w:val="4"/>
          <w:w w:val="103"/>
          <w:kern w:val="14"/>
          <w:sz w:val="20"/>
          <w:szCs w:val="20"/>
        </w:rPr>
        <w:t xml:space="preserve">, incomplete risk logs, </w:t>
      </w:r>
      <w:r w:rsidR="00C609C2" w:rsidRPr="00C609C2">
        <w:rPr>
          <w:spacing w:val="4"/>
          <w:w w:val="103"/>
          <w:kern w:val="14"/>
          <w:sz w:val="20"/>
          <w:szCs w:val="20"/>
        </w:rPr>
        <w:t>The Board considers this recommendation as under implementation.</w:t>
      </w:r>
    </w:p>
    <w:p w14:paraId="0223864E" w14:textId="77777777" w:rsidR="00C609C2" w:rsidRPr="00EB26A7" w:rsidRDefault="00C609C2" w:rsidP="00C609C2">
      <w:pPr>
        <w:pStyle w:val="ListParagraph"/>
        <w:tabs>
          <w:tab w:val="left" w:pos="270"/>
          <w:tab w:val="center"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jc w:val="both"/>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E23886" w14:paraId="18890FA0" w14:textId="77777777" w:rsidTr="00EB26A7">
        <w:tc>
          <w:tcPr>
            <w:tcW w:w="2970" w:type="dxa"/>
            <w:hideMark/>
          </w:tcPr>
          <w:p w14:paraId="27E40CB8"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14:paraId="72C8B307"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Bureau for Policy and Programme Support and Regional Bureaux</w:t>
            </w:r>
          </w:p>
        </w:tc>
      </w:tr>
      <w:tr w:rsidR="00EB26A7" w:rsidRPr="00E23886" w14:paraId="6D4F9B2D" w14:textId="77777777" w:rsidTr="00EB26A7">
        <w:tc>
          <w:tcPr>
            <w:tcW w:w="2970" w:type="dxa"/>
            <w:hideMark/>
          </w:tcPr>
          <w:p w14:paraId="5D293F2C"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14:paraId="126950DB"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 reiterated</w:t>
            </w:r>
          </w:p>
        </w:tc>
      </w:tr>
      <w:tr w:rsidR="00EB26A7" w:rsidRPr="00E23886" w14:paraId="7606DD66" w14:textId="77777777" w:rsidTr="00EB26A7">
        <w:tc>
          <w:tcPr>
            <w:tcW w:w="2970" w:type="dxa"/>
            <w:hideMark/>
          </w:tcPr>
          <w:p w14:paraId="22010157"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14:paraId="1B9D20FA"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E23886" w14:paraId="080552AA" w14:textId="77777777" w:rsidTr="00EB26A7">
        <w:tc>
          <w:tcPr>
            <w:tcW w:w="2970" w:type="dxa"/>
            <w:hideMark/>
          </w:tcPr>
          <w:p w14:paraId="0068964F"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14:paraId="475AF8BD"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w:t>
            </w:r>
          </w:p>
        </w:tc>
      </w:tr>
    </w:tbl>
    <w:p w14:paraId="4F410A1D"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p>
    <w:p w14:paraId="0D2DE9E2" w14:textId="77777777" w:rsidR="00EB26A7" w:rsidRPr="00EB26A7" w:rsidRDefault="00EB26A7" w:rsidP="009C75E2">
      <w:pPr>
        <w:pStyle w:val="ListParagraph"/>
        <w:numPr>
          <w:ilvl w:val="3"/>
          <w:numId w:val="8"/>
        </w:numPr>
        <w:tabs>
          <w:tab w:val="clear" w:pos="2880"/>
          <w:tab w:val="left" w:pos="270"/>
          <w:tab w:val="center"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t>In paragraph 69, UNDP agreed with the Board’s recommendation to (a) take proactive measures to ensure that all operationally closed projects are financially closed within 12 months in accordance with POPP by obtaining in a timely manner the donors’ approvals on refunds or reprogramming of unspent amounts; thoroughly review and effect all transactions related to projects before they are financially closed; and (b) ensure that all asset balances are cleared before projects are financially closed.</w:t>
      </w:r>
    </w:p>
    <w:p w14:paraId="3572336E" w14:textId="77777777" w:rsidR="009C75E2" w:rsidRPr="005C04AC" w:rsidRDefault="009C75E2" w:rsidP="009C75E2">
      <w:pPr>
        <w:tabs>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b/>
          <w:bCs/>
          <w:spacing w:val="4"/>
          <w:w w:val="103"/>
          <w:kern w:val="14"/>
          <w:sz w:val="20"/>
          <w:szCs w:val="20"/>
        </w:rPr>
      </w:pPr>
    </w:p>
    <w:p w14:paraId="792BE2DE" w14:textId="77777777" w:rsidR="00EB26A7" w:rsidRDefault="00C609C2" w:rsidP="00C609C2">
      <w:pPr>
        <w:tabs>
          <w:tab w:val="left" w:pos="450"/>
        </w:tabs>
        <w:ind w:left="450" w:hanging="450"/>
        <w:rPr>
          <w:spacing w:val="4"/>
          <w:w w:val="103"/>
          <w:kern w:val="14"/>
          <w:sz w:val="20"/>
          <w:szCs w:val="20"/>
        </w:rPr>
      </w:pPr>
      <w:r>
        <w:rPr>
          <w:spacing w:val="4"/>
          <w:w w:val="103"/>
          <w:kern w:val="14"/>
          <w:sz w:val="20"/>
          <w:szCs w:val="20"/>
        </w:rPr>
        <w:tab/>
      </w:r>
      <w:r w:rsidRPr="00C609C2">
        <w:rPr>
          <w:spacing w:val="4"/>
          <w:w w:val="103"/>
          <w:kern w:val="14"/>
          <w:sz w:val="20"/>
          <w:szCs w:val="20"/>
        </w:rPr>
        <w:t>The Board noted that UNDP addressed this recommendation. However, in 2018 the Board again found delays in closing projects financially and considers the recommendation as under implementation.</w:t>
      </w:r>
      <w:r>
        <w:rPr>
          <w:spacing w:val="4"/>
          <w:w w:val="103"/>
          <w:kern w:val="14"/>
          <w:sz w:val="20"/>
          <w:szCs w:val="20"/>
        </w:rPr>
        <w:t xml:space="preserve"> </w:t>
      </w:r>
      <w:r w:rsidRPr="00C609C2">
        <w:rPr>
          <w:spacing w:val="4"/>
          <w:w w:val="103"/>
          <w:kern w:val="14"/>
          <w:sz w:val="20"/>
          <w:szCs w:val="20"/>
        </w:rPr>
        <w:lastRenderedPageBreak/>
        <w:t>Regarding part (b) of the recommendation, it noted that UNDP updated the requirements to include completion of a checklist in the ERP system.</w:t>
      </w:r>
    </w:p>
    <w:p w14:paraId="23AB4BAC" w14:textId="77777777" w:rsidR="00C609C2" w:rsidRPr="00EB26A7" w:rsidRDefault="00C609C2" w:rsidP="0086214F">
      <w:pPr>
        <w:tabs>
          <w:tab w:val="left" w:pos="450"/>
        </w:tabs>
        <w:ind w:left="450" w:hanging="450"/>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14:paraId="72449BFD" w14:textId="77777777" w:rsidTr="00EB26A7">
        <w:tc>
          <w:tcPr>
            <w:tcW w:w="2970" w:type="dxa"/>
            <w:hideMark/>
          </w:tcPr>
          <w:p w14:paraId="7D82C40C"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14:paraId="1CA7F3E7"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Regional Bureaux</w:t>
            </w:r>
          </w:p>
        </w:tc>
      </w:tr>
      <w:tr w:rsidR="00EB26A7" w:rsidRPr="005C04AC" w14:paraId="1E26E70D" w14:textId="77777777" w:rsidTr="00EB26A7">
        <w:tc>
          <w:tcPr>
            <w:tcW w:w="2970" w:type="dxa"/>
            <w:hideMark/>
          </w:tcPr>
          <w:p w14:paraId="4D212628"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14:paraId="0BC1A014"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w:t>
            </w:r>
          </w:p>
        </w:tc>
      </w:tr>
      <w:tr w:rsidR="00EB26A7" w:rsidRPr="005C04AC" w14:paraId="59F6B042" w14:textId="77777777" w:rsidTr="00EB26A7">
        <w:tc>
          <w:tcPr>
            <w:tcW w:w="2970" w:type="dxa"/>
            <w:hideMark/>
          </w:tcPr>
          <w:p w14:paraId="557A91A6"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14:paraId="5A32626C"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5C04AC" w14:paraId="588566A8" w14:textId="77777777" w:rsidTr="00EB26A7">
        <w:tc>
          <w:tcPr>
            <w:tcW w:w="2970" w:type="dxa"/>
            <w:hideMark/>
          </w:tcPr>
          <w:p w14:paraId="67D4CAD0"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14:paraId="69756A8C" w14:textId="77777777" w:rsidR="00EB26A7" w:rsidRPr="00EB26A7" w:rsidRDefault="00F7506C"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Second quarter of 2020</w:t>
            </w:r>
          </w:p>
        </w:tc>
      </w:tr>
    </w:tbl>
    <w:p w14:paraId="10C02728" w14:textId="77777777"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14:paraId="36AAE121" w14:textId="77777777" w:rsidR="00EB26A7" w:rsidRPr="00EB26A7" w:rsidRDefault="00EB26A7" w:rsidP="009C75E2">
      <w:pPr>
        <w:numPr>
          <w:ilvl w:val="0"/>
          <w:numId w:val="40"/>
        </w:numPr>
        <w:tabs>
          <w:tab w:val="clear" w:pos="1080"/>
          <w:tab w:val="center" w:pos="36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t>In paragraph 101, the Board recommended UNDP to strengthen reviews and monitoring of the POs and APs to ensure that, (a) expenses recorded in the general ledger, commitment control and projects are accurate, complete and recorded in the correct accounting period; and (b) pending transactions (i.e. POs, Vouchers and GLJEs with an accounting date on or before the last day of the month being closed) are cleared in accordance with year-end closure instructions.</w:t>
      </w:r>
    </w:p>
    <w:p w14:paraId="548B8049" w14:textId="77777777" w:rsidR="00EB26A7" w:rsidRPr="00EB26A7" w:rsidRDefault="00EB26A7" w:rsidP="009C75E2">
      <w:pPr>
        <w:tabs>
          <w:tab w:val="center" w:pos="360"/>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p>
    <w:p w14:paraId="06C54D6F" w14:textId="77777777" w:rsidR="00EB26A7" w:rsidRDefault="00C97698" w:rsidP="00C609C2">
      <w:pPr>
        <w:tabs>
          <w:tab w:val="center" w:pos="360"/>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r w:rsidRPr="005C04AC">
        <w:rPr>
          <w:spacing w:val="4"/>
          <w:w w:val="103"/>
          <w:kern w:val="14"/>
          <w:sz w:val="20"/>
          <w:szCs w:val="20"/>
        </w:rPr>
        <w:tab/>
      </w:r>
      <w:r w:rsidR="00C609C2" w:rsidRPr="00C609C2">
        <w:rPr>
          <w:spacing w:val="4"/>
          <w:w w:val="103"/>
          <w:kern w:val="14"/>
          <w:sz w:val="20"/>
          <w:szCs w:val="20"/>
        </w:rPr>
        <w:t>While substantial progress on this recommendation has been achieved and acknowledged by the Board, sustained efforts and more time are needed to fully implement this recommendation. UNDP hopes that the efforts undertaken will lead to further improvements.</w:t>
      </w:r>
    </w:p>
    <w:p w14:paraId="5A3857CA" w14:textId="77777777" w:rsidR="00C609C2" w:rsidRPr="00EB26A7" w:rsidRDefault="00C609C2" w:rsidP="00C609C2">
      <w:pPr>
        <w:tabs>
          <w:tab w:val="center" w:pos="360"/>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lang w:val="en-GB"/>
        </w:rPr>
      </w:pPr>
    </w:p>
    <w:tbl>
      <w:tblPr>
        <w:tblStyle w:val="TableGrid"/>
        <w:tblW w:w="8651"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033"/>
      </w:tblGrid>
      <w:tr w:rsidR="00EB26A7" w:rsidRPr="005C04AC" w14:paraId="319385F0" w14:textId="77777777" w:rsidTr="00E23886">
        <w:tc>
          <w:tcPr>
            <w:tcW w:w="3618" w:type="dxa"/>
            <w:hideMark/>
          </w:tcPr>
          <w:p w14:paraId="3E8CD0A0"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14:paraId="3B2C67B6"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BMS/ Procurement Services Unit and Regional Bureaux</w:t>
            </w:r>
          </w:p>
        </w:tc>
      </w:tr>
      <w:tr w:rsidR="00EB26A7" w:rsidRPr="005C04AC" w14:paraId="39945CCD" w14:textId="77777777" w:rsidTr="00E23886">
        <w:tc>
          <w:tcPr>
            <w:tcW w:w="3618" w:type="dxa"/>
            <w:hideMark/>
          </w:tcPr>
          <w:p w14:paraId="03861358"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14:paraId="49A0D190"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w:t>
            </w:r>
          </w:p>
        </w:tc>
      </w:tr>
      <w:tr w:rsidR="00EB26A7" w:rsidRPr="005C04AC" w14:paraId="1AFD5FD3" w14:textId="77777777" w:rsidTr="00E23886">
        <w:tc>
          <w:tcPr>
            <w:tcW w:w="3618" w:type="dxa"/>
            <w:hideMark/>
          </w:tcPr>
          <w:p w14:paraId="0BB8F600"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14:paraId="51C20317"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Medium</w:t>
            </w:r>
          </w:p>
        </w:tc>
      </w:tr>
      <w:tr w:rsidR="00EB26A7" w:rsidRPr="005C04AC" w14:paraId="586B2273" w14:textId="77777777" w:rsidTr="00E23886">
        <w:tc>
          <w:tcPr>
            <w:tcW w:w="3618" w:type="dxa"/>
            <w:hideMark/>
          </w:tcPr>
          <w:p w14:paraId="0551ECA9" w14:textId="77777777"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14:paraId="32F0BC0E" w14:textId="77777777" w:rsidR="00EB26A7" w:rsidRPr="00EB26A7" w:rsidRDefault="00F7506C"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Second quarter of 2020</w:t>
            </w:r>
          </w:p>
        </w:tc>
      </w:tr>
    </w:tbl>
    <w:p w14:paraId="21158CEA" w14:textId="77777777" w:rsidR="00EB26A7" w:rsidRPr="00EB26A7" w:rsidRDefault="00EB26A7" w:rsidP="009C75E2">
      <w:pPr>
        <w:tabs>
          <w:tab w:val="left" w:pos="27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jc w:val="both"/>
        <w:rPr>
          <w:spacing w:val="4"/>
          <w:w w:val="103"/>
          <w:kern w:val="14"/>
          <w:sz w:val="20"/>
          <w:szCs w:val="20"/>
          <w:lang w:val="en-GB"/>
        </w:rPr>
      </w:pPr>
    </w:p>
    <w:p w14:paraId="52CBBF81" w14:textId="77777777" w:rsidR="00EB26A7" w:rsidRPr="00EB26A7" w:rsidRDefault="00EB26A7" w:rsidP="009C75E2">
      <w:pPr>
        <w:numPr>
          <w:ilvl w:val="0"/>
          <w:numId w:val="40"/>
        </w:numPr>
        <w:tabs>
          <w:tab w:val="clear" w:pos="1080"/>
          <w:tab w:val="left" w:pos="27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t>In paragraph 107, the Board recommended that UNDP ensure that future service contract evaluations are completed on time, ideally one month prior to contracts’ expiration as per policy, so as to give reasonable time for the office to make timely decisions.</w:t>
      </w:r>
    </w:p>
    <w:p w14:paraId="6D7E912D" w14:textId="77777777" w:rsidR="00EB26A7" w:rsidRPr="00EB26A7" w:rsidRDefault="00EB26A7" w:rsidP="009C75E2">
      <w:pPr>
        <w:tabs>
          <w:tab w:val="left" w:pos="27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450"/>
        <w:jc w:val="both"/>
        <w:rPr>
          <w:spacing w:val="4"/>
          <w:w w:val="103"/>
          <w:kern w:val="14"/>
          <w:sz w:val="20"/>
          <w:szCs w:val="20"/>
        </w:rPr>
      </w:pPr>
    </w:p>
    <w:p w14:paraId="2B9458F8" w14:textId="77777777" w:rsidR="008D01DC" w:rsidRDefault="00C97698" w:rsidP="008D01DC">
      <w:pPr>
        <w:tabs>
          <w:tab w:val="left" w:pos="27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450"/>
        <w:jc w:val="both"/>
        <w:rPr>
          <w:color w:val="FF0000"/>
          <w:spacing w:val="4"/>
          <w:w w:val="103"/>
          <w:kern w:val="14"/>
          <w:sz w:val="20"/>
          <w:szCs w:val="20"/>
        </w:rPr>
      </w:pPr>
      <w:r w:rsidRPr="005C04AC">
        <w:rPr>
          <w:spacing w:val="4"/>
          <w:w w:val="103"/>
          <w:kern w:val="14"/>
          <w:sz w:val="20"/>
          <w:szCs w:val="20"/>
        </w:rPr>
        <w:tab/>
      </w:r>
      <w:r w:rsidR="009E2161" w:rsidRPr="009E2161">
        <w:rPr>
          <w:spacing w:val="4"/>
          <w:w w:val="103"/>
          <w:kern w:val="14"/>
          <w:sz w:val="20"/>
          <w:szCs w:val="20"/>
        </w:rPr>
        <w:t>During its review of country offices as part of the 2018 audit, the Board noted that country offices reminded staff members and supervisors of their duties with regard to service evaluations.  However, it found two cases in which the service evaluation was done after the expiry date of the respective contracts. The Board, therefore, considers this recommendation as under implementation.</w:t>
      </w:r>
    </w:p>
    <w:p w14:paraId="7525F20A" w14:textId="77777777" w:rsidR="009E2161" w:rsidRPr="00EB26A7" w:rsidRDefault="009E2161" w:rsidP="008D01DC">
      <w:pPr>
        <w:tabs>
          <w:tab w:val="left" w:pos="27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450"/>
        <w:jc w:val="both"/>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14:paraId="7367443E" w14:textId="77777777" w:rsidTr="00EB26A7">
        <w:tc>
          <w:tcPr>
            <w:tcW w:w="2970" w:type="dxa"/>
            <w:hideMark/>
          </w:tcPr>
          <w:p w14:paraId="4BC36291"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14:paraId="21A9351C"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BMS/ Office of Human Resources, Central Bureaux and Regional Bureaux</w:t>
            </w:r>
          </w:p>
        </w:tc>
      </w:tr>
      <w:tr w:rsidR="00EB26A7" w:rsidRPr="005C04AC" w14:paraId="66F74CCE" w14:textId="77777777" w:rsidTr="00EB26A7">
        <w:tc>
          <w:tcPr>
            <w:tcW w:w="2970" w:type="dxa"/>
            <w:hideMark/>
          </w:tcPr>
          <w:p w14:paraId="5BB1ECE4"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14:paraId="53D9D619"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 reiterated</w:t>
            </w:r>
          </w:p>
        </w:tc>
      </w:tr>
      <w:tr w:rsidR="00EB26A7" w:rsidRPr="005C04AC" w14:paraId="0C3002D7" w14:textId="77777777" w:rsidTr="00EB26A7">
        <w:tc>
          <w:tcPr>
            <w:tcW w:w="2970" w:type="dxa"/>
            <w:hideMark/>
          </w:tcPr>
          <w:p w14:paraId="384A5EDE"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14:paraId="182630EF"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Medium</w:t>
            </w:r>
          </w:p>
        </w:tc>
      </w:tr>
      <w:tr w:rsidR="00EB26A7" w:rsidRPr="005C04AC" w14:paraId="0144F072" w14:textId="77777777" w:rsidTr="00EB26A7">
        <w:tc>
          <w:tcPr>
            <w:tcW w:w="2970" w:type="dxa"/>
            <w:hideMark/>
          </w:tcPr>
          <w:p w14:paraId="28E9A68F"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14:paraId="26A7751F" w14:textId="77777777" w:rsidR="00EB26A7" w:rsidRPr="00EB26A7" w:rsidRDefault="00DF35D0"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Second quarter of 2020</w:t>
            </w:r>
          </w:p>
        </w:tc>
      </w:tr>
    </w:tbl>
    <w:p w14:paraId="4CC8F225" w14:textId="77777777"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14:paraId="53FE6024" w14:textId="77777777"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14:paraId="60BB1D31" w14:textId="77777777" w:rsidR="00EB26A7" w:rsidRPr="00EB26A7" w:rsidRDefault="00EB26A7" w:rsidP="009C75E2">
      <w:pPr>
        <w:numPr>
          <w:ilvl w:val="0"/>
          <w:numId w:val="40"/>
        </w:numPr>
        <w:tabs>
          <w:tab w:val="clear" w:pos="1080"/>
          <w:tab w:val="center" w:pos="18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t>In paragraph 116, the Board recommended that UNDP ensure that all staff members complete mandatory training courses on time.</w:t>
      </w:r>
    </w:p>
    <w:p w14:paraId="055BD205" w14:textId="77777777" w:rsidR="00EB26A7" w:rsidRPr="00EB26A7" w:rsidRDefault="00EB26A7" w:rsidP="009C75E2">
      <w:pPr>
        <w:tabs>
          <w:tab w:val="center" w:pos="18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p>
    <w:p w14:paraId="2E94CEE7" w14:textId="77777777" w:rsidR="00EB26A7" w:rsidRPr="00DF35D0" w:rsidRDefault="00C97698" w:rsidP="008D01DC">
      <w:pPr>
        <w:tabs>
          <w:tab w:val="center" w:pos="18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270" w:right="29" w:hanging="270"/>
        <w:jc w:val="both"/>
        <w:rPr>
          <w:spacing w:val="4"/>
          <w:w w:val="103"/>
          <w:kern w:val="14"/>
          <w:sz w:val="20"/>
          <w:szCs w:val="20"/>
        </w:rPr>
      </w:pPr>
      <w:r w:rsidRPr="005C04AC">
        <w:rPr>
          <w:spacing w:val="4"/>
          <w:w w:val="103"/>
          <w:kern w:val="14"/>
          <w:sz w:val="20"/>
          <w:szCs w:val="20"/>
        </w:rPr>
        <w:tab/>
      </w:r>
      <w:r w:rsidR="009C75E2" w:rsidRPr="005C04AC">
        <w:rPr>
          <w:spacing w:val="4"/>
          <w:w w:val="103"/>
          <w:kern w:val="14"/>
          <w:sz w:val="20"/>
          <w:szCs w:val="20"/>
        </w:rPr>
        <w:tab/>
      </w:r>
      <w:r w:rsidR="008D01DC" w:rsidRPr="00DF35D0">
        <w:rPr>
          <w:spacing w:val="4"/>
          <w:w w:val="103"/>
          <w:kern w:val="14"/>
          <w:sz w:val="20"/>
          <w:szCs w:val="20"/>
        </w:rPr>
        <w:t>The Board reviewed UNDP’s overall mandatory course completion statistics for the year 2017 and 2018 and recognized the efforts made by management to achieve higher completion rates as well as the positive trend evidenced by statics. However, UNDP also acknowledged that the trend shown has not yet stabilized. Therefore, the Board considers this recommendation to be under implementation.</w:t>
      </w:r>
      <w:r w:rsidR="00DF35D0" w:rsidRPr="00DF35D0">
        <w:rPr>
          <w:spacing w:val="4"/>
          <w:w w:val="103"/>
          <w:kern w:val="14"/>
          <w:sz w:val="20"/>
          <w:szCs w:val="20"/>
        </w:rPr>
        <w:t xml:space="preserve"> </w:t>
      </w:r>
    </w:p>
    <w:p w14:paraId="1DD23987" w14:textId="77777777" w:rsidR="008D01DC" w:rsidRPr="00EB26A7" w:rsidRDefault="008D01DC" w:rsidP="008D01DC">
      <w:pPr>
        <w:tabs>
          <w:tab w:val="center" w:pos="18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29"/>
        <w:jc w:val="both"/>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14:paraId="6C71B9A4" w14:textId="77777777" w:rsidTr="00EB26A7">
        <w:tc>
          <w:tcPr>
            <w:tcW w:w="2970" w:type="dxa"/>
            <w:hideMark/>
          </w:tcPr>
          <w:p w14:paraId="24F5C012"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14:paraId="02D625B8"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UNDP All; tracked by BMS/ Office of Human Resources</w:t>
            </w:r>
          </w:p>
        </w:tc>
      </w:tr>
      <w:tr w:rsidR="00EB26A7" w:rsidRPr="005C04AC" w14:paraId="25E40EC9" w14:textId="77777777" w:rsidTr="00EB26A7">
        <w:tc>
          <w:tcPr>
            <w:tcW w:w="2970" w:type="dxa"/>
            <w:hideMark/>
          </w:tcPr>
          <w:p w14:paraId="61EBB274"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14:paraId="2A29EFDF"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 reiterated</w:t>
            </w:r>
          </w:p>
        </w:tc>
      </w:tr>
      <w:tr w:rsidR="00EB26A7" w:rsidRPr="005C04AC" w14:paraId="17E01A53" w14:textId="77777777" w:rsidTr="00EB26A7">
        <w:tc>
          <w:tcPr>
            <w:tcW w:w="2970" w:type="dxa"/>
            <w:hideMark/>
          </w:tcPr>
          <w:p w14:paraId="39180784"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14:paraId="69E52C44"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Medium</w:t>
            </w:r>
          </w:p>
        </w:tc>
      </w:tr>
      <w:tr w:rsidR="00EB26A7" w:rsidRPr="005C04AC" w14:paraId="21EDA9D9" w14:textId="77777777" w:rsidTr="00EB26A7">
        <w:tc>
          <w:tcPr>
            <w:tcW w:w="2970" w:type="dxa"/>
            <w:hideMark/>
          </w:tcPr>
          <w:p w14:paraId="0B5EB208"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14:paraId="4AE08225" w14:textId="77777777" w:rsidR="00EB26A7" w:rsidRPr="00EB26A7" w:rsidRDefault="00DF35D0"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Second quarter of 2020</w:t>
            </w:r>
          </w:p>
        </w:tc>
      </w:tr>
    </w:tbl>
    <w:p w14:paraId="3599AC98" w14:textId="77777777"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14:paraId="637F16FD" w14:textId="77777777" w:rsidR="00EB26A7" w:rsidRPr="00EB26A7" w:rsidRDefault="00EB26A7" w:rsidP="009C75E2">
      <w:pPr>
        <w:numPr>
          <w:ilvl w:val="0"/>
          <w:numId w:val="40"/>
        </w:numPr>
        <w:tabs>
          <w:tab w:val="clear" w:pos="1080"/>
          <w:tab w:val="left" w:pos="0"/>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9" w:hanging="360"/>
        <w:jc w:val="both"/>
        <w:rPr>
          <w:spacing w:val="4"/>
          <w:w w:val="103"/>
          <w:kern w:val="14"/>
          <w:sz w:val="20"/>
          <w:szCs w:val="20"/>
        </w:rPr>
      </w:pPr>
      <w:bookmarkStart w:id="2" w:name="_Hlk520905373"/>
      <w:r w:rsidRPr="00EB26A7">
        <w:rPr>
          <w:b/>
          <w:bCs/>
          <w:spacing w:val="4"/>
          <w:w w:val="103"/>
          <w:kern w:val="14"/>
          <w:sz w:val="20"/>
          <w:szCs w:val="20"/>
        </w:rPr>
        <w:lastRenderedPageBreak/>
        <w:t>In paragraph 120, UNDP agreed with the Board’s recommendation to introduce a schedule that will ensure easy reconciliation of individual asset additions between the financial statements note for property plant and equipment and the In-Service Report (ISR).</w:t>
      </w:r>
    </w:p>
    <w:p w14:paraId="1DA1C499" w14:textId="77777777" w:rsidR="00EB26A7" w:rsidRPr="00EB26A7" w:rsidRDefault="00EB26A7" w:rsidP="00C97698">
      <w:pPr>
        <w:tabs>
          <w:tab w:val="left" w:pos="0"/>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b/>
          <w:bCs/>
          <w:spacing w:val="4"/>
          <w:w w:val="103"/>
          <w:kern w:val="14"/>
          <w:sz w:val="20"/>
          <w:szCs w:val="20"/>
        </w:rPr>
      </w:pPr>
    </w:p>
    <w:p w14:paraId="61FFEF81" w14:textId="77777777" w:rsidR="00EB26A7" w:rsidRPr="00EB26A7" w:rsidRDefault="00EB26A7" w:rsidP="00C97698">
      <w:pPr>
        <w:tabs>
          <w:tab w:val="left" w:pos="360"/>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jc w:val="both"/>
        <w:rPr>
          <w:spacing w:val="4"/>
          <w:w w:val="103"/>
          <w:kern w:val="14"/>
          <w:sz w:val="20"/>
          <w:szCs w:val="20"/>
        </w:rPr>
      </w:pPr>
      <w:r w:rsidRPr="00EB26A7">
        <w:rPr>
          <w:spacing w:val="4"/>
          <w:w w:val="103"/>
          <w:kern w:val="14"/>
          <w:sz w:val="20"/>
          <w:szCs w:val="20"/>
        </w:rPr>
        <w:t xml:space="preserve">Following the Board’s recommendation to introduce a schedule to reconcile the ISR to the Property, Plant &amp; Equipment (PP&amp;E) Note, General Operations prepared a Business Requirement Document and initiated the project with OIMT colleagues. </w:t>
      </w:r>
      <w:r w:rsidR="008D01DC">
        <w:rPr>
          <w:spacing w:val="4"/>
          <w:w w:val="103"/>
          <w:kern w:val="14"/>
          <w:sz w:val="20"/>
          <w:szCs w:val="20"/>
        </w:rPr>
        <w:t xml:space="preserve">Update (December 2019): </w:t>
      </w:r>
      <w:r w:rsidR="008D01DC" w:rsidRPr="008D01DC">
        <w:rPr>
          <w:spacing w:val="4"/>
          <w:w w:val="103"/>
          <w:kern w:val="14"/>
          <w:sz w:val="20"/>
          <w:szCs w:val="20"/>
        </w:rPr>
        <w:t>The reconciliation schedule has been developed and signed off by partners and migrated to Atlas production</w:t>
      </w:r>
      <w:r w:rsidR="008D01DC">
        <w:rPr>
          <w:spacing w:val="4"/>
          <w:w w:val="103"/>
          <w:kern w:val="14"/>
          <w:sz w:val="20"/>
          <w:szCs w:val="20"/>
        </w:rPr>
        <w:t xml:space="preserve"> and UNDP considers this recommendation closed pending review by the Board in 2020.</w:t>
      </w:r>
    </w:p>
    <w:bookmarkEnd w:id="2"/>
    <w:p w14:paraId="32942478" w14:textId="77777777" w:rsidR="00EB26A7" w:rsidRPr="00EB26A7" w:rsidRDefault="00EB26A7" w:rsidP="00C97698">
      <w:pPr>
        <w:tabs>
          <w:tab w:val="left" w:pos="0"/>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14:paraId="46134246" w14:textId="77777777" w:rsidTr="00EB26A7">
        <w:tc>
          <w:tcPr>
            <w:tcW w:w="2970" w:type="dxa"/>
            <w:hideMark/>
          </w:tcPr>
          <w:p w14:paraId="7847EC0D"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14:paraId="7A37B477"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BMS/ Office of Sourcing and Operations</w:t>
            </w:r>
          </w:p>
        </w:tc>
      </w:tr>
      <w:tr w:rsidR="00EB26A7" w:rsidRPr="005C04AC" w14:paraId="375C7496" w14:textId="77777777" w:rsidTr="00EB26A7">
        <w:tc>
          <w:tcPr>
            <w:tcW w:w="2970" w:type="dxa"/>
            <w:hideMark/>
          </w:tcPr>
          <w:p w14:paraId="6BE259CF"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14:paraId="659C46FE"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w:t>
            </w:r>
          </w:p>
        </w:tc>
      </w:tr>
      <w:tr w:rsidR="00EB26A7" w:rsidRPr="005C04AC" w14:paraId="70FFA94A" w14:textId="77777777" w:rsidTr="00EB26A7">
        <w:tc>
          <w:tcPr>
            <w:tcW w:w="2970" w:type="dxa"/>
            <w:hideMark/>
          </w:tcPr>
          <w:p w14:paraId="70F1710F"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14:paraId="798B5318"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5C04AC" w14:paraId="22E307BD" w14:textId="77777777" w:rsidTr="00EB26A7">
        <w:tc>
          <w:tcPr>
            <w:tcW w:w="2970" w:type="dxa"/>
            <w:hideMark/>
          </w:tcPr>
          <w:p w14:paraId="1B0E798A"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14:paraId="15596E24" w14:textId="77777777" w:rsidR="00EB26A7" w:rsidRPr="00EB26A7" w:rsidRDefault="008D01DC"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w:t>
            </w:r>
          </w:p>
        </w:tc>
      </w:tr>
    </w:tbl>
    <w:p w14:paraId="7AAC9B06" w14:textId="77777777" w:rsidR="00EB26A7" w:rsidRPr="00EB26A7" w:rsidRDefault="00EB26A7" w:rsidP="00E9645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both"/>
        <w:rPr>
          <w:b/>
          <w:bCs/>
          <w:spacing w:val="4"/>
          <w:w w:val="103"/>
          <w:kern w:val="14"/>
          <w:sz w:val="20"/>
          <w:szCs w:val="20"/>
          <w:u w:val="single"/>
          <w:lang w:val="en-GB"/>
        </w:rPr>
      </w:pPr>
    </w:p>
    <w:p w14:paraId="4AC42C51" w14:textId="77777777" w:rsidR="00503BE0" w:rsidRDefault="00503BE0" w:rsidP="003B5FE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center"/>
        <w:rPr>
          <w:b/>
          <w:bCs/>
          <w:spacing w:val="4"/>
          <w:w w:val="103"/>
          <w:kern w:val="14"/>
          <w:sz w:val="20"/>
          <w:szCs w:val="20"/>
          <w:u w:val="single"/>
          <w:lang w:val="en-GB"/>
        </w:rPr>
      </w:pPr>
    </w:p>
    <w:p w14:paraId="62E4F212" w14:textId="77777777" w:rsidR="00EB26A7" w:rsidRPr="00EB26A7" w:rsidRDefault="00EB26A7" w:rsidP="00503BE0">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rPr>
          <w:b/>
          <w:bCs/>
          <w:spacing w:val="4"/>
          <w:w w:val="103"/>
          <w:kern w:val="14"/>
          <w:sz w:val="20"/>
          <w:szCs w:val="20"/>
          <w:u w:val="single"/>
          <w:lang w:val="en-GB"/>
        </w:rPr>
      </w:pPr>
      <w:r w:rsidRPr="00EB26A7">
        <w:rPr>
          <w:b/>
          <w:bCs/>
          <w:spacing w:val="4"/>
          <w:w w:val="103"/>
          <w:kern w:val="14"/>
          <w:sz w:val="20"/>
          <w:szCs w:val="20"/>
          <w:u w:val="single"/>
          <w:lang w:val="en-GB"/>
        </w:rPr>
        <w:t xml:space="preserve">Report of the Board for </w:t>
      </w:r>
      <w:r w:rsidR="00E96457" w:rsidRPr="005C04AC">
        <w:rPr>
          <w:b/>
          <w:bCs/>
          <w:spacing w:val="4"/>
          <w:w w:val="103"/>
          <w:kern w:val="14"/>
          <w:sz w:val="20"/>
          <w:szCs w:val="20"/>
          <w:u w:val="single"/>
          <w:lang w:val="en-GB"/>
        </w:rPr>
        <w:t>the year ended 31 December 2015</w:t>
      </w:r>
    </w:p>
    <w:p w14:paraId="042783CB" w14:textId="77777777"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14:paraId="7AF7C1C2" w14:textId="77777777" w:rsidR="00EB26A7" w:rsidRPr="005C04AC" w:rsidRDefault="00EB26A7" w:rsidP="009C75E2">
      <w:pPr>
        <w:pStyle w:val="ListParagraph"/>
        <w:numPr>
          <w:ilvl w:val="0"/>
          <w:numId w:val="37"/>
        </w:numPr>
        <w:tabs>
          <w:tab w:val="left" w:pos="81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360" w:right="29"/>
        <w:jc w:val="both"/>
        <w:rPr>
          <w:b/>
          <w:bCs/>
          <w:spacing w:val="4"/>
          <w:w w:val="103"/>
          <w:kern w:val="14"/>
          <w:sz w:val="20"/>
          <w:szCs w:val="20"/>
        </w:rPr>
      </w:pPr>
      <w:r w:rsidRPr="005C04AC">
        <w:rPr>
          <w:b/>
          <w:bCs/>
          <w:spacing w:val="4"/>
          <w:w w:val="103"/>
          <w:kern w:val="14"/>
          <w:sz w:val="20"/>
          <w:szCs w:val="20"/>
        </w:rPr>
        <w:t>In paragraph 41, UNDP agreed with the Board’s recommendation that: (a) in future, UNDP plan ahead on the changes needed in project settings such as the rates of General Management Support fee to minimize delays in signing quarterly CDRs; (b) it submit the combined delivery reports in a timely manner, duly signed by UNDP and implementing partners in compliance with the Programme and Operations Policies and Procedures, and (c) it liaise with implementing partners on their accountability regarding timely signing of CDRs when delays are encountered.</w:t>
      </w:r>
    </w:p>
    <w:p w14:paraId="0DD12677" w14:textId="77777777" w:rsidR="00EB26A7" w:rsidRPr="00EB26A7" w:rsidRDefault="00EB26A7" w:rsidP="009C75E2">
      <w:pPr>
        <w:tabs>
          <w:tab w:val="left" w:pos="81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spacing w:val="4"/>
          <w:w w:val="103"/>
          <w:kern w:val="14"/>
          <w:sz w:val="20"/>
          <w:szCs w:val="20"/>
        </w:rPr>
      </w:pPr>
    </w:p>
    <w:p w14:paraId="2BBD67CB" w14:textId="77777777" w:rsidR="008A1D80" w:rsidRDefault="006B23A7" w:rsidP="008A1D80">
      <w:pPr>
        <w:tabs>
          <w:tab w:val="left" w:pos="81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spacing w:val="4"/>
          <w:w w:val="103"/>
          <w:kern w:val="14"/>
          <w:sz w:val="20"/>
          <w:szCs w:val="20"/>
        </w:rPr>
      </w:pPr>
      <w:r w:rsidRPr="005C04AC">
        <w:rPr>
          <w:spacing w:val="4"/>
          <w:w w:val="103"/>
          <w:kern w:val="14"/>
          <w:sz w:val="20"/>
          <w:szCs w:val="20"/>
        </w:rPr>
        <w:tab/>
      </w:r>
      <w:r w:rsidR="00F7506C" w:rsidRPr="00F7506C">
        <w:rPr>
          <w:spacing w:val="4"/>
          <w:w w:val="103"/>
          <w:kern w:val="14"/>
          <w:sz w:val="20"/>
          <w:szCs w:val="20"/>
        </w:rPr>
        <w:t>The Board noted that part (a) of the recommendation was implemented in 2016. Regarding part (b) and (c) of the recommendation, the Board again paid attention to the date of the signatures of the combined delivery reports for 2018. The findings were reaffirmed. Given that the recommendation has been reiterated for a number of years, the Board considers the recommendation as not implemented.</w:t>
      </w:r>
    </w:p>
    <w:p w14:paraId="1C4391F1" w14:textId="77777777" w:rsidR="00F7506C" w:rsidRPr="00EB26A7" w:rsidRDefault="00F7506C" w:rsidP="008A1D80">
      <w:pPr>
        <w:tabs>
          <w:tab w:val="left" w:pos="81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14:paraId="142ABB9A" w14:textId="77777777" w:rsidTr="00EB26A7">
        <w:tc>
          <w:tcPr>
            <w:tcW w:w="2970" w:type="dxa"/>
            <w:hideMark/>
          </w:tcPr>
          <w:p w14:paraId="6742910E"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14:paraId="7FC3C35D"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BMS/ Office of Financial Resources Management and Regional Bureaux</w:t>
            </w:r>
          </w:p>
        </w:tc>
      </w:tr>
      <w:tr w:rsidR="00EB26A7" w:rsidRPr="005C04AC" w14:paraId="7DF6919C" w14:textId="77777777" w:rsidTr="00EB26A7">
        <w:tc>
          <w:tcPr>
            <w:tcW w:w="2970" w:type="dxa"/>
            <w:hideMark/>
          </w:tcPr>
          <w:p w14:paraId="466BBD50"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14:paraId="2E4A9302" w14:textId="77777777" w:rsidR="00EB26A7" w:rsidRPr="00EB26A7" w:rsidRDefault="00F7506C"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R</w:t>
            </w:r>
            <w:r w:rsidR="00EB26A7" w:rsidRPr="00EB26A7">
              <w:rPr>
                <w:spacing w:val="4"/>
                <w:sz w:val="20"/>
                <w:szCs w:val="20"/>
              </w:rPr>
              <w:t>eiterated</w:t>
            </w:r>
          </w:p>
        </w:tc>
      </w:tr>
      <w:tr w:rsidR="00EB26A7" w:rsidRPr="005C04AC" w14:paraId="17333276" w14:textId="77777777" w:rsidTr="00EB26A7">
        <w:tc>
          <w:tcPr>
            <w:tcW w:w="2970" w:type="dxa"/>
            <w:hideMark/>
          </w:tcPr>
          <w:p w14:paraId="773CFE5C"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14:paraId="79F716D0"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5C04AC" w14:paraId="4C34EDD7" w14:textId="77777777" w:rsidTr="00EB26A7">
        <w:tc>
          <w:tcPr>
            <w:tcW w:w="2970" w:type="dxa"/>
            <w:hideMark/>
          </w:tcPr>
          <w:p w14:paraId="222386F3"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14:paraId="47FCE6F4" w14:textId="77777777" w:rsidR="00EB26A7" w:rsidRPr="00EB26A7" w:rsidRDefault="002A738B"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Second</w:t>
            </w:r>
            <w:r w:rsidRPr="005C04AC">
              <w:rPr>
                <w:spacing w:val="4"/>
                <w:sz w:val="20"/>
                <w:szCs w:val="20"/>
              </w:rPr>
              <w:t xml:space="preserve"> quarter </w:t>
            </w:r>
            <w:r>
              <w:rPr>
                <w:spacing w:val="4"/>
                <w:sz w:val="20"/>
                <w:szCs w:val="20"/>
              </w:rPr>
              <w:t>of 2020</w:t>
            </w:r>
          </w:p>
        </w:tc>
      </w:tr>
    </w:tbl>
    <w:p w14:paraId="25952AB9" w14:textId="77777777" w:rsidR="00F56305" w:rsidRPr="005C04AC" w:rsidRDefault="00F56305" w:rsidP="009C75E2">
      <w:pPr>
        <w:tabs>
          <w:tab w:val="left" w:pos="450"/>
          <w:tab w:val="center" w:pos="54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9" w:hanging="360"/>
        <w:jc w:val="both"/>
        <w:rPr>
          <w:spacing w:val="4"/>
          <w:w w:val="103"/>
          <w:kern w:val="14"/>
          <w:sz w:val="20"/>
          <w:szCs w:val="20"/>
        </w:rPr>
      </w:pPr>
    </w:p>
    <w:p w14:paraId="6694B7F9" w14:textId="77777777" w:rsidR="00EB26A7" w:rsidRPr="005C04AC" w:rsidRDefault="00EB26A7" w:rsidP="009C75E2">
      <w:pPr>
        <w:pStyle w:val="ListParagraph"/>
        <w:numPr>
          <w:ilvl w:val="0"/>
          <w:numId w:val="37"/>
        </w:numPr>
        <w:tabs>
          <w:tab w:val="center" w:pos="540"/>
          <w:tab w:val="center" w:pos="63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360" w:right="29"/>
        <w:jc w:val="both"/>
        <w:rPr>
          <w:b/>
          <w:bCs/>
          <w:spacing w:val="4"/>
          <w:w w:val="103"/>
          <w:kern w:val="14"/>
          <w:sz w:val="20"/>
          <w:szCs w:val="20"/>
        </w:rPr>
      </w:pPr>
      <w:r w:rsidRPr="005C04AC">
        <w:rPr>
          <w:b/>
          <w:bCs/>
          <w:spacing w:val="4"/>
          <w:w w:val="103"/>
          <w:kern w:val="14"/>
          <w:sz w:val="20"/>
          <w:szCs w:val="20"/>
        </w:rPr>
        <w:t>In paragraph 72, UNDP agreed with the Board’s recommendations (a) to enhance and document the follow-up mechanisms including feedback from all delayed participating organizations for future improvements, (b) to introduce measures to accelerate operational and financial closure of all overdue projects, and (c) as the largest UN fund administration service provider, to propose the idea of common policies and procedures around inter-agency pooled funding mechanisms to harmonize practices so as to enhance accuracy in reporting and timing of issuing reports.</w:t>
      </w:r>
    </w:p>
    <w:p w14:paraId="7262B135" w14:textId="77777777" w:rsidR="00EB26A7" w:rsidRPr="00EB26A7" w:rsidRDefault="00EB26A7" w:rsidP="009C75E2">
      <w:pPr>
        <w:tabs>
          <w:tab w:val="center" w:pos="540"/>
          <w:tab w:val="center" w:pos="63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spacing w:val="4"/>
          <w:w w:val="103"/>
          <w:kern w:val="14"/>
          <w:sz w:val="20"/>
          <w:szCs w:val="20"/>
        </w:rPr>
      </w:pPr>
    </w:p>
    <w:p w14:paraId="4F3531B8" w14:textId="77777777" w:rsidR="00BF7A18" w:rsidRDefault="006B23A7" w:rsidP="00F7506C">
      <w:pPr>
        <w:tabs>
          <w:tab w:val="center" w:pos="540"/>
          <w:tab w:val="center" w:pos="63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spacing w:val="4"/>
          <w:w w:val="103"/>
          <w:kern w:val="14"/>
          <w:sz w:val="20"/>
          <w:szCs w:val="20"/>
        </w:rPr>
      </w:pPr>
      <w:r w:rsidRPr="005C04AC">
        <w:rPr>
          <w:spacing w:val="4"/>
          <w:w w:val="103"/>
          <w:kern w:val="14"/>
          <w:sz w:val="20"/>
          <w:szCs w:val="20"/>
        </w:rPr>
        <w:tab/>
      </w:r>
      <w:r w:rsidR="00F7506C" w:rsidRPr="00F7506C">
        <w:rPr>
          <w:spacing w:val="4"/>
          <w:w w:val="103"/>
          <w:kern w:val="14"/>
          <w:sz w:val="20"/>
          <w:szCs w:val="20"/>
        </w:rPr>
        <w:t>The Board noted that UNDP had addressed the recommendation and that balances had been reduced, however it considers parts (a) and (b) of this recommendation to be under implementation. Part (c) of the recommendation was withdrawn by the Board in 2017.</w:t>
      </w:r>
    </w:p>
    <w:p w14:paraId="46C1363C" w14:textId="77777777" w:rsidR="00CF0FC7" w:rsidRPr="00EB26A7" w:rsidRDefault="00CF0FC7" w:rsidP="00F7506C">
      <w:pPr>
        <w:tabs>
          <w:tab w:val="center" w:pos="540"/>
          <w:tab w:val="center" w:pos="63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14:paraId="548AAAC4" w14:textId="77777777" w:rsidTr="00EB26A7">
        <w:tc>
          <w:tcPr>
            <w:tcW w:w="2970" w:type="dxa"/>
            <w:hideMark/>
          </w:tcPr>
          <w:p w14:paraId="7D4A8631"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14:paraId="2F0B034F"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BMS/ Multi-Partner Trust Fund Office</w:t>
            </w:r>
          </w:p>
        </w:tc>
      </w:tr>
      <w:tr w:rsidR="00EB26A7" w:rsidRPr="005C04AC" w14:paraId="650CA36E" w14:textId="77777777" w:rsidTr="00EB26A7">
        <w:tc>
          <w:tcPr>
            <w:tcW w:w="2970" w:type="dxa"/>
            <w:hideMark/>
          </w:tcPr>
          <w:p w14:paraId="66C5FC77"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14:paraId="54734436"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w:t>
            </w:r>
          </w:p>
        </w:tc>
      </w:tr>
      <w:tr w:rsidR="00EB26A7" w:rsidRPr="005C04AC" w14:paraId="33126969" w14:textId="77777777" w:rsidTr="00EB26A7">
        <w:tc>
          <w:tcPr>
            <w:tcW w:w="2970" w:type="dxa"/>
            <w:hideMark/>
          </w:tcPr>
          <w:p w14:paraId="30E6AEAB"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14:paraId="1CC7ABB1"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5C04AC" w14:paraId="0716FC81" w14:textId="77777777" w:rsidTr="00EB26A7">
        <w:tc>
          <w:tcPr>
            <w:tcW w:w="2970" w:type="dxa"/>
            <w:hideMark/>
          </w:tcPr>
          <w:p w14:paraId="6462BF41" w14:textId="77777777"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14:paraId="3B4FFFD9" w14:textId="77777777" w:rsidR="005D59B3" w:rsidRPr="00EB26A7" w:rsidRDefault="00BF7A18"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Pr>
                <w:spacing w:val="4"/>
                <w:sz w:val="20"/>
                <w:szCs w:val="20"/>
              </w:rPr>
              <w:t>-</w:t>
            </w:r>
          </w:p>
        </w:tc>
      </w:tr>
    </w:tbl>
    <w:p w14:paraId="17E19E15" w14:textId="77777777" w:rsidR="00EB26A7" w:rsidRPr="00EB26A7" w:rsidRDefault="00EB26A7" w:rsidP="009C75E2">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hanging="360"/>
        <w:jc w:val="both"/>
        <w:rPr>
          <w:spacing w:val="4"/>
          <w:w w:val="103"/>
          <w:kern w:val="14"/>
          <w:sz w:val="20"/>
          <w:szCs w:val="20"/>
          <w:lang w:val="en-GB"/>
        </w:rPr>
      </w:pPr>
    </w:p>
    <w:sectPr w:rsidR="00EB26A7" w:rsidRPr="00EB26A7" w:rsidSect="00F10A6D">
      <w:headerReference w:type="even" r:id="rId11"/>
      <w:headerReference w:type="default" r:id="rId12"/>
      <w:footerReference w:type="even" r:id="rId13"/>
      <w:footerReference w:type="default" r:id="rId14"/>
      <w:headerReference w:type="first" r:id="rId15"/>
      <w:type w:val="continuous"/>
      <w:pgSz w:w="12240" w:h="15840" w:code="1"/>
      <w:pgMar w:top="1526" w:right="864" w:bottom="1166" w:left="1890" w:header="576" w:footer="10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235C0" w14:textId="77777777" w:rsidR="00A20B57" w:rsidRDefault="00A20B57">
      <w:r>
        <w:separator/>
      </w:r>
    </w:p>
  </w:endnote>
  <w:endnote w:type="continuationSeparator" w:id="0">
    <w:p w14:paraId="3DEC8A0C" w14:textId="77777777" w:rsidR="00A20B57" w:rsidRDefault="00A2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FA96" w14:textId="77777777" w:rsidR="00D15D56" w:rsidRDefault="00D15D56" w:rsidP="00F10A6D">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AC45" w14:textId="77777777" w:rsidR="00D15D56" w:rsidRPr="00AB0D7D" w:rsidRDefault="00D15D56" w:rsidP="00AB0D7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A4E77" w14:textId="77777777" w:rsidR="00A20B57" w:rsidRDefault="00A20B57">
      <w:r>
        <w:separator/>
      </w:r>
    </w:p>
  </w:footnote>
  <w:footnote w:type="continuationSeparator" w:id="0">
    <w:p w14:paraId="0DEED3AA" w14:textId="77777777" w:rsidR="00A20B57" w:rsidRDefault="00A2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70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15D56" w:rsidRPr="00F10A6D" w14:paraId="11B89284" w14:textId="77777777" w:rsidTr="00F10A6D">
      <w:trPr>
        <w:trHeight w:hRule="exact" w:val="864"/>
      </w:trPr>
      <w:tc>
        <w:tcPr>
          <w:tcW w:w="4838" w:type="dxa"/>
          <w:vAlign w:val="bottom"/>
        </w:tcPr>
        <w:p w14:paraId="54BEA604" w14:textId="77777777" w:rsidR="00D15D56" w:rsidRPr="00F10A6D" w:rsidRDefault="00D15D56" w:rsidP="00F10A6D">
          <w:pPr>
            <w:tabs>
              <w:tab w:val="center" w:pos="4320"/>
              <w:tab w:val="right" w:pos="8640"/>
            </w:tabs>
            <w:spacing w:after="80"/>
            <w:rPr>
              <w:b/>
              <w:noProof/>
              <w:sz w:val="17"/>
              <w:szCs w:val="20"/>
            </w:rPr>
          </w:pPr>
          <w:r w:rsidRPr="00F10A6D">
            <w:rPr>
              <w:b/>
              <w:noProof/>
              <w:sz w:val="17"/>
              <w:szCs w:val="20"/>
            </w:rPr>
            <w:fldChar w:fldCharType="begin"/>
          </w:r>
          <w:r w:rsidRPr="00F10A6D">
            <w:rPr>
              <w:b/>
              <w:noProof/>
              <w:sz w:val="17"/>
              <w:szCs w:val="20"/>
            </w:rPr>
            <w:instrText xml:space="preserve"> DOCVARIABLE "Symbol1" \* MERGEFORMAT </w:instrText>
          </w:r>
          <w:r w:rsidRPr="00F10A6D">
            <w:rPr>
              <w:b/>
              <w:noProof/>
              <w:sz w:val="17"/>
              <w:szCs w:val="20"/>
            </w:rPr>
            <w:fldChar w:fldCharType="end"/>
          </w:r>
        </w:p>
      </w:tc>
      <w:tc>
        <w:tcPr>
          <w:tcW w:w="5047" w:type="dxa"/>
          <w:vAlign w:val="bottom"/>
        </w:tcPr>
        <w:p w14:paraId="30F3BD79" w14:textId="77777777" w:rsidR="00D15D56" w:rsidRPr="00F10A6D" w:rsidRDefault="00D15D56" w:rsidP="00F10A6D">
          <w:pPr>
            <w:tabs>
              <w:tab w:val="center" w:pos="4972"/>
              <w:tab w:val="right" w:pos="8640"/>
            </w:tabs>
            <w:spacing w:after="80"/>
            <w:jc w:val="right"/>
            <w:rPr>
              <w:b/>
              <w:noProof/>
              <w:sz w:val="17"/>
              <w:szCs w:val="20"/>
            </w:rPr>
          </w:pPr>
        </w:p>
      </w:tc>
    </w:tr>
  </w:tbl>
  <w:p w14:paraId="70D99756" w14:textId="77777777" w:rsidR="00D15D56" w:rsidRDefault="00D15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6230" w14:textId="77777777" w:rsidR="00D15D56" w:rsidRDefault="00D15D56">
    <w:pPr>
      <w:pStyle w:val="Header"/>
    </w:pPr>
    <w:r>
      <mc:AlternateContent>
        <mc:Choice Requires="wps">
          <w:drawing>
            <wp:anchor distT="0" distB="0" distL="114300" distR="114300" simplePos="0" relativeHeight="251657728" behindDoc="0" locked="0" layoutInCell="1" allowOverlap="1" wp14:anchorId="42D009D8" wp14:editId="42166E66">
              <wp:simplePos x="0" y="0"/>
              <wp:positionH relativeFrom="column">
                <wp:posOffset>-419100</wp:posOffset>
              </wp:positionH>
              <wp:positionV relativeFrom="paragraph">
                <wp:posOffset>-173355</wp:posOffset>
              </wp:positionV>
              <wp:extent cx="6400800" cy="6400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15D56" w14:paraId="1E4E0DF2" w14:textId="77777777">
                            <w:trPr>
                              <w:trHeight w:hRule="exact" w:val="864"/>
                            </w:trPr>
                            <w:tc>
                              <w:tcPr>
                                <w:tcW w:w="4838" w:type="dxa"/>
                                <w:vAlign w:val="bottom"/>
                              </w:tcPr>
                              <w:p w14:paraId="71960B1B" w14:textId="77777777" w:rsidR="00D15D56" w:rsidRDefault="00D15D56">
                                <w:pPr>
                                  <w:pStyle w:val="Header"/>
                                  <w:spacing w:after="80"/>
                                  <w:rPr>
                                    <w:b/>
                                  </w:rPr>
                                </w:pPr>
                              </w:p>
                            </w:tc>
                            <w:tc>
                              <w:tcPr>
                                <w:tcW w:w="5047" w:type="dxa"/>
                                <w:vAlign w:val="bottom"/>
                              </w:tcPr>
                              <w:p w14:paraId="2434F2A9" w14:textId="77777777" w:rsidR="00D15D56" w:rsidRDefault="00D15D56" w:rsidP="00FA50CC">
                                <w:pPr>
                                  <w:pStyle w:val="Header"/>
                                  <w:spacing w:after="60"/>
                                  <w:jc w:val="right"/>
                                </w:pPr>
                                <w:r>
                                  <w:rPr>
                                    <w:b/>
                                  </w:rPr>
                                  <w:t>Annexes to DP/</w:t>
                                </w:r>
                                <w:r w:rsidR="00921252">
                                  <w:rPr>
                                    <w:b/>
                                  </w:rPr>
                                  <w:t>2020/3</w:t>
                                </w:r>
                              </w:p>
                            </w:tc>
                          </w:tr>
                        </w:tbl>
                        <w:p w14:paraId="3379BA82" w14:textId="77777777" w:rsidR="00D15D56" w:rsidRPr="00F10A6D" w:rsidRDefault="00D15D56" w:rsidP="000C0910">
                          <w:pPr>
                            <w:rPr>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2D009D8" id="_x0000_t202" coordsize="21600,21600" o:spt="202" path="m,l,21600r21600,l21600,xe">
              <v:stroke joinstyle="miter"/>
              <v:path gradientshapeok="t" o:connecttype="rect"/>
            </v:shapetype>
            <v:shape id="Text Box 1" o:spid="_x0000_s1026" type="#_x0000_t202" style="position:absolute;margin-left:-33pt;margin-top:-13.65pt;width:7in;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Zy7gEAANMDAAAOAAAAZHJzL2Uyb0RvYy54bWysU9tu2zAMfR+wfxD0vtgphqIw4hRdigwD&#10;ugvQ7gNoWY6FyaJGKbGzrx8lJ2mwvQ3zg0BJ5NE5h/TqfhqsOGgKBl0tl4tSCu0Utsbtavn9Zfvu&#10;TooQwbVg0elaHnWQ9+u3b1ajr/QN9mhbTYJBXKhGX8s+Rl8VRVC9HiAs0GvHlx3SAJG3tCtagpHR&#10;B1vclOVtMSK1nlDpEPj0cb6U64zfdVrFr10XdBS2lswt5pXy2qS1WK+g2hH43qgTDfgHFgMYx49e&#10;oB4hgtiT+QtqMIowYBcXCocCu84onTWwmmX5h5rnHrzOWtic4C82hf8Hq74cvpEwLfdOCgcDt+hF&#10;T1F8wEkskzujDxUnPXtOixMfp8ykNPgnVD+CcLjpwe30AxGOvYaW2eXK4qp0xgkJpBk/Y8vPwD5i&#10;Bpo6GhIgmyEYnbt0vHQmUVF8ePu+LO9KvlJ8N28SuQKqc7WnED9qHEQKaknc+YwOh6cQ59RzSmaP&#10;1rRbY23e0K7ZWBIH4CnZ5u+EHq7TrEvJDlPZjJhOssykbNYYp2Y62dZge2TBhPPU8V/CQY/0S4qR&#10;J66W4eceSEthPzk2LY3nOaBz0JwDcIpLaxmlmMNNzGM8U3pgMzuTdSbX55dP3HhyslOnKU+jeb3P&#10;Wa//4vo3AAAA//8DAFBLAwQUAAYACAAAACEAlQ/LaeAAAAAKAQAADwAAAGRycy9kb3ducmV2Lnht&#10;bEyPQU/DMAyF70j8h8hIXNCW0kEHpekEG9zgsDHtnDWmrWicKknX7t9jTnCz/Z6ev1esJtuJE/rQ&#10;OlJwO09AIFXOtFQr2H++zR5AhKjJ6M4RKjhjgFV5eVHo3LiRtnjaxVpwCIVcK2hi7HMpQ9Wg1WHu&#10;eiTWvpy3OvLqa2m8HjncdjJNkkxa3RJ/aHSP6war791gFWQbP4xbWt9s9q/v+qOv08PL+aDU9dX0&#10;/AQi4hT/zPCLz+hQMtPRDWSC6BTMsoy7RB7S5QIEOx7vUr4cFSwX9yDLQv6vUP4AAAD//wMAUEsB&#10;Ai0AFAAGAAgAAAAhALaDOJL+AAAA4QEAABMAAAAAAAAAAAAAAAAAAAAAAFtDb250ZW50X1R5cGVz&#10;XS54bWxQSwECLQAUAAYACAAAACEAOP0h/9YAAACUAQAACwAAAAAAAAAAAAAAAAAvAQAAX3JlbHMv&#10;LnJlbHNQSwECLQAUAAYACAAAACEA7+xmcu4BAADTAwAADgAAAAAAAAAAAAAAAAAuAgAAZHJzL2Uy&#10;b0RvYy54bWxQSwECLQAUAAYACAAAACEAlQ/LaeAAAAAKAQAADwAAAAAAAAAAAAAAAABIBAAAZHJz&#10;L2Rvd25yZXYueG1sUEsFBgAAAAAEAAQA8wAAAFUFAAAAAA==&#10;"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15D56" w14:paraId="1E4E0DF2" w14:textId="77777777">
                      <w:trPr>
                        <w:trHeight w:hRule="exact" w:val="864"/>
                      </w:trPr>
                      <w:tc>
                        <w:tcPr>
                          <w:tcW w:w="4838" w:type="dxa"/>
                          <w:vAlign w:val="bottom"/>
                        </w:tcPr>
                        <w:p w14:paraId="71960B1B" w14:textId="77777777" w:rsidR="00D15D56" w:rsidRDefault="00D15D56">
                          <w:pPr>
                            <w:pStyle w:val="Header"/>
                            <w:spacing w:after="80"/>
                            <w:rPr>
                              <w:b/>
                            </w:rPr>
                          </w:pPr>
                        </w:p>
                      </w:tc>
                      <w:tc>
                        <w:tcPr>
                          <w:tcW w:w="5047" w:type="dxa"/>
                          <w:vAlign w:val="bottom"/>
                        </w:tcPr>
                        <w:p w14:paraId="2434F2A9" w14:textId="77777777" w:rsidR="00D15D56" w:rsidRDefault="00D15D56" w:rsidP="00FA50CC">
                          <w:pPr>
                            <w:pStyle w:val="Header"/>
                            <w:spacing w:after="60"/>
                            <w:jc w:val="right"/>
                          </w:pPr>
                          <w:r>
                            <w:rPr>
                              <w:b/>
                            </w:rPr>
                            <w:t>Annexes to DP/</w:t>
                          </w:r>
                          <w:r w:rsidR="00921252">
                            <w:rPr>
                              <w:b/>
                            </w:rPr>
                            <w:t>2020/3</w:t>
                          </w:r>
                        </w:p>
                      </w:tc>
                    </w:tr>
                  </w:tbl>
                  <w:p w14:paraId="3379BA82" w14:textId="77777777" w:rsidR="00D15D56" w:rsidRPr="00F10A6D" w:rsidRDefault="00D15D56" w:rsidP="000C0910">
                    <w:pPr>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C870" w14:textId="77777777" w:rsidR="00D15D56" w:rsidRPr="00CB25BD" w:rsidRDefault="00D15D56" w:rsidP="006806B7">
    <w:pPr>
      <w:pStyle w:val="Header"/>
      <w:rPr>
        <w:sz w:val="2"/>
        <w:szCs w:val="2"/>
      </w:rPr>
    </w:pPr>
    <w:r>
      <w:rPr>
        <w:sz w:val="2"/>
        <w:szCs w:val="2"/>
      </w:rPr>
      <w:t>AnneAnn</w:t>
    </w:r>
  </w:p>
  <w:tbl>
    <w:tblPr>
      <w:tblW w:w="0" w:type="auto"/>
      <w:tblInd w:w="-70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15D56" w14:paraId="3AF44772" w14:textId="77777777" w:rsidTr="00FA50CC">
      <w:trPr>
        <w:trHeight w:hRule="exact" w:val="864"/>
      </w:trPr>
      <w:tc>
        <w:tcPr>
          <w:tcW w:w="4838" w:type="dxa"/>
          <w:vAlign w:val="bottom"/>
        </w:tcPr>
        <w:p w14:paraId="010B5E03" w14:textId="77777777" w:rsidR="00D15D56" w:rsidRDefault="00D15D56" w:rsidP="00FA50CC">
          <w:pPr>
            <w:pStyle w:val="Header"/>
            <w:spacing w:after="80"/>
            <w:rPr>
              <w:b/>
            </w:rPr>
          </w:pPr>
        </w:p>
      </w:tc>
      <w:tc>
        <w:tcPr>
          <w:tcW w:w="5047" w:type="dxa"/>
          <w:vAlign w:val="bottom"/>
        </w:tcPr>
        <w:p w14:paraId="2C224D17" w14:textId="77777777" w:rsidR="00D15D56" w:rsidRDefault="00D15D56" w:rsidP="00FA50CC">
          <w:pPr>
            <w:pStyle w:val="Header"/>
            <w:spacing w:after="60"/>
            <w:jc w:val="right"/>
          </w:pPr>
          <w:r>
            <w:rPr>
              <w:b/>
            </w:rPr>
            <w:t>Annex to DP/2020/3</w:t>
          </w:r>
        </w:p>
      </w:tc>
    </w:tr>
  </w:tbl>
  <w:p w14:paraId="4865A875" w14:textId="77777777" w:rsidR="00D15D56" w:rsidRPr="00CB25BD" w:rsidRDefault="00D15D56" w:rsidP="006806B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E78"/>
    <w:multiLevelType w:val="hybridMultilevel"/>
    <w:tmpl w:val="70D87A2C"/>
    <w:lvl w:ilvl="0" w:tplc="8C3416AA">
      <w:start w:val="1"/>
      <w:numFmt w:val="lowerLetter"/>
      <w:lvlText w:val="(%1)"/>
      <w:lvlJc w:val="left"/>
      <w:pPr>
        <w:ind w:left="1627" w:hanging="360"/>
      </w:pPr>
      <w:rPr>
        <w:rFonts w:hint="default"/>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68E2909"/>
    <w:multiLevelType w:val="hybridMultilevel"/>
    <w:tmpl w:val="D6A0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9724D"/>
    <w:multiLevelType w:val="hybridMultilevel"/>
    <w:tmpl w:val="9146C83C"/>
    <w:lvl w:ilvl="0" w:tplc="8B388768">
      <w:start w:val="48"/>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3035C"/>
    <w:multiLevelType w:val="hybridMultilevel"/>
    <w:tmpl w:val="002E214C"/>
    <w:lvl w:ilvl="0" w:tplc="C026280A">
      <w:start w:val="1"/>
      <w:numFmt w:val="lowerLetter"/>
      <w:lvlText w:val="%1."/>
      <w:lvlJc w:val="left"/>
      <w:pPr>
        <w:tabs>
          <w:tab w:val="num" w:pos="1440"/>
        </w:tabs>
        <w:ind w:left="1440" w:hanging="360"/>
      </w:pPr>
      <w:rPr>
        <w:cap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16693"/>
    <w:multiLevelType w:val="hybridMultilevel"/>
    <w:tmpl w:val="85EC2B7A"/>
    <w:lvl w:ilvl="0" w:tplc="73C24832">
      <w:start w:val="1"/>
      <w:numFmt w:val="decimal"/>
      <w:lvlText w:val="%1."/>
      <w:lvlJc w:val="left"/>
      <w:pPr>
        <w:ind w:left="360" w:hanging="360"/>
      </w:pPr>
      <w:rPr>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5267542"/>
    <w:multiLevelType w:val="hybridMultilevel"/>
    <w:tmpl w:val="DB26F9C0"/>
    <w:lvl w:ilvl="0" w:tplc="2B7A33C2">
      <w:start w:val="48"/>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6D925F3"/>
    <w:multiLevelType w:val="hybridMultilevel"/>
    <w:tmpl w:val="85EC2B7A"/>
    <w:lvl w:ilvl="0" w:tplc="73C24832">
      <w:start w:val="1"/>
      <w:numFmt w:val="decimal"/>
      <w:lvlText w:val="%1."/>
      <w:lvlJc w:val="left"/>
      <w:pPr>
        <w:ind w:left="360" w:hanging="360"/>
      </w:pPr>
      <w:rPr>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B14FBA"/>
    <w:multiLevelType w:val="hybridMultilevel"/>
    <w:tmpl w:val="7C48387A"/>
    <w:lvl w:ilvl="0" w:tplc="02D63A52">
      <w:start w:val="1"/>
      <w:numFmt w:val="upperLetter"/>
      <w:lvlText w:val="%1."/>
      <w:lvlJc w:val="left"/>
      <w:pPr>
        <w:ind w:left="576" w:hanging="360"/>
      </w:pPr>
      <w:rPr>
        <w:rFonts w:eastAsia="Calibri" w:hint="default"/>
        <w:b/>
        <w:i w:val="0"/>
        <w:w w:val="103"/>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2126726D"/>
    <w:multiLevelType w:val="hybridMultilevel"/>
    <w:tmpl w:val="CC568720"/>
    <w:lvl w:ilvl="0" w:tplc="663CABC8">
      <w:start w:val="1"/>
      <w:numFmt w:val="decimal"/>
      <w:lvlText w:val="%1."/>
      <w:lvlJc w:val="left"/>
      <w:pPr>
        <w:tabs>
          <w:tab w:val="num" w:pos="1170"/>
        </w:tabs>
        <w:ind w:left="450" w:firstLine="0"/>
      </w:pPr>
      <w:rPr>
        <w:rFonts w:hint="default"/>
        <w:b/>
      </w:rPr>
    </w:lvl>
    <w:lvl w:ilvl="1" w:tplc="C026280A">
      <w:start w:val="1"/>
      <w:numFmt w:val="lowerLetter"/>
      <w:lvlText w:val="%2."/>
      <w:lvlJc w:val="left"/>
      <w:pPr>
        <w:tabs>
          <w:tab w:val="num" w:pos="1890"/>
        </w:tabs>
        <w:ind w:left="1890" w:hanging="360"/>
      </w:pPr>
      <w:rPr>
        <w:caps/>
      </w:rPr>
    </w:lvl>
    <w:lvl w:ilvl="2" w:tplc="B3F2BEA8">
      <w:start w:val="2"/>
      <w:numFmt w:val="upperLetter"/>
      <w:lvlText w:val="%3."/>
      <w:lvlJc w:val="left"/>
      <w:pPr>
        <w:ind w:left="900" w:hanging="360"/>
      </w:pPr>
      <w:rPr>
        <w:rFonts w:hint="default"/>
      </w:rPr>
    </w:lvl>
    <w:lvl w:ilvl="3" w:tplc="0809000F">
      <w:start w:val="1"/>
      <w:numFmt w:val="decimal"/>
      <w:lvlText w:val="%4."/>
      <w:lvlJc w:val="left"/>
      <w:pPr>
        <w:tabs>
          <w:tab w:val="num" w:pos="3330"/>
        </w:tabs>
        <w:ind w:left="3330" w:hanging="360"/>
      </w:pPr>
    </w:lvl>
    <w:lvl w:ilvl="4" w:tplc="08090019" w:tentative="1">
      <w:start w:val="1"/>
      <w:numFmt w:val="lowerLetter"/>
      <w:lvlText w:val="%5."/>
      <w:lvlJc w:val="left"/>
      <w:pPr>
        <w:tabs>
          <w:tab w:val="num" w:pos="4050"/>
        </w:tabs>
        <w:ind w:left="4050" w:hanging="360"/>
      </w:pPr>
    </w:lvl>
    <w:lvl w:ilvl="5" w:tplc="0809001B" w:tentative="1">
      <w:start w:val="1"/>
      <w:numFmt w:val="lowerRoman"/>
      <w:lvlText w:val="%6."/>
      <w:lvlJc w:val="right"/>
      <w:pPr>
        <w:tabs>
          <w:tab w:val="num" w:pos="4770"/>
        </w:tabs>
        <w:ind w:left="4770" w:hanging="180"/>
      </w:pPr>
    </w:lvl>
    <w:lvl w:ilvl="6" w:tplc="0809000F" w:tentative="1">
      <w:start w:val="1"/>
      <w:numFmt w:val="decimal"/>
      <w:lvlText w:val="%7."/>
      <w:lvlJc w:val="left"/>
      <w:pPr>
        <w:tabs>
          <w:tab w:val="num" w:pos="5490"/>
        </w:tabs>
        <w:ind w:left="5490" w:hanging="360"/>
      </w:pPr>
    </w:lvl>
    <w:lvl w:ilvl="7" w:tplc="08090019" w:tentative="1">
      <w:start w:val="1"/>
      <w:numFmt w:val="lowerLetter"/>
      <w:lvlText w:val="%8."/>
      <w:lvlJc w:val="left"/>
      <w:pPr>
        <w:tabs>
          <w:tab w:val="num" w:pos="6210"/>
        </w:tabs>
        <w:ind w:left="6210" w:hanging="360"/>
      </w:pPr>
    </w:lvl>
    <w:lvl w:ilvl="8" w:tplc="0809001B" w:tentative="1">
      <w:start w:val="1"/>
      <w:numFmt w:val="lowerRoman"/>
      <w:lvlText w:val="%9."/>
      <w:lvlJc w:val="right"/>
      <w:pPr>
        <w:tabs>
          <w:tab w:val="num" w:pos="6930"/>
        </w:tabs>
        <w:ind w:left="6930" w:hanging="180"/>
      </w:pPr>
    </w:lvl>
  </w:abstractNum>
  <w:abstractNum w:abstractNumId="9" w15:restartNumberingAfterBreak="0">
    <w:nsid w:val="22BA04E5"/>
    <w:multiLevelType w:val="hybridMultilevel"/>
    <w:tmpl w:val="67C69DDE"/>
    <w:lvl w:ilvl="0" w:tplc="29E8FB52">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4557A06"/>
    <w:multiLevelType w:val="hybridMultilevel"/>
    <w:tmpl w:val="3508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E3EF5"/>
    <w:multiLevelType w:val="hybridMultilevel"/>
    <w:tmpl w:val="EDF676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5BF593B"/>
    <w:multiLevelType w:val="hybridMultilevel"/>
    <w:tmpl w:val="E61E955A"/>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47B88"/>
    <w:multiLevelType w:val="hybridMultilevel"/>
    <w:tmpl w:val="FCC4AD68"/>
    <w:lvl w:ilvl="0" w:tplc="5B729740">
      <w:start w:val="1"/>
      <w:numFmt w:val="decimal"/>
      <w:suff w:val="space"/>
      <w:lvlText w:val="%1."/>
      <w:lvlJc w:val="left"/>
      <w:pPr>
        <w:ind w:left="504"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4F7897"/>
    <w:multiLevelType w:val="hybridMultilevel"/>
    <w:tmpl w:val="C1C2B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D4D58"/>
    <w:multiLevelType w:val="hybridMultilevel"/>
    <w:tmpl w:val="4B601782"/>
    <w:lvl w:ilvl="0" w:tplc="011CEC0C">
      <w:start w:val="1"/>
      <w:numFmt w:val="upperLetter"/>
      <w:lvlText w:val="%1."/>
      <w:lvlJc w:val="left"/>
      <w:pPr>
        <w:ind w:left="5107" w:hanging="420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35D86E7D"/>
    <w:multiLevelType w:val="hybridMultilevel"/>
    <w:tmpl w:val="C55022C8"/>
    <w:lvl w:ilvl="0" w:tplc="5DC851C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4169F"/>
    <w:multiLevelType w:val="multilevel"/>
    <w:tmpl w:val="906E4D8A"/>
    <w:styleLink w:val="Style1"/>
    <w:lvl w:ilvl="0">
      <w:start w:val="1"/>
      <w:numFmt w:val="upperRoman"/>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A3E2082"/>
    <w:multiLevelType w:val="hybridMultilevel"/>
    <w:tmpl w:val="99FE1F54"/>
    <w:lvl w:ilvl="0" w:tplc="4409000F">
      <w:start w:val="1"/>
      <w:numFmt w:val="decimal"/>
      <w:lvlText w:val="%1."/>
      <w:lvlJc w:val="left"/>
      <w:pPr>
        <w:ind w:left="360" w:hanging="360"/>
      </w:p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3ABD2E27"/>
    <w:multiLevelType w:val="hybridMultilevel"/>
    <w:tmpl w:val="B91AA10C"/>
    <w:name w:val="TOC4"/>
    <w:lvl w:ilvl="0" w:tplc="D8D85A34">
      <w:start w:val="1"/>
      <w:numFmt w:val="upperRoman"/>
      <w:lvlText w:val="%1."/>
      <w:lvlJc w:val="right"/>
      <w:pPr>
        <w:tabs>
          <w:tab w:val="num" w:pos="1440"/>
        </w:tabs>
        <w:ind w:left="1440" w:hanging="360"/>
      </w:pPr>
      <w:rPr>
        <w:rFonts w:hint="default"/>
      </w:rPr>
    </w:lvl>
    <w:lvl w:ilvl="1" w:tplc="38101D84">
      <w:start w:val="1"/>
      <w:numFmt w:val="decimal"/>
      <w:lvlText w:val="%2."/>
      <w:lvlJc w:val="left"/>
      <w:pPr>
        <w:tabs>
          <w:tab w:val="num" w:pos="720"/>
        </w:tabs>
        <w:ind w:left="0" w:firstLine="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2242B0"/>
    <w:multiLevelType w:val="hybridMultilevel"/>
    <w:tmpl w:val="D9C84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90F82"/>
    <w:multiLevelType w:val="hybridMultilevel"/>
    <w:tmpl w:val="021C5AF6"/>
    <w:lvl w:ilvl="0" w:tplc="150A99EC">
      <w:start w:val="1"/>
      <w:numFmt w:val="lowerLetter"/>
      <w:lvlText w:val="(%1)"/>
      <w:lvlJc w:val="left"/>
      <w:pPr>
        <w:ind w:left="900" w:hanging="360"/>
      </w:pPr>
      <w:rPr>
        <w:rFonts w:ascii="Times New Roman" w:eastAsia="Times New Roman" w:hAnsi="Times New Roman" w:cs="Times New Roman"/>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EA91D19"/>
    <w:multiLevelType w:val="hybridMultilevel"/>
    <w:tmpl w:val="0A4E9D74"/>
    <w:lvl w:ilvl="0" w:tplc="4DC4CFC0">
      <w:start w:val="6"/>
      <w:numFmt w:val="decimal"/>
      <w:lvlText w:val="%1."/>
      <w:lvlJc w:val="left"/>
      <w:pPr>
        <w:tabs>
          <w:tab w:val="num" w:pos="1080"/>
        </w:tabs>
        <w:ind w:left="360" w:firstLine="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74FAF"/>
    <w:multiLevelType w:val="hybridMultilevel"/>
    <w:tmpl w:val="E61E955A"/>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60DF8"/>
    <w:multiLevelType w:val="hybridMultilevel"/>
    <w:tmpl w:val="D898F808"/>
    <w:lvl w:ilvl="0" w:tplc="0409000F">
      <w:start w:val="1"/>
      <w:numFmt w:val="decimal"/>
      <w:lvlText w:val="%1."/>
      <w:lvlJc w:val="left"/>
      <w:pPr>
        <w:ind w:left="1080" w:hanging="360"/>
      </w:pPr>
    </w:lvl>
    <w:lvl w:ilvl="1" w:tplc="04090017">
      <w:start w:val="1"/>
      <w:numFmt w:val="lowerLetter"/>
      <w:lvlText w:val="%2)"/>
      <w:lvlJc w:val="left"/>
      <w:pPr>
        <w:ind w:left="1890" w:hanging="360"/>
      </w:pPr>
    </w:lvl>
    <w:lvl w:ilvl="2" w:tplc="0409001B">
      <w:start w:val="1"/>
      <w:numFmt w:val="lowerRoman"/>
      <w:lvlText w:val="%3."/>
      <w:lvlJc w:val="right"/>
      <w:pPr>
        <w:ind w:left="2610" w:hanging="180"/>
      </w:pPr>
    </w:lvl>
    <w:lvl w:ilvl="3" w:tplc="04090001">
      <w:start w:val="1"/>
      <w:numFmt w:val="bullet"/>
      <w:lvlText w:val=""/>
      <w:lvlJc w:val="left"/>
      <w:pPr>
        <w:ind w:left="3330" w:hanging="360"/>
      </w:pPr>
      <w:rPr>
        <w:rFonts w:ascii="Symbol" w:hAnsi="Symbol"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1C85B44"/>
    <w:multiLevelType w:val="hybridMultilevel"/>
    <w:tmpl w:val="B61A9B2E"/>
    <w:lvl w:ilvl="0" w:tplc="BC06AB66">
      <w:start w:val="1"/>
      <w:numFmt w:val="upperLetter"/>
      <w:lvlText w:val="%1."/>
      <w:lvlJc w:val="left"/>
      <w:pPr>
        <w:ind w:left="1260" w:hanging="360"/>
      </w:pPr>
      <w:rPr>
        <w:rFonts w:hint="default"/>
        <w:b/>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4C02E98"/>
    <w:multiLevelType w:val="hybridMultilevel"/>
    <w:tmpl w:val="11625180"/>
    <w:lvl w:ilvl="0" w:tplc="663CABC8">
      <w:start w:val="1"/>
      <w:numFmt w:val="decimal"/>
      <w:lvlText w:val="%1."/>
      <w:lvlJc w:val="left"/>
      <w:pPr>
        <w:tabs>
          <w:tab w:val="num" w:pos="720"/>
        </w:tabs>
        <w:ind w:left="0" w:firstLine="0"/>
      </w:pPr>
      <w:rPr>
        <w:rFonts w:hint="default"/>
        <w:b/>
      </w:rPr>
    </w:lvl>
    <w:lvl w:ilvl="1" w:tplc="C026280A">
      <w:start w:val="1"/>
      <w:numFmt w:val="lowerLetter"/>
      <w:lvlText w:val="%2."/>
      <w:lvlJc w:val="left"/>
      <w:pPr>
        <w:tabs>
          <w:tab w:val="num" w:pos="1440"/>
        </w:tabs>
        <w:ind w:left="1440" w:hanging="360"/>
      </w:pPr>
      <w:rPr>
        <w:caps/>
      </w:rPr>
    </w:lvl>
    <w:lvl w:ilvl="2" w:tplc="B3F2BEA8">
      <w:start w:val="2"/>
      <w:numFmt w:val="upperLetter"/>
      <w:lvlText w:val="%3."/>
      <w:lvlJc w:val="left"/>
      <w:pPr>
        <w:ind w:left="45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A94292"/>
    <w:multiLevelType w:val="hybridMultilevel"/>
    <w:tmpl w:val="8252E7F8"/>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C3B47"/>
    <w:multiLevelType w:val="hybridMultilevel"/>
    <w:tmpl w:val="7B0029F2"/>
    <w:lvl w:ilvl="0" w:tplc="A3905BFE">
      <w:start w:val="5"/>
      <w:numFmt w:val="upperLetter"/>
      <w:lvlText w:val="%1."/>
      <w:lvlJc w:val="left"/>
      <w:pPr>
        <w:ind w:left="810" w:hanging="360"/>
      </w:pPr>
      <w:rPr>
        <w:rFonts w:ascii="Times New Roman" w:eastAsia="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B1891"/>
    <w:multiLevelType w:val="hybridMultilevel"/>
    <w:tmpl w:val="0074AB70"/>
    <w:lvl w:ilvl="0" w:tplc="8AE603A4">
      <w:start w:val="1"/>
      <w:numFmt w:val="upperRoman"/>
      <w:lvlText w:val="%1."/>
      <w:lvlJc w:val="lef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0" w15:restartNumberingAfterBreak="0">
    <w:nsid w:val="62DC590A"/>
    <w:multiLevelType w:val="hybridMultilevel"/>
    <w:tmpl w:val="0D885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EE6F5B"/>
    <w:multiLevelType w:val="hybridMultilevel"/>
    <w:tmpl w:val="F5BCE6AA"/>
    <w:lvl w:ilvl="0" w:tplc="833C2186">
      <w:start w:val="5"/>
      <w:numFmt w:val="decimal"/>
      <w:lvlText w:val="%1."/>
      <w:lvlJc w:val="left"/>
      <w:pPr>
        <w:ind w:left="990" w:hanging="360"/>
      </w:pPr>
      <w:rPr>
        <w:b w:val="0"/>
        <w:bCs w:val="0"/>
        <w:color w:val="auto"/>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851401B"/>
    <w:multiLevelType w:val="hybridMultilevel"/>
    <w:tmpl w:val="002E214C"/>
    <w:lvl w:ilvl="0" w:tplc="C026280A">
      <w:start w:val="1"/>
      <w:numFmt w:val="lowerLetter"/>
      <w:lvlText w:val="%1."/>
      <w:lvlJc w:val="left"/>
      <w:pPr>
        <w:tabs>
          <w:tab w:val="num" w:pos="1440"/>
        </w:tabs>
        <w:ind w:left="1440" w:hanging="360"/>
      </w:pPr>
      <w:rPr>
        <w:cap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B38FC"/>
    <w:multiLevelType w:val="hybridMultilevel"/>
    <w:tmpl w:val="E24E7C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D5484"/>
    <w:multiLevelType w:val="hybridMultilevel"/>
    <w:tmpl w:val="419A0B3E"/>
    <w:lvl w:ilvl="0" w:tplc="AC4A1B34">
      <w:start w:val="1"/>
      <w:numFmt w:val="decimal"/>
      <w:suff w:val="space"/>
      <w:lvlText w:val="%1."/>
      <w:lvlJc w:val="left"/>
      <w:pPr>
        <w:ind w:left="306" w:hanging="216"/>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D8A1BD4"/>
    <w:multiLevelType w:val="hybridMultilevel"/>
    <w:tmpl w:val="83A85A7E"/>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63737"/>
    <w:multiLevelType w:val="hybridMultilevel"/>
    <w:tmpl w:val="E61E955A"/>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F4C76"/>
    <w:multiLevelType w:val="hybridMultilevel"/>
    <w:tmpl w:val="75C4517A"/>
    <w:lvl w:ilvl="0" w:tplc="AC2EF48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8" w15:restartNumberingAfterBreak="0">
    <w:nsid w:val="7D54666A"/>
    <w:multiLevelType w:val="hybridMultilevel"/>
    <w:tmpl w:val="D5A0D35A"/>
    <w:lvl w:ilvl="0" w:tplc="CA5A5876">
      <w:start w:val="1"/>
      <w:numFmt w:val="upperLetter"/>
      <w:lvlText w:val="%1."/>
      <w:lvlJc w:val="left"/>
      <w:pPr>
        <w:ind w:left="360" w:hanging="360"/>
      </w:pPr>
      <w:rPr>
        <w:rFonts w:ascii="Times New Roman" w:eastAsia="Times New Roman" w:hAnsi="Times New Roman" w:cs="Times New Roman"/>
        <w:b/>
        <w:i w:val="0"/>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B3676F"/>
    <w:multiLevelType w:val="hybridMultilevel"/>
    <w:tmpl w:val="32903E7E"/>
    <w:lvl w:ilvl="0" w:tplc="29E8FB52">
      <w:start w:val="1"/>
      <w:numFmt w:val="lowerLetter"/>
      <w:lvlText w:val="(%1)"/>
      <w:lvlJc w:val="left"/>
      <w:pPr>
        <w:ind w:left="1440" w:hanging="360"/>
      </w:pPr>
      <w:rPr>
        <w:rFonts w:hint="default"/>
      </w:rPr>
    </w:lvl>
    <w:lvl w:ilvl="1" w:tplc="0409001B">
      <w:start w:val="1"/>
      <w:numFmt w:val="lowerRoman"/>
      <w:lvlText w:val="%2."/>
      <w:lvlJc w:val="righ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34"/>
  </w:num>
  <w:num w:numId="3">
    <w:abstractNumId w:val="21"/>
  </w:num>
  <w:num w:numId="4">
    <w:abstractNumId w:val="38"/>
  </w:num>
  <w:num w:numId="5">
    <w:abstractNumId w:val="7"/>
  </w:num>
  <w:num w:numId="6">
    <w:abstractNumId w:val="28"/>
  </w:num>
  <w:num w:numId="7">
    <w:abstractNumId w:val="19"/>
  </w:num>
  <w:num w:numId="8">
    <w:abstractNumId w:val="26"/>
  </w:num>
  <w:num w:numId="9">
    <w:abstractNumId w:val="6"/>
  </w:num>
  <w:num w:numId="10">
    <w:abstractNumId w:val="4"/>
  </w:num>
  <w:num w:numId="11">
    <w:abstractNumId w:val="30"/>
  </w:num>
  <w:num w:numId="12">
    <w:abstractNumId w:val="3"/>
  </w:num>
  <w:num w:numId="13">
    <w:abstractNumId w:val="29"/>
  </w:num>
  <w:num w:numId="14">
    <w:abstractNumId w:val="29"/>
    <w:lvlOverride w:ilvl="0">
      <w:lvl w:ilvl="0" w:tplc="8AE603A4">
        <w:start w:val="1"/>
        <w:numFmt w:val="upperRoman"/>
        <w:suff w:val="space"/>
        <w:lvlText w:val="%1."/>
        <w:lvlJc w:val="left"/>
        <w:pPr>
          <w:ind w:left="504" w:firstLine="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3"/>
  </w:num>
  <w:num w:numId="16">
    <w:abstractNumId w:val="5"/>
  </w:num>
  <w:num w:numId="17">
    <w:abstractNumId w:val="2"/>
  </w:num>
  <w:num w:numId="18">
    <w:abstractNumId w:val="27"/>
  </w:num>
  <w:num w:numId="19">
    <w:abstractNumId w:val="0"/>
  </w:num>
  <w:num w:numId="20">
    <w:abstractNumId w:val="11"/>
  </w:num>
  <w:num w:numId="21">
    <w:abstractNumId w:val="25"/>
  </w:num>
  <w:num w:numId="22">
    <w:abstractNumId w:val="37"/>
  </w:num>
  <w:num w:numId="23">
    <w:abstractNumId w:val="9"/>
  </w:num>
  <w:num w:numId="24">
    <w:abstractNumId w:val="24"/>
  </w:num>
  <w:num w:numId="25">
    <w:abstractNumId w:val="39"/>
  </w:num>
  <w:num w:numId="26">
    <w:abstractNumId w:val="35"/>
  </w:num>
  <w:num w:numId="27">
    <w:abstractNumId w:val="36"/>
  </w:num>
  <w:num w:numId="28">
    <w:abstractNumId w:val="23"/>
  </w:num>
  <w:num w:numId="29">
    <w:abstractNumId w:val="15"/>
  </w:num>
  <w:num w:numId="30">
    <w:abstractNumId w:val="20"/>
  </w:num>
  <w:num w:numId="31">
    <w:abstractNumId w:val="32"/>
  </w:num>
  <w:num w:numId="32">
    <w:abstractNumId w:val="12"/>
  </w:num>
  <w:num w:numId="33">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1"/>
  </w:num>
  <w:num w:numId="36">
    <w:abstractNumId w:val="8"/>
  </w:num>
  <w:num w:numId="37">
    <w:abstractNumId w:val="1"/>
  </w:num>
  <w:num w:numId="38">
    <w:abstractNumId w:val="10"/>
  </w:num>
  <w:num w:numId="39">
    <w:abstractNumId w:val="16"/>
  </w:num>
  <w:num w:numId="40">
    <w:abstractNumId w:val="22"/>
  </w:num>
  <w:num w:numId="41">
    <w:abstractNumId w:val="33"/>
  </w:num>
  <w:num w:numId="4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87"/>
    <w:rsid w:val="00000405"/>
    <w:rsid w:val="00000783"/>
    <w:rsid w:val="000007C0"/>
    <w:rsid w:val="00003A42"/>
    <w:rsid w:val="00003A8E"/>
    <w:rsid w:val="00004001"/>
    <w:rsid w:val="00004184"/>
    <w:rsid w:val="00005129"/>
    <w:rsid w:val="00005144"/>
    <w:rsid w:val="0000579D"/>
    <w:rsid w:val="000057FA"/>
    <w:rsid w:val="000074C1"/>
    <w:rsid w:val="00007F8E"/>
    <w:rsid w:val="000129CC"/>
    <w:rsid w:val="00013ABF"/>
    <w:rsid w:val="00013E80"/>
    <w:rsid w:val="00014A91"/>
    <w:rsid w:val="00014C1F"/>
    <w:rsid w:val="00015BC1"/>
    <w:rsid w:val="0001620B"/>
    <w:rsid w:val="000168DA"/>
    <w:rsid w:val="00016DC4"/>
    <w:rsid w:val="00020512"/>
    <w:rsid w:val="0002119B"/>
    <w:rsid w:val="000224B0"/>
    <w:rsid w:val="00022780"/>
    <w:rsid w:val="00022884"/>
    <w:rsid w:val="00024441"/>
    <w:rsid w:val="00025578"/>
    <w:rsid w:val="00025E3F"/>
    <w:rsid w:val="00027CC0"/>
    <w:rsid w:val="00030C9A"/>
    <w:rsid w:val="00031179"/>
    <w:rsid w:val="00031AB2"/>
    <w:rsid w:val="00032F4F"/>
    <w:rsid w:val="00033141"/>
    <w:rsid w:val="000350D8"/>
    <w:rsid w:val="00035D89"/>
    <w:rsid w:val="000368AC"/>
    <w:rsid w:val="00036959"/>
    <w:rsid w:val="00040C9F"/>
    <w:rsid w:val="0004128B"/>
    <w:rsid w:val="00041AF7"/>
    <w:rsid w:val="00042FE6"/>
    <w:rsid w:val="00043332"/>
    <w:rsid w:val="00044146"/>
    <w:rsid w:val="00044EC2"/>
    <w:rsid w:val="00045022"/>
    <w:rsid w:val="00047768"/>
    <w:rsid w:val="0005194F"/>
    <w:rsid w:val="00052024"/>
    <w:rsid w:val="00053C86"/>
    <w:rsid w:val="000544A5"/>
    <w:rsid w:val="00054A41"/>
    <w:rsid w:val="000553E1"/>
    <w:rsid w:val="00056A68"/>
    <w:rsid w:val="00057521"/>
    <w:rsid w:val="00057A99"/>
    <w:rsid w:val="00057FBE"/>
    <w:rsid w:val="00061DCD"/>
    <w:rsid w:val="000638E4"/>
    <w:rsid w:val="00064674"/>
    <w:rsid w:val="000646F1"/>
    <w:rsid w:val="00064A40"/>
    <w:rsid w:val="000657E5"/>
    <w:rsid w:val="00065B64"/>
    <w:rsid w:val="00067738"/>
    <w:rsid w:val="00067FA3"/>
    <w:rsid w:val="00071252"/>
    <w:rsid w:val="000719BA"/>
    <w:rsid w:val="00072197"/>
    <w:rsid w:val="00072319"/>
    <w:rsid w:val="00072FF0"/>
    <w:rsid w:val="000734B1"/>
    <w:rsid w:val="00073D29"/>
    <w:rsid w:val="00073EB8"/>
    <w:rsid w:val="00074D70"/>
    <w:rsid w:val="000759F3"/>
    <w:rsid w:val="00075A97"/>
    <w:rsid w:val="00076D9E"/>
    <w:rsid w:val="00077767"/>
    <w:rsid w:val="00080465"/>
    <w:rsid w:val="000806A2"/>
    <w:rsid w:val="000807F8"/>
    <w:rsid w:val="00080DDE"/>
    <w:rsid w:val="00081119"/>
    <w:rsid w:val="000818B4"/>
    <w:rsid w:val="000822CB"/>
    <w:rsid w:val="0008250F"/>
    <w:rsid w:val="00082ECC"/>
    <w:rsid w:val="000835F3"/>
    <w:rsid w:val="00084803"/>
    <w:rsid w:val="00084A0B"/>
    <w:rsid w:val="0008569E"/>
    <w:rsid w:val="00085C63"/>
    <w:rsid w:val="00086740"/>
    <w:rsid w:val="00086996"/>
    <w:rsid w:val="000872F9"/>
    <w:rsid w:val="000875AD"/>
    <w:rsid w:val="000878CB"/>
    <w:rsid w:val="00087CFB"/>
    <w:rsid w:val="00087D4E"/>
    <w:rsid w:val="00090B34"/>
    <w:rsid w:val="0009159C"/>
    <w:rsid w:val="0009282D"/>
    <w:rsid w:val="000942FA"/>
    <w:rsid w:val="000945CE"/>
    <w:rsid w:val="00095629"/>
    <w:rsid w:val="00096285"/>
    <w:rsid w:val="00096759"/>
    <w:rsid w:val="00096DAD"/>
    <w:rsid w:val="000975CC"/>
    <w:rsid w:val="00097B35"/>
    <w:rsid w:val="000A0A0E"/>
    <w:rsid w:val="000A0A7C"/>
    <w:rsid w:val="000A1407"/>
    <w:rsid w:val="000A1CFB"/>
    <w:rsid w:val="000A1E74"/>
    <w:rsid w:val="000A207C"/>
    <w:rsid w:val="000A41DB"/>
    <w:rsid w:val="000A43E5"/>
    <w:rsid w:val="000A4CCA"/>
    <w:rsid w:val="000A5914"/>
    <w:rsid w:val="000A616C"/>
    <w:rsid w:val="000A61C9"/>
    <w:rsid w:val="000A73BA"/>
    <w:rsid w:val="000A74C5"/>
    <w:rsid w:val="000A7684"/>
    <w:rsid w:val="000B039D"/>
    <w:rsid w:val="000B0998"/>
    <w:rsid w:val="000B0EF4"/>
    <w:rsid w:val="000B11A7"/>
    <w:rsid w:val="000B1328"/>
    <w:rsid w:val="000B1773"/>
    <w:rsid w:val="000B20E7"/>
    <w:rsid w:val="000B30A7"/>
    <w:rsid w:val="000B466B"/>
    <w:rsid w:val="000B54AF"/>
    <w:rsid w:val="000B5A43"/>
    <w:rsid w:val="000B6214"/>
    <w:rsid w:val="000B74F9"/>
    <w:rsid w:val="000B7762"/>
    <w:rsid w:val="000B793B"/>
    <w:rsid w:val="000C080B"/>
    <w:rsid w:val="000C0910"/>
    <w:rsid w:val="000C0F66"/>
    <w:rsid w:val="000C1540"/>
    <w:rsid w:val="000C1D34"/>
    <w:rsid w:val="000C2143"/>
    <w:rsid w:val="000C3253"/>
    <w:rsid w:val="000C5BFB"/>
    <w:rsid w:val="000C655E"/>
    <w:rsid w:val="000C67D2"/>
    <w:rsid w:val="000C712B"/>
    <w:rsid w:val="000C7FA8"/>
    <w:rsid w:val="000D475E"/>
    <w:rsid w:val="000D4CB5"/>
    <w:rsid w:val="000D5579"/>
    <w:rsid w:val="000D6C6A"/>
    <w:rsid w:val="000D7692"/>
    <w:rsid w:val="000E12E4"/>
    <w:rsid w:val="000E183E"/>
    <w:rsid w:val="000E1962"/>
    <w:rsid w:val="000E1B5E"/>
    <w:rsid w:val="000E251A"/>
    <w:rsid w:val="000E2F7C"/>
    <w:rsid w:val="000E30CD"/>
    <w:rsid w:val="000E34BD"/>
    <w:rsid w:val="000E36F3"/>
    <w:rsid w:val="000E3B9A"/>
    <w:rsid w:val="000E491D"/>
    <w:rsid w:val="000E6043"/>
    <w:rsid w:val="000E6465"/>
    <w:rsid w:val="000E6BB5"/>
    <w:rsid w:val="000F03A2"/>
    <w:rsid w:val="000F2A00"/>
    <w:rsid w:val="000F4D90"/>
    <w:rsid w:val="000F5096"/>
    <w:rsid w:val="000F56ED"/>
    <w:rsid w:val="000F6599"/>
    <w:rsid w:val="000F67B5"/>
    <w:rsid w:val="000F76AD"/>
    <w:rsid w:val="000F7DD3"/>
    <w:rsid w:val="00100328"/>
    <w:rsid w:val="0010132D"/>
    <w:rsid w:val="00103291"/>
    <w:rsid w:val="001050AD"/>
    <w:rsid w:val="00105B02"/>
    <w:rsid w:val="00106A5C"/>
    <w:rsid w:val="00110A65"/>
    <w:rsid w:val="00110BF3"/>
    <w:rsid w:val="00110F33"/>
    <w:rsid w:val="00111936"/>
    <w:rsid w:val="00112026"/>
    <w:rsid w:val="00112EEA"/>
    <w:rsid w:val="0011367B"/>
    <w:rsid w:val="0011414E"/>
    <w:rsid w:val="0011452B"/>
    <w:rsid w:val="001145AA"/>
    <w:rsid w:val="00114710"/>
    <w:rsid w:val="0011679A"/>
    <w:rsid w:val="00116E07"/>
    <w:rsid w:val="001170B8"/>
    <w:rsid w:val="00117ADD"/>
    <w:rsid w:val="00117EC2"/>
    <w:rsid w:val="00117FE1"/>
    <w:rsid w:val="001219D0"/>
    <w:rsid w:val="00122A3C"/>
    <w:rsid w:val="00122B5D"/>
    <w:rsid w:val="001243F5"/>
    <w:rsid w:val="001245CA"/>
    <w:rsid w:val="001248DE"/>
    <w:rsid w:val="00124A54"/>
    <w:rsid w:val="00124F6A"/>
    <w:rsid w:val="00126630"/>
    <w:rsid w:val="00126D9A"/>
    <w:rsid w:val="001275BC"/>
    <w:rsid w:val="001301B5"/>
    <w:rsid w:val="001309AF"/>
    <w:rsid w:val="00131670"/>
    <w:rsid w:val="001319FC"/>
    <w:rsid w:val="00131F1D"/>
    <w:rsid w:val="00132029"/>
    <w:rsid w:val="001327B5"/>
    <w:rsid w:val="001329C1"/>
    <w:rsid w:val="00133C11"/>
    <w:rsid w:val="00134B14"/>
    <w:rsid w:val="001351EF"/>
    <w:rsid w:val="0013528B"/>
    <w:rsid w:val="0013535B"/>
    <w:rsid w:val="00135946"/>
    <w:rsid w:val="001365F8"/>
    <w:rsid w:val="00137863"/>
    <w:rsid w:val="001400AE"/>
    <w:rsid w:val="001402A1"/>
    <w:rsid w:val="00141107"/>
    <w:rsid w:val="00141A60"/>
    <w:rsid w:val="00142694"/>
    <w:rsid w:val="00142CC0"/>
    <w:rsid w:val="001438BA"/>
    <w:rsid w:val="00143C27"/>
    <w:rsid w:val="00143CC6"/>
    <w:rsid w:val="00144636"/>
    <w:rsid w:val="00144656"/>
    <w:rsid w:val="001448EA"/>
    <w:rsid w:val="00144982"/>
    <w:rsid w:val="0014521C"/>
    <w:rsid w:val="00145408"/>
    <w:rsid w:val="00146CAC"/>
    <w:rsid w:val="00147D9E"/>
    <w:rsid w:val="00147EC7"/>
    <w:rsid w:val="00150763"/>
    <w:rsid w:val="001517A4"/>
    <w:rsid w:val="0015225E"/>
    <w:rsid w:val="001522D3"/>
    <w:rsid w:val="00153419"/>
    <w:rsid w:val="001539D6"/>
    <w:rsid w:val="001541B9"/>
    <w:rsid w:val="001548BD"/>
    <w:rsid w:val="00154A81"/>
    <w:rsid w:val="00154F25"/>
    <w:rsid w:val="0015509A"/>
    <w:rsid w:val="0015555F"/>
    <w:rsid w:val="00155B51"/>
    <w:rsid w:val="00156CD7"/>
    <w:rsid w:val="00156E45"/>
    <w:rsid w:val="00156F68"/>
    <w:rsid w:val="00157EC9"/>
    <w:rsid w:val="00160F34"/>
    <w:rsid w:val="001623A7"/>
    <w:rsid w:val="001624D1"/>
    <w:rsid w:val="00162A2A"/>
    <w:rsid w:val="00162D83"/>
    <w:rsid w:val="00162FE0"/>
    <w:rsid w:val="00164B21"/>
    <w:rsid w:val="00164E52"/>
    <w:rsid w:val="0016554C"/>
    <w:rsid w:val="00165567"/>
    <w:rsid w:val="00166171"/>
    <w:rsid w:val="00166523"/>
    <w:rsid w:val="00166B6A"/>
    <w:rsid w:val="001670C2"/>
    <w:rsid w:val="001672C5"/>
    <w:rsid w:val="00167B02"/>
    <w:rsid w:val="0017027E"/>
    <w:rsid w:val="0017097A"/>
    <w:rsid w:val="00170BAA"/>
    <w:rsid w:val="00170CFA"/>
    <w:rsid w:val="0017147E"/>
    <w:rsid w:val="0017176B"/>
    <w:rsid w:val="00171A35"/>
    <w:rsid w:val="00172EE6"/>
    <w:rsid w:val="00175192"/>
    <w:rsid w:val="00176CBB"/>
    <w:rsid w:val="00177066"/>
    <w:rsid w:val="00177236"/>
    <w:rsid w:val="00177444"/>
    <w:rsid w:val="001804F7"/>
    <w:rsid w:val="0018116E"/>
    <w:rsid w:val="001813F4"/>
    <w:rsid w:val="00181DFF"/>
    <w:rsid w:val="00182FA2"/>
    <w:rsid w:val="001830E0"/>
    <w:rsid w:val="001836E0"/>
    <w:rsid w:val="0018371C"/>
    <w:rsid w:val="00184214"/>
    <w:rsid w:val="00184D65"/>
    <w:rsid w:val="001859BD"/>
    <w:rsid w:val="00186119"/>
    <w:rsid w:val="00187232"/>
    <w:rsid w:val="0019129E"/>
    <w:rsid w:val="00191783"/>
    <w:rsid w:val="00191A43"/>
    <w:rsid w:val="00191B9C"/>
    <w:rsid w:val="00191DB5"/>
    <w:rsid w:val="001921B6"/>
    <w:rsid w:val="001939A3"/>
    <w:rsid w:val="00193EC6"/>
    <w:rsid w:val="001949C8"/>
    <w:rsid w:val="00194DA1"/>
    <w:rsid w:val="00195103"/>
    <w:rsid w:val="001951D7"/>
    <w:rsid w:val="001952F6"/>
    <w:rsid w:val="00195654"/>
    <w:rsid w:val="001959EB"/>
    <w:rsid w:val="0019607B"/>
    <w:rsid w:val="0019693C"/>
    <w:rsid w:val="00196A4A"/>
    <w:rsid w:val="001A01A6"/>
    <w:rsid w:val="001A0C76"/>
    <w:rsid w:val="001A106A"/>
    <w:rsid w:val="001A1547"/>
    <w:rsid w:val="001A1B8E"/>
    <w:rsid w:val="001A23DD"/>
    <w:rsid w:val="001A268A"/>
    <w:rsid w:val="001A276A"/>
    <w:rsid w:val="001A2919"/>
    <w:rsid w:val="001A4795"/>
    <w:rsid w:val="001A5659"/>
    <w:rsid w:val="001A7EE4"/>
    <w:rsid w:val="001A7F61"/>
    <w:rsid w:val="001B0B1A"/>
    <w:rsid w:val="001B0EA5"/>
    <w:rsid w:val="001B2099"/>
    <w:rsid w:val="001B24D8"/>
    <w:rsid w:val="001B2844"/>
    <w:rsid w:val="001B2DAE"/>
    <w:rsid w:val="001B5DE7"/>
    <w:rsid w:val="001B6452"/>
    <w:rsid w:val="001B667B"/>
    <w:rsid w:val="001B6742"/>
    <w:rsid w:val="001B6B22"/>
    <w:rsid w:val="001B6E1D"/>
    <w:rsid w:val="001B6FB8"/>
    <w:rsid w:val="001B70E9"/>
    <w:rsid w:val="001B71E9"/>
    <w:rsid w:val="001C064D"/>
    <w:rsid w:val="001C0893"/>
    <w:rsid w:val="001C0F92"/>
    <w:rsid w:val="001C1A4F"/>
    <w:rsid w:val="001C2969"/>
    <w:rsid w:val="001C307F"/>
    <w:rsid w:val="001C46B0"/>
    <w:rsid w:val="001C4CAE"/>
    <w:rsid w:val="001C509F"/>
    <w:rsid w:val="001C5D7D"/>
    <w:rsid w:val="001C5E99"/>
    <w:rsid w:val="001C60D4"/>
    <w:rsid w:val="001C6315"/>
    <w:rsid w:val="001C6A26"/>
    <w:rsid w:val="001C7C7F"/>
    <w:rsid w:val="001C7F54"/>
    <w:rsid w:val="001C7F64"/>
    <w:rsid w:val="001D0717"/>
    <w:rsid w:val="001D1048"/>
    <w:rsid w:val="001D1A83"/>
    <w:rsid w:val="001D1BF8"/>
    <w:rsid w:val="001D2C1B"/>
    <w:rsid w:val="001D3C08"/>
    <w:rsid w:val="001D44B6"/>
    <w:rsid w:val="001D456E"/>
    <w:rsid w:val="001D470B"/>
    <w:rsid w:val="001D4F85"/>
    <w:rsid w:val="001D567A"/>
    <w:rsid w:val="001D6400"/>
    <w:rsid w:val="001D6951"/>
    <w:rsid w:val="001D6E3A"/>
    <w:rsid w:val="001D7778"/>
    <w:rsid w:val="001D7F86"/>
    <w:rsid w:val="001E14C2"/>
    <w:rsid w:val="001E1B8B"/>
    <w:rsid w:val="001E1FFE"/>
    <w:rsid w:val="001E2248"/>
    <w:rsid w:val="001E25F9"/>
    <w:rsid w:val="001E267E"/>
    <w:rsid w:val="001E3491"/>
    <w:rsid w:val="001E3905"/>
    <w:rsid w:val="001E39A2"/>
    <w:rsid w:val="001E450C"/>
    <w:rsid w:val="001E46EE"/>
    <w:rsid w:val="001E4EAE"/>
    <w:rsid w:val="001E51D1"/>
    <w:rsid w:val="001E5236"/>
    <w:rsid w:val="001E5F1B"/>
    <w:rsid w:val="001E5FEA"/>
    <w:rsid w:val="001E6479"/>
    <w:rsid w:val="001E6DA9"/>
    <w:rsid w:val="001E71ED"/>
    <w:rsid w:val="001E725C"/>
    <w:rsid w:val="001E73F6"/>
    <w:rsid w:val="001E78AF"/>
    <w:rsid w:val="001F0FF3"/>
    <w:rsid w:val="001F12A8"/>
    <w:rsid w:val="001F1792"/>
    <w:rsid w:val="001F17B3"/>
    <w:rsid w:val="001F1B26"/>
    <w:rsid w:val="001F1B60"/>
    <w:rsid w:val="001F2C89"/>
    <w:rsid w:val="001F36D6"/>
    <w:rsid w:val="001F3DB2"/>
    <w:rsid w:val="001F49FA"/>
    <w:rsid w:val="001F4FD4"/>
    <w:rsid w:val="001F508A"/>
    <w:rsid w:val="001F605C"/>
    <w:rsid w:val="001F6AC2"/>
    <w:rsid w:val="001F72B1"/>
    <w:rsid w:val="001F76A9"/>
    <w:rsid w:val="001F7BB1"/>
    <w:rsid w:val="002006E3"/>
    <w:rsid w:val="00200E24"/>
    <w:rsid w:val="00201517"/>
    <w:rsid w:val="00201C62"/>
    <w:rsid w:val="00201D6E"/>
    <w:rsid w:val="00201ED8"/>
    <w:rsid w:val="0020297D"/>
    <w:rsid w:val="00203983"/>
    <w:rsid w:val="00204DAB"/>
    <w:rsid w:val="002065B0"/>
    <w:rsid w:val="00206E31"/>
    <w:rsid w:val="00206FEC"/>
    <w:rsid w:val="00207722"/>
    <w:rsid w:val="0020795D"/>
    <w:rsid w:val="00210782"/>
    <w:rsid w:val="00210B37"/>
    <w:rsid w:val="00211095"/>
    <w:rsid w:val="00211911"/>
    <w:rsid w:val="00212BC7"/>
    <w:rsid w:val="0021332B"/>
    <w:rsid w:val="00213E6C"/>
    <w:rsid w:val="002144C8"/>
    <w:rsid w:val="00215381"/>
    <w:rsid w:val="002155AD"/>
    <w:rsid w:val="00216527"/>
    <w:rsid w:val="00216CB2"/>
    <w:rsid w:val="00217FD6"/>
    <w:rsid w:val="002207E6"/>
    <w:rsid w:val="0022181A"/>
    <w:rsid w:val="00221A78"/>
    <w:rsid w:val="00222204"/>
    <w:rsid w:val="00222529"/>
    <w:rsid w:val="00222F22"/>
    <w:rsid w:val="00222F5E"/>
    <w:rsid w:val="00223115"/>
    <w:rsid w:val="002250D6"/>
    <w:rsid w:val="00225D8A"/>
    <w:rsid w:val="002262D9"/>
    <w:rsid w:val="00231E45"/>
    <w:rsid w:val="00232237"/>
    <w:rsid w:val="00232DE4"/>
    <w:rsid w:val="00232DF9"/>
    <w:rsid w:val="00233010"/>
    <w:rsid w:val="00233917"/>
    <w:rsid w:val="00234A22"/>
    <w:rsid w:val="00235053"/>
    <w:rsid w:val="00236022"/>
    <w:rsid w:val="00240C56"/>
    <w:rsid w:val="00240E4A"/>
    <w:rsid w:val="0024106D"/>
    <w:rsid w:val="00241B7D"/>
    <w:rsid w:val="00241DA7"/>
    <w:rsid w:val="00242086"/>
    <w:rsid w:val="00242742"/>
    <w:rsid w:val="002440DB"/>
    <w:rsid w:val="00244D5E"/>
    <w:rsid w:val="00245374"/>
    <w:rsid w:val="0024539D"/>
    <w:rsid w:val="00245995"/>
    <w:rsid w:val="00245CAB"/>
    <w:rsid w:val="00245F5F"/>
    <w:rsid w:val="00246466"/>
    <w:rsid w:val="00246859"/>
    <w:rsid w:val="00247900"/>
    <w:rsid w:val="00247B95"/>
    <w:rsid w:val="002502BC"/>
    <w:rsid w:val="00250C3B"/>
    <w:rsid w:val="00250C5A"/>
    <w:rsid w:val="00251285"/>
    <w:rsid w:val="00251B10"/>
    <w:rsid w:val="00251EE3"/>
    <w:rsid w:val="00253C7C"/>
    <w:rsid w:val="002540A9"/>
    <w:rsid w:val="00254F17"/>
    <w:rsid w:val="0025662C"/>
    <w:rsid w:val="00257ED3"/>
    <w:rsid w:val="002600F1"/>
    <w:rsid w:val="0026022C"/>
    <w:rsid w:val="002606A0"/>
    <w:rsid w:val="00260708"/>
    <w:rsid w:val="00260B5C"/>
    <w:rsid w:val="00260C73"/>
    <w:rsid w:val="00260CFD"/>
    <w:rsid w:val="00260DF1"/>
    <w:rsid w:val="00262188"/>
    <w:rsid w:val="00262548"/>
    <w:rsid w:val="00262AFB"/>
    <w:rsid w:val="00262E07"/>
    <w:rsid w:val="0026387C"/>
    <w:rsid w:val="00263E26"/>
    <w:rsid w:val="002647AF"/>
    <w:rsid w:val="00264D0C"/>
    <w:rsid w:val="00266253"/>
    <w:rsid w:val="00266942"/>
    <w:rsid w:val="00267548"/>
    <w:rsid w:val="00267A27"/>
    <w:rsid w:val="002706DA"/>
    <w:rsid w:val="00270BE5"/>
    <w:rsid w:val="00271CAC"/>
    <w:rsid w:val="00272190"/>
    <w:rsid w:val="0027261F"/>
    <w:rsid w:val="00272DFD"/>
    <w:rsid w:val="00273778"/>
    <w:rsid w:val="0027430C"/>
    <w:rsid w:val="00274629"/>
    <w:rsid w:val="00274B41"/>
    <w:rsid w:val="0027533A"/>
    <w:rsid w:val="00276947"/>
    <w:rsid w:val="0027740C"/>
    <w:rsid w:val="00280851"/>
    <w:rsid w:val="00280D90"/>
    <w:rsid w:val="0028392D"/>
    <w:rsid w:val="00283C71"/>
    <w:rsid w:val="00283F2D"/>
    <w:rsid w:val="0028405E"/>
    <w:rsid w:val="00284719"/>
    <w:rsid w:val="002852AB"/>
    <w:rsid w:val="00285AF1"/>
    <w:rsid w:val="002902F5"/>
    <w:rsid w:val="00290352"/>
    <w:rsid w:val="00290688"/>
    <w:rsid w:val="00292CB2"/>
    <w:rsid w:val="00293119"/>
    <w:rsid w:val="002931D8"/>
    <w:rsid w:val="002936A7"/>
    <w:rsid w:val="00293948"/>
    <w:rsid w:val="00294469"/>
    <w:rsid w:val="00294EB5"/>
    <w:rsid w:val="00297AFE"/>
    <w:rsid w:val="002A0943"/>
    <w:rsid w:val="002A0B65"/>
    <w:rsid w:val="002A0B6C"/>
    <w:rsid w:val="002A0D4B"/>
    <w:rsid w:val="002A17C2"/>
    <w:rsid w:val="002A2B0F"/>
    <w:rsid w:val="002A32EC"/>
    <w:rsid w:val="002A3DDB"/>
    <w:rsid w:val="002A3F73"/>
    <w:rsid w:val="002A5379"/>
    <w:rsid w:val="002A542A"/>
    <w:rsid w:val="002A63D0"/>
    <w:rsid w:val="002A6640"/>
    <w:rsid w:val="002A66D1"/>
    <w:rsid w:val="002A738B"/>
    <w:rsid w:val="002B1695"/>
    <w:rsid w:val="002B277C"/>
    <w:rsid w:val="002B39CB"/>
    <w:rsid w:val="002B3AC1"/>
    <w:rsid w:val="002B4327"/>
    <w:rsid w:val="002B4C33"/>
    <w:rsid w:val="002B5706"/>
    <w:rsid w:val="002B64C5"/>
    <w:rsid w:val="002B6550"/>
    <w:rsid w:val="002B6601"/>
    <w:rsid w:val="002B6E52"/>
    <w:rsid w:val="002B78FA"/>
    <w:rsid w:val="002C00AA"/>
    <w:rsid w:val="002C056A"/>
    <w:rsid w:val="002C07FD"/>
    <w:rsid w:val="002C0819"/>
    <w:rsid w:val="002C0FBB"/>
    <w:rsid w:val="002C17B5"/>
    <w:rsid w:val="002C19E5"/>
    <w:rsid w:val="002C28AC"/>
    <w:rsid w:val="002C2A29"/>
    <w:rsid w:val="002C36C6"/>
    <w:rsid w:val="002C36CF"/>
    <w:rsid w:val="002C3A79"/>
    <w:rsid w:val="002C3FA4"/>
    <w:rsid w:val="002C42D2"/>
    <w:rsid w:val="002C4308"/>
    <w:rsid w:val="002C44D7"/>
    <w:rsid w:val="002C6E43"/>
    <w:rsid w:val="002D04E4"/>
    <w:rsid w:val="002D0DB3"/>
    <w:rsid w:val="002D1374"/>
    <w:rsid w:val="002D150A"/>
    <w:rsid w:val="002D2747"/>
    <w:rsid w:val="002D2BA3"/>
    <w:rsid w:val="002D2BA7"/>
    <w:rsid w:val="002D383B"/>
    <w:rsid w:val="002D4AD8"/>
    <w:rsid w:val="002D5E1A"/>
    <w:rsid w:val="002D5FE2"/>
    <w:rsid w:val="002D618A"/>
    <w:rsid w:val="002D633F"/>
    <w:rsid w:val="002D6432"/>
    <w:rsid w:val="002D6E2A"/>
    <w:rsid w:val="002E038A"/>
    <w:rsid w:val="002E0426"/>
    <w:rsid w:val="002E08E9"/>
    <w:rsid w:val="002E1369"/>
    <w:rsid w:val="002E1D03"/>
    <w:rsid w:val="002E2BA1"/>
    <w:rsid w:val="002E42A4"/>
    <w:rsid w:val="002E4521"/>
    <w:rsid w:val="002E4548"/>
    <w:rsid w:val="002E47C9"/>
    <w:rsid w:val="002E5402"/>
    <w:rsid w:val="002E6087"/>
    <w:rsid w:val="002E6DC4"/>
    <w:rsid w:val="002E7F73"/>
    <w:rsid w:val="002F0653"/>
    <w:rsid w:val="002F06FE"/>
    <w:rsid w:val="002F1E4A"/>
    <w:rsid w:val="002F3042"/>
    <w:rsid w:val="002F35E8"/>
    <w:rsid w:val="002F3EC4"/>
    <w:rsid w:val="002F4B0A"/>
    <w:rsid w:val="002F5FAA"/>
    <w:rsid w:val="002F62B2"/>
    <w:rsid w:val="002F7278"/>
    <w:rsid w:val="002F7352"/>
    <w:rsid w:val="002F797D"/>
    <w:rsid w:val="0030012C"/>
    <w:rsid w:val="00301BEF"/>
    <w:rsid w:val="00301F7F"/>
    <w:rsid w:val="00302DD0"/>
    <w:rsid w:val="00302F33"/>
    <w:rsid w:val="00303BAB"/>
    <w:rsid w:val="00303D4A"/>
    <w:rsid w:val="00303E87"/>
    <w:rsid w:val="003045D8"/>
    <w:rsid w:val="0030465C"/>
    <w:rsid w:val="0030486A"/>
    <w:rsid w:val="00304C62"/>
    <w:rsid w:val="00305469"/>
    <w:rsid w:val="00305BD7"/>
    <w:rsid w:val="00305D39"/>
    <w:rsid w:val="00306DDB"/>
    <w:rsid w:val="003101EB"/>
    <w:rsid w:val="00310F61"/>
    <w:rsid w:val="003116D8"/>
    <w:rsid w:val="00311C59"/>
    <w:rsid w:val="00311E04"/>
    <w:rsid w:val="003125DD"/>
    <w:rsid w:val="003127B2"/>
    <w:rsid w:val="0031393E"/>
    <w:rsid w:val="00313F15"/>
    <w:rsid w:val="00314475"/>
    <w:rsid w:val="00314A7F"/>
    <w:rsid w:val="00315131"/>
    <w:rsid w:val="0031529F"/>
    <w:rsid w:val="003159C5"/>
    <w:rsid w:val="00315D40"/>
    <w:rsid w:val="003160CC"/>
    <w:rsid w:val="003168EA"/>
    <w:rsid w:val="003171CC"/>
    <w:rsid w:val="003177F8"/>
    <w:rsid w:val="00317BC8"/>
    <w:rsid w:val="0032069E"/>
    <w:rsid w:val="00321819"/>
    <w:rsid w:val="003219B2"/>
    <w:rsid w:val="00321AC3"/>
    <w:rsid w:val="00322B0B"/>
    <w:rsid w:val="00323809"/>
    <w:rsid w:val="00324D2A"/>
    <w:rsid w:val="00324E78"/>
    <w:rsid w:val="00325347"/>
    <w:rsid w:val="0032585B"/>
    <w:rsid w:val="003262D5"/>
    <w:rsid w:val="00326C1F"/>
    <w:rsid w:val="00326DEE"/>
    <w:rsid w:val="00331138"/>
    <w:rsid w:val="00331895"/>
    <w:rsid w:val="00331E56"/>
    <w:rsid w:val="00332387"/>
    <w:rsid w:val="00333562"/>
    <w:rsid w:val="00334415"/>
    <w:rsid w:val="00334987"/>
    <w:rsid w:val="00334B14"/>
    <w:rsid w:val="00334F23"/>
    <w:rsid w:val="00335658"/>
    <w:rsid w:val="00337779"/>
    <w:rsid w:val="00341098"/>
    <w:rsid w:val="003412B5"/>
    <w:rsid w:val="003414C1"/>
    <w:rsid w:val="00344E27"/>
    <w:rsid w:val="00345562"/>
    <w:rsid w:val="00345AF7"/>
    <w:rsid w:val="003463C1"/>
    <w:rsid w:val="0034740A"/>
    <w:rsid w:val="00347653"/>
    <w:rsid w:val="00347B35"/>
    <w:rsid w:val="00347BE0"/>
    <w:rsid w:val="003505C7"/>
    <w:rsid w:val="00350BA8"/>
    <w:rsid w:val="0035158F"/>
    <w:rsid w:val="00353B94"/>
    <w:rsid w:val="00353BEA"/>
    <w:rsid w:val="00353E24"/>
    <w:rsid w:val="0035412D"/>
    <w:rsid w:val="0035479A"/>
    <w:rsid w:val="00355693"/>
    <w:rsid w:val="003577D9"/>
    <w:rsid w:val="00357CFB"/>
    <w:rsid w:val="00360D2E"/>
    <w:rsid w:val="0036118F"/>
    <w:rsid w:val="00361A1C"/>
    <w:rsid w:val="00361C39"/>
    <w:rsid w:val="00362130"/>
    <w:rsid w:val="003623D4"/>
    <w:rsid w:val="00362653"/>
    <w:rsid w:val="003627D7"/>
    <w:rsid w:val="00363DCB"/>
    <w:rsid w:val="00365832"/>
    <w:rsid w:val="00365833"/>
    <w:rsid w:val="0036788D"/>
    <w:rsid w:val="00370D77"/>
    <w:rsid w:val="0037293E"/>
    <w:rsid w:val="00372CDF"/>
    <w:rsid w:val="003732FE"/>
    <w:rsid w:val="00373AE6"/>
    <w:rsid w:val="003742DF"/>
    <w:rsid w:val="003754AA"/>
    <w:rsid w:val="00376125"/>
    <w:rsid w:val="00377BD1"/>
    <w:rsid w:val="0038032F"/>
    <w:rsid w:val="0038058B"/>
    <w:rsid w:val="00381130"/>
    <w:rsid w:val="00381B5F"/>
    <w:rsid w:val="00382BD3"/>
    <w:rsid w:val="00383EFC"/>
    <w:rsid w:val="00383F9A"/>
    <w:rsid w:val="003841F4"/>
    <w:rsid w:val="0038457B"/>
    <w:rsid w:val="00385FFE"/>
    <w:rsid w:val="003862AB"/>
    <w:rsid w:val="00386309"/>
    <w:rsid w:val="003863CA"/>
    <w:rsid w:val="00391184"/>
    <w:rsid w:val="00391FA4"/>
    <w:rsid w:val="00391FDF"/>
    <w:rsid w:val="00393A8D"/>
    <w:rsid w:val="00393CAE"/>
    <w:rsid w:val="00394328"/>
    <w:rsid w:val="00394C61"/>
    <w:rsid w:val="00395FF1"/>
    <w:rsid w:val="003966E1"/>
    <w:rsid w:val="003A0744"/>
    <w:rsid w:val="003A1824"/>
    <w:rsid w:val="003A1FBC"/>
    <w:rsid w:val="003A3122"/>
    <w:rsid w:val="003A3C11"/>
    <w:rsid w:val="003A3FB2"/>
    <w:rsid w:val="003A6A0B"/>
    <w:rsid w:val="003A700D"/>
    <w:rsid w:val="003A766E"/>
    <w:rsid w:val="003B0201"/>
    <w:rsid w:val="003B0579"/>
    <w:rsid w:val="003B2722"/>
    <w:rsid w:val="003B275D"/>
    <w:rsid w:val="003B290C"/>
    <w:rsid w:val="003B2BDE"/>
    <w:rsid w:val="003B2E05"/>
    <w:rsid w:val="003B3B9B"/>
    <w:rsid w:val="003B4469"/>
    <w:rsid w:val="003B458F"/>
    <w:rsid w:val="003B47E4"/>
    <w:rsid w:val="003B50EC"/>
    <w:rsid w:val="003B519A"/>
    <w:rsid w:val="003B5987"/>
    <w:rsid w:val="003B5F2E"/>
    <w:rsid w:val="003B5FE7"/>
    <w:rsid w:val="003B681D"/>
    <w:rsid w:val="003B7A30"/>
    <w:rsid w:val="003C05D9"/>
    <w:rsid w:val="003C115B"/>
    <w:rsid w:val="003C1C7C"/>
    <w:rsid w:val="003C202B"/>
    <w:rsid w:val="003C2033"/>
    <w:rsid w:val="003C2591"/>
    <w:rsid w:val="003C29EA"/>
    <w:rsid w:val="003C3637"/>
    <w:rsid w:val="003C36EE"/>
    <w:rsid w:val="003C48A7"/>
    <w:rsid w:val="003C5387"/>
    <w:rsid w:val="003C5B1C"/>
    <w:rsid w:val="003C7362"/>
    <w:rsid w:val="003D0073"/>
    <w:rsid w:val="003D1F69"/>
    <w:rsid w:val="003D3A9E"/>
    <w:rsid w:val="003D5996"/>
    <w:rsid w:val="003D68FE"/>
    <w:rsid w:val="003D745E"/>
    <w:rsid w:val="003D78AD"/>
    <w:rsid w:val="003E06B9"/>
    <w:rsid w:val="003E0EF4"/>
    <w:rsid w:val="003E1184"/>
    <w:rsid w:val="003E1BFE"/>
    <w:rsid w:val="003E2094"/>
    <w:rsid w:val="003E39BE"/>
    <w:rsid w:val="003E3C74"/>
    <w:rsid w:val="003E3FD5"/>
    <w:rsid w:val="003E45E7"/>
    <w:rsid w:val="003E4BD7"/>
    <w:rsid w:val="003E607C"/>
    <w:rsid w:val="003E687C"/>
    <w:rsid w:val="003E6C7C"/>
    <w:rsid w:val="003E7D41"/>
    <w:rsid w:val="003F0C5C"/>
    <w:rsid w:val="003F0E8C"/>
    <w:rsid w:val="003F29C5"/>
    <w:rsid w:val="003F2A5E"/>
    <w:rsid w:val="003F3093"/>
    <w:rsid w:val="003F5E8D"/>
    <w:rsid w:val="003F5EFF"/>
    <w:rsid w:val="003F626A"/>
    <w:rsid w:val="003F7647"/>
    <w:rsid w:val="004011B5"/>
    <w:rsid w:val="00401237"/>
    <w:rsid w:val="00401BC2"/>
    <w:rsid w:val="004020AE"/>
    <w:rsid w:val="004029A7"/>
    <w:rsid w:val="004031BA"/>
    <w:rsid w:val="0040348F"/>
    <w:rsid w:val="004037A8"/>
    <w:rsid w:val="00403A02"/>
    <w:rsid w:val="0040525D"/>
    <w:rsid w:val="004052E5"/>
    <w:rsid w:val="00406990"/>
    <w:rsid w:val="00406FAF"/>
    <w:rsid w:val="0040725B"/>
    <w:rsid w:val="00407CCA"/>
    <w:rsid w:val="00407DF1"/>
    <w:rsid w:val="00411EA9"/>
    <w:rsid w:val="004133FC"/>
    <w:rsid w:val="0041397F"/>
    <w:rsid w:val="00413B70"/>
    <w:rsid w:val="00413CED"/>
    <w:rsid w:val="0041453E"/>
    <w:rsid w:val="00414E22"/>
    <w:rsid w:val="0041508B"/>
    <w:rsid w:val="004159D5"/>
    <w:rsid w:val="00415E66"/>
    <w:rsid w:val="00416716"/>
    <w:rsid w:val="00416B2C"/>
    <w:rsid w:val="004173D7"/>
    <w:rsid w:val="0041757B"/>
    <w:rsid w:val="004177C2"/>
    <w:rsid w:val="004177E7"/>
    <w:rsid w:val="004206A0"/>
    <w:rsid w:val="004208D4"/>
    <w:rsid w:val="004209B6"/>
    <w:rsid w:val="00420EE0"/>
    <w:rsid w:val="00422268"/>
    <w:rsid w:val="0042246A"/>
    <w:rsid w:val="00423420"/>
    <w:rsid w:val="004244F4"/>
    <w:rsid w:val="004251A0"/>
    <w:rsid w:val="00426E50"/>
    <w:rsid w:val="00426E5E"/>
    <w:rsid w:val="00430023"/>
    <w:rsid w:val="0043003B"/>
    <w:rsid w:val="00430261"/>
    <w:rsid w:val="00430387"/>
    <w:rsid w:val="004305CA"/>
    <w:rsid w:val="00430875"/>
    <w:rsid w:val="004309AF"/>
    <w:rsid w:val="00430A23"/>
    <w:rsid w:val="004320BA"/>
    <w:rsid w:val="00434C9A"/>
    <w:rsid w:val="004352A2"/>
    <w:rsid w:val="004353F2"/>
    <w:rsid w:val="004354FB"/>
    <w:rsid w:val="00435CE6"/>
    <w:rsid w:val="0043684F"/>
    <w:rsid w:val="00436EED"/>
    <w:rsid w:val="004374A7"/>
    <w:rsid w:val="004376D5"/>
    <w:rsid w:val="004404D5"/>
    <w:rsid w:val="004417A6"/>
    <w:rsid w:val="00442500"/>
    <w:rsid w:val="00443DF3"/>
    <w:rsid w:val="00444140"/>
    <w:rsid w:val="00444A96"/>
    <w:rsid w:val="00444DCC"/>
    <w:rsid w:val="0044523C"/>
    <w:rsid w:val="0044565C"/>
    <w:rsid w:val="00446678"/>
    <w:rsid w:val="00446BB3"/>
    <w:rsid w:val="00446F43"/>
    <w:rsid w:val="0044720B"/>
    <w:rsid w:val="00447A2C"/>
    <w:rsid w:val="0045043A"/>
    <w:rsid w:val="00450590"/>
    <w:rsid w:val="00451D1F"/>
    <w:rsid w:val="004522B0"/>
    <w:rsid w:val="00452C40"/>
    <w:rsid w:val="004536C9"/>
    <w:rsid w:val="004538CE"/>
    <w:rsid w:val="004538D8"/>
    <w:rsid w:val="00453E39"/>
    <w:rsid w:val="004547AA"/>
    <w:rsid w:val="004550F5"/>
    <w:rsid w:val="0045588B"/>
    <w:rsid w:val="00455B6C"/>
    <w:rsid w:val="0045628A"/>
    <w:rsid w:val="00456409"/>
    <w:rsid w:val="004564E3"/>
    <w:rsid w:val="004568ED"/>
    <w:rsid w:val="00456BBD"/>
    <w:rsid w:val="00457444"/>
    <w:rsid w:val="00457479"/>
    <w:rsid w:val="00457FE1"/>
    <w:rsid w:val="00460415"/>
    <w:rsid w:val="00461A0C"/>
    <w:rsid w:val="00462731"/>
    <w:rsid w:val="00462DC4"/>
    <w:rsid w:val="0046373D"/>
    <w:rsid w:val="004637B7"/>
    <w:rsid w:val="00463E40"/>
    <w:rsid w:val="00465230"/>
    <w:rsid w:val="004652D2"/>
    <w:rsid w:val="0046594F"/>
    <w:rsid w:val="004669D2"/>
    <w:rsid w:val="00466A94"/>
    <w:rsid w:val="00470D79"/>
    <w:rsid w:val="00471696"/>
    <w:rsid w:val="00472A52"/>
    <w:rsid w:val="00473741"/>
    <w:rsid w:val="00474E38"/>
    <w:rsid w:val="0047589E"/>
    <w:rsid w:val="0047637C"/>
    <w:rsid w:val="00476778"/>
    <w:rsid w:val="00476A19"/>
    <w:rsid w:val="0047733A"/>
    <w:rsid w:val="004809F4"/>
    <w:rsid w:val="004810B6"/>
    <w:rsid w:val="00481202"/>
    <w:rsid w:val="004821E7"/>
    <w:rsid w:val="004830EA"/>
    <w:rsid w:val="0048355E"/>
    <w:rsid w:val="00485B13"/>
    <w:rsid w:val="0048642A"/>
    <w:rsid w:val="00486F28"/>
    <w:rsid w:val="0048723F"/>
    <w:rsid w:val="00487EEC"/>
    <w:rsid w:val="00490183"/>
    <w:rsid w:val="004901E0"/>
    <w:rsid w:val="00490E5E"/>
    <w:rsid w:val="00492009"/>
    <w:rsid w:val="00492669"/>
    <w:rsid w:val="00494A3D"/>
    <w:rsid w:val="00494D6A"/>
    <w:rsid w:val="0049559B"/>
    <w:rsid w:val="004969CC"/>
    <w:rsid w:val="00497E23"/>
    <w:rsid w:val="004A2D2E"/>
    <w:rsid w:val="004A35AB"/>
    <w:rsid w:val="004A4016"/>
    <w:rsid w:val="004A4A41"/>
    <w:rsid w:val="004A51F0"/>
    <w:rsid w:val="004A5737"/>
    <w:rsid w:val="004A5817"/>
    <w:rsid w:val="004A64E8"/>
    <w:rsid w:val="004A65DA"/>
    <w:rsid w:val="004B021B"/>
    <w:rsid w:val="004B073A"/>
    <w:rsid w:val="004B108C"/>
    <w:rsid w:val="004B21F3"/>
    <w:rsid w:val="004B2D40"/>
    <w:rsid w:val="004B3896"/>
    <w:rsid w:val="004B39C7"/>
    <w:rsid w:val="004B4F8F"/>
    <w:rsid w:val="004B5890"/>
    <w:rsid w:val="004B5CA0"/>
    <w:rsid w:val="004C0201"/>
    <w:rsid w:val="004C039E"/>
    <w:rsid w:val="004C05CC"/>
    <w:rsid w:val="004C0892"/>
    <w:rsid w:val="004C198E"/>
    <w:rsid w:val="004C3311"/>
    <w:rsid w:val="004C3BF4"/>
    <w:rsid w:val="004C450B"/>
    <w:rsid w:val="004C4543"/>
    <w:rsid w:val="004C5423"/>
    <w:rsid w:val="004C5546"/>
    <w:rsid w:val="004D0CD7"/>
    <w:rsid w:val="004D1359"/>
    <w:rsid w:val="004D16B1"/>
    <w:rsid w:val="004D1934"/>
    <w:rsid w:val="004D1A8B"/>
    <w:rsid w:val="004D275A"/>
    <w:rsid w:val="004D3195"/>
    <w:rsid w:val="004D323C"/>
    <w:rsid w:val="004D4357"/>
    <w:rsid w:val="004D43EA"/>
    <w:rsid w:val="004D4524"/>
    <w:rsid w:val="004D45DA"/>
    <w:rsid w:val="004D4965"/>
    <w:rsid w:val="004D5669"/>
    <w:rsid w:val="004D69AF"/>
    <w:rsid w:val="004D7284"/>
    <w:rsid w:val="004D7320"/>
    <w:rsid w:val="004E0BAF"/>
    <w:rsid w:val="004E0FEC"/>
    <w:rsid w:val="004E1824"/>
    <w:rsid w:val="004E1C03"/>
    <w:rsid w:val="004E2DAC"/>
    <w:rsid w:val="004E468E"/>
    <w:rsid w:val="004E5FB9"/>
    <w:rsid w:val="004E7482"/>
    <w:rsid w:val="004F004E"/>
    <w:rsid w:val="004F02A2"/>
    <w:rsid w:val="004F0407"/>
    <w:rsid w:val="004F090D"/>
    <w:rsid w:val="004F0A83"/>
    <w:rsid w:val="004F0B0D"/>
    <w:rsid w:val="004F0FB6"/>
    <w:rsid w:val="004F2183"/>
    <w:rsid w:val="004F2589"/>
    <w:rsid w:val="004F2AC6"/>
    <w:rsid w:val="004F3660"/>
    <w:rsid w:val="004F405F"/>
    <w:rsid w:val="004F6CAF"/>
    <w:rsid w:val="004F7A67"/>
    <w:rsid w:val="004F7F2B"/>
    <w:rsid w:val="00500192"/>
    <w:rsid w:val="005004A5"/>
    <w:rsid w:val="00500B90"/>
    <w:rsid w:val="00500C97"/>
    <w:rsid w:val="00500FE5"/>
    <w:rsid w:val="00501C4A"/>
    <w:rsid w:val="005022AD"/>
    <w:rsid w:val="00502740"/>
    <w:rsid w:val="00503684"/>
    <w:rsid w:val="00503BE0"/>
    <w:rsid w:val="005044A6"/>
    <w:rsid w:val="00507151"/>
    <w:rsid w:val="0050717B"/>
    <w:rsid w:val="00507507"/>
    <w:rsid w:val="00507D8D"/>
    <w:rsid w:val="00510A91"/>
    <w:rsid w:val="00510C4C"/>
    <w:rsid w:val="00510D79"/>
    <w:rsid w:val="00510E1E"/>
    <w:rsid w:val="00511216"/>
    <w:rsid w:val="00512173"/>
    <w:rsid w:val="005121C4"/>
    <w:rsid w:val="005122D1"/>
    <w:rsid w:val="00512E3E"/>
    <w:rsid w:val="00514B66"/>
    <w:rsid w:val="00514C6E"/>
    <w:rsid w:val="00514FC2"/>
    <w:rsid w:val="0051542D"/>
    <w:rsid w:val="005156F3"/>
    <w:rsid w:val="00516955"/>
    <w:rsid w:val="00516C18"/>
    <w:rsid w:val="00517FCD"/>
    <w:rsid w:val="005207E0"/>
    <w:rsid w:val="00523B70"/>
    <w:rsid w:val="005258DB"/>
    <w:rsid w:val="00526CE2"/>
    <w:rsid w:val="00526E4C"/>
    <w:rsid w:val="00527FCA"/>
    <w:rsid w:val="005301B3"/>
    <w:rsid w:val="0053067C"/>
    <w:rsid w:val="0053085C"/>
    <w:rsid w:val="0053138D"/>
    <w:rsid w:val="0053235B"/>
    <w:rsid w:val="00532B4B"/>
    <w:rsid w:val="00533C87"/>
    <w:rsid w:val="00534F79"/>
    <w:rsid w:val="00535E6D"/>
    <w:rsid w:val="005369F0"/>
    <w:rsid w:val="00536C89"/>
    <w:rsid w:val="00536F4E"/>
    <w:rsid w:val="00537020"/>
    <w:rsid w:val="0053741E"/>
    <w:rsid w:val="00537A82"/>
    <w:rsid w:val="00537A98"/>
    <w:rsid w:val="00540721"/>
    <w:rsid w:val="00540C22"/>
    <w:rsid w:val="00540CCC"/>
    <w:rsid w:val="00541698"/>
    <w:rsid w:val="00541799"/>
    <w:rsid w:val="00543B7F"/>
    <w:rsid w:val="00543DA0"/>
    <w:rsid w:val="0054403D"/>
    <w:rsid w:val="00544102"/>
    <w:rsid w:val="00544A23"/>
    <w:rsid w:val="00545919"/>
    <w:rsid w:val="00545F72"/>
    <w:rsid w:val="00547E8E"/>
    <w:rsid w:val="005504FC"/>
    <w:rsid w:val="005511DE"/>
    <w:rsid w:val="005517B0"/>
    <w:rsid w:val="005530ED"/>
    <w:rsid w:val="0055333D"/>
    <w:rsid w:val="005537C4"/>
    <w:rsid w:val="0055423E"/>
    <w:rsid w:val="0055479A"/>
    <w:rsid w:val="00557191"/>
    <w:rsid w:val="005606EA"/>
    <w:rsid w:val="00561AEA"/>
    <w:rsid w:val="00561C4A"/>
    <w:rsid w:val="00562346"/>
    <w:rsid w:val="00563599"/>
    <w:rsid w:val="005647D8"/>
    <w:rsid w:val="0056573D"/>
    <w:rsid w:val="00565878"/>
    <w:rsid w:val="00566098"/>
    <w:rsid w:val="005665DC"/>
    <w:rsid w:val="0056696D"/>
    <w:rsid w:val="005674CF"/>
    <w:rsid w:val="00567D4E"/>
    <w:rsid w:val="00570D66"/>
    <w:rsid w:val="00571604"/>
    <w:rsid w:val="00572607"/>
    <w:rsid w:val="005730D9"/>
    <w:rsid w:val="00573114"/>
    <w:rsid w:val="00573A67"/>
    <w:rsid w:val="00573ADB"/>
    <w:rsid w:val="00575553"/>
    <w:rsid w:val="005758EC"/>
    <w:rsid w:val="00576D0D"/>
    <w:rsid w:val="00576F2C"/>
    <w:rsid w:val="005778D6"/>
    <w:rsid w:val="0058088F"/>
    <w:rsid w:val="005815E7"/>
    <w:rsid w:val="00581EA3"/>
    <w:rsid w:val="00581FD3"/>
    <w:rsid w:val="00582259"/>
    <w:rsid w:val="00582749"/>
    <w:rsid w:val="005829DD"/>
    <w:rsid w:val="005835CD"/>
    <w:rsid w:val="00583716"/>
    <w:rsid w:val="00583EDE"/>
    <w:rsid w:val="00584548"/>
    <w:rsid w:val="005846E5"/>
    <w:rsid w:val="00584C6F"/>
    <w:rsid w:val="005853AF"/>
    <w:rsid w:val="0058557B"/>
    <w:rsid w:val="00586536"/>
    <w:rsid w:val="005878CF"/>
    <w:rsid w:val="005901AB"/>
    <w:rsid w:val="00590F6C"/>
    <w:rsid w:val="005916BA"/>
    <w:rsid w:val="005920D8"/>
    <w:rsid w:val="00592211"/>
    <w:rsid w:val="00592504"/>
    <w:rsid w:val="00593085"/>
    <w:rsid w:val="00593DB8"/>
    <w:rsid w:val="00594C95"/>
    <w:rsid w:val="00595D16"/>
    <w:rsid w:val="005962CF"/>
    <w:rsid w:val="005970A4"/>
    <w:rsid w:val="00597CBF"/>
    <w:rsid w:val="005A0307"/>
    <w:rsid w:val="005A0AF7"/>
    <w:rsid w:val="005A0E7F"/>
    <w:rsid w:val="005A2736"/>
    <w:rsid w:val="005A4869"/>
    <w:rsid w:val="005A49BC"/>
    <w:rsid w:val="005A53BC"/>
    <w:rsid w:val="005A6B18"/>
    <w:rsid w:val="005A73FE"/>
    <w:rsid w:val="005A74AB"/>
    <w:rsid w:val="005A7B20"/>
    <w:rsid w:val="005A7FA0"/>
    <w:rsid w:val="005B0847"/>
    <w:rsid w:val="005B15B3"/>
    <w:rsid w:val="005B19E3"/>
    <w:rsid w:val="005B2635"/>
    <w:rsid w:val="005B265D"/>
    <w:rsid w:val="005B2EE8"/>
    <w:rsid w:val="005B353B"/>
    <w:rsid w:val="005B4E0A"/>
    <w:rsid w:val="005B5893"/>
    <w:rsid w:val="005B64EB"/>
    <w:rsid w:val="005B68C2"/>
    <w:rsid w:val="005B6CC5"/>
    <w:rsid w:val="005B7579"/>
    <w:rsid w:val="005C04AC"/>
    <w:rsid w:val="005C0784"/>
    <w:rsid w:val="005C0F27"/>
    <w:rsid w:val="005C27E7"/>
    <w:rsid w:val="005C2822"/>
    <w:rsid w:val="005C2AB8"/>
    <w:rsid w:val="005C2F8F"/>
    <w:rsid w:val="005C37A0"/>
    <w:rsid w:val="005C447B"/>
    <w:rsid w:val="005C473F"/>
    <w:rsid w:val="005C4855"/>
    <w:rsid w:val="005C4AAC"/>
    <w:rsid w:val="005C4BD0"/>
    <w:rsid w:val="005C5B42"/>
    <w:rsid w:val="005C5D37"/>
    <w:rsid w:val="005C74A1"/>
    <w:rsid w:val="005C77B6"/>
    <w:rsid w:val="005D0504"/>
    <w:rsid w:val="005D095D"/>
    <w:rsid w:val="005D0C80"/>
    <w:rsid w:val="005D0E36"/>
    <w:rsid w:val="005D2158"/>
    <w:rsid w:val="005D26CA"/>
    <w:rsid w:val="005D3223"/>
    <w:rsid w:val="005D4A79"/>
    <w:rsid w:val="005D59B3"/>
    <w:rsid w:val="005D74DB"/>
    <w:rsid w:val="005E13AA"/>
    <w:rsid w:val="005E191D"/>
    <w:rsid w:val="005E1EE4"/>
    <w:rsid w:val="005E26A2"/>
    <w:rsid w:val="005E361A"/>
    <w:rsid w:val="005E4EFA"/>
    <w:rsid w:val="005E51CE"/>
    <w:rsid w:val="005E53EC"/>
    <w:rsid w:val="005E598A"/>
    <w:rsid w:val="005E6B9B"/>
    <w:rsid w:val="005E6DBE"/>
    <w:rsid w:val="005E6EF1"/>
    <w:rsid w:val="005E7166"/>
    <w:rsid w:val="005E74FF"/>
    <w:rsid w:val="005E75C3"/>
    <w:rsid w:val="005F225E"/>
    <w:rsid w:val="005F2AED"/>
    <w:rsid w:val="005F2C63"/>
    <w:rsid w:val="005F376F"/>
    <w:rsid w:val="005F4814"/>
    <w:rsid w:val="005F65D4"/>
    <w:rsid w:val="005F79D5"/>
    <w:rsid w:val="006010DB"/>
    <w:rsid w:val="0060128B"/>
    <w:rsid w:val="006018FE"/>
    <w:rsid w:val="00601ECA"/>
    <w:rsid w:val="00602466"/>
    <w:rsid w:val="00602AA6"/>
    <w:rsid w:val="00603AE1"/>
    <w:rsid w:val="0060462C"/>
    <w:rsid w:val="00605B89"/>
    <w:rsid w:val="00611F23"/>
    <w:rsid w:val="00612B47"/>
    <w:rsid w:val="00612E74"/>
    <w:rsid w:val="00613472"/>
    <w:rsid w:val="00613BF0"/>
    <w:rsid w:val="006152A2"/>
    <w:rsid w:val="006153C0"/>
    <w:rsid w:val="006155D0"/>
    <w:rsid w:val="006169D2"/>
    <w:rsid w:val="006174E5"/>
    <w:rsid w:val="006174FA"/>
    <w:rsid w:val="006175CE"/>
    <w:rsid w:val="00617885"/>
    <w:rsid w:val="00617E3C"/>
    <w:rsid w:val="00617FF5"/>
    <w:rsid w:val="00621030"/>
    <w:rsid w:val="006217A6"/>
    <w:rsid w:val="00621C1C"/>
    <w:rsid w:val="00622CAB"/>
    <w:rsid w:val="00623544"/>
    <w:rsid w:val="00623825"/>
    <w:rsid w:val="00623966"/>
    <w:rsid w:val="00623F72"/>
    <w:rsid w:val="00623FB5"/>
    <w:rsid w:val="006240F6"/>
    <w:rsid w:val="0062429F"/>
    <w:rsid w:val="00626B16"/>
    <w:rsid w:val="00626DC6"/>
    <w:rsid w:val="00627012"/>
    <w:rsid w:val="00627149"/>
    <w:rsid w:val="00627873"/>
    <w:rsid w:val="00627EA8"/>
    <w:rsid w:val="006314BE"/>
    <w:rsid w:val="00632656"/>
    <w:rsid w:val="00632970"/>
    <w:rsid w:val="00634B60"/>
    <w:rsid w:val="00634DB4"/>
    <w:rsid w:val="006355ED"/>
    <w:rsid w:val="0063596F"/>
    <w:rsid w:val="00635EA7"/>
    <w:rsid w:val="00637749"/>
    <w:rsid w:val="006408CC"/>
    <w:rsid w:val="00640C63"/>
    <w:rsid w:val="006421A8"/>
    <w:rsid w:val="00642BF5"/>
    <w:rsid w:val="0064304E"/>
    <w:rsid w:val="006432D6"/>
    <w:rsid w:val="00643984"/>
    <w:rsid w:val="006449E3"/>
    <w:rsid w:val="00644D50"/>
    <w:rsid w:val="006469DE"/>
    <w:rsid w:val="00646A61"/>
    <w:rsid w:val="00647707"/>
    <w:rsid w:val="00647DFD"/>
    <w:rsid w:val="00647F31"/>
    <w:rsid w:val="00650189"/>
    <w:rsid w:val="006520E7"/>
    <w:rsid w:val="006525A3"/>
    <w:rsid w:val="00652F8D"/>
    <w:rsid w:val="00653FB4"/>
    <w:rsid w:val="00654CF2"/>
    <w:rsid w:val="00655AC3"/>
    <w:rsid w:val="006572DB"/>
    <w:rsid w:val="0065736A"/>
    <w:rsid w:val="0065779C"/>
    <w:rsid w:val="006577A1"/>
    <w:rsid w:val="00657CBC"/>
    <w:rsid w:val="0066055B"/>
    <w:rsid w:val="00660FC3"/>
    <w:rsid w:val="006611FC"/>
    <w:rsid w:val="0066127F"/>
    <w:rsid w:val="00661C26"/>
    <w:rsid w:val="00662764"/>
    <w:rsid w:val="0066354B"/>
    <w:rsid w:val="00664AE8"/>
    <w:rsid w:val="0066523B"/>
    <w:rsid w:val="0066567C"/>
    <w:rsid w:val="0066644A"/>
    <w:rsid w:val="006667F4"/>
    <w:rsid w:val="0066687A"/>
    <w:rsid w:val="00666C29"/>
    <w:rsid w:val="00667AE9"/>
    <w:rsid w:val="00670468"/>
    <w:rsid w:val="00670A7D"/>
    <w:rsid w:val="006718DC"/>
    <w:rsid w:val="006729E0"/>
    <w:rsid w:val="0067393E"/>
    <w:rsid w:val="0067440F"/>
    <w:rsid w:val="00674D36"/>
    <w:rsid w:val="00675272"/>
    <w:rsid w:val="00676536"/>
    <w:rsid w:val="006768EC"/>
    <w:rsid w:val="00676F0B"/>
    <w:rsid w:val="006778A5"/>
    <w:rsid w:val="00677F71"/>
    <w:rsid w:val="006806B7"/>
    <w:rsid w:val="00680B19"/>
    <w:rsid w:val="00681299"/>
    <w:rsid w:val="006813C4"/>
    <w:rsid w:val="00681C26"/>
    <w:rsid w:val="00682DC2"/>
    <w:rsid w:val="00683172"/>
    <w:rsid w:val="00683BE9"/>
    <w:rsid w:val="006855C8"/>
    <w:rsid w:val="00685626"/>
    <w:rsid w:val="00685894"/>
    <w:rsid w:val="00685A77"/>
    <w:rsid w:val="00685FA5"/>
    <w:rsid w:val="00690211"/>
    <w:rsid w:val="006915D4"/>
    <w:rsid w:val="006925C6"/>
    <w:rsid w:val="00692F20"/>
    <w:rsid w:val="00693559"/>
    <w:rsid w:val="00695125"/>
    <w:rsid w:val="0069518D"/>
    <w:rsid w:val="0069562C"/>
    <w:rsid w:val="0069594C"/>
    <w:rsid w:val="00695E9D"/>
    <w:rsid w:val="00697309"/>
    <w:rsid w:val="006A073E"/>
    <w:rsid w:val="006A07EF"/>
    <w:rsid w:val="006A0D32"/>
    <w:rsid w:val="006A1318"/>
    <w:rsid w:val="006A2DB5"/>
    <w:rsid w:val="006A47E7"/>
    <w:rsid w:val="006A50DE"/>
    <w:rsid w:val="006A62F5"/>
    <w:rsid w:val="006A6680"/>
    <w:rsid w:val="006A6BA5"/>
    <w:rsid w:val="006A6E29"/>
    <w:rsid w:val="006B0EFC"/>
    <w:rsid w:val="006B1836"/>
    <w:rsid w:val="006B23A7"/>
    <w:rsid w:val="006B264C"/>
    <w:rsid w:val="006B277F"/>
    <w:rsid w:val="006B2BC2"/>
    <w:rsid w:val="006B2C89"/>
    <w:rsid w:val="006B3860"/>
    <w:rsid w:val="006B3CFE"/>
    <w:rsid w:val="006B4407"/>
    <w:rsid w:val="006B53E6"/>
    <w:rsid w:val="006B58C4"/>
    <w:rsid w:val="006B5E3D"/>
    <w:rsid w:val="006C019B"/>
    <w:rsid w:val="006C129C"/>
    <w:rsid w:val="006C1521"/>
    <w:rsid w:val="006C18D4"/>
    <w:rsid w:val="006C2C28"/>
    <w:rsid w:val="006C2EB9"/>
    <w:rsid w:val="006C300A"/>
    <w:rsid w:val="006C3409"/>
    <w:rsid w:val="006C43EB"/>
    <w:rsid w:val="006C47C3"/>
    <w:rsid w:val="006C491A"/>
    <w:rsid w:val="006C49B4"/>
    <w:rsid w:val="006C4CA8"/>
    <w:rsid w:val="006C520A"/>
    <w:rsid w:val="006C71C1"/>
    <w:rsid w:val="006D0C2A"/>
    <w:rsid w:val="006D0CE1"/>
    <w:rsid w:val="006D0FED"/>
    <w:rsid w:val="006D16D1"/>
    <w:rsid w:val="006D1F5E"/>
    <w:rsid w:val="006D3269"/>
    <w:rsid w:val="006D372F"/>
    <w:rsid w:val="006D4025"/>
    <w:rsid w:val="006D4108"/>
    <w:rsid w:val="006D4652"/>
    <w:rsid w:val="006D4CC8"/>
    <w:rsid w:val="006E0BC1"/>
    <w:rsid w:val="006E1440"/>
    <w:rsid w:val="006E194F"/>
    <w:rsid w:val="006E1D51"/>
    <w:rsid w:val="006E2352"/>
    <w:rsid w:val="006E25B4"/>
    <w:rsid w:val="006E2ADC"/>
    <w:rsid w:val="006E37CA"/>
    <w:rsid w:val="006E38CF"/>
    <w:rsid w:val="006E3C79"/>
    <w:rsid w:val="006E3C7E"/>
    <w:rsid w:val="006E4A3E"/>
    <w:rsid w:val="006E4D42"/>
    <w:rsid w:val="006E5369"/>
    <w:rsid w:val="006E60AF"/>
    <w:rsid w:val="006E63DC"/>
    <w:rsid w:val="006E6767"/>
    <w:rsid w:val="006E7027"/>
    <w:rsid w:val="006E7824"/>
    <w:rsid w:val="006F03B3"/>
    <w:rsid w:val="006F0FB4"/>
    <w:rsid w:val="006F1A09"/>
    <w:rsid w:val="006F3537"/>
    <w:rsid w:val="006F51F5"/>
    <w:rsid w:val="006F5D07"/>
    <w:rsid w:val="006F62BB"/>
    <w:rsid w:val="006F64B7"/>
    <w:rsid w:val="006F6789"/>
    <w:rsid w:val="006F6CFC"/>
    <w:rsid w:val="006F6E18"/>
    <w:rsid w:val="00700DAD"/>
    <w:rsid w:val="00701491"/>
    <w:rsid w:val="007014AF"/>
    <w:rsid w:val="007014D5"/>
    <w:rsid w:val="007017F8"/>
    <w:rsid w:val="00702F0A"/>
    <w:rsid w:val="00703068"/>
    <w:rsid w:val="00703A66"/>
    <w:rsid w:val="00703C8F"/>
    <w:rsid w:val="00703F5B"/>
    <w:rsid w:val="00704939"/>
    <w:rsid w:val="00705CF1"/>
    <w:rsid w:val="00706AD4"/>
    <w:rsid w:val="00706BEA"/>
    <w:rsid w:val="00707994"/>
    <w:rsid w:val="007101CE"/>
    <w:rsid w:val="007102DA"/>
    <w:rsid w:val="00710804"/>
    <w:rsid w:val="00710B66"/>
    <w:rsid w:val="00711944"/>
    <w:rsid w:val="00713344"/>
    <w:rsid w:val="00714229"/>
    <w:rsid w:val="00715B72"/>
    <w:rsid w:val="00716D01"/>
    <w:rsid w:val="00716F93"/>
    <w:rsid w:val="00717200"/>
    <w:rsid w:val="00717C31"/>
    <w:rsid w:val="00717E6C"/>
    <w:rsid w:val="0072397C"/>
    <w:rsid w:val="00724777"/>
    <w:rsid w:val="00725BF2"/>
    <w:rsid w:val="0072795D"/>
    <w:rsid w:val="007307F0"/>
    <w:rsid w:val="00730A6A"/>
    <w:rsid w:val="00730E13"/>
    <w:rsid w:val="0073306B"/>
    <w:rsid w:val="00734537"/>
    <w:rsid w:val="00734618"/>
    <w:rsid w:val="00734C27"/>
    <w:rsid w:val="00734C7D"/>
    <w:rsid w:val="00734D4B"/>
    <w:rsid w:val="007352A3"/>
    <w:rsid w:val="00736605"/>
    <w:rsid w:val="00736756"/>
    <w:rsid w:val="00736AB8"/>
    <w:rsid w:val="00736DCA"/>
    <w:rsid w:val="007371EB"/>
    <w:rsid w:val="00737BCB"/>
    <w:rsid w:val="00741547"/>
    <w:rsid w:val="007415B1"/>
    <w:rsid w:val="0074175C"/>
    <w:rsid w:val="00743452"/>
    <w:rsid w:val="00744AA6"/>
    <w:rsid w:val="00745377"/>
    <w:rsid w:val="007453FC"/>
    <w:rsid w:val="00745481"/>
    <w:rsid w:val="00746020"/>
    <w:rsid w:val="007462BB"/>
    <w:rsid w:val="00750259"/>
    <w:rsid w:val="0075110B"/>
    <w:rsid w:val="00751B7D"/>
    <w:rsid w:val="00752736"/>
    <w:rsid w:val="00754555"/>
    <w:rsid w:val="0075511B"/>
    <w:rsid w:val="00755A24"/>
    <w:rsid w:val="00755B98"/>
    <w:rsid w:val="00756DAE"/>
    <w:rsid w:val="00757411"/>
    <w:rsid w:val="007600DE"/>
    <w:rsid w:val="00761756"/>
    <w:rsid w:val="00761B4D"/>
    <w:rsid w:val="00762F33"/>
    <w:rsid w:val="007630E2"/>
    <w:rsid w:val="007638EA"/>
    <w:rsid w:val="00763BFC"/>
    <w:rsid w:val="00764C1A"/>
    <w:rsid w:val="00764F40"/>
    <w:rsid w:val="00767320"/>
    <w:rsid w:val="00767481"/>
    <w:rsid w:val="00767954"/>
    <w:rsid w:val="00770033"/>
    <w:rsid w:val="00770658"/>
    <w:rsid w:val="00772137"/>
    <w:rsid w:val="0077247B"/>
    <w:rsid w:val="007725B7"/>
    <w:rsid w:val="00773496"/>
    <w:rsid w:val="007739A8"/>
    <w:rsid w:val="0077525C"/>
    <w:rsid w:val="00775A81"/>
    <w:rsid w:val="007763E4"/>
    <w:rsid w:val="007763F3"/>
    <w:rsid w:val="00776BB2"/>
    <w:rsid w:val="00776C8E"/>
    <w:rsid w:val="00777B01"/>
    <w:rsid w:val="00777B3E"/>
    <w:rsid w:val="007805AE"/>
    <w:rsid w:val="007806C8"/>
    <w:rsid w:val="0078122E"/>
    <w:rsid w:val="00781ACE"/>
    <w:rsid w:val="00781B2F"/>
    <w:rsid w:val="00781D91"/>
    <w:rsid w:val="007822D3"/>
    <w:rsid w:val="007822FE"/>
    <w:rsid w:val="00782501"/>
    <w:rsid w:val="00783575"/>
    <w:rsid w:val="00784292"/>
    <w:rsid w:val="007851EE"/>
    <w:rsid w:val="0078541F"/>
    <w:rsid w:val="0078651F"/>
    <w:rsid w:val="007866C1"/>
    <w:rsid w:val="00786887"/>
    <w:rsid w:val="00786938"/>
    <w:rsid w:val="007909A7"/>
    <w:rsid w:val="00791616"/>
    <w:rsid w:val="00791C15"/>
    <w:rsid w:val="00793664"/>
    <w:rsid w:val="00793B1A"/>
    <w:rsid w:val="007949DB"/>
    <w:rsid w:val="00795AA5"/>
    <w:rsid w:val="00795B56"/>
    <w:rsid w:val="0079667C"/>
    <w:rsid w:val="00796A37"/>
    <w:rsid w:val="00796B9A"/>
    <w:rsid w:val="00797199"/>
    <w:rsid w:val="007979E7"/>
    <w:rsid w:val="007A120D"/>
    <w:rsid w:val="007A1620"/>
    <w:rsid w:val="007A1830"/>
    <w:rsid w:val="007A2CC9"/>
    <w:rsid w:val="007A3009"/>
    <w:rsid w:val="007A3977"/>
    <w:rsid w:val="007A3F91"/>
    <w:rsid w:val="007A53D6"/>
    <w:rsid w:val="007A5C29"/>
    <w:rsid w:val="007A5EAE"/>
    <w:rsid w:val="007A61EB"/>
    <w:rsid w:val="007A7D25"/>
    <w:rsid w:val="007A7F94"/>
    <w:rsid w:val="007B1431"/>
    <w:rsid w:val="007B25C4"/>
    <w:rsid w:val="007B2C8D"/>
    <w:rsid w:val="007B58D8"/>
    <w:rsid w:val="007B5E5D"/>
    <w:rsid w:val="007B7C6C"/>
    <w:rsid w:val="007C024C"/>
    <w:rsid w:val="007C0722"/>
    <w:rsid w:val="007C0906"/>
    <w:rsid w:val="007C0C56"/>
    <w:rsid w:val="007C13AD"/>
    <w:rsid w:val="007C1476"/>
    <w:rsid w:val="007C1640"/>
    <w:rsid w:val="007C1EAB"/>
    <w:rsid w:val="007C1EE1"/>
    <w:rsid w:val="007C3C40"/>
    <w:rsid w:val="007C5018"/>
    <w:rsid w:val="007C66EB"/>
    <w:rsid w:val="007C6AD2"/>
    <w:rsid w:val="007C6FE3"/>
    <w:rsid w:val="007C7033"/>
    <w:rsid w:val="007C7335"/>
    <w:rsid w:val="007C7B20"/>
    <w:rsid w:val="007D1DCC"/>
    <w:rsid w:val="007D307A"/>
    <w:rsid w:val="007D3AB5"/>
    <w:rsid w:val="007D3E80"/>
    <w:rsid w:val="007D43E2"/>
    <w:rsid w:val="007D54A1"/>
    <w:rsid w:val="007D5A90"/>
    <w:rsid w:val="007D619F"/>
    <w:rsid w:val="007D6A91"/>
    <w:rsid w:val="007D6DBA"/>
    <w:rsid w:val="007D7D2D"/>
    <w:rsid w:val="007E24D9"/>
    <w:rsid w:val="007E29FC"/>
    <w:rsid w:val="007E2A53"/>
    <w:rsid w:val="007E2FD1"/>
    <w:rsid w:val="007E3813"/>
    <w:rsid w:val="007E6017"/>
    <w:rsid w:val="007E6A65"/>
    <w:rsid w:val="007E7CA6"/>
    <w:rsid w:val="007E7E03"/>
    <w:rsid w:val="007F0E55"/>
    <w:rsid w:val="007F13A9"/>
    <w:rsid w:val="007F17A8"/>
    <w:rsid w:val="007F1999"/>
    <w:rsid w:val="007F23ED"/>
    <w:rsid w:val="007F5182"/>
    <w:rsid w:val="007F5ED8"/>
    <w:rsid w:val="007F7232"/>
    <w:rsid w:val="007F7C8C"/>
    <w:rsid w:val="008000C4"/>
    <w:rsid w:val="0080048C"/>
    <w:rsid w:val="0080093D"/>
    <w:rsid w:val="008009B3"/>
    <w:rsid w:val="00801CBC"/>
    <w:rsid w:val="00803C6F"/>
    <w:rsid w:val="0080552F"/>
    <w:rsid w:val="00805A89"/>
    <w:rsid w:val="00806EB6"/>
    <w:rsid w:val="00806FFC"/>
    <w:rsid w:val="00810B03"/>
    <w:rsid w:val="00812C51"/>
    <w:rsid w:val="00814022"/>
    <w:rsid w:val="00814D63"/>
    <w:rsid w:val="00815C03"/>
    <w:rsid w:val="00815EB0"/>
    <w:rsid w:val="00816936"/>
    <w:rsid w:val="00816C52"/>
    <w:rsid w:val="00817479"/>
    <w:rsid w:val="00817A84"/>
    <w:rsid w:val="00820F54"/>
    <w:rsid w:val="00821A8F"/>
    <w:rsid w:val="00822360"/>
    <w:rsid w:val="008227FA"/>
    <w:rsid w:val="00823773"/>
    <w:rsid w:val="00823974"/>
    <w:rsid w:val="008249AA"/>
    <w:rsid w:val="00824A4F"/>
    <w:rsid w:val="00824C13"/>
    <w:rsid w:val="00824C50"/>
    <w:rsid w:val="00825F88"/>
    <w:rsid w:val="008264EB"/>
    <w:rsid w:val="00826616"/>
    <w:rsid w:val="008269BD"/>
    <w:rsid w:val="00826D9B"/>
    <w:rsid w:val="00826F5D"/>
    <w:rsid w:val="00827545"/>
    <w:rsid w:val="00830650"/>
    <w:rsid w:val="00830B92"/>
    <w:rsid w:val="0083207B"/>
    <w:rsid w:val="0083278E"/>
    <w:rsid w:val="0083296C"/>
    <w:rsid w:val="008331E1"/>
    <w:rsid w:val="0083466D"/>
    <w:rsid w:val="00834AEE"/>
    <w:rsid w:val="00834BBB"/>
    <w:rsid w:val="00834F48"/>
    <w:rsid w:val="008357F9"/>
    <w:rsid w:val="008406DD"/>
    <w:rsid w:val="008408EE"/>
    <w:rsid w:val="00840AF8"/>
    <w:rsid w:val="00840B76"/>
    <w:rsid w:val="00840EB3"/>
    <w:rsid w:val="008412AB"/>
    <w:rsid w:val="00842253"/>
    <w:rsid w:val="00842E7D"/>
    <w:rsid w:val="008433A6"/>
    <w:rsid w:val="0084395D"/>
    <w:rsid w:val="00843A2D"/>
    <w:rsid w:val="00843DD4"/>
    <w:rsid w:val="0084432D"/>
    <w:rsid w:val="008445F2"/>
    <w:rsid w:val="00845759"/>
    <w:rsid w:val="008457E1"/>
    <w:rsid w:val="008458E7"/>
    <w:rsid w:val="00845E46"/>
    <w:rsid w:val="00846153"/>
    <w:rsid w:val="008466E8"/>
    <w:rsid w:val="0084680A"/>
    <w:rsid w:val="00847967"/>
    <w:rsid w:val="0085100B"/>
    <w:rsid w:val="00851AA4"/>
    <w:rsid w:val="008526FE"/>
    <w:rsid w:val="008527AA"/>
    <w:rsid w:val="00853A5A"/>
    <w:rsid w:val="00853CAF"/>
    <w:rsid w:val="00854688"/>
    <w:rsid w:val="00854FC3"/>
    <w:rsid w:val="008551EE"/>
    <w:rsid w:val="008558A7"/>
    <w:rsid w:val="008559AB"/>
    <w:rsid w:val="00855B91"/>
    <w:rsid w:val="00856281"/>
    <w:rsid w:val="00857331"/>
    <w:rsid w:val="00857BF4"/>
    <w:rsid w:val="00857E24"/>
    <w:rsid w:val="00861FC2"/>
    <w:rsid w:val="0086214F"/>
    <w:rsid w:val="00862880"/>
    <w:rsid w:val="00863429"/>
    <w:rsid w:val="00863FAF"/>
    <w:rsid w:val="00864867"/>
    <w:rsid w:val="00865485"/>
    <w:rsid w:val="00865867"/>
    <w:rsid w:val="00867709"/>
    <w:rsid w:val="00870592"/>
    <w:rsid w:val="00870A33"/>
    <w:rsid w:val="00870E0F"/>
    <w:rsid w:val="00871E37"/>
    <w:rsid w:val="00872999"/>
    <w:rsid w:val="0087354D"/>
    <w:rsid w:val="008735DB"/>
    <w:rsid w:val="008738BD"/>
    <w:rsid w:val="008739BC"/>
    <w:rsid w:val="00874B69"/>
    <w:rsid w:val="0087582C"/>
    <w:rsid w:val="00876C8A"/>
    <w:rsid w:val="008777C8"/>
    <w:rsid w:val="00877AFB"/>
    <w:rsid w:val="00880AD7"/>
    <w:rsid w:val="00880B3B"/>
    <w:rsid w:val="00880B67"/>
    <w:rsid w:val="00880BCD"/>
    <w:rsid w:val="00881CB4"/>
    <w:rsid w:val="008829FA"/>
    <w:rsid w:val="00883112"/>
    <w:rsid w:val="00884BE8"/>
    <w:rsid w:val="008854FA"/>
    <w:rsid w:val="00886841"/>
    <w:rsid w:val="00887268"/>
    <w:rsid w:val="00887406"/>
    <w:rsid w:val="00887647"/>
    <w:rsid w:val="00887F7F"/>
    <w:rsid w:val="008900A8"/>
    <w:rsid w:val="00890F42"/>
    <w:rsid w:val="008910DC"/>
    <w:rsid w:val="00893478"/>
    <w:rsid w:val="00895F1B"/>
    <w:rsid w:val="008977DE"/>
    <w:rsid w:val="00897AAD"/>
    <w:rsid w:val="00897F90"/>
    <w:rsid w:val="008A0861"/>
    <w:rsid w:val="008A0B3C"/>
    <w:rsid w:val="008A1D80"/>
    <w:rsid w:val="008A28C6"/>
    <w:rsid w:val="008A2950"/>
    <w:rsid w:val="008A2EF4"/>
    <w:rsid w:val="008A430B"/>
    <w:rsid w:val="008A4537"/>
    <w:rsid w:val="008A49C0"/>
    <w:rsid w:val="008A4CA1"/>
    <w:rsid w:val="008A547E"/>
    <w:rsid w:val="008A562B"/>
    <w:rsid w:val="008A5BDF"/>
    <w:rsid w:val="008A662E"/>
    <w:rsid w:val="008A7175"/>
    <w:rsid w:val="008A7588"/>
    <w:rsid w:val="008A7655"/>
    <w:rsid w:val="008A7956"/>
    <w:rsid w:val="008A7AAB"/>
    <w:rsid w:val="008A7E24"/>
    <w:rsid w:val="008A7F24"/>
    <w:rsid w:val="008B0A0A"/>
    <w:rsid w:val="008B209E"/>
    <w:rsid w:val="008B33AE"/>
    <w:rsid w:val="008B4320"/>
    <w:rsid w:val="008B4980"/>
    <w:rsid w:val="008B4FB3"/>
    <w:rsid w:val="008B50B0"/>
    <w:rsid w:val="008B5739"/>
    <w:rsid w:val="008B5CE9"/>
    <w:rsid w:val="008B5FC1"/>
    <w:rsid w:val="008B6C7C"/>
    <w:rsid w:val="008B6DB6"/>
    <w:rsid w:val="008B7968"/>
    <w:rsid w:val="008C0306"/>
    <w:rsid w:val="008C1235"/>
    <w:rsid w:val="008C1479"/>
    <w:rsid w:val="008C185B"/>
    <w:rsid w:val="008C1BB3"/>
    <w:rsid w:val="008C2AAA"/>
    <w:rsid w:val="008C2AEE"/>
    <w:rsid w:val="008C2D00"/>
    <w:rsid w:val="008C310B"/>
    <w:rsid w:val="008C36E4"/>
    <w:rsid w:val="008C39E7"/>
    <w:rsid w:val="008C4229"/>
    <w:rsid w:val="008C46BD"/>
    <w:rsid w:val="008C4DD5"/>
    <w:rsid w:val="008C529C"/>
    <w:rsid w:val="008C5BEE"/>
    <w:rsid w:val="008C63B8"/>
    <w:rsid w:val="008C77AE"/>
    <w:rsid w:val="008D005E"/>
    <w:rsid w:val="008D0066"/>
    <w:rsid w:val="008D01DC"/>
    <w:rsid w:val="008D138F"/>
    <w:rsid w:val="008D2C51"/>
    <w:rsid w:val="008D2DCA"/>
    <w:rsid w:val="008D39E0"/>
    <w:rsid w:val="008D402A"/>
    <w:rsid w:val="008D416E"/>
    <w:rsid w:val="008D4F99"/>
    <w:rsid w:val="008D571E"/>
    <w:rsid w:val="008D62C2"/>
    <w:rsid w:val="008D6D8F"/>
    <w:rsid w:val="008D6DBE"/>
    <w:rsid w:val="008D7415"/>
    <w:rsid w:val="008D7F9D"/>
    <w:rsid w:val="008E54B8"/>
    <w:rsid w:val="008E614A"/>
    <w:rsid w:val="008E6F64"/>
    <w:rsid w:val="008E7303"/>
    <w:rsid w:val="008E7952"/>
    <w:rsid w:val="008F0ADD"/>
    <w:rsid w:val="008F0DE9"/>
    <w:rsid w:val="008F56E9"/>
    <w:rsid w:val="008F6626"/>
    <w:rsid w:val="008F6888"/>
    <w:rsid w:val="008F7965"/>
    <w:rsid w:val="009009D9"/>
    <w:rsid w:val="00900A76"/>
    <w:rsid w:val="00900B2D"/>
    <w:rsid w:val="00900FE5"/>
    <w:rsid w:val="009015BE"/>
    <w:rsid w:val="00902458"/>
    <w:rsid w:val="00905FA5"/>
    <w:rsid w:val="00906420"/>
    <w:rsid w:val="00907380"/>
    <w:rsid w:val="0090791C"/>
    <w:rsid w:val="009105B8"/>
    <w:rsid w:val="0091091E"/>
    <w:rsid w:val="00910A1B"/>
    <w:rsid w:val="00911704"/>
    <w:rsid w:val="00912132"/>
    <w:rsid w:val="00912248"/>
    <w:rsid w:val="00912EB0"/>
    <w:rsid w:val="0091364F"/>
    <w:rsid w:val="0091713B"/>
    <w:rsid w:val="00917B53"/>
    <w:rsid w:val="009209C9"/>
    <w:rsid w:val="00921252"/>
    <w:rsid w:val="00921A46"/>
    <w:rsid w:val="00921C6E"/>
    <w:rsid w:val="00922BE2"/>
    <w:rsid w:val="00922D88"/>
    <w:rsid w:val="00923360"/>
    <w:rsid w:val="009243C3"/>
    <w:rsid w:val="009250C9"/>
    <w:rsid w:val="00925573"/>
    <w:rsid w:val="00926306"/>
    <w:rsid w:val="009269A5"/>
    <w:rsid w:val="00926DC2"/>
    <w:rsid w:val="00931162"/>
    <w:rsid w:val="00932BAE"/>
    <w:rsid w:val="00932DEF"/>
    <w:rsid w:val="00933742"/>
    <w:rsid w:val="00934614"/>
    <w:rsid w:val="0093499D"/>
    <w:rsid w:val="00934C38"/>
    <w:rsid w:val="009360E5"/>
    <w:rsid w:val="0093783F"/>
    <w:rsid w:val="00940CFF"/>
    <w:rsid w:val="00940F48"/>
    <w:rsid w:val="00941139"/>
    <w:rsid w:val="009414B1"/>
    <w:rsid w:val="0094327D"/>
    <w:rsid w:val="00943F84"/>
    <w:rsid w:val="009448BC"/>
    <w:rsid w:val="00944B02"/>
    <w:rsid w:val="00945140"/>
    <w:rsid w:val="00945A54"/>
    <w:rsid w:val="00945CD7"/>
    <w:rsid w:val="009474CA"/>
    <w:rsid w:val="00950084"/>
    <w:rsid w:val="009515C4"/>
    <w:rsid w:val="00951AD7"/>
    <w:rsid w:val="00952375"/>
    <w:rsid w:val="00952802"/>
    <w:rsid w:val="00952AA6"/>
    <w:rsid w:val="00953E1B"/>
    <w:rsid w:val="00953F80"/>
    <w:rsid w:val="009542CC"/>
    <w:rsid w:val="009549A8"/>
    <w:rsid w:val="0095510B"/>
    <w:rsid w:val="009560E6"/>
    <w:rsid w:val="009563BE"/>
    <w:rsid w:val="009565F8"/>
    <w:rsid w:val="0095678E"/>
    <w:rsid w:val="009578BD"/>
    <w:rsid w:val="00960058"/>
    <w:rsid w:val="0096025E"/>
    <w:rsid w:val="0096097A"/>
    <w:rsid w:val="00960F12"/>
    <w:rsid w:val="009613BF"/>
    <w:rsid w:val="009617E6"/>
    <w:rsid w:val="00962593"/>
    <w:rsid w:val="0096283C"/>
    <w:rsid w:val="00963388"/>
    <w:rsid w:val="0096350D"/>
    <w:rsid w:val="009642B2"/>
    <w:rsid w:val="0096445C"/>
    <w:rsid w:val="00965BD0"/>
    <w:rsid w:val="00966AA7"/>
    <w:rsid w:val="00966F60"/>
    <w:rsid w:val="0097005B"/>
    <w:rsid w:val="00971BE0"/>
    <w:rsid w:val="00971C92"/>
    <w:rsid w:val="009724A5"/>
    <w:rsid w:val="00972D94"/>
    <w:rsid w:val="00973EE2"/>
    <w:rsid w:val="00975054"/>
    <w:rsid w:val="00975139"/>
    <w:rsid w:val="00975651"/>
    <w:rsid w:val="00975657"/>
    <w:rsid w:val="0097629B"/>
    <w:rsid w:val="009764B7"/>
    <w:rsid w:val="0097758B"/>
    <w:rsid w:val="00977686"/>
    <w:rsid w:val="00977882"/>
    <w:rsid w:val="00977F08"/>
    <w:rsid w:val="00980A6F"/>
    <w:rsid w:val="00985498"/>
    <w:rsid w:val="00985BE4"/>
    <w:rsid w:val="0099068F"/>
    <w:rsid w:val="00991CC1"/>
    <w:rsid w:val="0099345F"/>
    <w:rsid w:val="00994607"/>
    <w:rsid w:val="009947DD"/>
    <w:rsid w:val="00994DE9"/>
    <w:rsid w:val="00995383"/>
    <w:rsid w:val="009959C8"/>
    <w:rsid w:val="00995DC4"/>
    <w:rsid w:val="009964C4"/>
    <w:rsid w:val="009973EE"/>
    <w:rsid w:val="00997AFD"/>
    <w:rsid w:val="009A0EBE"/>
    <w:rsid w:val="009A1B71"/>
    <w:rsid w:val="009A2539"/>
    <w:rsid w:val="009A27D4"/>
    <w:rsid w:val="009A28F1"/>
    <w:rsid w:val="009A2F78"/>
    <w:rsid w:val="009A4184"/>
    <w:rsid w:val="009A56AE"/>
    <w:rsid w:val="009A59A5"/>
    <w:rsid w:val="009A7040"/>
    <w:rsid w:val="009A72A0"/>
    <w:rsid w:val="009A7386"/>
    <w:rsid w:val="009A79B1"/>
    <w:rsid w:val="009B033D"/>
    <w:rsid w:val="009B08AC"/>
    <w:rsid w:val="009B0E18"/>
    <w:rsid w:val="009B1089"/>
    <w:rsid w:val="009B1355"/>
    <w:rsid w:val="009B1DC4"/>
    <w:rsid w:val="009B2086"/>
    <w:rsid w:val="009B270D"/>
    <w:rsid w:val="009B33ED"/>
    <w:rsid w:val="009B3676"/>
    <w:rsid w:val="009B4916"/>
    <w:rsid w:val="009B5646"/>
    <w:rsid w:val="009B567C"/>
    <w:rsid w:val="009B5AE1"/>
    <w:rsid w:val="009B5BFE"/>
    <w:rsid w:val="009B618C"/>
    <w:rsid w:val="009B669B"/>
    <w:rsid w:val="009B766A"/>
    <w:rsid w:val="009C09CB"/>
    <w:rsid w:val="009C3413"/>
    <w:rsid w:val="009C357B"/>
    <w:rsid w:val="009C36CD"/>
    <w:rsid w:val="009C5DA4"/>
    <w:rsid w:val="009C66FC"/>
    <w:rsid w:val="009C74F9"/>
    <w:rsid w:val="009C7599"/>
    <w:rsid w:val="009C75E2"/>
    <w:rsid w:val="009C7609"/>
    <w:rsid w:val="009C7778"/>
    <w:rsid w:val="009C7A69"/>
    <w:rsid w:val="009D02D9"/>
    <w:rsid w:val="009D0C3F"/>
    <w:rsid w:val="009D1F46"/>
    <w:rsid w:val="009D214A"/>
    <w:rsid w:val="009D3371"/>
    <w:rsid w:val="009D38E4"/>
    <w:rsid w:val="009D4CCE"/>
    <w:rsid w:val="009D4F19"/>
    <w:rsid w:val="009D53A8"/>
    <w:rsid w:val="009D6EFE"/>
    <w:rsid w:val="009D7429"/>
    <w:rsid w:val="009D7654"/>
    <w:rsid w:val="009D7ADC"/>
    <w:rsid w:val="009D7D02"/>
    <w:rsid w:val="009D7F90"/>
    <w:rsid w:val="009E0959"/>
    <w:rsid w:val="009E11FC"/>
    <w:rsid w:val="009E139C"/>
    <w:rsid w:val="009E1B58"/>
    <w:rsid w:val="009E210F"/>
    <w:rsid w:val="009E2161"/>
    <w:rsid w:val="009E3BEC"/>
    <w:rsid w:val="009E3F4A"/>
    <w:rsid w:val="009E416A"/>
    <w:rsid w:val="009E4250"/>
    <w:rsid w:val="009E4BC7"/>
    <w:rsid w:val="009E4DD8"/>
    <w:rsid w:val="009E5514"/>
    <w:rsid w:val="009E6532"/>
    <w:rsid w:val="009F0E9E"/>
    <w:rsid w:val="009F126A"/>
    <w:rsid w:val="009F12D4"/>
    <w:rsid w:val="009F2AE4"/>
    <w:rsid w:val="009F38AE"/>
    <w:rsid w:val="009F53A4"/>
    <w:rsid w:val="009F6288"/>
    <w:rsid w:val="00A01226"/>
    <w:rsid w:val="00A01517"/>
    <w:rsid w:val="00A01B10"/>
    <w:rsid w:val="00A01C0B"/>
    <w:rsid w:val="00A024DE"/>
    <w:rsid w:val="00A026C5"/>
    <w:rsid w:val="00A02A3F"/>
    <w:rsid w:val="00A02F72"/>
    <w:rsid w:val="00A035D2"/>
    <w:rsid w:val="00A03F95"/>
    <w:rsid w:val="00A042C9"/>
    <w:rsid w:val="00A04D81"/>
    <w:rsid w:val="00A05346"/>
    <w:rsid w:val="00A053C8"/>
    <w:rsid w:val="00A0656C"/>
    <w:rsid w:val="00A06704"/>
    <w:rsid w:val="00A06720"/>
    <w:rsid w:val="00A07CE2"/>
    <w:rsid w:val="00A105A0"/>
    <w:rsid w:val="00A106A0"/>
    <w:rsid w:val="00A10CA6"/>
    <w:rsid w:val="00A10D68"/>
    <w:rsid w:val="00A1370F"/>
    <w:rsid w:val="00A13A84"/>
    <w:rsid w:val="00A13B24"/>
    <w:rsid w:val="00A13F86"/>
    <w:rsid w:val="00A14323"/>
    <w:rsid w:val="00A146CC"/>
    <w:rsid w:val="00A1491C"/>
    <w:rsid w:val="00A14A7F"/>
    <w:rsid w:val="00A158C5"/>
    <w:rsid w:val="00A15988"/>
    <w:rsid w:val="00A166E6"/>
    <w:rsid w:val="00A20AA0"/>
    <w:rsid w:val="00A20B57"/>
    <w:rsid w:val="00A22C4F"/>
    <w:rsid w:val="00A23B53"/>
    <w:rsid w:val="00A24514"/>
    <w:rsid w:val="00A2495D"/>
    <w:rsid w:val="00A24C25"/>
    <w:rsid w:val="00A278B9"/>
    <w:rsid w:val="00A27979"/>
    <w:rsid w:val="00A3140A"/>
    <w:rsid w:val="00A328FC"/>
    <w:rsid w:val="00A3339C"/>
    <w:rsid w:val="00A3463C"/>
    <w:rsid w:val="00A34B06"/>
    <w:rsid w:val="00A35015"/>
    <w:rsid w:val="00A354C5"/>
    <w:rsid w:val="00A355FD"/>
    <w:rsid w:val="00A36985"/>
    <w:rsid w:val="00A36CFA"/>
    <w:rsid w:val="00A36D49"/>
    <w:rsid w:val="00A371B0"/>
    <w:rsid w:val="00A37C40"/>
    <w:rsid w:val="00A423B4"/>
    <w:rsid w:val="00A42B3A"/>
    <w:rsid w:val="00A45AB8"/>
    <w:rsid w:val="00A45C51"/>
    <w:rsid w:val="00A460CD"/>
    <w:rsid w:val="00A4649C"/>
    <w:rsid w:val="00A464A9"/>
    <w:rsid w:val="00A4664C"/>
    <w:rsid w:val="00A4760F"/>
    <w:rsid w:val="00A50F2D"/>
    <w:rsid w:val="00A51722"/>
    <w:rsid w:val="00A53E53"/>
    <w:rsid w:val="00A5552E"/>
    <w:rsid w:val="00A564CC"/>
    <w:rsid w:val="00A564D9"/>
    <w:rsid w:val="00A56A7E"/>
    <w:rsid w:val="00A56C34"/>
    <w:rsid w:val="00A57165"/>
    <w:rsid w:val="00A57515"/>
    <w:rsid w:val="00A61849"/>
    <w:rsid w:val="00A61E71"/>
    <w:rsid w:val="00A626A7"/>
    <w:rsid w:val="00A62CAD"/>
    <w:rsid w:val="00A63629"/>
    <w:rsid w:val="00A639D8"/>
    <w:rsid w:val="00A658F4"/>
    <w:rsid w:val="00A65BA6"/>
    <w:rsid w:val="00A65FF1"/>
    <w:rsid w:val="00A7090C"/>
    <w:rsid w:val="00A71756"/>
    <w:rsid w:val="00A71E85"/>
    <w:rsid w:val="00A72324"/>
    <w:rsid w:val="00A7248C"/>
    <w:rsid w:val="00A726CA"/>
    <w:rsid w:val="00A73791"/>
    <w:rsid w:val="00A73A0A"/>
    <w:rsid w:val="00A76E8B"/>
    <w:rsid w:val="00A775E7"/>
    <w:rsid w:val="00A777E8"/>
    <w:rsid w:val="00A8026F"/>
    <w:rsid w:val="00A80271"/>
    <w:rsid w:val="00A80E5D"/>
    <w:rsid w:val="00A814A6"/>
    <w:rsid w:val="00A818CE"/>
    <w:rsid w:val="00A81985"/>
    <w:rsid w:val="00A82062"/>
    <w:rsid w:val="00A82427"/>
    <w:rsid w:val="00A82487"/>
    <w:rsid w:val="00A83902"/>
    <w:rsid w:val="00A843CC"/>
    <w:rsid w:val="00A844AE"/>
    <w:rsid w:val="00A8461E"/>
    <w:rsid w:val="00A84A47"/>
    <w:rsid w:val="00A851C0"/>
    <w:rsid w:val="00A85599"/>
    <w:rsid w:val="00A867E4"/>
    <w:rsid w:val="00A86CC9"/>
    <w:rsid w:val="00A86DCC"/>
    <w:rsid w:val="00A87EDA"/>
    <w:rsid w:val="00A87FA9"/>
    <w:rsid w:val="00A91442"/>
    <w:rsid w:val="00A91A07"/>
    <w:rsid w:val="00A92B5A"/>
    <w:rsid w:val="00A92CFF"/>
    <w:rsid w:val="00A933D9"/>
    <w:rsid w:val="00A96BD1"/>
    <w:rsid w:val="00A96CA5"/>
    <w:rsid w:val="00A96E03"/>
    <w:rsid w:val="00A97259"/>
    <w:rsid w:val="00A97650"/>
    <w:rsid w:val="00AA0F03"/>
    <w:rsid w:val="00AA1928"/>
    <w:rsid w:val="00AA1E4A"/>
    <w:rsid w:val="00AA4156"/>
    <w:rsid w:val="00AA775A"/>
    <w:rsid w:val="00AA7FA1"/>
    <w:rsid w:val="00AB0BC9"/>
    <w:rsid w:val="00AB0D7D"/>
    <w:rsid w:val="00AB16E0"/>
    <w:rsid w:val="00AB1881"/>
    <w:rsid w:val="00AB3482"/>
    <w:rsid w:val="00AB3D49"/>
    <w:rsid w:val="00AB3D67"/>
    <w:rsid w:val="00AB3E9C"/>
    <w:rsid w:val="00AB424C"/>
    <w:rsid w:val="00AB44C2"/>
    <w:rsid w:val="00AB489A"/>
    <w:rsid w:val="00AB4FBA"/>
    <w:rsid w:val="00AB5975"/>
    <w:rsid w:val="00AB5F1A"/>
    <w:rsid w:val="00AB65BA"/>
    <w:rsid w:val="00AB67CB"/>
    <w:rsid w:val="00AC0F53"/>
    <w:rsid w:val="00AC1969"/>
    <w:rsid w:val="00AC19C4"/>
    <w:rsid w:val="00AC22B2"/>
    <w:rsid w:val="00AC2431"/>
    <w:rsid w:val="00AC2922"/>
    <w:rsid w:val="00AC2BA2"/>
    <w:rsid w:val="00AC2E30"/>
    <w:rsid w:val="00AC2E79"/>
    <w:rsid w:val="00AC2E7B"/>
    <w:rsid w:val="00AC3416"/>
    <w:rsid w:val="00AC344E"/>
    <w:rsid w:val="00AC411C"/>
    <w:rsid w:val="00AC5767"/>
    <w:rsid w:val="00AC5803"/>
    <w:rsid w:val="00AC5BF2"/>
    <w:rsid w:val="00AC5DDE"/>
    <w:rsid w:val="00AC6164"/>
    <w:rsid w:val="00AC74E6"/>
    <w:rsid w:val="00AD0700"/>
    <w:rsid w:val="00AD0B95"/>
    <w:rsid w:val="00AD1293"/>
    <w:rsid w:val="00AD1859"/>
    <w:rsid w:val="00AD3307"/>
    <w:rsid w:val="00AD3A21"/>
    <w:rsid w:val="00AD3A82"/>
    <w:rsid w:val="00AD3CFC"/>
    <w:rsid w:val="00AD3EB9"/>
    <w:rsid w:val="00AD436F"/>
    <w:rsid w:val="00AD49E8"/>
    <w:rsid w:val="00AD51C7"/>
    <w:rsid w:val="00AD551A"/>
    <w:rsid w:val="00AD5F5C"/>
    <w:rsid w:val="00AD680A"/>
    <w:rsid w:val="00AE04D6"/>
    <w:rsid w:val="00AE0AA7"/>
    <w:rsid w:val="00AE123D"/>
    <w:rsid w:val="00AE3694"/>
    <w:rsid w:val="00AE36A4"/>
    <w:rsid w:val="00AE39EB"/>
    <w:rsid w:val="00AE3ED1"/>
    <w:rsid w:val="00AE4381"/>
    <w:rsid w:val="00AE43ED"/>
    <w:rsid w:val="00AE6721"/>
    <w:rsid w:val="00AE6914"/>
    <w:rsid w:val="00AE70EF"/>
    <w:rsid w:val="00AE7BB7"/>
    <w:rsid w:val="00AE7F03"/>
    <w:rsid w:val="00AE7FED"/>
    <w:rsid w:val="00AF1756"/>
    <w:rsid w:val="00AF1C58"/>
    <w:rsid w:val="00AF2478"/>
    <w:rsid w:val="00AF2F4C"/>
    <w:rsid w:val="00AF31F5"/>
    <w:rsid w:val="00AF3A4B"/>
    <w:rsid w:val="00AF4E1D"/>
    <w:rsid w:val="00AF5111"/>
    <w:rsid w:val="00AF5B35"/>
    <w:rsid w:val="00AF5E85"/>
    <w:rsid w:val="00AF67AF"/>
    <w:rsid w:val="00AF67D1"/>
    <w:rsid w:val="00AF6CFE"/>
    <w:rsid w:val="00AF77A8"/>
    <w:rsid w:val="00B0068C"/>
    <w:rsid w:val="00B01C08"/>
    <w:rsid w:val="00B02251"/>
    <w:rsid w:val="00B039B2"/>
    <w:rsid w:val="00B0475B"/>
    <w:rsid w:val="00B04E41"/>
    <w:rsid w:val="00B0578B"/>
    <w:rsid w:val="00B058DE"/>
    <w:rsid w:val="00B061DC"/>
    <w:rsid w:val="00B0699B"/>
    <w:rsid w:val="00B06A73"/>
    <w:rsid w:val="00B06BB6"/>
    <w:rsid w:val="00B06C0F"/>
    <w:rsid w:val="00B06FA9"/>
    <w:rsid w:val="00B0755E"/>
    <w:rsid w:val="00B119D4"/>
    <w:rsid w:val="00B120C3"/>
    <w:rsid w:val="00B120E6"/>
    <w:rsid w:val="00B126A1"/>
    <w:rsid w:val="00B1299B"/>
    <w:rsid w:val="00B135BE"/>
    <w:rsid w:val="00B142F5"/>
    <w:rsid w:val="00B153AA"/>
    <w:rsid w:val="00B16E6B"/>
    <w:rsid w:val="00B177D9"/>
    <w:rsid w:val="00B2042D"/>
    <w:rsid w:val="00B2057D"/>
    <w:rsid w:val="00B20A51"/>
    <w:rsid w:val="00B20C38"/>
    <w:rsid w:val="00B211B0"/>
    <w:rsid w:val="00B2182C"/>
    <w:rsid w:val="00B21EE1"/>
    <w:rsid w:val="00B230CB"/>
    <w:rsid w:val="00B238C3"/>
    <w:rsid w:val="00B241B6"/>
    <w:rsid w:val="00B24AEB"/>
    <w:rsid w:val="00B26681"/>
    <w:rsid w:val="00B26E2C"/>
    <w:rsid w:val="00B270C1"/>
    <w:rsid w:val="00B2761A"/>
    <w:rsid w:val="00B27E74"/>
    <w:rsid w:val="00B30B46"/>
    <w:rsid w:val="00B30DCD"/>
    <w:rsid w:val="00B3231D"/>
    <w:rsid w:val="00B32612"/>
    <w:rsid w:val="00B33A26"/>
    <w:rsid w:val="00B33AEB"/>
    <w:rsid w:val="00B34FD5"/>
    <w:rsid w:val="00B3566D"/>
    <w:rsid w:val="00B3582D"/>
    <w:rsid w:val="00B3588E"/>
    <w:rsid w:val="00B35B42"/>
    <w:rsid w:val="00B366BC"/>
    <w:rsid w:val="00B36B21"/>
    <w:rsid w:val="00B36F99"/>
    <w:rsid w:val="00B37022"/>
    <w:rsid w:val="00B37722"/>
    <w:rsid w:val="00B400D0"/>
    <w:rsid w:val="00B41922"/>
    <w:rsid w:val="00B423E4"/>
    <w:rsid w:val="00B42894"/>
    <w:rsid w:val="00B429D8"/>
    <w:rsid w:val="00B42CE0"/>
    <w:rsid w:val="00B43B67"/>
    <w:rsid w:val="00B4486A"/>
    <w:rsid w:val="00B45B03"/>
    <w:rsid w:val="00B46B16"/>
    <w:rsid w:val="00B506EE"/>
    <w:rsid w:val="00B51305"/>
    <w:rsid w:val="00B51CA0"/>
    <w:rsid w:val="00B52114"/>
    <w:rsid w:val="00B52228"/>
    <w:rsid w:val="00B52334"/>
    <w:rsid w:val="00B523AC"/>
    <w:rsid w:val="00B5255D"/>
    <w:rsid w:val="00B527C6"/>
    <w:rsid w:val="00B52CC4"/>
    <w:rsid w:val="00B52FFB"/>
    <w:rsid w:val="00B53D46"/>
    <w:rsid w:val="00B5481F"/>
    <w:rsid w:val="00B5483B"/>
    <w:rsid w:val="00B555D0"/>
    <w:rsid w:val="00B56017"/>
    <w:rsid w:val="00B5681E"/>
    <w:rsid w:val="00B56CD6"/>
    <w:rsid w:val="00B56FCF"/>
    <w:rsid w:val="00B57292"/>
    <w:rsid w:val="00B60114"/>
    <w:rsid w:val="00B6157A"/>
    <w:rsid w:val="00B61B13"/>
    <w:rsid w:val="00B621DD"/>
    <w:rsid w:val="00B62941"/>
    <w:rsid w:val="00B62EFF"/>
    <w:rsid w:val="00B6367A"/>
    <w:rsid w:val="00B63840"/>
    <w:rsid w:val="00B63A84"/>
    <w:rsid w:val="00B6441D"/>
    <w:rsid w:val="00B64924"/>
    <w:rsid w:val="00B67B82"/>
    <w:rsid w:val="00B67CE3"/>
    <w:rsid w:val="00B71F3A"/>
    <w:rsid w:val="00B729AE"/>
    <w:rsid w:val="00B72DD6"/>
    <w:rsid w:val="00B73704"/>
    <w:rsid w:val="00B74DC9"/>
    <w:rsid w:val="00B74DE5"/>
    <w:rsid w:val="00B7577A"/>
    <w:rsid w:val="00B75D6E"/>
    <w:rsid w:val="00B765C1"/>
    <w:rsid w:val="00B76BBA"/>
    <w:rsid w:val="00B76C23"/>
    <w:rsid w:val="00B76E3F"/>
    <w:rsid w:val="00B76FA1"/>
    <w:rsid w:val="00B7721C"/>
    <w:rsid w:val="00B772FD"/>
    <w:rsid w:val="00B77475"/>
    <w:rsid w:val="00B77B58"/>
    <w:rsid w:val="00B8038C"/>
    <w:rsid w:val="00B81777"/>
    <w:rsid w:val="00B817D9"/>
    <w:rsid w:val="00B828CF"/>
    <w:rsid w:val="00B836FE"/>
    <w:rsid w:val="00B84843"/>
    <w:rsid w:val="00B8486A"/>
    <w:rsid w:val="00B8523B"/>
    <w:rsid w:val="00B853E8"/>
    <w:rsid w:val="00B8589A"/>
    <w:rsid w:val="00B85A89"/>
    <w:rsid w:val="00B85F47"/>
    <w:rsid w:val="00B8761C"/>
    <w:rsid w:val="00B906C5"/>
    <w:rsid w:val="00B91174"/>
    <w:rsid w:val="00B91504"/>
    <w:rsid w:val="00B91E3A"/>
    <w:rsid w:val="00B922B0"/>
    <w:rsid w:val="00B92307"/>
    <w:rsid w:val="00B9293A"/>
    <w:rsid w:val="00B93176"/>
    <w:rsid w:val="00B93385"/>
    <w:rsid w:val="00B9396E"/>
    <w:rsid w:val="00B93C3B"/>
    <w:rsid w:val="00B94408"/>
    <w:rsid w:val="00B94480"/>
    <w:rsid w:val="00B94A9C"/>
    <w:rsid w:val="00B969BC"/>
    <w:rsid w:val="00B96B70"/>
    <w:rsid w:val="00BA05F8"/>
    <w:rsid w:val="00BA07D8"/>
    <w:rsid w:val="00BA07E1"/>
    <w:rsid w:val="00BA2836"/>
    <w:rsid w:val="00BA2EDB"/>
    <w:rsid w:val="00BA3852"/>
    <w:rsid w:val="00BA4FF7"/>
    <w:rsid w:val="00BA5332"/>
    <w:rsid w:val="00BA5732"/>
    <w:rsid w:val="00BA5BA0"/>
    <w:rsid w:val="00BA5E58"/>
    <w:rsid w:val="00BA66DD"/>
    <w:rsid w:val="00BA6EC8"/>
    <w:rsid w:val="00BA7C27"/>
    <w:rsid w:val="00BA7CD7"/>
    <w:rsid w:val="00BB04E8"/>
    <w:rsid w:val="00BB115F"/>
    <w:rsid w:val="00BB190D"/>
    <w:rsid w:val="00BB38E9"/>
    <w:rsid w:val="00BB462F"/>
    <w:rsid w:val="00BB4CFD"/>
    <w:rsid w:val="00BB53A5"/>
    <w:rsid w:val="00BB58A4"/>
    <w:rsid w:val="00BB67CF"/>
    <w:rsid w:val="00BB71FF"/>
    <w:rsid w:val="00BB735A"/>
    <w:rsid w:val="00BB76AD"/>
    <w:rsid w:val="00BC00C1"/>
    <w:rsid w:val="00BC072C"/>
    <w:rsid w:val="00BC16FA"/>
    <w:rsid w:val="00BC26E8"/>
    <w:rsid w:val="00BC3569"/>
    <w:rsid w:val="00BC3EB7"/>
    <w:rsid w:val="00BC3EFB"/>
    <w:rsid w:val="00BC45C5"/>
    <w:rsid w:val="00BC480E"/>
    <w:rsid w:val="00BC4F8B"/>
    <w:rsid w:val="00BC74F3"/>
    <w:rsid w:val="00BC79E0"/>
    <w:rsid w:val="00BD0CB4"/>
    <w:rsid w:val="00BD0F41"/>
    <w:rsid w:val="00BD1C26"/>
    <w:rsid w:val="00BD1C8B"/>
    <w:rsid w:val="00BD22EC"/>
    <w:rsid w:val="00BD399B"/>
    <w:rsid w:val="00BD3E13"/>
    <w:rsid w:val="00BD3F1B"/>
    <w:rsid w:val="00BD4E4C"/>
    <w:rsid w:val="00BD51F1"/>
    <w:rsid w:val="00BD6B65"/>
    <w:rsid w:val="00BD70AE"/>
    <w:rsid w:val="00BE1F41"/>
    <w:rsid w:val="00BE2615"/>
    <w:rsid w:val="00BE3135"/>
    <w:rsid w:val="00BE3C74"/>
    <w:rsid w:val="00BE4A87"/>
    <w:rsid w:val="00BE5543"/>
    <w:rsid w:val="00BE557A"/>
    <w:rsid w:val="00BE5FF9"/>
    <w:rsid w:val="00BE695E"/>
    <w:rsid w:val="00BE6D60"/>
    <w:rsid w:val="00BE6F8E"/>
    <w:rsid w:val="00BF05F5"/>
    <w:rsid w:val="00BF1A11"/>
    <w:rsid w:val="00BF1AA3"/>
    <w:rsid w:val="00BF21FE"/>
    <w:rsid w:val="00BF2205"/>
    <w:rsid w:val="00BF221C"/>
    <w:rsid w:val="00BF2A95"/>
    <w:rsid w:val="00BF38BB"/>
    <w:rsid w:val="00BF3920"/>
    <w:rsid w:val="00BF4EE5"/>
    <w:rsid w:val="00BF5339"/>
    <w:rsid w:val="00BF7A18"/>
    <w:rsid w:val="00BF7A42"/>
    <w:rsid w:val="00C012CB"/>
    <w:rsid w:val="00C01A32"/>
    <w:rsid w:val="00C01A53"/>
    <w:rsid w:val="00C027B7"/>
    <w:rsid w:val="00C02EB9"/>
    <w:rsid w:val="00C0392C"/>
    <w:rsid w:val="00C03FC4"/>
    <w:rsid w:val="00C0428F"/>
    <w:rsid w:val="00C0458F"/>
    <w:rsid w:val="00C046E7"/>
    <w:rsid w:val="00C04A0D"/>
    <w:rsid w:val="00C10F5A"/>
    <w:rsid w:val="00C1109B"/>
    <w:rsid w:val="00C11183"/>
    <w:rsid w:val="00C119B0"/>
    <w:rsid w:val="00C11B4B"/>
    <w:rsid w:val="00C1304F"/>
    <w:rsid w:val="00C1321E"/>
    <w:rsid w:val="00C13443"/>
    <w:rsid w:val="00C135BF"/>
    <w:rsid w:val="00C13B85"/>
    <w:rsid w:val="00C13DFC"/>
    <w:rsid w:val="00C14362"/>
    <w:rsid w:val="00C1481C"/>
    <w:rsid w:val="00C15DE0"/>
    <w:rsid w:val="00C168E6"/>
    <w:rsid w:val="00C1747E"/>
    <w:rsid w:val="00C1779C"/>
    <w:rsid w:val="00C21130"/>
    <w:rsid w:val="00C21785"/>
    <w:rsid w:val="00C23FEA"/>
    <w:rsid w:val="00C24073"/>
    <w:rsid w:val="00C248E7"/>
    <w:rsid w:val="00C257C8"/>
    <w:rsid w:val="00C25B75"/>
    <w:rsid w:val="00C26761"/>
    <w:rsid w:val="00C26A13"/>
    <w:rsid w:val="00C27FE1"/>
    <w:rsid w:val="00C310B8"/>
    <w:rsid w:val="00C31C88"/>
    <w:rsid w:val="00C3215A"/>
    <w:rsid w:val="00C32650"/>
    <w:rsid w:val="00C338CE"/>
    <w:rsid w:val="00C34DB6"/>
    <w:rsid w:val="00C354DD"/>
    <w:rsid w:val="00C35620"/>
    <w:rsid w:val="00C366EF"/>
    <w:rsid w:val="00C37014"/>
    <w:rsid w:val="00C371FB"/>
    <w:rsid w:val="00C37FA1"/>
    <w:rsid w:val="00C40A0B"/>
    <w:rsid w:val="00C4145A"/>
    <w:rsid w:val="00C42142"/>
    <w:rsid w:val="00C43D33"/>
    <w:rsid w:val="00C43F10"/>
    <w:rsid w:val="00C44A80"/>
    <w:rsid w:val="00C45AC8"/>
    <w:rsid w:val="00C460AC"/>
    <w:rsid w:val="00C47920"/>
    <w:rsid w:val="00C47FC6"/>
    <w:rsid w:val="00C5058E"/>
    <w:rsid w:val="00C50660"/>
    <w:rsid w:val="00C50FBF"/>
    <w:rsid w:val="00C52DD5"/>
    <w:rsid w:val="00C53C07"/>
    <w:rsid w:val="00C563C8"/>
    <w:rsid w:val="00C568BF"/>
    <w:rsid w:val="00C575CE"/>
    <w:rsid w:val="00C57F81"/>
    <w:rsid w:val="00C60678"/>
    <w:rsid w:val="00C609C2"/>
    <w:rsid w:val="00C60B0F"/>
    <w:rsid w:val="00C60BA8"/>
    <w:rsid w:val="00C60F21"/>
    <w:rsid w:val="00C6178D"/>
    <w:rsid w:val="00C618A6"/>
    <w:rsid w:val="00C61CA7"/>
    <w:rsid w:val="00C630ED"/>
    <w:rsid w:val="00C6510A"/>
    <w:rsid w:val="00C65475"/>
    <w:rsid w:val="00C65796"/>
    <w:rsid w:val="00C667A7"/>
    <w:rsid w:val="00C705A5"/>
    <w:rsid w:val="00C70E00"/>
    <w:rsid w:val="00C71433"/>
    <w:rsid w:val="00C7319F"/>
    <w:rsid w:val="00C7421C"/>
    <w:rsid w:val="00C74D27"/>
    <w:rsid w:val="00C76404"/>
    <w:rsid w:val="00C77E0B"/>
    <w:rsid w:val="00C80040"/>
    <w:rsid w:val="00C80200"/>
    <w:rsid w:val="00C80CE3"/>
    <w:rsid w:val="00C8127B"/>
    <w:rsid w:val="00C82FE6"/>
    <w:rsid w:val="00C83374"/>
    <w:rsid w:val="00C83874"/>
    <w:rsid w:val="00C84216"/>
    <w:rsid w:val="00C84BBA"/>
    <w:rsid w:val="00C853B1"/>
    <w:rsid w:val="00C85892"/>
    <w:rsid w:val="00C866AF"/>
    <w:rsid w:val="00C869A9"/>
    <w:rsid w:val="00C86AB7"/>
    <w:rsid w:val="00C86DC7"/>
    <w:rsid w:val="00C87016"/>
    <w:rsid w:val="00C87279"/>
    <w:rsid w:val="00C87C30"/>
    <w:rsid w:val="00C9009B"/>
    <w:rsid w:val="00C904C1"/>
    <w:rsid w:val="00C914FE"/>
    <w:rsid w:val="00C9177A"/>
    <w:rsid w:val="00C917EB"/>
    <w:rsid w:val="00C91D35"/>
    <w:rsid w:val="00C92385"/>
    <w:rsid w:val="00C9242D"/>
    <w:rsid w:val="00C93EFC"/>
    <w:rsid w:val="00C941C1"/>
    <w:rsid w:val="00C9603C"/>
    <w:rsid w:val="00C96902"/>
    <w:rsid w:val="00C96A20"/>
    <w:rsid w:val="00C96D71"/>
    <w:rsid w:val="00C97077"/>
    <w:rsid w:val="00C97698"/>
    <w:rsid w:val="00C97701"/>
    <w:rsid w:val="00CA01BC"/>
    <w:rsid w:val="00CA1592"/>
    <w:rsid w:val="00CA180C"/>
    <w:rsid w:val="00CA2708"/>
    <w:rsid w:val="00CA28E4"/>
    <w:rsid w:val="00CA3013"/>
    <w:rsid w:val="00CA3470"/>
    <w:rsid w:val="00CA3EBB"/>
    <w:rsid w:val="00CA4125"/>
    <w:rsid w:val="00CA485B"/>
    <w:rsid w:val="00CA49C3"/>
    <w:rsid w:val="00CA5CB6"/>
    <w:rsid w:val="00CA6358"/>
    <w:rsid w:val="00CA68F5"/>
    <w:rsid w:val="00CA6E8E"/>
    <w:rsid w:val="00CB07B1"/>
    <w:rsid w:val="00CB07B7"/>
    <w:rsid w:val="00CB12E8"/>
    <w:rsid w:val="00CB2111"/>
    <w:rsid w:val="00CB25BD"/>
    <w:rsid w:val="00CB27BD"/>
    <w:rsid w:val="00CB2B81"/>
    <w:rsid w:val="00CB2D5C"/>
    <w:rsid w:val="00CB3DDB"/>
    <w:rsid w:val="00CB419D"/>
    <w:rsid w:val="00CB5ACB"/>
    <w:rsid w:val="00CB5DAA"/>
    <w:rsid w:val="00CB5F55"/>
    <w:rsid w:val="00CB6018"/>
    <w:rsid w:val="00CB61FE"/>
    <w:rsid w:val="00CB6B94"/>
    <w:rsid w:val="00CC01F9"/>
    <w:rsid w:val="00CC02E7"/>
    <w:rsid w:val="00CC1DEF"/>
    <w:rsid w:val="00CC1E85"/>
    <w:rsid w:val="00CC201F"/>
    <w:rsid w:val="00CC2174"/>
    <w:rsid w:val="00CC2DAE"/>
    <w:rsid w:val="00CC4294"/>
    <w:rsid w:val="00CC46B0"/>
    <w:rsid w:val="00CC4B0B"/>
    <w:rsid w:val="00CC4BBD"/>
    <w:rsid w:val="00CC5538"/>
    <w:rsid w:val="00CC5797"/>
    <w:rsid w:val="00CC6526"/>
    <w:rsid w:val="00CD0CEA"/>
    <w:rsid w:val="00CD1636"/>
    <w:rsid w:val="00CD17D4"/>
    <w:rsid w:val="00CD1AEC"/>
    <w:rsid w:val="00CD1FE8"/>
    <w:rsid w:val="00CD232B"/>
    <w:rsid w:val="00CD28EA"/>
    <w:rsid w:val="00CD3257"/>
    <w:rsid w:val="00CD369A"/>
    <w:rsid w:val="00CD3A6A"/>
    <w:rsid w:val="00CD43D5"/>
    <w:rsid w:val="00CD502B"/>
    <w:rsid w:val="00CD65A9"/>
    <w:rsid w:val="00CD6C6C"/>
    <w:rsid w:val="00CD7569"/>
    <w:rsid w:val="00CD7690"/>
    <w:rsid w:val="00CD79DB"/>
    <w:rsid w:val="00CE01DD"/>
    <w:rsid w:val="00CE04A0"/>
    <w:rsid w:val="00CE0579"/>
    <w:rsid w:val="00CE136F"/>
    <w:rsid w:val="00CE15CC"/>
    <w:rsid w:val="00CE22A3"/>
    <w:rsid w:val="00CE2C9C"/>
    <w:rsid w:val="00CE371A"/>
    <w:rsid w:val="00CE3A91"/>
    <w:rsid w:val="00CE3E24"/>
    <w:rsid w:val="00CE4FC9"/>
    <w:rsid w:val="00CE5B94"/>
    <w:rsid w:val="00CE64F7"/>
    <w:rsid w:val="00CE6FA5"/>
    <w:rsid w:val="00CF0FC7"/>
    <w:rsid w:val="00CF1DA9"/>
    <w:rsid w:val="00CF30BC"/>
    <w:rsid w:val="00CF3F28"/>
    <w:rsid w:val="00CF48C7"/>
    <w:rsid w:val="00CF4B08"/>
    <w:rsid w:val="00CF5206"/>
    <w:rsid w:val="00CF5538"/>
    <w:rsid w:val="00CF78F5"/>
    <w:rsid w:val="00D000DB"/>
    <w:rsid w:val="00D001EA"/>
    <w:rsid w:val="00D00F81"/>
    <w:rsid w:val="00D02C94"/>
    <w:rsid w:val="00D03234"/>
    <w:rsid w:val="00D05B7B"/>
    <w:rsid w:val="00D075EF"/>
    <w:rsid w:val="00D10636"/>
    <w:rsid w:val="00D10C16"/>
    <w:rsid w:val="00D10E17"/>
    <w:rsid w:val="00D11794"/>
    <w:rsid w:val="00D11D15"/>
    <w:rsid w:val="00D11E3A"/>
    <w:rsid w:val="00D1200C"/>
    <w:rsid w:val="00D12BAF"/>
    <w:rsid w:val="00D12CB2"/>
    <w:rsid w:val="00D12F99"/>
    <w:rsid w:val="00D13F19"/>
    <w:rsid w:val="00D15327"/>
    <w:rsid w:val="00D153E7"/>
    <w:rsid w:val="00D159C0"/>
    <w:rsid w:val="00D15B27"/>
    <w:rsid w:val="00D15D56"/>
    <w:rsid w:val="00D15F7E"/>
    <w:rsid w:val="00D160D7"/>
    <w:rsid w:val="00D16ABA"/>
    <w:rsid w:val="00D17233"/>
    <w:rsid w:val="00D174A5"/>
    <w:rsid w:val="00D20C0A"/>
    <w:rsid w:val="00D2394F"/>
    <w:rsid w:val="00D23D1F"/>
    <w:rsid w:val="00D24587"/>
    <w:rsid w:val="00D24761"/>
    <w:rsid w:val="00D26440"/>
    <w:rsid w:val="00D264D0"/>
    <w:rsid w:val="00D267CF"/>
    <w:rsid w:val="00D26A7D"/>
    <w:rsid w:val="00D27134"/>
    <w:rsid w:val="00D27CCD"/>
    <w:rsid w:val="00D3022C"/>
    <w:rsid w:val="00D30ED6"/>
    <w:rsid w:val="00D31317"/>
    <w:rsid w:val="00D31690"/>
    <w:rsid w:val="00D324D0"/>
    <w:rsid w:val="00D32609"/>
    <w:rsid w:val="00D33271"/>
    <w:rsid w:val="00D337CE"/>
    <w:rsid w:val="00D33FC5"/>
    <w:rsid w:val="00D341D6"/>
    <w:rsid w:val="00D3505C"/>
    <w:rsid w:val="00D3670D"/>
    <w:rsid w:val="00D36BA6"/>
    <w:rsid w:val="00D37A19"/>
    <w:rsid w:val="00D42278"/>
    <w:rsid w:val="00D4320C"/>
    <w:rsid w:val="00D436FC"/>
    <w:rsid w:val="00D4517C"/>
    <w:rsid w:val="00D46464"/>
    <w:rsid w:val="00D46ADE"/>
    <w:rsid w:val="00D46C3F"/>
    <w:rsid w:val="00D50351"/>
    <w:rsid w:val="00D51385"/>
    <w:rsid w:val="00D522E9"/>
    <w:rsid w:val="00D52905"/>
    <w:rsid w:val="00D52B4E"/>
    <w:rsid w:val="00D557DF"/>
    <w:rsid w:val="00D56D53"/>
    <w:rsid w:val="00D604CC"/>
    <w:rsid w:val="00D62617"/>
    <w:rsid w:val="00D62D4D"/>
    <w:rsid w:val="00D62EB6"/>
    <w:rsid w:val="00D62F28"/>
    <w:rsid w:val="00D62FA9"/>
    <w:rsid w:val="00D6329B"/>
    <w:rsid w:val="00D63D39"/>
    <w:rsid w:val="00D64641"/>
    <w:rsid w:val="00D64A0F"/>
    <w:rsid w:val="00D655F0"/>
    <w:rsid w:val="00D65E81"/>
    <w:rsid w:val="00D66420"/>
    <w:rsid w:val="00D673B1"/>
    <w:rsid w:val="00D702A5"/>
    <w:rsid w:val="00D7286B"/>
    <w:rsid w:val="00D73B90"/>
    <w:rsid w:val="00D74B48"/>
    <w:rsid w:val="00D74E5B"/>
    <w:rsid w:val="00D751BC"/>
    <w:rsid w:val="00D76710"/>
    <w:rsid w:val="00D773B5"/>
    <w:rsid w:val="00D81A57"/>
    <w:rsid w:val="00D82946"/>
    <w:rsid w:val="00D82F99"/>
    <w:rsid w:val="00D834FC"/>
    <w:rsid w:val="00D838FD"/>
    <w:rsid w:val="00D8502F"/>
    <w:rsid w:val="00D85513"/>
    <w:rsid w:val="00D86157"/>
    <w:rsid w:val="00D865B6"/>
    <w:rsid w:val="00D87CD8"/>
    <w:rsid w:val="00D91D49"/>
    <w:rsid w:val="00D92565"/>
    <w:rsid w:val="00D93464"/>
    <w:rsid w:val="00D9406E"/>
    <w:rsid w:val="00D94EE9"/>
    <w:rsid w:val="00D95A33"/>
    <w:rsid w:val="00D96505"/>
    <w:rsid w:val="00D96711"/>
    <w:rsid w:val="00D96F58"/>
    <w:rsid w:val="00D97286"/>
    <w:rsid w:val="00D97910"/>
    <w:rsid w:val="00D97D98"/>
    <w:rsid w:val="00DA171C"/>
    <w:rsid w:val="00DA1C66"/>
    <w:rsid w:val="00DA2175"/>
    <w:rsid w:val="00DA328E"/>
    <w:rsid w:val="00DA32E0"/>
    <w:rsid w:val="00DA3443"/>
    <w:rsid w:val="00DA3BED"/>
    <w:rsid w:val="00DA4135"/>
    <w:rsid w:val="00DA42BF"/>
    <w:rsid w:val="00DA438A"/>
    <w:rsid w:val="00DA45D5"/>
    <w:rsid w:val="00DA5416"/>
    <w:rsid w:val="00DA5605"/>
    <w:rsid w:val="00DA5AB8"/>
    <w:rsid w:val="00DA5C80"/>
    <w:rsid w:val="00DA6A7D"/>
    <w:rsid w:val="00DA6EFD"/>
    <w:rsid w:val="00DA7387"/>
    <w:rsid w:val="00DA74A4"/>
    <w:rsid w:val="00DB0A6C"/>
    <w:rsid w:val="00DB0A8A"/>
    <w:rsid w:val="00DB2030"/>
    <w:rsid w:val="00DB2C16"/>
    <w:rsid w:val="00DB36FF"/>
    <w:rsid w:val="00DB4338"/>
    <w:rsid w:val="00DB4CAA"/>
    <w:rsid w:val="00DB62F7"/>
    <w:rsid w:val="00DB6303"/>
    <w:rsid w:val="00DB6DCE"/>
    <w:rsid w:val="00DB7007"/>
    <w:rsid w:val="00DB7834"/>
    <w:rsid w:val="00DB7CBF"/>
    <w:rsid w:val="00DC0764"/>
    <w:rsid w:val="00DC0C08"/>
    <w:rsid w:val="00DC0E62"/>
    <w:rsid w:val="00DC0E67"/>
    <w:rsid w:val="00DC1DDA"/>
    <w:rsid w:val="00DC1F70"/>
    <w:rsid w:val="00DC24EF"/>
    <w:rsid w:val="00DC258A"/>
    <w:rsid w:val="00DC2865"/>
    <w:rsid w:val="00DC2AB8"/>
    <w:rsid w:val="00DC2B4F"/>
    <w:rsid w:val="00DC36A7"/>
    <w:rsid w:val="00DC3ADE"/>
    <w:rsid w:val="00DC3C90"/>
    <w:rsid w:val="00DC4CB7"/>
    <w:rsid w:val="00DC6824"/>
    <w:rsid w:val="00DC6FE2"/>
    <w:rsid w:val="00DC72B8"/>
    <w:rsid w:val="00DD0C54"/>
    <w:rsid w:val="00DD0C8F"/>
    <w:rsid w:val="00DD1ADB"/>
    <w:rsid w:val="00DD3DE0"/>
    <w:rsid w:val="00DD4520"/>
    <w:rsid w:val="00DD4D32"/>
    <w:rsid w:val="00DD50D8"/>
    <w:rsid w:val="00DD53D7"/>
    <w:rsid w:val="00DD6077"/>
    <w:rsid w:val="00DD74C6"/>
    <w:rsid w:val="00DD7797"/>
    <w:rsid w:val="00DD7B9F"/>
    <w:rsid w:val="00DE1C50"/>
    <w:rsid w:val="00DE1EDF"/>
    <w:rsid w:val="00DE208A"/>
    <w:rsid w:val="00DE31F4"/>
    <w:rsid w:val="00DE334E"/>
    <w:rsid w:val="00DE40E2"/>
    <w:rsid w:val="00DE5A4B"/>
    <w:rsid w:val="00DE6195"/>
    <w:rsid w:val="00DE6632"/>
    <w:rsid w:val="00DE6D46"/>
    <w:rsid w:val="00DE70E1"/>
    <w:rsid w:val="00DE797E"/>
    <w:rsid w:val="00DE7B71"/>
    <w:rsid w:val="00DF049E"/>
    <w:rsid w:val="00DF0D8B"/>
    <w:rsid w:val="00DF0F53"/>
    <w:rsid w:val="00DF1443"/>
    <w:rsid w:val="00DF15FE"/>
    <w:rsid w:val="00DF18C7"/>
    <w:rsid w:val="00DF1AB7"/>
    <w:rsid w:val="00DF1B01"/>
    <w:rsid w:val="00DF1E86"/>
    <w:rsid w:val="00DF20D7"/>
    <w:rsid w:val="00DF2282"/>
    <w:rsid w:val="00DF255C"/>
    <w:rsid w:val="00DF2EBD"/>
    <w:rsid w:val="00DF35D0"/>
    <w:rsid w:val="00DF3A5F"/>
    <w:rsid w:val="00DF3CA9"/>
    <w:rsid w:val="00DF3DFC"/>
    <w:rsid w:val="00DF5762"/>
    <w:rsid w:val="00DF6424"/>
    <w:rsid w:val="00DF6E3C"/>
    <w:rsid w:val="00DF72A8"/>
    <w:rsid w:val="00E000E8"/>
    <w:rsid w:val="00E005C7"/>
    <w:rsid w:val="00E00D6F"/>
    <w:rsid w:val="00E029C7"/>
    <w:rsid w:val="00E03341"/>
    <w:rsid w:val="00E03497"/>
    <w:rsid w:val="00E03D8C"/>
    <w:rsid w:val="00E03F73"/>
    <w:rsid w:val="00E06AA0"/>
    <w:rsid w:val="00E06C49"/>
    <w:rsid w:val="00E06FC5"/>
    <w:rsid w:val="00E10496"/>
    <w:rsid w:val="00E11134"/>
    <w:rsid w:val="00E11E40"/>
    <w:rsid w:val="00E120E0"/>
    <w:rsid w:val="00E122E2"/>
    <w:rsid w:val="00E1295D"/>
    <w:rsid w:val="00E14713"/>
    <w:rsid w:val="00E14F8A"/>
    <w:rsid w:val="00E15C4B"/>
    <w:rsid w:val="00E16E0B"/>
    <w:rsid w:val="00E17B38"/>
    <w:rsid w:val="00E20424"/>
    <w:rsid w:val="00E20516"/>
    <w:rsid w:val="00E21602"/>
    <w:rsid w:val="00E2240E"/>
    <w:rsid w:val="00E225AE"/>
    <w:rsid w:val="00E22741"/>
    <w:rsid w:val="00E228D1"/>
    <w:rsid w:val="00E22D43"/>
    <w:rsid w:val="00E23219"/>
    <w:rsid w:val="00E23886"/>
    <w:rsid w:val="00E244E0"/>
    <w:rsid w:val="00E24832"/>
    <w:rsid w:val="00E2594C"/>
    <w:rsid w:val="00E26674"/>
    <w:rsid w:val="00E27C3A"/>
    <w:rsid w:val="00E30382"/>
    <w:rsid w:val="00E3055A"/>
    <w:rsid w:val="00E310C9"/>
    <w:rsid w:val="00E31144"/>
    <w:rsid w:val="00E325AE"/>
    <w:rsid w:val="00E32941"/>
    <w:rsid w:val="00E32E7D"/>
    <w:rsid w:val="00E33FA8"/>
    <w:rsid w:val="00E3467A"/>
    <w:rsid w:val="00E3631B"/>
    <w:rsid w:val="00E36D58"/>
    <w:rsid w:val="00E36D85"/>
    <w:rsid w:val="00E371E3"/>
    <w:rsid w:val="00E371F1"/>
    <w:rsid w:val="00E37966"/>
    <w:rsid w:val="00E40BED"/>
    <w:rsid w:val="00E426A8"/>
    <w:rsid w:val="00E42C9C"/>
    <w:rsid w:val="00E42E0B"/>
    <w:rsid w:val="00E436F0"/>
    <w:rsid w:val="00E4385C"/>
    <w:rsid w:val="00E44FE2"/>
    <w:rsid w:val="00E45174"/>
    <w:rsid w:val="00E46A6D"/>
    <w:rsid w:val="00E47F6A"/>
    <w:rsid w:val="00E51B5A"/>
    <w:rsid w:val="00E5220B"/>
    <w:rsid w:val="00E52818"/>
    <w:rsid w:val="00E52ACE"/>
    <w:rsid w:val="00E52B3D"/>
    <w:rsid w:val="00E52F32"/>
    <w:rsid w:val="00E53B77"/>
    <w:rsid w:val="00E53D71"/>
    <w:rsid w:val="00E53E85"/>
    <w:rsid w:val="00E54AC8"/>
    <w:rsid w:val="00E557A1"/>
    <w:rsid w:val="00E55D58"/>
    <w:rsid w:val="00E5642A"/>
    <w:rsid w:val="00E5662D"/>
    <w:rsid w:val="00E56C33"/>
    <w:rsid w:val="00E57315"/>
    <w:rsid w:val="00E578CD"/>
    <w:rsid w:val="00E6042D"/>
    <w:rsid w:val="00E612C0"/>
    <w:rsid w:val="00E61423"/>
    <w:rsid w:val="00E61644"/>
    <w:rsid w:val="00E618F3"/>
    <w:rsid w:val="00E61E48"/>
    <w:rsid w:val="00E62CAA"/>
    <w:rsid w:val="00E62DE0"/>
    <w:rsid w:val="00E63200"/>
    <w:rsid w:val="00E636B7"/>
    <w:rsid w:val="00E63FE7"/>
    <w:rsid w:val="00E64ED1"/>
    <w:rsid w:val="00E665E4"/>
    <w:rsid w:val="00E667E8"/>
    <w:rsid w:val="00E66A2B"/>
    <w:rsid w:val="00E670E3"/>
    <w:rsid w:val="00E675B1"/>
    <w:rsid w:val="00E67A94"/>
    <w:rsid w:val="00E708DA"/>
    <w:rsid w:val="00E72228"/>
    <w:rsid w:val="00E72439"/>
    <w:rsid w:val="00E73576"/>
    <w:rsid w:val="00E73745"/>
    <w:rsid w:val="00E7383B"/>
    <w:rsid w:val="00E73C93"/>
    <w:rsid w:val="00E743E1"/>
    <w:rsid w:val="00E74791"/>
    <w:rsid w:val="00E74A2F"/>
    <w:rsid w:val="00E74BAC"/>
    <w:rsid w:val="00E77C9C"/>
    <w:rsid w:val="00E77D5F"/>
    <w:rsid w:val="00E77EF7"/>
    <w:rsid w:val="00E80578"/>
    <w:rsid w:val="00E81161"/>
    <w:rsid w:val="00E81681"/>
    <w:rsid w:val="00E8259C"/>
    <w:rsid w:val="00E82911"/>
    <w:rsid w:val="00E82E7F"/>
    <w:rsid w:val="00E83728"/>
    <w:rsid w:val="00E83F6E"/>
    <w:rsid w:val="00E83FF9"/>
    <w:rsid w:val="00E85799"/>
    <w:rsid w:val="00E86711"/>
    <w:rsid w:val="00E867B4"/>
    <w:rsid w:val="00E9040B"/>
    <w:rsid w:val="00E908CC"/>
    <w:rsid w:val="00E90DEF"/>
    <w:rsid w:val="00E91217"/>
    <w:rsid w:val="00E914FF"/>
    <w:rsid w:val="00E91665"/>
    <w:rsid w:val="00E937D6"/>
    <w:rsid w:val="00E93870"/>
    <w:rsid w:val="00E9439C"/>
    <w:rsid w:val="00E9585A"/>
    <w:rsid w:val="00E9590C"/>
    <w:rsid w:val="00E96457"/>
    <w:rsid w:val="00E97F24"/>
    <w:rsid w:val="00EA0341"/>
    <w:rsid w:val="00EA05A0"/>
    <w:rsid w:val="00EA138E"/>
    <w:rsid w:val="00EA180B"/>
    <w:rsid w:val="00EA1C34"/>
    <w:rsid w:val="00EA3862"/>
    <w:rsid w:val="00EA3ACC"/>
    <w:rsid w:val="00EA3B01"/>
    <w:rsid w:val="00EA3C57"/>
    <w:rsid w:val="00EA45AF"/>
    <w:rsid w:val="00EA4B71"/>
    <w:rsid w:val="00EA4DCD"/>
    <w:rsid w:val="00EA503D"/>
    <w:rsid w:val="00EA50ED"/>
    <w:rsid w:val="00EA5653"/>
    <w:rsid w:val="00EA6374"/>
    <w:rsid w:val="00EA677F"/>
    <w:rsid w:val="00EA75B9"/>
    <w:rsid w:val="00EB03DD"/>
    <w:rsid w:val="00EB083F"/>
    <w:rsid w:val="00EB1A7C"/>
    <w:rsid w:val="00EB22CC"/>
    <w:rsid w:val="00EB26A7"/>
    <w:rsid w:val="00EB32CF"/>
    <w:rsid w:val="00EB370D"/>
    <w:rsid w:val="00EB3879"/>
    <w:rsid w:val="00EB4190"/>
    <w:rsid w:val="00EB48DF"/>
    <w:rsid w:val="00EB5DD5"/>
    <w:rsid w:val="00EB60B5"/>
    <w:rsid w:val="00EB63A5"/>
    <w:rsid w:val="00EB64EA"/>
    <w:rsid w:val="00EB665B"/>
    <w:rsid w:val="00EB6A89"/>
    <w:rsid w:val="00EB7235"/>
    <w:rsid w:val="00EC07C6"/>
    <w:rsid w:val="00EC0845"/>
    <w:rsid w:val="00EC11B8"/>
    <w:rsid w:val="00EC1705"/>
    <w:rsid w:val="00EC1AF9"/>
    <w:rsid w:val="00EC1FCF"/>
    <w:rsid w:val="00EC31F3"/>
    <w:rsid w:val="00EC4F18"/>
    <w:rsid w:val="00EC5344"/>
    <w:rsid w:val="00EC5678"/>
    <w:rsid w:val="00EC6AF8"/>
    <w:rsid w:val="00EC7429"/>
    <w:rsid w:val="00ED0F5A"/>
    <w:rsid w:val="00ED135A"/>
    <w:rsid w:val="00ED191E"/>
    <w:rsid w:val="00ED1CB3"/>
    <w:rsid w:val="00ED2081"/>
    <w:rsid w:val="00ED26EC"/>
    <w:rsid w:val="00ED30CF"/>
    <w:rsid w:val="00ED3263"/>
    <w:rsid w:val="00ED39DD"/>
    <w:rsid w:val="00ED440B"/>
    <w:rsid w:val="00ED46F2"/>
    <w:rsid w:val="00ED4AA9"/>
    <w:rsid w:val="00ED53AF"/>
    <w:rsid w:val="00ED6570"/>
    <w:rsid w:val="00ED69A3"/>
    <w:rsid w:val="00ED770B"/>
    <w:rsid w:val="00ED7E4B"/>
    <w:rsid w:val="00EE069D"/>
    <w:rsid w:val="00EE15F2"/>
    <w:rsid w:val="00EE1A40"/>
    <w:rsid w:val="00EE21FC"/>
    <w:rsid w:val="00EE2216"/>
    <w:rsid w:val="00EE29BB"/>
    <w:rsid w:val="00EE366A"/>
    <w:rsid w:val="00EE3FFE"/>
    <w:rsid w:val="00EE4366"/>
    <w:rsid w:val="00EE4433"/>
    <w:rsid w:val="00EE471E"/>
    <w:rsid w:val="00EE564C"/>
    <w:rsid w:val="00EE59C1"/>
    <w:rsid w:val="00EE6C13"/>
    <w:rsid w:val="00EE7D23"/>
    <w:rsid w:val="00EE7D65"/>
    <w:rsid w:val="00EF00DA"/>
    <w:rsid w:val="00EF2077"/>
    <w:rsid w:val="00EF39BD"/>
    <w:rsid w:val="00EF3DA3"/>
    <w:rsid w:val="00EF3F0B"/>
    <w:rsid w:val="00EF5B32"/>
    <w:rsid w:val="00EF64BB"/>
    <w:rsid w:val="00EF6820"/>
    <w:rsid w:val="00F0097A"/>
    <w:rsid w:val="00F01253"/>
    <w:rsid w:val="00F01621"/>
    <w:rsid w:val="00F01E78"/>
    <w:rsid w:val="00F0255E"/>
    <w:rsid w:val="00F03558"/>
    <w:rsid w:val="00F03CC2"/>
    <w:rsid w:val="00F03FD4"/>
    <w:rsid w:val="00F04D39"/>
    <w:rsid w:val="00F0535B"/>
    <w:rsid w:val="00F05D9F"/>
    <w:rsid w:val="00F05F0B"/>
    <w:rsid w:val="00F06001"/>
    <w:rsid w:val="00F0743E"/>
    <w:rsid w:val="00F07A9E"/>
    <w:rsid w:val="00F10594"/>
    <w:rsid w:val="00F10A6D"/>
    <w:rsid w:val="00F117B1"/>
    <w:rsid w:val="00F11D07"/>
    <w:rsid w:val="00F13309"/>
    <w:rsid w:val="00F13509"/>
    <w:rsid w:val="00F14CAB"/>
    <w:rsid w:val="00F14FFC"/>
    <w:rsid w:val="00F1626B"/>
    <w:rsid w:val="00F16A51"/>
    <w:rsid w:val="00F16BF7"/>
    <w:rsid w:val="00F179B0"/>
    <w:rsid w:val="00F17DC6"/>
    <w:rsid w:val="00F17F53"/>
    <w:rsid w:val="00F201FC"/>
    <w:rsid w:val="00F220C6"/>
    <w:rsid w:val="00F22B73"/>
    <w:rsid w:val="00F23C97"/>
    <w:rsid w:val="00F25CAE"/>
    <w:rsid w:val="00F25CCE"/>
    <w:rsid w:val="00F268B6"/>
    <w:rsid w:val="00F31CEC"/>
    <w:rsid w:val="00F31E0A"/>
    <w:rsid w:val="00F31F6D"/>
    <w:rsid w:val="00F3209B"/>
    <w:rsid w:val="00F32A75"/>
    <w:rsid w:val="00F33059"/>
    <w:rsid w:val="00F339C2"/>
    <w:rsid w:val="00F34361"/>
    <w:rsid w:val="00F3602D"/>
    <w:rsid w:val="00F36307"/>
    <w:rsid w:val="00F36748"/>
    <w:rsid w:val="00F36D60"/>
    <w:rsid w:val="00F37AD4"/>
    <w:rsid w:val="00F400A0"/>
    <w:rsid w:val="00F40148"/>
    <w:rsid w:val="00F40858"/>
    <w:rsid w:val="00F40AA2"/>
    <w:rsid w:val="00F40C6D"/>
    <w:rsid w:val="00F40FE8"/>
    <w:rsid w:val="00F41029"/>
    <w:rsid w:val="00F42074"/>
    <w:rsid w:val="00F42924"/>
    <w:rsid w:val="00F42DC4"/>
    <w:rsid w:val="00F441EE"/>
    <w:rsid w:val="00F45B64"/>
    <w:rsid w:val="00F4731F"/>
    <w:rsid w:val="00F47479"/>
    <w:rsid w:val="00F4762F"/>
    <w:rsid w:val="00F47F5D"/>
    <w:rsid w:val="00F5042C"/>
    <w:rsid w:val="00F508AF"/>
    <w:rsid w:val="00F50AA5"/>
    <w:rsid w:val="00F518DB"/>
    <w:rsid w:val="00F52481"/>
    <w:rsid w:val="00F5286C"/>
    <w:rsid w:val="00F53950"/>
    <w:rsid w:val="00F53FB0"/>
    <w:rsid w:val="00F548A0"/>
    <w:rsid w:val="00F54CA7"/>
    <w:rsid w:val="00F55518"/>
    <w:rsid w:val="00F56305"/>
    <w:rsid w:val="00F567AD"/>
    <w:rsid w:val="00F57F0F"/>
    <w:rsid w:val="00F60348"/>
    <w:rsid w:val="00F6079E"/>
    <w:rsid w:val="00F60E40"/>
    <w:rsid w:val="00F60FFC"/>
    <w:rsid w:val="00F61A68"/>
    <w:rsid w:val="00F61D82"/>
    <w:rsid w:val="00F623F3"/>
    <w:rsid w:val="00F629EA"/>
    <w:rsid w:val="00F63ED4"/>
    <w:rsid w:val="00F6567D"/>
    <w:rsid w:val="00F65AFB"/>
    <w:rsid w:val="00F65C4C"/>
    <w:rsid w:val="00F6672C"/>
    <w:rsid w:val="00F669CF"/>
    <w:rsid w:val="00F66D83"/>
    <w:rsid w:val="00F673C6"/>
    <w:rsid w:val="00F67754"/>
    <w:rsid w:val="00F67CD2"/>
    <w:rsid w:val="00F700F3"/>
    <w:rsid w:val="00F715D6"/>
    <w:rsid w:val="00F73747"/>
    <w:rsid w:val="00F73EE8"/>
    <w:rsid w:val="00F7415C"/>
    <w:rsid w:val="00F74D4D"/>
    <w:rsid w:val="00F7506C"/>
    <w:rsid w:val="00F75D95"/>
    <w:rsid w:val="00F76DF5"/>
    <w:rsid w:val="00F76DFF"/>
    <w:rsid w:val="00F775E7"/>
    <w:rsid w:val="00F80C68"/>
    <w:rsid w:val="00F80E79"/>
    <w:rsid w:val="00F81F85"/>
    <w:rsid w:val="00F8317A"/>
    <w:rsid w:val="00F83344"/>
    <w:rsid w:val="00F84F89"/>
    <w:rsid w:val="00F85D8E"/>
    <w:rsid w:val="00F869F5"/>
    <w:rsid w:val="00F87637"/>
    <w:rsid w:val="00F8787D"/>
    <w:rsid w:val="00F87AFE"/>
    <w:rsid w:val="00F90B27"/>
    <w:rsid w:val="00F90ECE"/>
    <w:rsid w:val="00F911FB"/>
    <w:rsid w:val="00F9183F"/>
    <w:rsid w:val="00F91ADD"/>
    <w:rsid w:val="00F92715"/>
    <w:rsid w:val="00F927EA"/>
    <w:rsid w:val="00F9319D"/>
    <w:rsid w:val="00F951B2"/>
    <w:rsid w:val="00F95857"/>
    <w:rsid w:val="00F95FF1"/>
    <w:rsid w:val="00F96722"/>
    <w:rsid w:val="00F9753B"/>
    <w:rsid w:val="00FA04F8"/>
    <w:rsid w:val="00FA1461"/>
    <w:rsid w:val="00FA1F8D"/>
    <w:rsid w:val="00FA2823"/>
    <w:rsid w:val="00FA2E75"/>
    <w:rsid w:val="00FA3485"/>
    <w:rsid w:val="00FA34EC"/>
    <w:rsid w:val="00FA371D"/>
    <w:rsid w:val="00FA3C7D"/>
    <w:rsid w:val="00FA4011"/>
    <w:rsid w:val="00FA44DF"/>
    <w:rsid w:val="00FA462C"/>
    <w:rsid w:val="00FA50CC"/>
    <w:rsid w:val="00FA50E1"/>
    <w:rsid w:val="00FA549D"/>
    <w:rsid w:val="00FA59CA"/>
    <w:rsid w:val="00FA65DB"/>
    <w:rsid w:val="00FA6814"/>
    <w:rsid w:val="00FA7A7E"/>
    <w:rsid w:val="00FB0218"/>
    <w:rsid w:val="00FB0A49"/>
    <w:rsid w:val="00FB1402"/>
    <w:rsid w:val="00FB2303"/>
    <w:rsid w:val="00FB29E2"/>
    <w:rsid w:val="00FB2C8A"/>
    <w:rsid w:val="00FB3126"/>
    <w:rsid w:val="00FB3140"/>
    <w:rsid w:val="00FB329E"/>
    <w:rsid w:val="00FB34FD"/>
    <w:rsid w:val="00FB411C"/>
    <w:rsid w:val="00FB487B"/>
    <w:rsid w:val="00FB4ED2"/>
    <w:rsid w:val="00FB56A8"/>
    <w:rsid w:val="00FB7C95"/>
    <w:rsid w:val="00FC11C3"/>
    <w:rsid w:val="00FC131F"/>
    <w:rsid w:val="00FC1446"/>
    <w:rsid w:val="00FC23CA"/>
    <w:rsid w:val="00FC2AF9"/>
    <w:rsid w:val="00FC2D03"/>
    <w:rsid w:val="00FC4B2D"/>
    <w:rsid w:val="00FC4BF9"/>
    <w:rsid w:val="00FC5118"/>
    <w:rsid w:val="00FC71BD"/>
    <w:rsid w:val="00FC73DC"/>
    <w:rsid w:val="00FC7747"/>
    <w:rsid w:val="00FD0356"/>
    <w:rsid w:val="00FD0CEB"/>
    <w:rsid w:val="00FD0DA1"/>
    <w:rsid w:val="00FD0DA4"/>
    <w:rsid w:val="00FD110F"/>
    <w:rsid w:val="00FD1DD7"/>
    <w:rsid w:val="00FD2531"/>
    <w:rsid w:val="00FD2DE4"/>
    <w:rsid w:val="00FD2F70"/>
    <w:rsid w:val="00FD3877"/>
    <w:rsid w:val="00FD6DDE"/>
    <w:rsid w:val="00FD7399"/>
    <w:rsid w:val="00FD7F12"/>
    <w:rsid w:val="00FE056E"/>
    <w:rsid w:val="00FE0B70"/>
    <w:rsid w:val="00FE11FF"/>
    <w:rsid w:val="00FE123B"/>
    <w:rsid w:val="00FE12C9"/>
    <w:rsid w:val="00FE17FF"/>
    <w:rsid w:val="00FE1A77"/>
    <w:rsid w:val="00FE1C7F"/>
    <w:rsid w:val="00FE233F"/>
    <w:rsid w:val="00FE31D1"/>
    <w:rsid w:val="00FE339C"/>
    <w:rsid w:val="00FE5D64"/>
    <w:rsid w:val="00FE7268"/>
    <w:rsid w:val="00FE7BF3"/>
    <w:rsid w:val="00FE7DDF"/>
    <w:rsid w:val="00FF1A56"/>
    <w:rsid w:val="00FF2114"/>
    <w:rsid w:val="00FF211C"/>
    <w:rsid w:val="00FF23DB"/>
    <w:rsid w:val="00FF3B46"/>
    <w:rsid w:val="00FF463B"/>
    <w:rsid w:val="00FF4B80"/>
    <w:rsid w:val="00FF4F1F"/>
    <w:rsid w:val="00FF67D6"/>
    <w:rsid w:val="00FF6C58"/>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F71F27"/>
  <w15:docId w15:val="{755CF97B-0491-4EF4-8FF3-542E6AB5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7"/>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B95"/>
    <w:rPr>
      <w:sz w:val="24"/>
      <w:szCs w:val="24"/>
    </w:rPr>
  </w:style>
  <w:style w:type="paragraph" w:styleId="Heading1">
    <w:name w:val="heading 1"/>
    <w:basedOn w:val="Normal"/>
    <w:next w:val="Normal"/>
    <w:qFormat/>
    <w:rsid w:val="00247B95"/>
    <w:pPr>
      <w:keepNext/>
      <w:outlineLvl w:val="0"/>
    </w:pPr>
    <w:rPr>
      <w:b/>
      <w:bCs/>
      <w:i/>
      <w:iCs/>
    </w:rPr>
  </w:style>
  <w:style w:type="paragraph" w:styleId="Heading2">
    <w:name w:val="heading 2"/>
    <w:basedOn w:val="Normal"/>
    <w:next w:val="Normal"/>
    <w:qFormat/>
    <w:rsid w:val="00247B95"/>
    <w:pPr>
      <w:keepNext/>
      <w:spacing w:before="240" w:after="60"/>
      <w:outlineLvl w:val="1"/>
    </w:pPr>
    <w:rPr>
      <w:rFonts w:cs="Arial"/>
      <w:b/>
      <w:bCs/>
      <w:iCs/>
      <w:sz w:val="20"/>
      <w:szCs w:val="28"/>
    </w:rPr>
  </w:style>
  <w:style w:type="paragraph" w:styleId="Heading3">
    <w:name w:val="heading 3"/>
    <w:basedOn w:val="Normal"/>
    <w:next w:val="Normal"/>
    <w:qFormat/>
    <w:rsid w:val="00247B95"/>
    <w:pPr>
      <w:keepNext/>
      <w:jc w:val="both"/>
      <w:outlineLvl w:val="2"/>
    </w:pPr>
    <w:rPr>
      <w:b/>
      <w:bCs/>
      <w:sz w:val="20"/>
      <w:szCs w:val="20"/>
    </w:rPr>
  </w:style>
  <w:style w:type="paragraph" w:styleId="Heading4">
    <w:name w:val="heading 4"/>
    <w:basedOn w:val="Normal"/>
    <w:next w:val="Normal"/>
    <w:qFormat/>
    <w:rsid w:val="00247B95"/>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247B95"/>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rsid w:val="00247B95"/>
    <w:pPr>
      <w:spacing w:line="300" w:lineRule="exact"/>
    </w:pPr>
    <w:rPr>
      <w:spacing w:val="-2"/>
      <w:sz w:val="28"/>
    </w:rPr>
  </w:style>
  <w:style w:type="paragraph" w:customStyle="1" w:styleId="HM">
    <w:name w:val="_ H __M"/>
    <w:basedOn w:val="HCh"/>
    <w:next w:val="Normal"/>
    <w:rsid w:val="00247B95"/>
    <w:pPr>
      <w:spacing w:line="360" w:lineRule="exact"/>
    </w:pPr>
    <w:rPr>
      <w:spacing w:val="-3"/>
      <w:w w:val="99"/>
      <w:sz w:val="34"/>
    </w:rPr>
  </w:style>
  <w:style w:type="paragraph" w:customStyle="1" w:styleId="H23">
    <w:name w:val="_ H_2/3"/>
    <w:basedOn w:val="H1"/>
    <w:next w:val="Normal"/>
    <w:rsid w:val="00247B95"/>
    <w:pPr>
      <w:spacing w:line="240" w:lineRule="exact"/>
      <w:outlineLvl w:val="1"/>
    </w:pPr>
    <w:rPr>
      <w:spacing w:val="2"/>
      <w:sz w:val="20"/>
    </w:rPr>
  </w:style>
  <w:style w:type="paragraph" w:customStyle="1" w:styleId="H4">
    <w:name w:val="_ H_4"/>
    <w:basedOn w:val="Normal"/>
    <w:next w:val="Normal"/>
    <w:rsid w:val="00247B95"/>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rsid w:val="00247B95"/>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rsid w:val="00247B95"/>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link w:val="SingleTxtChar"/>
    <w:qFormat/>
    <w:rsid w:val="00247B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character" w:styleId="FootnoteReference">
    <w:name w:val="footnote reference"/>
    <w:uiPriority w:val="99"/>
    <w:semiHidden/>
    <w:rsid w:val="00247B95"/>
    <w:rPr>
      <w:spacing w:val="-5"/>
      <w:w w:val="130"/>
      <w:position w:val="-4"/>
      <w:vertAlign w:val="superscript"/>
    </w:rPr>
  </w:style>
  <w:style w:type="paragraph" w:styleId="BodyText3">
    <w:name w:val="Body Text 3"/>
    <w:basedOn w:val="Normal"/>
    <w:rsid w:val="00247B95"/>
    <w:rPr>
      <w:sz w:val="22"/>
    </w:rPr>
  </w:style>
  <w:style w:type="paragraph" w:styleId="Header">
    <w:name w:val="header"/>
    <w:rsid w:val="00247B95"/>
    <w:pPr>
      <w:tabs>
        <w:tab w:val="center" w:pos="4320"/>
        <w:tab w:val="right" w:pos="8640"/>
      </w:tabs>
    </w:pPr>
    <w:rPr>
      <w:noProof/>
      <w:sz w:val="17"/>
    </w:rPr>
  </w:style>
  <w:style w:type="paragraph" w:styleId="Footer">
    <w:name w:val="footer"/>
    <w:link w:val="FooterChar"/>
    <w:rsid w:val="00247B95"/>
    <w:pPr>
      <w:tabs>
        <w:tab w:val="center" w:pos="4320"/>
        <w:tab w:val="right" w:pos="8640"/>
      </w:tabs>
    </w:pPr>
    <w:rPr>
      <w:b/>
      <w:noProof/>
      <w:sz w:val="17"/>
    </w:rPr>
  </w:style>
  <w:style w:type="paragraph" w:customStyle="1" w:styleId="XLarge">
    <w:name w:val="XLarge"/>
    <w:basedOn w:val="Normal"/>
    <w:rsid w:val="00247B95"/>
    <w:pPr>
      <w:keepNext/>
      <w:keepLines/>
      <w:tabs>
        <w:tab w:val="right" w:leader="dot" w:pos="360"/>
      </w:tabs>
      <w:suppressAutoHyphens/>
      <w:spacing w:line="390" w:lineRule="exact"/>
      <w:outlineLvl w:val="0"/>
    </w:pPr>
    <w:rPr>
      <w:b/>
      <w:spacing w:val="-4"/>
      <w:w w:val="98"/>
      <w:kern w:val="14"/>
      <w:sz w:val="40"/>
      <w:szCs w:val="20"/>
      <w:lang w:val="en-GB"/>
    </w:rPr>
  </w:style>
  <w:style w:type="paragraph" w:customStyle="1" w:styleId="singletxt0">
    <w:name w:val="singletxt"/>
    <w:basedOn w:val="Normal"/>
    <w:rsid w:val="00247B95"/>
    <w:pPr>
      <w:spacing w:after="120" w:line="240" w:lineRule="atLeast"/>
      <w:ind w:left="1267" w:right="1267"/>
      <w:jc w:val="both"/>
    </w:pPr>
    <w:rPr>
      <w:rFonts w:eastAsia="Arial Unicode MS"/>
      <w:spacing w:val="4"/>
      <w:sz w:val="20"/>
      <w:szCs w:val="20"/>
    </w:rPr>
  </w:style>
  <w:style w:type="paragraph" w:styleId="BodyText">
    <w:name w:val="Body Text"/>
    <w:basedOn w:val="Normal"/>
    <w:rsid w:val="00247B95"/>
    <w:rPr>
      <w:sz w:val="20"/>
      <w:szCs w:val="20"/>
      <w:lang w:val="en-GB"/>
    </w:rPr>
  </w:style>
  <w:style w:type="paragraph" w:styleId="BodyTextIndent">
    <w:name w:val="Body Text Indent"/>
    <w:basedOn w:val="Normal"/>
    <w:rsid w:val="00247B95"/>
    <w:pPr>
      <w:ind w:left="-30"/>
      <w:jc w:val="both"/>
    </w:pPr>
  </w:style>
  <w:style w:type="paragraph" w:styleId="FootnoteText">
    <w:name w:val="footnote text"/>
    <w:basedOn w:val="Normal"/>
    <w:link w:val="FootnoteTextChar"/>
    <w:uiPriority w:val="99"/>
    <w:semiHidden/>
    <w:rsid w:val="00247B95"/>
    <w:rPr>
      <w:sz w:val="20"/>
      <w:szCs w:val="20"/>
    </w:rPr>
  </w:style>
  <w:style w:type="character" w:styleId="Strong">
    <w:name w:val="Strong"/>
    <w:uiPriority w:val="22"/>
    <w:qFormat/>
    <w:rsid w:val="00BE4A87"/>
    <w:rPr>
      <w:b/>
      <w:bCs/>
    </w:rPr>
  </w:style>
  <w:style w:type="character" w:styleId="Hyperlink">
    <w:name w:val="Hyperlink"/>
    <w:rsid w:val="005C473F"/>
    <w:rPr>
      <w:color w:val="0000FF"/>
      <w:u w:val="single"/>
    </w:rPr>
  </w:style>
  <w:style w:type="table" w:styleId="TableGrid">
    <w:name w:val="Table Grid"/>
    <w:basedOn w:val="TableNormal"/>
    <w:rsid w:val="009C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0C76"/>
    <w:rPr>
      <w:rFonts w:ascii="Tahoma" w:hAnsi="Tahoma" w:cs="Tahoma"/>
      <w:sz w:val="16"/>
      <w:szCs w:val="16"/>
    </w:rPr>
  </w:style>
  <w:style w:type="character" w:styleId="PageNumber">
    <w:name w:val="page number"/>
    <w:basedOn w:val="DefaultParagraphFont"/>
    <w:rsid w:val="00414E22"/>
  </w:style>
  <w:style w:type="character" w:customStyle="1" w:styleId="EmailStyle371">
    <w:name w:val="EmailStyle371"/>
    <w:semiHidden/>
    <w:rsid w:val="00DA6A7D"/>
    <w:rPr>
      <w:rFonts w:ascii="Arial (W1)" w:hAnsi="Arial (W1)" w:cs="Arial" w:hint="default"/>
      <w:color w:val="auto"/>
      <w:sz w:val="20"/>
      <w:szCs w:val="20"/>
    </w:rPr>
  </w:style>
  <w:style w:type="paragraph" w:customStyle="1" w:styleId="a">
    <w:basedOn w:val="Normal"/>
    <w:rsid w:val="00362130"/>
    <w:pPr>
      <w:spacing w:after="160" w:line="240" w:lineRule="exact"/>
    </w:pPr>
    <w:rPr>
      <w:rFonts w:ascii="Arial" w:hAnsi="Arial" w:cs="Arial"/>
      <w:sz w:val="20"/>
      <w:szCs w:val="20"/>
      <w:lang w:val="en-GB"/>
    </w:rPr>
  </w:style>
  <w:style w:type="paragraph" w:customStyle="1" w:styleId="CharCharCharCharCharCharChar">
    <w:name w:val="Char Char Char Char Char Char Char"/>
    <w:basedOn w:val="Heading2"/>
    <w:rsid w:val="0066127F"/>
    <w:pPr>
      <w:pageBreakBefore/>
      <w:tabs>
        <w:tab w:val="left" w:pos="850"/>
        <w:tab w:val="left" w:pos="1191"/>
        <w:tab w:val="left" w:pos="1531"/>
      </w:tabs>
      <w:spacing w:before="120" w:after="120"/>
      <w:jc w:val="center"/>
    </w:pPr>
    <w:rPr>
      <w:rFonts w:ascii="Tahoma" w:hAnsi="Tahoma" w:cs="Tahoma"/>
      <w:bCs w:val="0"/>
      <w:iCs w:val="0"/>
      <w:color w:val="FFFFFF"/>
      <w:spacing w:val="20"/>
      <w:sz w:val="22"/>
      <w:szCs w:val="22"/>
      <w:lang w:val="en-GB" w:eastAsia="zh-CN"/>
    </w:rPr>
  </w:style>
  <w:style w:type="paragraph" w:styleId="NormalWeb">
    <w:name w:val="Normal (Web)"/>
    <w:basedOn w:val="Normal"/>
    <w:uiPriority w:val="99"/>
    <w:rsid w:val="0072397C"/>
    <w:pPr>
      <w:spacing w:before="100" w:beforeAutospacing="1" w:after="225"/>
    </w:pPr>
    <w:rPr>
      <w:rFonts w:ascii="Verdana" w:eastAsia="Arial Unicode MS" w:hAnsi="Verdana" w:cs="Arial Unicode MS"/>
      <w:color w:val="000000"/>
      <w:sz w:val="18"/>
      <w:szCs w:val="18"/>
    </w:rPr>
  </w:style>
  <w:style w:type="numbering" w:customStyle="1" w:styleId="Style1">
    <w:name w:val="Style1"/>
    <w:rsid w:val="0072397C"/>
    <w:pPr>
      <w:numPr>
        <w:numId w:val="1"/>
      </w:numPr>
    </w:pPr>
  </w:style>
  <w:style w:type="paragraph" w:customStyle="1" w:styleId="MediumGrid1-Accent21">
    <w:name w:val="Medium Grid 1 - Accent 21"/>
    <w:basedOn w:val="Normal"/>
    <w:uiPriority w:val="34"/>
    <w:qFormat/>
    <w:rsid w:val="001B667B"/>
    <w:pPr>
      <w:ind w:left="720"/>
    </w:pPr>
    <w:rPr>
      <w:rFonts w:ascii="Calibri" w:eastAsia="Calibri" w:hAnsi="Calibri"/>
      <w:sz w:val="22"/>
      <w:szCs w:val="22"/>
    </w:rPr>
  </w:style>
  <w:style w:type="character" w:styleId="CommentReference">
    <w:name w:val="annotation reference"/>
    <w:rsid w:val="00262548"/>
    <w:rPr>
      <w:sz w:val="16"/>
      <w:szCs w:val="16"/>
    </w:rPr>
  </w:style>
  <w:style w:type="paragraph" w:styleId="CommentText">
    <w:name w:val="annotation text"/>
    <w:basedOn w:val="Normal"/>
    <w:link w:val="CommentTextChar"/>
    <w:rsid w:val="00262548"/>
    <w:rPr>
      <w:sz w:val="20"/>
      <w:szCs w:val="20"/>
    </w:rPr>
  </w:style>
  <w:style w:type="character" w:customStyle="1" w:styleId="CommentTextChar">
    <w:name w:val="Comment Text Char"/>
    <w:link w:val="CommentText"/>
    <w:rsid w:val="00262548"/>
    <w:rPr>
      <w:lang w:eastAsia="en-US"/>
    </w:rPr>
  </w:style>
  <w:style w:type="paragraph" w:styleId="CommentSubject">
    <w:name w:val="annotation subject"/>
    <w:basedOn w:val="CommentText"/>
    <w:next w:val="CommentText"/>
    <w:link w:val="CommentSubjectChar"/>
    <w:rsid w:val="00262548"/>
    <w:rPr>
      <w:b/>
      <w:bCs/>
    </w:rPr>
  </w:style>
  <w:style w:type="character" w:customStyle="1" w:styleId="CommentSubjectChar">
    <w:name w:val="Comment Subject Char"/>
    <w:link w:val="CommentSubject"/>
    <w:rsid w:val="00262548"/>
    <w:rPr>
      <w:b/>
      <w:bCs/>
      <w:lang w:eastAsia="en-US"/>
    </w:rPr>
  </w:style>
  <w:style w:type="paragraph" w:customStyle="1" w:styleId="MediumList2-Accent21">
    <w:name w:val="Medium List 2 - Accent 21"/>
    <w:hidden/>
    <w:uiPriority w:val="99"/>
    <w:semiHidden/>
    <w:rsid w:val="00B400D0"/>
    <w:rPr>
      <w:sz w:val="24"/>
      <w:szCs w:val="24"/>
    </w:rPr>
  </w:style>
  <w:style w:type="character" w:customStyle="1" w:styleId="EmailStyle381">
    <w:name w:val="EmailStyle381"/>
    <w:semiHidden/>
    <w:rsid w:val="006155D0"/>
    <w:rPr>
      <w:rFonts w:ascii="Arial" w:hAnsi="Arial" w:cs="Arial" w:hint="default"/>
      <w:color w:val="000000"/>
    </w:rPr>
  </w:style>
  <w:style w:type="paragraph" w:customStyle="1" w:styleId="Default">
    <w:name w:val="Default"/>
    <w:rsid w:val="001A1547"/>
    <w:pPr>
      <w:autoSpaceDE w:val="0"/>
      <w:autoSpaceDN w:val="0"/>
      <w:adjustRightInd w:val="0"/>
    </w:pPr>
    <w:rPr>
      <w:rFonts w:ascii="Calibri" w:eastAsia="Calibri" w:hAnsi="Calibri" w:cs="Calibri"/>
      <w:color w:val="000000"/>
      <w:sz w:val="24"/>
      <w:szCs w:val="24"/>
    </w:rPr>
  </w:style>
  <w:style w:type="paragraph" w:customStyle="1" w:styleId="default0">
    <w:name w:val="default"/>
    <w:basedOn w:val="Normal"/>
    <w:uiPriority w:val="99"/>
    <w:rsid w:val="00F60FFC"/>
    <w:rPr>
      <w:rFonts w:ascii="Calibri" w:eastAsia="Calibri" w:hAnsi="Calibri" w:cs="Calibri"/>
      <w:color w:val="000000"/>
    </w:rPr>
  </w:style>
  <w:style w:type="table" w:styleId="ColorfulShading-Accent2">
    <w:name w:val="Colorful Shading Accent 2"/>
    <w:basedOn w:val="TableNormal"/>
    <w:uiPriority w:val="67"/>
    <w:rsid w:val="00D13F1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Shading-Accent11">
    <w:name w:val="Colorful Shading - Accent 11"/>
    <w:hidden/>
    <w:uiPriority w:val="99"/>
    <w:semiHidden/>
    <w:rsid w:val="007806C8"/>
    <w:rPr>
      <w:sz w:val="24"/>
      <w:szCs w:val="24"/>
    </w:rPr>
  </w:style>
  <w:style w:type="character" w:customStyle="1" w:styleId="SingleTxtChar">
    <w:name w:val="__Single Txt Char"/>
    <w:link w:val="SingleTxt"/>
    <w:locked/>
    <w:rsid w:val="003E6C7C"/>
    <w:rPr>
      <w:spacing w:val="4"/>
      <w:w w:val="103"/>
      <w:kern w:val="14"/>
      <w:lang w:val="en-GB" w:eastAsia="en-US"/>
    </w:rPr>
  </w:style>
  <w:style w:type="paragraph" w:styleId="ListParagraph">
    <w:name w:val="List Paragraph"/>
    <w:aliases w:val="Bullets,List Paragraph1,List Paragraph (numbered (a)),Colorful List - Accent 11,WB Para"/>
    <w:basedOn w:val="Normal"/>
    <w:uiPriority w:val="34"/>
    <w:qFormat/>
    <w:rsid w:val="00962593"/>
    <w:pPr>
      <w:ind w:left="720"/>
      <w:contextualSpacing/>
    </w:pPr>
  </w:style>
  <w:style w:type="character" w:customStyle="1" w:styleId="MediumGrid1-Accent2Char">
    <w:name w:val="Medium Grid 1 - Accent 2 Char"/>
    <w:aliases w:val="List Paragraph (numbered (a)) Char,Bullets Char,List Paragraph1 Char,List Paragraph Char,Colorful List - Accent 11 Char,WB Para Char"/>
    <w:link w:val="MediumGrid1-Accent2"/>
    <w:uiPriority w:val="34"/>
    <w:locked/>
    <w:rsid w:val="00783575"/>
    <w:rPr>
      <w:sz w:val="24"/>
      <w:szCs w:val="24"/>
    </w:rPr>
  </w:style>
  <w:style w:type="table" w:styleId="MediumGrid1-Accent2">
    <w:name w:val="Medium Grid 1 Accent 2"/>
    <w:basedOn w:val="TableNormal"/>
    <w:link w:val="MediumGrid1-Accent2Char"/>
    <w:uiPriority w:val="34"/>
    <w:rsid w:val="00783575"/>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ms-rtefontsize-2">
    <w:name w:val="ms-rtefontsize-2"/>
    <w:rsid w:val="00751B7D"/>
  </w:style>
  <w:style w:type="character" w:customStyle="1" w:styleId="BalloonTextChar">
    <w:name w:val="Balloon Text Char"/>
    <w:link w:val="BalloonText"/>
    <w:rsid w:val="008D138F"/>
    <w:rPr>
      <w:rFonts w:ascii="Tahoma" w:hAnsi="Tahoma" w:cs="Tahoma"/>
      <w:sz w:val="16"/>
      <w:szCs w:val="16"/>
    </w:rPr>
  </w:style>
  <w:style w:type="character" w:styleId="FollowedHyperlink">
    <w:name w:val="FollowedHyperlink"/>
    <w:rsid w:val="0066644A"/>
    <w:rPr>
      <w:color w:val="954F72"/>
      <w:u w:val="single"/>
    </w:rPr>
  </w:style>
  <w:style w:type="paragraph" w:styleId="Revision">
    <w:name w:val="Revision"/>
    <w:hidden/>
    <w:uiPriority w:val="99"/>
    <w:semiHidden/>
    <w:rsid w:val="00AB4FBA"/>
    <w:rPr>
      <w:sz w:val="24"/>
      <w:szCs w:val="24"/>
    </w:rPr>
  </w:style>
  <w:style w:type="character" w:customStyle="1" w:styleId="FootnoteTextChar">
    <w:name w:val="Footnote Text Char"/>
    <w:link w:val="FootnoteText"/>
    <w:uiPriority w:val="99"/>
    <w:semiHidden/>
    <w:rsid w:val="00F8317A"/>
  </w:style>
  <w:style w:type="character" w:customStyle="1" w:styleId="FooterChar">
    <w:name w:val="Footer Char"/>
    <w:link w:val="Footer"/>
    <w:uiPriority w:val="99"/>
    <w:rsid w:val="00F10A6D"/>
    <w:rPr>
      <w:b/>
      <w:noProof/>
      <w:sz w:val="17"/>
    </w:rPr>
  </w:style>
  <w:style w:type="paragraph" w:customStyle="1" w:styleId="1">
    <w:name w:val="1"/>
    <w:basedOn w:val="Normal"/>
    <w:rsid w:val="00F55518"/>
    <w:pPr>
      <w:spacing w:after="160" w:line="240" w:lineRule="exact"/>
    </w:pPr>
    <w:rPr>
      <w:rFonts w:ascii="Arial" w:hAnsi="Arial" w:cs="Arial"/>
      <w:sz w:val="20"/>
      <w:szCs w:val="20"/>
      <w:lang w:val="en-GB"/>
    </w:rPr>
  </w:style>
  <w:style w:type="paragraph" w:customStyle="1" w:styleId="textmain">
    <w:name w:val="textmain"/>
    <w:basedOn w:val="Normal"/>
    <w:rsid w:val="00F55518"/>
    <w:pPr>
      <w:spacing w:after="100" w:afterAutospacing="1" w:line="160" w:lineRule="atLeast"/>
      <w:ind w:firstLine="300"/>
      <w:jc w:val="both"/>
    </w:pPr>
    <w:rPr>
      <w:color w:val="000000"/>
      <w:sz w:val="14"/>
      <w:szCs w:val="14"/>
    </w:rPr>
  </w:style>
  <w:style w:type="paragraph" w:customStyle="1" w:styleId="xmsolistparagraph">
    <w:name w:val="x_msolistparagraph"/>
    <w:basedOn w:val="Normal"/>
    <w:rsid w:val="00F55518"/>
    <w:pPr>
      <w:spacing w:before="100" w:beforeAutospacing="1" w:after="100" w:afterAutospacing="1"/>
    </w:pPr>
  </w:style>
  <w:style w:type="paragraph" w:styleId="NoSpacing">
    <w:name w:val="No Spacing"/>
    <w:uiPriority w:val="1"/>
    <w:qFormat/>
    <w:rsid w:val="00F55518"/>
    <w:rPr>
      <w:rFonts w:ascii="Calibri" w:hAnsi="Calibri"/>
      <w:sz w:val="22"/>
      <w:szCs w:val="22"/>
      <w:lang w:val="en-GB"/>
    </w:rPr>
  </w:style>
  <w:style w:type="character" w:customStyle="1" w:styleId="ms-rtethemefontface-21">
    <w:name w:val="ms-rtethemefontface-21"/>
    <w:rsid w:val="00F55518"/>
    <w:rPr>
      <w:rFonts w:ascii="Arial" w:hAnsi="Arial" w:cs="Arial" w:hint="default"/>
    </w:rPr>
  </w:style>
  <w:style w:type="paragraph" w:customStyle="1" w:styleId="Title1">
    <w:name w:val="Title 1"/>
    <w:basedOn w:val="HCh"/>
    <w:rsid w:val="00F555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195">
      <w:bodyDiv w:val="1"/>
      <w:marLeft w:val="0"/>
      <w:marRight w:val="0"/>
      <w:marTop w:val="0"/>
      <w:marBottom w:val="0"/>
      <w:divBdr>
        <w:top w:val="none" w:sz="0" w:space="0" w:color="auto"/>
        <w:left w:val="none" w:sz="0" w:space="0" w:color="auto"/>
        <w:bottom w:val="none" w:sz="0" w:space="0" w:color="auto"/>
        <w:right w:val="none" w:sz="0" w:space="0" w:color="auto"/>
      </w:divBdr>
    </w:div>
    <w:div w:id="80568299">
      <w:bodyDiv w:val="1"/>
      <w:marLeft w:val="0"/>
      <w:marRight w:val="0"/>
      <w:marTop w:val="0"/>
      <w:marBottom w:val="0"/>
      <w:divBdr>
        <w:top w:val="none" w:sz="0" w:space="0" w:color="auto"/>
        <w:left w:val="none" w:sz="0" w:space="0" w:color="auto"/>
        <w:bottom w:val="none" w:sz="0" w:space="0" w:color="auto"/>
        <w:right w:val="none" w:sz="0" w:space="0" w:color="auto"/>
      </w:divBdr>
      <w:divsChild>
        <w:div w:id="351810777">
          <w:marLeft w:val="547"/>
          <w:marRight w:val="0"/>
          <w:marTop w:val="0"/>
          <w:marBottom w:val="0"/>
          <w:divBdr>
            <w:top w:val="none" w:sz="0" w:space="0" w:color="auto"/>
            <w:left w:val="none" w:sz="0" w:space="0" w:color="auto"/>
            <w:bottom w:val="none" w:sz="0" w:space="0" w:color="auto"/>
            <w:right w:val="none" w:sz="0" w:space="0" w:color="auto"/>
          </w:divBdr>
        </w:div>
        <w:div w:id="1956518097">
          <w:marLeft w:val="547"/>
          <w:marRight w:val="0"/>
          <w:marTop w:val="0"/>
          <w:marBottom w:val="0"/>
          <w:divBdr>
            <w:top w:val="none" w:sz="0" w:space="0" w:color="auto"/>
            <w:left w:val="none" w:sz="0" w:space="0" w:color="auto"/>
            <w:bottom w:val="none" w:sz="0" w:space="0" w:color="auto"/>
            <w:right w:val="none" w:sz="0" w:space="0" w:color="auto"/>
          </w:divBdr>
        </w:div>
      </w:divsChild>
    </w:div>
    <w:div w:id="81952051">
      <w:bodyDiv w:val="1"/>
      <w:marLeft w:val="0"/>
      <w:marRight w:val="0"/>
      <w:marTop w:val="0"/>
      <w:marBottom w:val="0"/>
      <w:divBdr>
        <w:top w:val="none" w:sz="0" w:space="0" w:color="auto"/>
        <w:left w:val="none" w:sz="0" w:space="0" w:color="auto"/>
        <w:bottom w:val="none" w:sz="0" w:space="0" w:color="auto"/>
        <w:right w:val="none" w:sz="0" w:space="0" w:color="auto"/>
      </w:divBdr>
    </w:div>
    <w:div w:id="263924088">
      <w:bodyDiv w:val="1"/>
      <w:marLeft w:val="0"/>
      <w:marRight w:val="0"/>
      <w:marTop w:val="0"/>
      <w:marBottom w:val="0"/>
      <w:divBdr>
        <w:top w:val="none" w:sz="0" w:space="0" w:color="auto"/>
        <w:left w:val="none" w:sz="0" w:space="0" w:color="auto"/>
        <w:bottom w:val="none" w:sz="0" w:space="0" w:color="auto"/>
        <w:right w:val="none" w:sz="0" w:space="0" w:color="auto"/>
      </w:divBdr>
      <w:divsChild>
        <w:div w:id="1472333004">
          <w:marLeft w:val="547"/>
          <w:marRight w:val="0"/>
          <w:marTop w:val="0"/>
          <w:marBottom w:val="0"/>
          <w:divBdr>
            <w:top w:val="none" w:sz="0" w:space="0" w:color="auto"/>
            <w:left w:val="none" w:sz="0" w:space="0" w:color="auto"/>
            <w:bottom w:val="none" w:sz="0" w:space="0" w:color="auto"/>
            <w:right w:val="none" w:sz="0" w:space="0" w:color="auto"/>
          </w:divBdr>
        </w:div>
      </w:divsChild>
    </w:div>
    <w:div w:id="277222062">
      <w:bodyDiv w:val="1"/>
      <w:marLeft w:val="0"/>
      <w:marRight w:val="0"/>
      <w:marTop w:val="0"/>
      <w:marBottom w:val="0"/>
      <w:divBdr>
        <w:top w:val="none" w:sz="0" w:space="0" w:color="auto"/>
        <w:left w:val="none" w:sz="0" w:space="0" w:color="auto"/>
        <w:bottom w:val="none" w:sz="0" w:space="0" w:color="auto"/>
        <w:right w:val="none" w:sz="0" w:space="0" w:color="auto"/>
      </w:divBdr>
    </w:div>
    <w:div w:id="370349288">
      <w:bodyDiv w:val="1"/>
      <w:marLeft w:val="0"/>
      <w:marRight w:val="0"/>
      <w:marTop w:val="0"/>
      <w:marBottom w:val="0"/>
      <w:divBdr>
        <w:top w:val="none" w:sz="0" w:space="0" w:color="auto"/>
        <w:left w:val="none" w:sz="0" w:space="0" w:color="auto"/>
        <w:bottom w:val="none" w:sz="0" w:space="0" w:color="auto"/>
        <w:right w:val="none" w:sz="0" w:space="0" w:color="auto"/>
      </w:divBdr>
    </w:div>
    <w:div w:id="381950240">
      <w:bodyDiv w:val="1"/>
      <w:marLeft w:val="0"/>
      <w:marRight w:val="0"/>
      <w:marTop w:val="0"/>
      <w:marBottom w:val="0"/>
      <w:divBdr>
        <w:top w:val="none" w:sz="0" w:space="0" w:color="auto"/>
        <w:left w:val="none" w:sz="0" w:space="0" w:color="auto"/>
        <w:bottom w:val="none" w:sz="0" w:space="0" w:color="auto"/>
        <w:right w:val="none" w:sz="0" w:space="0" w:color="auto"/>
      </w:divBdr>
      <w:divsChild>
        <w:div w:id="48069955">
          <w:marLeft w:val="547"/>
          <w:marRight w:val="0"/>
          <w:marTop w:val="0"/>
          <w:marBottom w:val="0"/>
          <w:divBdr>
            <w:top w:val="none" w:sz="0" w:space="0" w:color="auto"/>
            <w:left w:val="none" w:sz="0" w:space="0" w:color="auto"/>
            <w:bottom w:val="none" w:sz="0" w:space="0" w:color="auto"/>
            <w:right w:val="none" w:sz="0" w:space="0" w:color="auto"/>
          </w:divBdr>
        </w:div>
      </w:divsChild>
    </w:div>
    <w:div w:id="403337778">
      <w:bodyDiv w:val="1"/>
      <w:marLeft w:val="0"/>
      <w:marRight w:val="0"/>
      <w:marTop w:val="0"/>
      <w:marBottom w:val="0"/>
      <w:divBdr>
        <w:top w:val="none" w:sz="0" w:space="0" w:color="auto"/>
        <w:left w:val="none" w:sz="0" w:space="0" w:color="auto"/>
        <w:bottom w:val="none" w:sz="0" w:space="0" w:color="auto"/>
        <w:right w:val="none" w:sz="0" w:space="0" w:color="auto"/>
      </w:divBdr>
    </w:div>
    <w:div w:id="476461675">
      <w:bodyDiv w:val="1"/>
      <w:marLeft w:val="0"/>
      <w:marRight w:val="0"/>
      <w:marTop w:val="0"/>
      <w:marBottom w:val="0"/>
      <w:divBdr>
        <w:top w:val="none" w:sz="0" w:space="0" w:color="auto"/>
        <w:left w:val="none" w:sz="0" w:space="0" w:color="auto"/>
        <w:bottom w:val="none" w:sz="0" w:space="0" w:color="auto"/>
        <w:right w:val="none" w:sz="0" w:space="0" w:color="auto"/>
      </w:divBdr>
      <w:divsChild>
        <w:div w:id="1173833236">
          <w:marLeft w:val="547"/>
          <w:marRight w:val="0"/>
          <w:marTop w:val="0"/>
          <w:marBottom w:val="0"/>
          <w:divBdr>
            <w:top w:val="none" w:sz="0" w:space="0" w:color="auto"/>
            <w:left w:val="none" w:sz="0" w:space="0" w:color="auto"/>
            <w:bottom w:val="none" w:sz="0" w:space="0" w:color="auto"/>
            <w:right w:val="none" w:sz="0" w:space="0" w:color="auto"/>
          </w:divBdr>
        </w:div>
      </w:divsChild>
    </w:div>
    <w:div w:id="510950219">
      <w:bodyDiv w:val="1"/>
      <w:marLeft w:val="0"/>
      <w:marRight w:val="0"/>
      <w:marTop w:val="0"/>
      <w:marBottom w:val="0"/>
      <w:divBdr>
        <w:top w:val="none" w:sz="0" w:space="0" w:color="auto"/>
        <w:left w:val="none" w:sz="0" w:space="0" w:color="auto"/>
        <w:bottom w:val="none" w:sz="0" w:space="0" w:color="auto"/>
        <w:right w:val="none" w:sz="0" w:space="0" w:color="auto"/>
      </w:divBdr>
    </w:div>
    <w:div w:id="534319471">
      <w:bodyDiv w:val="1"/>
      <w:marLeft w:val="0"/>
      <w:marRight w:val="0"/>
      <w:marTop w:val="0"/>
      <w:marBottom w:val="0"/>
      <w:divBdr>
        <w:top w:val="none" w:sz="0" w:space="0" w:color="auto"/>
        <w:left w:val="none" w:sz="0" w:space="0" w:color="auto"/>
        <w:bottom w:val="none" w:sz="0" w:space="0" w:color="auto"/>
        <w:right w:val="none" w:sz="0" w:space="0" w:color="auto"/>
      </w:divBdr>
    </w:div>
    <w:div w:id="559948442">
      <w:bodyDiv w:val="1"/>
      <w:marLeft w:val="0"/>
      <w:marRight w:val="0"/>
      <w:marTop w:val="0"/>
      <w:marBottom w:val="0"/>
      <w:divBdr>
        <w:top w:val="none" w:sz="0" w:space="0" w:color="auto"/>
        <w:left w:val="none" w:sz="0" w:space="0" w:color="auto"/>
        <w:bottom w:val="none" w:sz="0" w:space="0" w:color="auto"/>
        <w:right w:val="none" w:sz="0" w:space="0" w:color="auto"/>
      </w:divBdr>
      <w:divsChild>
        <w:div w:id="720330803">
          <w:marLeft w:val="547"/>
          <w:marRight w:val="0"/>
          <w:marTop w:val="0"/>
          <w:marBottom w:val="0"/>
          <w:divBdr>
            <w:top w:val="none" w:sz="0" w:space="0" w:color="auto"/>
            <w:left w:val="none" w:sz="0" w:space="0" w:color="auto"/>
            <w:bottom w:val="none" w:sz="0" w:space="0" w:color="auto"/>
            <w:right w:val="none" w:sz="0" w:space="0" w:color="auto"/>
          </w:divBdr>
        </w:div>
        <w:div w:id="1000276256">
          <w:marLeft w:val="547"/>
          <w:marRight w:val="0"/>
          <w:marTop w:val="0"/>
          <w:marBottom w:val="0"/>
          <w:divBdr>
            <w:top w:val="none" w:sz="0" w:space="0" w:color="auto"/>
            <w:left w:val="none" w:sz="0" w:space="0" w:color="auto"/>
            <w:bottom w:val="none" w:sz="0" w:space="0" w:color="auto"/>
            <w:right w:val="none" w:sz="0" w:space="0" w:color="auto"/>
          </w:divBdr>
        </w:div>
      </w:divsChild>
    </w:div>
    <w:div w:id="582373983">
      <w:bodyDiv w:val="1"/>
      <w:marLeft w:val="0"/>
      <w:marRight w:val="0"/>
      <w:marTop w:val="0"/>
      <w:marBottom w:val="0"/>
      <w:divBdr>
        <w:top w:val="none" w:sz="0" w:space="0" w:color="auto"/>
        <w:left w:val="none" w:sz="0" w:space="0" w:color="auto"/>
        <w:bottom w:val="none" w:sz="0" w:space="0" w:color="auto"/>
        <w:right w:val="none" w:sz="0" w:space="0" w:color="auto"/>
      </w:divBdr>
    </w:div>
    <w:div w:id="661659915">
      <w:bodyDiv w:val="1"/>
      <w:marLeft w:val="0"/>
      <w:marRight w:val="0"/>
      <w:marTop w:val="0"/>
      <w:marBottom w:val="0"/>
      <w:divBdr>
        <w:top w:val="none" w:sz="0" w:space="0" w:color="auto"/>
        <w:left w:val="none" w:sz="0" w:space="0" w:color="auto"/>
        <w:bottom w:val="none" w:sz="0" w:space="0" w:color="auto"/>
        <w:right w:val="none" w:sz="0" w:space="0" w:color="auto"/>
      </w:divBdr>
      <w:divsChild>
        <w:div w:id="32971990">
          <w:marLeft w:val="547"/>
          <w:marRight w:val="0"/>
          <w:marTop w:val="0"/>
          <w:marBottom w:val="0"/>
          <w:divBdr>
            <w:top w:val="none" w:sz="0" w:space="0" w:color="auto"/>
            <w:left w:val="none" w:sz="0" w:space="0" w:color="auto"/>
            <w:bottom w:val="none" w:sz="0" w:space="0" w:color="auto"/>
            <w:right w:val="none" w:sz="0" w:space="0" w:color="auto"/>
          </w:divBdr>
        </w:div>
        <w:div w:id="1255943518">
          <w:marLeft w:val="547"/>
          <w:marRight w:val="0"/>
          <w:marTop w:val="0"/>
          <w:marBottom w:val="0"/>
          <w:divBdr>
            <w:top w:val="none" w:sz="0" w:space="0" w:color="auto"/>
            <w:left w:val="none" w:sz="0" w:space="0" w:color="auto"/>
            <w:bottom w:val="none" w:sz="0" w:space="0" w:color="auto"/>
            <w:right w:val="none" w:sz="0" w:space="0" w:color="auto"/>
          </w:divBdr>
        </w:div>
        <w:div w:id="1480883109">
          <w:marLeft w:val="547"/>
          <w:marRight w:val="0"/>
          <w:marTop w:val="0"/>
          <w:marBottom w:val="0"/>
          <w:divBdr>
            <w:top w:val="none" w:sz="0" w:space="0" w:color="auto"/>
            <w:left w:val="none" w:sz="0" w:space="0" w:color="auto"/>
            <w:bottom w:val="none" w:sz="0" w:space="0" w:color="auto"/>
            <w:right w:val="none" w:sz="0" w:space="0" w:color="auto"/>
          </w:divBdr>
        </w:div>
        <w:div w:id="1759476953">
          <w:marLeft w:val="547"/>
          <w:marRight w:val="0"/>
          <w:marTop w:val="0"/>
          <w:marBottom w:val="0"/>
          <w:divBdr>
            <w:top w:val="none" w:sz="0" w:space="0" w:color="auto"/>
            <w:left w:val="none" w:sz="0" w:space="0" w:color="auto"/>
            <w:bottom w:val="none" w:sz="0" w:space="0" w:color="auto"/>
            <w:right w:val="none" w:sz="0" w:space="0" w:color="auto"/>
          </w:divBdr>
        </w:div>
      </w:divsChild>
    </w:div>
    <w:div w:id="684596841">
      <w:bodyDiv w:val="1"/>
      <w:marLeft w:val="0"/>
      <w:marRight w:val="0"/>
      <w:marTop w:val="0"/>
      <w:marBottom w:val="0"/>
      <w:divBdr>
        <w:top w:val="none" w:sz="0" w:space="0" w:color="auto"/>
        <w:left w:val="none" w:sz="0" w:space="0" w:color="auto"/>
        <w:bottom w:val="none" w:sz="0" w:space="0" w:color="auto"/>
        <w:right w:val="none" w:sz="0" w:space="0" w:color="auto"/>
      </w:divBdr>
    </w:div>
    <w:div w:id="699013877">
      <w:bodyDiv w:val="1"/>
      <w:marLeft w:val="0"/>
      <w:marRight w:val="0"/>
      <w:marTop w:val="0"/>
      <w:marBottom w:val="0"/>
      <w:divBdr>
        <w:top w:val="none" w:sz="0" w:space="0" w:color="auto"/>
        <w:left w:val="none" w:sz="0" w:space="0" w:color="auto"/>
        <w:bottom w:val="none" w:sz="0" w:space="0" w:color="auto"/>
        <w:right w:val="none" w:sz="0" w:space="0" w:color="auto"/>
      </w:divBdr>
    </w:div>
    <w:div w:id="706414028">
      <w:bodyDiv w:val="1"/>
      <w:marLeft w:val="0"/>
      <w:marRight w:val="0"/>
      <w:marTop w:val="0"/>
      <w:marBottom w:val="0"/>
      <w:divBdr>
        <w:top w:val="none" w:sz="0" w:space="0" w:color="auto"/>
        <w:left w:val="none" w:sz="0" w:space="0" w:color="auto"/>
        <w:bottom w:val="none" w:sz="0" w:space="0" w:color="auto"/>
        <w:right w:val="none" w:sz="0" w:space="0" w:color="auto"/>
      </w:divBdr>
      <w:divsChild>
        <w:div w:id="1945844741">
          <w:marLeft w:val="547"/>
          <w:marRight w:val="0"/>
          <w:marTop w:val="0"/>
          <w:marBottom w:val="0"/>
          <w:divBdr>
            <w:top w:val="none" w:sz="0" w:space="0" w:color="auto"/>
            <w:left w:val="none" w:sz="0" w:space="0" w:color="auto"/>
            <w:bottom w:val="none" w:sz="0" w:space="0" w:color="auto"/>
            <w:right w:val="none" w:sz="0" w:space="0" w:color="auto"/>
          </w:divBdr>
        </w:div>
      </w:divsChild>
    </w:div>
    <w:div w:id="733118429">
      <w:bodyDiv w:val="1"/>
      <w:marLeft w:val="0"/>
      <w:marRight w:val="0"/>
      <w:marTop w:val="0"/>
      <w:marBottom w:val="0"/>
      <w:divBdr>
        <w:top w:val="none" w:sz="0" w:space="0" w:color="auto"/>
        <w:left w:val="none" w:sz="0" w:space="0" w:color="auto"/>
        <w:bottom w:val="none" w:sz="0" w:space="0" w:color="auto"/>
        <w:right w:val="none" w:sz="0" w:space="0" w:color="auto"/>
      </w:divBdr>
      <w:divsChild>
        <w:div w:id="514003930">
          <w:marLeft w:val="547"/>
          <w:marRight w:val="0"/>
          <w:marTop w:val="0"/>
          <w:marBottom w:val="0"/>
          <w:divBdr>
            <w:top w:val="none" w:sz="0" w:space="0" w:color="auto"/>
            <w:left w:val="none" w:sz="0" w:space="0" w:color="auto"/>
            <w:bottom w:val="none" w:sz="0" w:space="0" w:color="auto"/>
            <w:right w:val="none" w:sz="0" w:space="0" w:color="auto"/>
          </w:divBdr>
        </w:div>
      </w:divsChild>
    </w:div>
    <w:div w:id="799614852">
      <w:bodyDiv w:val="1"/>
      <w:marLeft w:val="0"/>
      <w:marRight w:val="0"/>
      <w:marTop w:val="0"/>
      <w:marBottom w:val="0"/>
      <w:divBdr>
        <w:top w:val="none" w:sz="0" w:space="0" w:color="auto"/>
        <w:left w:val="none" w:sz="0" w:space="0" w:color="auto"/>
        <w:bottom w:val="none" w:sz="0" w:space="0" w:color="auto"/>
        <w:right w:val="none" w:sz="0" w:space="0" w:color="auto"/>
      </w:divBdr>
    </w:div>
    <w:div w:id="848330217">
      <w:bodyDiv w:val="1"/>
      <w:marLeft w:val="0"/>
      <w:marRight w:val="0"/>
      <w:marTop w:val="0"/>
      <w:marBottom w:val="0"/>
      <w:divBdr>
        <w:top w:val="none" w:sz="0" w:space="0" w:color="auto"/>
        <w:left w:val="none" w:sz="0" w:space="0" w:color="auto"/>
        <w:bottom w:val="none" w:sz="0" w:space="0" w:color="auto"/>
        <w:right w:val="none" w:sz="0" w:space="0" w:color="auto"/>
      </w:divBdr>
    </w:div>
    <w:div w:id="850993653">
      <w:bodyDiv w:val="1"/>
      <w:marLeft w:val="0"/>
      <w:marRight w:val="0"/>
      <w:marTop w:val="0"/>
      <w:marBottom w:val="0"/>
      <w:divBdr>
        <w:top w:val="none" w:sz="0" w:space="0" w:color="auto"/>
        <w:left w:val="none" w:sz="0" w:space="0" w:color="auto"/>
        <w:bottom w:val="none" w:sz="0" w:space="0" w:color="auto"/>
        <w:right w:val="none" w:sz="0" w:space="0" w:color="auto"/>
      </w:divBdr>
    </w:div>
    <w:div w:id="908350137">
      <w:bodyDiv w:val="1"/>
      <w:marLeft w:val="0"/>
      <w:marRight w:val="0"/>
      <w:marTop w:val="0"/>
      <w:marBottom w:val="0"/>
      <w:divBdr>
        <w:top w:val="none" w:sz="0" w:space="0" w:color="auto"/>
        <w:left w:val="none" w:sz="0" w:space="0" w:color="auto"/>
        <w:bottom w:val="none" w:sz="0" w:space="0" w:color="auto"/>
        <w:right w:val="none" w:sz="0" w:space="0" w:color="auto"/>
      </w:divBdr>
      <w:divsChild>
        <w:div w:id="1100612473">
          <w:marLeft w:val="547"/>
          <w:marRight w:val="0"/>
          <w:marTop w:val="0"/>
          <w:marBottom w:val="0"/>
          <w:divBdr>
            <w:top w:val="none" w:sz="0" w:space="0" w:color="auto"/>
            <w:left w:val="none" w:sz="0" w:space="0" w:color="auto"/>
            <w:bottom w:val="none" w:sz="0" w:space="0" w:color="auto"/>
            <w:right w:val="none" w:sz="0" w:space="0" w:color="auto"/>
          </w:divBdr>
        </w:div>
      </w:divsChild>
    </w:div>
    <w:div w:id="924147783">
      <w:bodyDiv w:val="1"/>
      <w:marLeft w:val="0"/>
      <w:marRight w:val="0"/>
      <w:marTop w:val="0"/>
      <w:marBottom w:val="0"/>
      <w:divBdr>
        <w:top w:val="none" w:sz="0" w:space="0" w:color="auto"/>
        <w:left w:val="none" w:sz="0" w:space="0" w:color="auto"/>
        <w:bottom w:val="none" w:sz="0" w:space="0" w:color="auto"/>
        <w:right w:val="none" w:sz="0" w:space="0" w:color="auto"/>
      </w:divBdr>
    </w:div>
    <w:div w:id="1027488277">
      <w:bodyDiv w:val="1"/>
      <w:marLeft w:val="0"/>
      <w:marRight w:val="0"/>
      <w:marTop w:val="0"/>
      <w:marBottom w:val="0"/>
      <w:divBdr>
        <w:top w:val="none" w:sz="0" w:space="0" w:color="auto"/>
        <w:left w:val="none" w:sz="0" w:space="0" w:color="auto"/>
        <w:bottom w:val="none" w:sz="0" w:space="0" w:color="auto"/>
        <w:right w:val="none" w:sz="0" w:space="0" w:color="auto"/>
      </w:divBdr>
    </w:div>
    <w:div w:id="1029992190">
      <w:bodyDiv w:val="1"/>
      <w:marLeft w:val="0"/>
      <w:marRight w:val="0"/>
      <w:marTop w:val="0"/>
      <w:marBottom w:val="0"/>
      <w:divBdr>
        <w:top w:val="none" w:sz="0" w:space="0" w:color="auto"/>
        <w:left w:val="none" w:sz="0" w:space="0" w:color="auto"/>
        <w:bottom w:val="none" w:sz="0" w:space="0" w:color="auto"/>
        <w:right w:val="none" w:sz="0" w:space="0" w:color="auto"/>
      </w:divBdr>
    </w:div>
    <w:div w:id="1069961359">
      <w:bodyDiv w:val="1"/>
      <w:marLeft w:val="0"/>
      <w:marRight w:val="0"/>
      <w:marTop w:val="0"/>
      <w:marBottom w:val="0"/>
      <w:divBdr>
        <w:top w:val="none" w:sz="0" w:space="0" w:color="auto"/>
        <w:left w:val="none" w:sz="0" w:space="0" w:color="auto"/>
        <w:bottom w:val="none" w:sz="0" w:space="0" w:color="auto"/>
        <w:right w:val="none" w:sz="0" w:space="0" w:color="auto"/>
      </w:divBdr>
    </w:div>
    <w:div w:id="1129203123">
      <w:bodyDiv w:val="1"/>
      <w:marLeft w:val="0"/>
      <w:marRight w:val="0"/>
      <w:marTop w:val="0"/>
      <w:marBottom w:val="0"/>
      <w:divBdr>
        <w:top w:val="none" w:sz="0" w:space="0" w:color="auto"/>
        <w:left w:val="none" w:sz="0" w:space="0" w:color="auto"/>
        <w:bottom w:val="none" w:sz="0" w:space="0" w:color="auto"/>
        <w:right w:val="none" w:sz="0" w:space="0" w:color="auto"/>
      </w:divBdr>
    </w:div>
    <w:div w:id="1177698493">
      <w:bodyDiv w:val="1"/>
      <w:marLeft w:val="0"/>
      <w:marRight w:val="0"/>
      <w:marTop w:val="0"/>
      <w:marBottom w:val="0"/>
      <w:divBdr>
        <w:top w:val="none" w:sz="0" w:space="0" w:color="auto"/>
        <w:left w:val="none" w:sz="0" w:space="0" w:color="auto"/>
        <w:bottom w:val="none" w:sz="0" w:space="0" w:color="auto"/>
        <w:right w:val="none" w:sz="0" w:space="0" w:color="auto"/>
      </w:divBdr>
    </w:div>
    <w:div w:id="1344670586">
      <w:bodyDiv w:val="1"/>
      <w:marLeft w:val="0"/>
      <w:marRight w:val="0"/>
      <w:marTop w:val="0"/>
      <w:marBottom w:val="0"/>
      <w:divBdr>
        <w:top w:val="none" w:sz="0" w:space="0" w:color="auto"/>
        <w:left w:val="none" w:sz="0" w:space="0" w:color="auto"/>
        <w:bottom w:val="none" w:sz="0" w:space="0" w:color="auto"/>
        <w:right w:val="none" w:sz="0" w:space="0" w:color="auto"/>
      </w:divBdr>
    </w:div>
    <w:div w:id="1366367008">
      <w:bodyDiv w:val="1"/>
      <w:marLeft w:val="0"/>
      <w:marRight w:val="0"/>
      <w:marTop w:val="0"/>
      <w:marBottom w:val="0"/>
      <w:divBdr>
        <w:top w:val="none" w:sz="0" w:space="0" w:color="auto"/>
        <w:left w:val="none" w:sz="0" w:space="0" w:color="auto"/>
        <w:bottom w:val="none" w:sz="0" w:space="0" w:color="auto"/>
        <w:right w:val="none" w:sz="0" w:space="0" w:color="auto"/>
      </w:divBdr>
    </w:div>
    <w:div w:id="1400706732">
      <w:bodyDiv w:val="1"/>
      <w:marLeft w:val="0"/>
      <w:marRight w:val="0"/>
      <w:marTop w:val="0"/>
      <w:marBottom w:val="0"/>
      <w:divBdr>
        <w:top w:val="none" w:sz="0" w:space="0" w:color="auto"/>
        <w:left w:val="none" w:sz="0" w:space="0" w:color="auto"/>
        <w:bottom w:val="none" w:sz="0" w:space="0" w:color="auto"/>
        <w:right w:val="none" w:sz="0" w:space="0" w:color="auto"/>
      </w:divBdr>
      <w:divsChild>
        <w:div w:id="1211386298">
          <w:marLeft w:val="547"/>
          <w:marRight w:val="0"/>
          <w:marTop w:val="0"/>
          <w:marBottom w:val="0"/>
          <w:divBdr>
            <w:top w:val="none" w:sz="0" w:space="0" w:color="auto"/>
            <w:left w:val="none" w:sz="0" w:space="0" w:color="auto"/>
            <w:bottom w:val="none" w:sz="0" w:space="0" w:color="auto"/>
            <w:right w:val="none" w:sz="0" w:space="0" w:color="auto"/>
          </w:divBdr>
        </w:div>
        <w:div w:id="2106686652">
          <w:marLeft w:val="547"/>
          <w:marRight w:val="0"/>
          <w:marTop w:val="0"/>
          <w:marBottom w:val="0"/>
          <w:divBdr>
            <w:top w:val="none" w:sz="0" w:space="0" w:color="auto"/>
            <w:left w:val="none" w:sz="0" w:space="0" w:color="auto"/>
            <w:bottom w:val="none" w:sz="0" w:space="0" w:color="auto"/>
            <w:right w:val="none" w:sz="0" w:space="0" w:color="auto"/>
          </w:divBdr>
        </w:div>
      </w:divsChild>
    </w:div>
    <w:div w:id="1402480839">
      <w:bodyDiv w:val="1"/>
      <w:marLeft w:val="0"/>
      <w:marRight w:val="0"/>
      <w:marTop w:val="0"/>
      <w:marBottom w:val="0"/>
      <w:divBdr>
        <w:top w:val="none" w:sz="0" w:space="0" w:color="auto"/>
        <w:left w:val="none" w:sz="0" w:space="0" w:color="auto"/>
        <w:bottom w:val="none" w:sz="0" w:space="0" w:color="auto"/>
        <w:right w:val="none" w:sz="0" w:space="0" w:color="auto"/>
      </w:divBdr>
    </w:div>
    <w:div w:id="1416590695">
      <w:bodyDiv w:val="1"/>
      <w:marLeft w:val="0"/>
      <w:marRight w:val="0"/>
      <w:marTop w:val="0"/>
      <w:marBottom w:val="0"/>
      <w:divBdr>
        <w:top w:val="none" w:sz="0" w:space="0" w:color="auto"/>
        <w:left w:val="none" w:sz="0" w:space="0" w:color="auto"/>
        <w:bottom w:val="none" w:sz="0" w:space="0" w:color="auto"/>
        <w:right w:val="none" w:sz="0" w:space="0" w:color="auto"/>
      </w:divBdr>
    </w:div>
    <w:div w:id="1425108965">
      <w:bodyDiv w:val="1"/>
      <w:marLeft w:val="0"/>
      <w:marRight w:val="0"/>
      <w:marTop w:val="0"/>
      <w:marBottom w:val="0"/>
      <w:divBdr>
        <w:top w:val="none" w:sz="0" w:space="0" w:color="auto"/>
        <w:left w:val="none" w:sz="0" w:space="0" w:color="auto"/>
        <w:bottom w:val="none" w:sz="0" w:space="0" w:color="auto"/>
        <w:right w:val="none" w:sz="0" w:space="0" w:color="auto"/>
      </w:divBdr>
    </w:div>
    <w:div w:id="1506045859">
      <w:bodyDiv w:val="1"/>
      <w:marLeft w:val="0"/>
      <w:marRight w:val="0"/>
      <w:marTop w:val="0"/>
      <w:marBottom w:val="0"/>
      <w:divBdr>
        <w:top w:val="none" w:sz="0" w:space="0" w:color="auto"/>
        <w:left w:val="none" w:sz="0" w:space="0" w:color="auto"/>
        <w:bottom w:val="none" w:sz="0" w:space="0" w:color="auto"/>
        <w:right w:val="none" w:sz="0" w:space="0" w:color="auto"/>
      </w:divBdr>
    </w:div>
    <w:div w:id="1584099541">
      <w:bodyDiv w:val="1"/>
      <w:marLeft w:val="0"/>
      <w:marRight w:val="0"/>
      <w:marTop w:val="0"/>
      <w:marBottom w:val="0"/>
      <w:divBdr>
        <w:top w:val="none" w:sz="0" w:space="0" w:color="auto"/>
        <w:left w:val="none" w:sz="0" w:space="0" w:color="auto"/>
        <w:bottom w:val="none" w:sz="0" w:space="0" w:color="auto"/>
        <w:right w:val="none" w:sz="0" w:space="0" w:color="auto"/>
      </w:divBdr>
      <w:divsChild>
        <w:div w:id="611404567">
          <w:marLeft w:val="547"/>
          <w:marRight w:val="0"/>
          <w:marTop w:val="0"/>
          <w:marBottom w:val="0"/>
          <w:divBdr>
            <w:top w:val="none" w:sz="0" w:space="0" w:color="auto"/>
            <w:left w:val="none" w:sz="0" w:space="0" w:color="auto"/>
            <w:bottom w:val="none" w:sz="0" w:space="0" w:color="auto"/>
            <w:right w:val="none" w:sz="0" w:space="0" w:color="auto"/>
          </w:divBdr>
        </w:div>
        <w:div w:id="1503545039">
          <w:marLeft w:val="547"/>
          <w:marRight w:val="0"/>
          <w:marTop w:val="0"/>
          <w:marBottom w:val="0"/>
          <w:divBdr>
            <w:top w:val="none" w:sz="0" w:space="0" w:color="auto"/>
            <w:left w:val="none" w:sz="0" w:space="0" w:color="auto"/>
            <w:bottom w:val="none" w:sz="0" w:space="0" w:color="auto"/>
            <w:right w:val="none" w:sz="0" w:space="0" w:color="auto"/>
          </w:divBdr>
        </w:div>
        <w:div w:id="1865166706">
          <w:marLeft w:val="547"/>
          <w:marRight w:val="0"/>
          <w:marTop w:val="0"/>
          <w:marBottom w:val="0"/>
          <w:divBdr>
            <w:top w:val="none" w:sz="0" w:space="0" w:color="auto"/>
            <w:left w:val="none" w:sz="0" w:space="0" w:color="auto"/>
            <w:bottom w:val="none" w:sz="0" w:space="0" w:color="auto"/>
            <w:right w:val="none" w:sz="0" w:space="0" w:color="auto"/>
          </w:divBdr>
        </w:div>
        <w:div w:id="1897738975">
          <w:marLeft w:val="547"/>
          <w:marRight w:val="0"/>
          <w:marTop w:val="0"/>
          <w:marBottom w:val="0"/>
          <w:divBdr>
            <w:top w:val="none" w:sz="0" w:space="0" w:color="auto"/>
            <w:left w:val="none" w:sz="0" w:space="0" w:color="auto"/>
            <w:bottom w:val="none" w:sz="0" w:space="0" w:color="auto"/>
            <w:right w:val="none" w:sz="0" w:space="0" w:color="auto"/>
          </w:divBdr>
        </w:div>
      </w:divsChild>
    </w:div>
    <w:div w:id="1591818455">
      <w:bodyDiv w:val="1"/>
      <w:marLeft w:val="0"/>
      <w:marRight w:val="0"/>
      <w:marTop w:val="0"/>
      <w:marBottom w:val="0"/>
      <w:divBdr>
        <w:top w:val="none" w:sz="0" w:space="0" w:color="auto"/>
        <w:left w:val="none" w:sz="0" w:space="0" w:color="auto"/>
        <w:bottom w:val="none" w:sz="0" w:space="0" w:color="auto"/>
        <w:right w:val="none" w:sz="0" w:space="0" w:color="auto"/>
      </w:divBdr>
    </w:div>
    <w:div w:id="1638804252">
      <w:bodyDiv w:val="1"/>
      <w:marLeft w:val="0"/>
      <w:marRight w:val="0"/>
      <w:marTop w:val="0"/>
      <w:marBottom w:val="0"/>
      <w:divBdr>
        <w:top w:val="none" w:sz="0" w:space="0" w:color="auto"/>
        <w:left w:val="none" w:sz="0" w:space="0" w:color="auto"/>
        <w:bottom w:val="none" w:sz="0" w:space="0" w:color="auto"/>
        <w:right w:val="none" w:sz="0" w:space="0" w:color="auto"/>
      </w:divBdr>
    </w:div>
    <w:div w:id="1738354350">
      <w:bodyDiv w:val="1"/>
      <w:marLeft w:val="0"/>
      <w:marRight w:val="0"/>
      <w:marTop w:val="0"/>
      <w:marBottom w:val="0"/>
      <w:divBdr>
        <w:top w:val="none" w:sz="0" w:space="0" w:color="auto"/>
        <w:left w:val="none" w:sz="0" w:space="0" w:color="auto"/>
        <w:bottom w:val="none" w:sz="0" w:space="0" w:color="auto"/>
        <w:right w:val="none" w:sz="0" w:space="0" w:color="auto"/>
      </w:divBdr>
      <w:divsChild>
        <w:div w:id="937297675">
          <w:marLeft w:val="547"/>
          <w:marRight w:val="0"/>
          <w:marTop w:val="0"/>
          <w:marBottom w:val="0"/>
          <w:divBdr>
            <w:top w:val="none" w:sz="0" w:space="0" w:color="auto"/>
            <w:left w:val="none" w:sz="0" w:space="0" w:color="auto"/>
            <w:bottom w:val="none" w:sz="0" w:space="0" w:color="auto"/>
            <w:right w:val="none" w:sz="0" w:space="0" w:color="auto"/>
          </w:divBdr>
        </w:div>
        <w:div w:id="1861969216">
          <w:marLeft w:val="547"/>
          <w:marRight w:val="0"/>
          <w:marTop w:val="0"/>
          <w:marBottom w:val="0"/>
          <w:divBdr>
            <w:top w:val="none" w:sz="0" w:space="0" w:color="auto"/>
            <w:left w:val="none" w:sz="0" w:space="0" w:color="auto"/>
            <w:bottom w:val="none" w:sz="0" w:space="0" w:color="auto"/>
            <w:right w:val="none" w:sz="0" w:space="0" w:color="auto"/>
          </w:divBdr>
        </w:div>
      </w:divsChild>
    </w:div>
    <w:div w:id="1740902822">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782842204">
      <w:bodyDiv w:val="1"/>
      <w:marLeft w:val="0"/>
      <w:marRight w:val="0"/>
      <w:marTop w:val="0"/>
      <w:marBottom w:val="0"/>
      <w:divBdr>
        <w:top w:val="none" w:sz="0" w:space="0" w:color="auto"/>
        <w:left w:val="none" w:sz="0" w:space="0" w:color="auto"/>
        <w:bottom w:val="none" w:sz="0" w:space="0" w:color="auto"/>
        <w:right w:val="none" w:sz="0" w:space="0" w:color="auto"/>
      </w:divBdr>
    </w:div>
    <w:div w:id="1851142522">
      <w:bodyDiv w:val="1"/>
      <w:marLeft w:val="0"/>
      <w:marRight w:val="0"/>
      <w:marTop w:val="0"/>
      <w:marBottom w:val="0"/>
      <w:divBdr>
        <w:top w:val="none" w:sz="0" w:space="0" w:color="auto"/>
        <w:left w:val="none" w:sz="0" w:space="0" w:color="auto"/>
        <w:bottom w:val="none" w:sz="0" w:space="0" w:color="auto"/>
        <w:right w:val="none" w:sz="0" w:space="0" w:color="auto"/>
      </w:divBdr>
      <w:divsChild>
        <w:div w:id="1697534504">
          <w:marLeft w:val="547"/>
          <w:marRight w:val="0"/>
          <w:marTop w:val="0"/>
          <w:marBottom w:val="0"/>
          <w:divBdr>
            <w:top w:val="none" w:sz="0" w:space="0" w:color="auto"/>
            <w:left w:val="none" w:sz="0" w:space="0" w:color="auto"/>
            <w:bottom w:val="none" w:sz="0" w:space="0" w:color="auto"/>
            <w:right w:val="none" w:sz="0" w:space="0" w:color="auto"/>
          </w:divBdr>
        </w:div>
      </w:divsChild>
    </w:div>
    <w:div w:id="1888374872">
      <w:bodyDiv w:val="1"/>
      <w:marLeft w:val="0"/>
      <w:marRight w:val="0"/>
      <w:marTop w:val="0"/>
      <w:marBottom w:val="0"/>
      <w:divBdr>
        <w:top w:val="none" w:sz="0" w:space="0" w:color="auto"/>
        <w:left w:val="none" w:sz="0" w:space="0" w:color="auto"/>
        <w:bottom w:val="none" w:sz="0" w:space="0" w:color="auto"/>
        <w:right w:val="none" w:sz="0" w:space="0" w:color="auto"/>
      </w:divBdr>
    </w:div>
    <w:div w:id="1899433562">
      <w:bodyDiv w:val="1"/>
      <w:marLeft w:val="0"/>
      <w:marRight w:val="0"/>
      <w:marTop w:val="0"/>
      <w:marBottom w:val="0"/>
      <w:divBdr>
        <w:top w:val="none" w:sz="0" w:space="0" w:color="auto"/>
        <w:left w:val="none" w:sz="0" w:space="0" w:color="auto"/>
        <w:bottom w:val="none" w:sz="0" w:space="0" w:color="auto"/>
        <w:right w:val="none" w:sz="0" w:space="0" w:color="auto"/>
      </w:divBdr>
    </w:div>
    <w:div w:id="1902863885">
      <w:bodyDiv w:val="1"/>
      <w:marLeft w:val="0"/>
      <w:marRight w:val="0"/>
      <w:marTop w:val="0"/>
      <w:marBottom w:val="0"/>
      <w:divBdr>
        <w:top w:val="none" w:sz="0" w:space="0" w:color="auto"/>
        <w:left w:val="none" w:sz="0" w:space="0" w:color="auto"/>
        <w:bottom w:val="none" w:sz="0" w:space="0" w:color="auto"/>
        <w:right w:val="none" w:sz="0" w:space="0" w:color="auto"/>
      </w:divBdr>
    </w:div>
    <w:div w:id="1912160100">
      <w:bodyDiv w:val="1"/>
      <w:marLeft w:val="0"/>
      <w:marRight w:val="0"/>
      <w:marTop w:val="0"/>
      <w:marBottom w:val="0"/>
      <w:divBdr>
        <w:top w:val="none" w:sz="0" w:space="0" w:color="auto"/>
        <w:left w:val="none" w:sz="0" w:space="0" w:color="auto"/>
        <w:bottom w:val="none" w:sz="0" w:space="0" w:color="auto"/>
        <w:right w:val="none" w:sz="0" w:space="0" w:color="auto"/>
      </w:divBdr>
    </w:div>
    <w:div w:id="1928343058">
      <w:bodyDiv w:val="1"/>
      <w:marLeft w:val="0"/>
      <w:marRight w:val="0"/>
      <w:marTop w:val="0"/>
      <w:marBottom w:val="0"/>
      <w:divBdr>
        <w:top w:val="none" w:sz="0" w:space="0" w:color="auto"/>
        <w:left w:val="none" w:sz="0" w:space="0" w:color="auto"/>
        <w:bottom w:val="none" w:sz="0" w:space="0" w:color="auto"/>
        <w:right w:val="none" w:sz="0" w:space="0" w:color="auto"/>
      </w:divBdr>
      <w:divsChild>
        <w:div w:id="195628746">
          <w:marLeft w:val="547"/>
          <w:marRight w:val="0"/>
          <w:marTop w:val="0"/>
          <w:marBottom w:val="0"/>
          <w:divBdr>
            <w:top w:val="none" w:sz="0" w:space="0" w:color="auto"/>
            <w:left w:val="none" w:sz="0" w:space="0" w:color="auto"/>
            <w:bottom w:val="none" w:sz="0" w:space="0" w:color="auto"/>
            <w:right w:val="none" w:sz="0" w:space="0" w:color="auto"/>
          </w:divBdr>
        </w:div>
        <w:div w:id="797913683">
          <w:marLeft w:val="547"/>
          <w:marRight w:val="0"/>
          <w:marTop w:val="0"/>
          <w:marBottom w:val="0"/>
          <w:divBdr>
            <w:top w:val="none" w:sz="0" w:space="0" w:color="auto"/>
            <w:left w:val="none" w:sz="0" w:space="0" w:color="auto"/>
            <w:bottom w:val="none" w:sz="0" w:space="0" w:color="auto"/>
            <w:right w:val="none" w:sz="0" w:space="0" w:color="auto"/>
          </w:divBdr>
        </w:div>
      </w:divsChild>
    </w:div>
    <w:div w:id="1959334709">
      <w:bodyDiv w:val="1"/>
      <w:marLeft w:val="0"/>
      <w:marRight w:val="0"/>
      <w:marTop w:val="0"/>
      <w:marBottom w:val="0"/>
      <w:divBdr>
        <w:top w:val="none" w:sz="0" w:space="0" w:color="auto"/>
        <w:left w:val="none" w:sz="0" w:space="0" w:color="auto"/>
        <w:bottom w:val="none" w:sz="0" w:space="0" w:color="auto"/>
        <w:right w:val="none" w:sz="0" w:space="0" w:color="auto"/>
      </w:divBdr>
      <w:divsChild>
        <w:div w:id="1249734760">
          <w:marLeft w:val="547"/>
          <w:marRight w:val="0"/>
          <w:marTop w:val="0"/>
          <w:marBottom w:val="0"/>
          <w:divBdr>
            <w:top w:val="none" w:sz="0" w:space="0" w:color="auto"/>
            <w:left w:val="none" w:sz="0" w:space="0" w:color="auto"/>
            <w:bottom w:val="none" w:sz="0" w:space="0" w:color="auto"/>
            <w:right w:val="none" w:sz="0" w:space="0" w:color="auto"/>
          </w:divBdr>
        </w:div>
      </w:divsChild>
    </w:div>
    <w:div w:id="1989894323">
      <w:bodyDiv w:val="1"/>
      <w:marLeft w:val="0"/>
      <w:marRight w:val="0"/>
      <w:marTop w:val="0"/>
      <w:marBottom w:val="0"/>
      <w:divBdr>
        <w:top w:val="none" w:sz="0" w:space="0" w:color="auto"/>
        <w:left w:val="none" w:sz="0" w:space="0" w:color="auto"/>
        <w:bottom w:val="none" w:sz="0" w:space="0" w:color="auto"/>
        <w:right w:val="none" w:sz="0" w:space="0" w:color="auto"/>
      </w:divBdr>
    </w:div>
    <w:div w:id="2050955173">
      <w:bodyDiv w:val="1"/>
      <w:marLeft w:val="0"/>
      <w:marRight w:val="0"/>
      <w:marTop w:val="0"/>
      <w:marBottom w:val="0"/>
      <w:divBdr>
        <w:top w:val="none" w:sz="0" w:space="0" w:color="auto"/>
        <w:left w:val="none" w:sz="0" w:space="0" w:color="auto"/>
        <w:bottom w:val="none" w:sz="0" w:space="0" w:color="auto"/>
        <w:right w:val="none" w:sz="0" w:space="0" w:color="auto"/>
      </w:divBdr>
    </w:div>
    <w:div w:id="2087023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84486f5da66934c5e6ac889d6b69dcf6">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afcb1e408148f4f1236e5c8c7575e6e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F10A-C461-47AD-BB14-501E4E2F1941}">
  <ds:schemaRefs>
    <ds:schemaRef ds:uri="http://schemas.microsoft.com/sharepoint/v3/contenttype/forms"/>
  </ds:schemaRefs>
</ds:datastoreItem>
</file>

<file path=customXml/itemProps2.xml><?xml version="1.0" encoding="utf-8"?>
<ds:datastoreItem xmlns:ds="http://schemas.openxmlformats.org/officeDocument/2006/customXml" ds:itemID="{8A0AD685-47EC-4D37-8309-583155B23FB3}">
  <ds:schemaRefs>
    <ds:schemaRef ds:uri="http://schemas.openxmlformats.org/package/2006/metadata/core-properties"/>
    <ds:schemaRef ds:uri="http://purl.org/dc/terms/"/>
    <ds:schemaRef ds:uri="http://schemas.microsoft.com/office/infopath/2007/PartnerControls"/>
    <ds:schemaRef ds:uri="33856b32-dbbd-4996-9e5d-776de7c2e4f8"/>
    <ds:schemaRef ds:uri="http://schemas.microsoft.com/office/2006/documentManagement/types"/>
    <ds:schemaRef ds:uri="http://schemas.microsoft.com/office/2006/metadata/properties"/>
    <ds:schemaRef ds:uri="http://purl.org/dc/elements/1.1/"/>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2739E9FB-7B6E-4B25-9DC7-4E490055C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4F098F-17D8-4536-9542-1F821D84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5529</Words>
  <Characters>31797</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Annual session 2015</vt:lpstr>
    </vt:vector>
  </TitlesOfParts>
  <Company>UNDP</Company>
  <LinksUpToDate>false</LinksUpToDate>
  <CharactersWithSpaces>37252</CharactersWithSpaces>
  <SharedDoc>false</SharedDoc>
  <HLinks>
    <vt:vector size="12" baseType="variant">
      <vt:variant>
        <vt:i4>6619159</vt:i4>
      </vt:variant>
      <vt:variant>
        <vt:i4>3</vt:i4>
      </vt:variant>
      <vt:variant>
        <vt:i4>0</vt:i4>
      </vt:variant>
      <vt:variant>
        <vt:i4>5</vt:i4>
      </vt:variant>
      <vt:variant>
        <vt:lpwstr>http://www.undp.org/content/undp/en/home/operations/executive_board/overview.html</vt:lpwstr>
      </vt:variant>
      <vt:variant>
        <vt:lpwstr/>
      </vt:variant>
      <vt:variant>
        <vt:i4>6619159</vt:i4>
      </vt:variant>
      <vt:variant>
        <vt:i4>0</vt:i4>
      </vt:variant>
      <vt:variant>
        <vt:i4>0</vt:i4>
      </vt:variant>
      <vt:variant>
        <vt:i4>5</vt:i4>
      </vt:variant>
      <vt:variant>
        <vt:lpwstr>http://www.undp.org/content/undp/en/home/operations/executive_board/overview.html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session 2015</dc:title>
  <dc:creator>mary.mugambi@undp.org</dc:creator>
  <cp:lastModifiedBy>Svetlana Iazykova</cp:lastModifiedBy>
  <cp:revision>2</cp:revision>
  <cp:lastPrinted>2019-12-26T09:49:00Z</cp:lastPrinted>
  <dcterms:created xsi:type="dcterms:W3CDTF">2019-12-27T00:19:00Z</dcterms:created>
  <dcterms:modified xsi:type="dcterms:W3CDTF">2019-12-27T00:19:00Z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