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BFA6B" w14:textId="77777777" w:rsidR="00E05E1C" w:rsidRPr="00F36F29" w:rsidRDefault="00E05E1C" w:rsidP="00E05E1C">
      <w:pPr>
        <w:spacing w:line="240" w:lineRule="auto"/>
        <w:rPr>
          <w:sz w:val="6"/>
        </w:rPr>
      </w:pPr>
    </w:p>
    <w:p w14:paraId="6CCE18AA" w14:textId="4B96FB1A" w:rsidR="00AC6130" w:rsidRPr="00F36F29" w:rsidRDefault="00AC6130" w:rsidP="00E05E1C">
      <w:pPr>
        <w:spacing w:line="240" w:lineRule="auto"/>
        <w:rPr>
          <w:sz w:val="6"/>
        </w:rPr>
        <w:sectPr w:rsidR="00AC6130" w:rsidRPr="00F36F29" w:rsidSect="00E05E1C">
          <w:headerReference w:type="even" r:id="rId11"/>
          <w:headerReference w:type="default" r:id="rId12"/>
          <w:footerReference w:type="even" r:id="rId13"/>
          <w:footerReference w:type="default" r:id="rId14"/>
          <w:footerReference w:type="first" r:id="rId15"/>
          <w:pgSz w:w="12240" w:h="15840" w:code="1"/>
          <w:pgMar w:top="1742" w:right="1195" w:bottom="1901" w:left="1195" w:header="576" w:footer="1037" w:gutter="0"/>
          <w:cols w:space="708"/>
          <w:titlePg/>
          <w:docGrid w:linePitch="360"/>
        </w:sectPr>
      </w:pPr>
    </w:p>
    <w:p w14:paraId="71E1CC82" w14:textId="0A598182" w:rsidR="00D64ECB" w:rsidRPr="00F36F29" w:rsidRDefault="00BE6369" w:rsidP="00BE6369">
      <w:pPr>
        <w:pStyle w:val="Heading1"/>
        <w:rPr>
          <w:rFonts w:ascii="Times New Roman" w:hAnsi="Times New Roman" w:cs="Times New Roman"/>
          <w:b/>
          <w:bCs/>
          <w:color w:val="auto"/>
        </w:rPr>
      </w:pPr>
      <w:r w:rsidRPr="00F36F29">
        <w:rPr>
          <w:rFonts w:ascii="Times New Roman" w:hAnsi="Times New Roman" w:cs="Times New Roman"/>
          <w:b/>
          <w:bCs/>
          <w:color w:val="auto"/>
        </w:rPr>
        <w:t xml:space="preserve">Annex </w:t>
      </w:r>
      <w:r w:rsidR="00AC6130" w:rsidRPr="00F36F29">
        <w:rPr>
          <w:rFonts w:ascii="Times New Roman" w:hAnsi="Times New Roman" w:cs="Times New Roman"/>
          <w:b/>
          <w:bCs/>
          <w:color w:val="auto"/>
        </w:rPr>
        <w:t>3</w:t>
      </w:r>
      <w:r w:rsidRPr="00F36F29">
        <w:rPr>
          <w:rFonts w:ascii="Times New Roman" w:hAnsi="Times New Roman" w:cs="Times New Roman"/>
          <w:b/>
          <w:bCs/>
          <w:color w:val="auto"/>
        </w:rPr>
        <w:t xml:space="preserve"> – UNDP Status of Implementation on UNBOA Open Audit </w:t>
      </w:r>
    </w:p>
    <w:p w14:paraId="2D343881" w14:textId="29AFA40D" w:rsidR="00E05E1C" w:rsidRPr="00F36F29" w:rsidRDefault="00BE6369" w:rsidP="00BE6369">
      <w:pPr>
        <w:pStyle w:val="Heading1"/>
        <w:rPr>
          <w:rFonts w:ascii="Times New Roman" w:hAnsi="Times New Roman" w:cs="Times New Roman"/>
          <w:b/>
          <w:bCs/>
          <w:color w:val="auto"/>
        </w:rPr>
      </w:pPr>
      <w:r w:rsidRPr="00F36F29">
        <w:rPr>
          <w:rFonts w:ascii="Times New Roman" w:hAnsi="Times New Roman" w:cs="Times New Roman"/>
          <w:b/>
          <w:bCs/>
          <w:color w:val="auto"/>
        </w:rPr>
        <w:t xml:space="preserve">Recommendations </w:t>
      </w:r>
    </w:p>
    <w:p w14:paraId="0F66602E" w14:textId="77777777" w:rsidR="00E05E1C" w:rsidRPr="00F36F29" w:rsidRDefault="00E05E1C" w:rsidP="00E05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b/>
          <w:bCs/>
        </w:rPr>
      </w:pPr>
    </w:p>
    <w:p w14:paraId="74756BB8" w14:textId="77777777" w:rsidR="000F1811" w:rsidRPr="00F36F29" w:rsidRDefault="000F1811" w:rsidP="000F18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p w14:paraId="605A7261" w14:textId="77777777" w:rsidR="00BE6369" w:rsidRPr="00F36F29" w:rsidRDefault="00BE6369"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b/>
          <w:bCs/>
          <w:sz w:val="22"/>
          <w:szCs w:val="22"/>
        </w:rPr>
      </w:pPr>
    </w:p>
    <w:p w14:paraId="42882ECB" w14:textId="3CB20B0D" w:rsidR="006A5171" w:rsidRDefault="006A5171" w:rsidP="00BE6369">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right="29"/>
        <w:rPr>
          <w:b/>
          <w:bCs/>
          <w:sz w:val="22"/>
          <w:szCs w:val="22"/>
        </w:rPr>
      </w:pPr>
      <w:r w:rsidRPr="00F36F29">
        <w:rPr>
          <w:b/>
          <w:bCs/>
          <w:sz w:val="22"/>
          <w:szCs w:val="22"/>
        </w:rPr>
        <w:t>In paragraph 30, the Board recommends that UNDP review its presentation in the financial statements and the notes with regard to receivables and liabilities to United Nations entities in order to determine if a change in presentation could bring further clarity and enhance the value of the financial statements for stakeholders as well as enhance stakeholders’ understanding of the financial statements.</w:t>
      </w:r>
    </w:p>
    <w:p w14:paraId="155ECD5D" w14:textId="77777777" w:rsidR="00F36F29" w:rsidRPr="00F36F29" w:rsidRDefault="00F36F29" w:rsidP="00F36F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502" w:right="29"/>
        <w:rPr>
          <w:b/>
          <w:bCs/>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7B65588C" w14:textId="77777777" w:rsidTr="006A5171">
        <w:tc>
          <w:tcPr>
            <w:tcW w:w="2970" w:type="dxa"/>
          </w:tcPr>
          <w:p w14:paraId="1F45832F" w14:textId="77777777" w:rsidR="006A5171" w:rsidRPr="00F36F29" w:rsidRDefault="006A5171" w:rsidP="006A517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48C652DA" w14:textId="77777777" w:rsidR="006A5171" w:rsidRPr="00F36F29" w:rsidRDefault="006A5171" w:rsidP="006A5171">
            <w:pPr>
              <w:pStyle w:val="SingleTxt"/>
              <w:tabs>
                <w:tab w:val="clear" w:pos="1267"/>
                <w:tab w:val="left" w:pos="209"/>
                <w:tab w:val="left" w:pos="836"/>
              </w:tabs>
              <w:spacing w:after="0" w:line="240" w:lineRule="auto"/>
              <w:ind w:left="0" w:right="27"/>
            </w:pPr>
            <w:r w:rsidRPr="00F36F29">
              <w:t>BMS/ Office of Financial Resources Management</w:t>
            </w:r>
          </w:p>
        </w:tc>
      </w:tr>
      <w:tr w:rsidR="00F36F29" w:rsidRPr="00F36F29" w14:paraId="1830787A" w14:textId="77777777" w:rsidTr="006A5171">
        <w:tc>
          <w:tcPr>
            <w:tcW w:w="2970" w:type="dxa"/>
          </w:tcPr>
          <w:p w14:paraId="7A02ED84" w14:textId="77777777" w:rsidR="006A5171" w:rsidRPr="00F36F29" w:rsidRDefault="006A5171" w:rsidP="006A517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5D5EC821" w14:textId="77777777" w:rsidR="006A5171" w:rsidRPr="00F36F29" w:rsidRDefault="006A5171" w:rsidP="006A5171">
            <w:pPr>
              <w:pStyle w:val="SingleTxt"/>
              <w:tabs>
                <w:tab w:val="clear" w:pos="1267"/>
                <w:tab w:val="left" w:pos="209"/>
                <w:tab w:val="left" w:pos="836"/>
              </w:tabs>
              <w:spacing w:after="0" w:line="240" w:lineRule="auto"/>
              <w:ind w:left="0" w:right="27"/>
            </w:pPr>
            <w:r w:rsidRPr="00F36F29">
              <w:t>In progress</w:t>
            </w:r>
          </w:p>
        </w:tc>
      </w:tr>
      <w:tr w:rsidR="006A5171" w:rsidRPr="00F36F29" w14:paraId="52D52186" w14:textId="77777777" w:rsidTr="006A5171">
        <w:tc>
          <w:tcPr>
            <w:tcW w:w="2970" w:type="dxa"/>
          </w:tcPr>
          <w:p w14:paraId="3DF153A7" w14:textId="77777777" w:rsidR="006A5171" w:rsidRPr="00F36F29" w:rsidRDefault="006A5171" w:rsidP="006A517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6E231478" w14:textId="6E648B95" w:rsidR="006A5171" w:rsidRPr="00F36F29" w:rsidRDefault="006A5171" w:rsidP="006A5171">
            <w:pPr>
              <w:pStyle w:val="SingleTxt"/>
              <w:tabs>
                <w:tab w:val="clear" w:pos="1267"/>
                <w:tab w:val="left" w:pos="209"/>
                <w:tab w:val="left" w:pos="836"/>
              </w:tabs>
              <w:spacing w:after="0" w:line="240" w:lineRule="auto"/>
              <w:ind w:left="0" w:right="27"/>
            </w:pPr>
            <w:r w:rsidRPr="00F36F29">
              <w:t>Q</w:t>
            </w:r>
            <w:r w:rsidR="00FE3AE8" w:rsidRPr="00F36F29">
              <w:t>1</w:t>
            </w:r>
            <w:r w:rsidRPr="00F36F29">
              <w:t>, 202</w:t>
            </w:r>
            <w:r w:rsidR="00FE3AE8" w:rsidRPr="00F36F29">
              <w:t>1</w:t>
            </w:r>
          </w:p>
        </w:tc>
      </w:tr>
    </w:tbl>
    <w:p w14:paraId="05D6DF69" w14:textId="77777777" w:rsidR="006A5171" w:rsidRPr="00F36F29" w:rsidRDefault="006A5171" w:rsidP="006A51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b/>
          <w:bCs/>
          <w:sz w:val="22"/>
          <w:szCs w:val="22"/>
        </w:rPr>
      </w:pPr>
    </w:p>
    <w:p w14:paraId="1F1CF005" w14:textId="3315A593" w:rsidR="00FE3AE8" w:rsidRPr="00F36F29" w:rsidRDefault="00FE3AE8" w:rsidP="00FE3A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The changes in the FS presentation will be made for the UNDP 2020 Final Financial Statements.  UNDP expects this recommendation to be implemented by Q1, 2021 and assessed positively by UNBOA during May 2021 assessment period.</w:t>
      </w:r>
    </w:p>
    <w:p w14:paraId="5027E0D5" w14:textId="77777777" w:rsidR="006A5171" w:rsidRPr="00F36F29" w:rsidRDefault="006A5171" w:rsidP="006A51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b/>
          <w:bCs/>
          <w:sz w:val="22"/>
          <w:szCs w:val="22"/>
        </w:rPr>
      </w:pPr>
    </w:p>
    <w:p w14:paraId="3FEA4703" w14:textId="34CA4E3A" w:rsidR="002350FF" w:rsidRPr="00F36F29" w:rsidRDefault="00E05E1C" w:rsidP="00022C7F">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rPr>
      </w:pPr>
      <w:r w:rsidRPr="00F36F29">
        <w:rPr>
          <w:b/>
          <w:bCs/>
          <w:sz w:val="22"/>
          <w:szCs w:val="22"/>
        </w:rPr>
        <w:t>In paragrap</w:t>
      </w:r>
      <w:r w:rsidR="003D384C" w:rsidRPr="00F36F29">
        <w:rPr>
          <w:b/>
          <w:bCs/>
          <w:sz w:val="22"/>
          <w:szCs w:val="22"/>
        </w:rPr>
        <w:t>h 4</w:t>
      </w:r>
      <w:r w:rsidR="00122B18" w:rsidRPr="00F36F29">
        <w:rPr>
          <w:b/>
          <w:bCs/>
          <w:sz w:val="22"/>
          <w:szCs w:val="22"/>
        </w:rPr>
        <w:t>0</w:t>
      </w:r>
      <w:r w:rsidRPr="00F36F29">
        <w:rPr>
          <w:b/>
          <w:bCs/>
          <w:sz w:val="22"/>
          <w:szCs w:val="22"/>
        </w:rPr>
        <w:t xml:space="preserve">, the </w:t>
      </w:r>
      <w:r w:rsidR="00122B18" w:rsidRPr="00F36F29">
        <w:rPr>
          <w:b/>
          <w:bCs/>
          <w:sz w:val="22"/>
          <w:szCs w:val="22"/>
        </w:rPr>
        <w:t>Board recommends that, in the next financial statements, UNDP derecognize revenue and expenses for staff costs related to staff for whom funding partners contributed resources and who were assigned to the Resident Coordinator System</w:t>
      </w:r>
      <w:r w:rsidR="002350FF" w:rsidRPr="00F36F29">
        <w:rPr>
          <w:b/>
          <w:bCs/>
          <w:sz w:val="22"/>
          <w:szCs w:val="22"/>
        </w:rPr>
        <w:t>.</w:t>
      </w:r>
    </w:p>
    <w:p w14:paraId="7DB02274" w14:textId="54CC0F58" w:rsidR="00E05E1C" w:rsidRPr="00F36F29" w:rsidRDefault="00E05E1C" w:rsidP="00E05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1C6D1EFC" w14:textId="77777777" w:rsidTr="006A68B4">
        <w:tc>
          <w:tcPr>
            <w:tcW w:w="2970" w:type="dxa"/>
          </w:tcPr>
          <w:p w14:paraId="6926BD04" w14:textId="32432958" w:rsidR="00E05E1C" w:rsidRPr="00F36F29" w:rsidRDefault="00E05E1C" w:rsidP="00012B31">
            <w:pPr>
              <w:pStyle w:val="SingleTxt"/>
              <w:tabs>
                <w:tab w:val="clear" w:pos="1267"/>
                <w:tab w:val="left" w:pos="209"/>
                <w:tab w:val="left" w:pos="836"/>
              </w:tabs>
              <w:spacing w:after="0" w:line="240" w:lineRule="auto"/>
              <w:ind w:left="0" w:right="29"/>
              <w:rPr>
                <w:i/>
              </w:rPr>
            </w:pPr>
            <w:r w:rsidRPr="00F36F29">
              <w:rPr>
                <w:i/>
              </w:rPr>
              <w:t>Department</w:t>
            </w:r>
            <w:r w:rsidR="00A30CE7" w:rsidRPr="00F36F29">
              <w:rPr>
                <w:i/>
              </w:rPr>
              <w:t>(s)</w:t>
            </w:r>
            <w:r w:rsidRPr="00F36F29">
              <w:rPr>
                <w:i/>
              </w:rPr>
              <w:t xml:space="preserve"> responsible:</w:t>
            </w:r>
          </w:p>
        </w:tc>
        <w:tc>
          <w:tcPr>
            <w:tcW w:w="5033" w:type="dxa"/>
          </w:tcPr>
          <w:p w14:paraId="0E2E2C7B" w14:textId="17AAC2E4" w:rsidR="00E05E1C" w:rsidRPr="00F36F29" w:rsidRDefault="00494727" w:rsidP="00012B31">
            <w:pPr>
              <w:pStyle w:val="SingleTxt"/>
              <w:tabs>
                <w:tab w:val="clear" w:pos="1267"/>
                <w:tab w:val="left" w:pos="209"/>
                <w:tab w:val="left" w:pos="836"/>
              </w:tabs>
              <w:spacing w:after="0" w:line="240" w:lineRule="auto"/>
              <w:ind w:left="0" w:right="27"/>
            </w:pPr>
            <w:r w:rsidRPr="00F36F29">
              <w:t>BMS/ Office of Financial Resources Management</w:t>
            </w:r>
          </w:p>
        </w:tc>
      </w:tr>
      <w:tr w:rsidR="00F36F29" w:rsidRPr="00F36F29" w14:paraId="0FF14CA2" w14:textId="77777777" w:rsidTr="006A68B4">
        <w:tc>
          <w:tcPr>
            <w:tcW w:w="2970" w:type="dxa"/>
          </w:tcPr>
          <w:p w14:paraId="214A7B25" w14:textId="77777777" w:rsidR="00E05E1C" w:rsidRPr="00F36F29" w:rsidRDefault="00E05E1C" w:rsidP="00012B3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41630CDD" w14:textId="421E8A28" w:rsidR="00E05E1C" w:rsidRPr="00F36F29" w:rsidRDefault="0030390B" w:rsidP="00012B31">
            <w:pPr>
              <w:pStyle w:val="SingleTxt"/>
              <w:tabs>
                <w:tab w:val="clear" w:pos="1267"/>
                <w:tab w:val="left" w:pos="209"/>
                <w:tab w:val="left" w:pos="836"/>
              </w:tabs>
              <w:spacing w:after="0" w:line="240" w:lineRule="auto"/>
              <w:ind w:left="0" w:right="27"/>
            </w:pPr>
            <w:r w:rsidRPr="00F36F29">
              <w:t>In progress</w:t>
            </w:r>
          </w:p>
        </w:tc>
      </w:tr>
      <w:tr w:rsidR="00E05E1C" w:rsidRPr="00F36F29" w14:paraId="6F432FEC" w14:textId="77777777" w:rsidTr="006A68B4">
        <w:tc>
          <w:tcPr>
            <w:tcW w:w="2970" w:type="dxa"/>
          </w:tcPr>
          <w:p w14:paraId="3A5EBBED" w14:textId="77777777" w:rsidR="00E05E1C" w:rsidRPr="00F36F29" w:rsidRDefault="00E05E1C" w:rsidP="00012B3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5F5C33FC" w14:textId="66060AB1" w:rsidR="00E05E1C" w:rsidRPr="00F36F29" w:rsidRDefault="00FD491D" w:rsidP="00012B31">
            <w:pPr>
              <w:pStyle w:val="SingleTxt"/>
              <w:tabs>
                <w:tab w:val="clear" w:pos="1267"/>
                <w:tab w:val="left" w:pos="209"/>
                <w:tab w:val="left" w:pos="836"/>
              </w:tabs>
              <w:spacing w:after="0" w:line="240" w:lineRule="auto"/>
              <w:ind w:left="0" w:right="27"/>
            </w:pPr>
            <w:r w:rsidRPr="00F36F29">
              <w:t>Q</w:t>
            </w:r>
            <w:r w:rsidR="00725787">
              <w:t>1</w:t>
            </w:r>
            <w:r w:rsidRPr="00F36F29">
              <w:t>, 202</w:t>
            </w:r>
            <w:r w:rsidR="00725787">
              <w:t>1</w:t>
            </w:r>
          </w:p>
        </w:tc>
      </w:tr>
    </w:tbl>
    <w:p w14:paraId="66026652" w14:textId="77777777" w:rsidR="001868AB" w:rsidRPr="00F36F29" w:rsidRDefault="001868AB" w:rsidP="00186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p w14:paraId="6F5F7C35" w14:textId="62E0A8A6" w:rsidR="00725787" w:rsidRPr="00725787" w:rsidRDefault="00AA544E" w:rsidP="007257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725787">
        <w:rPr>
          <w:sz w:val="22"/>
          <w:szCs w:val="22"/>
        </w:rPr>
        <w:t xml:space="preserve">UNDP </w:t>
      </w:r>
      <w:r w:rsidR="00725787" w:rsidRPr="00725787">
        <w:rPr>
          <w:sz w:val="22"/>
          <w:szCs w:val="22"/>
        </w:rPr>
        <w:t>has a process in place to identify the costs of those officials assigned to the UN Resident Coordinator System.  The necessary contributions and costs will be derecognised through the year-end financial statement process. UNDP expects this recommendation to be implemented by Q1, 2021 and assessed positively by UNBOA during May 2021 assessment period.</w:t>
      </w:r>
    </w:p>
    <w:p w14:paraId="051C438A" w14:textId="3D2CDFC9" w:rsidR="001868AB" w:rsidRPr="00F36F29" w:rsidRDefault="001868A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7F9267B8" w14:textId="77777777" w:rsidR="00E05E1C" w:rsidRPr="00F36F29" w:rsidRDefault="00E05E1C" w:rsidP="00C53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pPr>
    </w:p>
    <w:p w14:paraId="1B5FDCA6" w14:textId="2B84A2A5" w:rsidR="00097432" w:rsidRPr="00F36F29" w:rsidRDefault="00097432" w:rsidP="005D499C">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sz w:val="22"/>
          <w:szCs w:val="22"/>
        </w:rPr>
      </w:pPr>
      <w:r w:rsidRPr="00F36F29">
        <w:rPr>
          <w:b/>
          <w:bCs/>
          <w:sz w:val="22"/>
          <w:szCs w:val="22"/>
        </w:rPr>
        <w:t>In paragraph 4</w:t>
      </w:r>
      <w:r w:rsidR="0039299B" w:rsidRPr="00F36F29">
        <w:rPr>
          <w:b/>
          <w:bCs/>
          <w:sz w:val="22"/>
          <w:szCs w:val="22"/>
        </w:rPr>
        <w:t>9</w:t>
      </w:r>
      <w:r w:rsidRPr="00F36F29">
        <w:rPr>
          <w:b/>
          <w:bCs/>
          <w:sz w:val="22"/>
          <w:szCs w:val="22"/>
        </w:rPr>
        <w:t xml:space="preserve">, the Board </w:t>
      </w:r>
      <w:r w:rsidR="0039299B" w:rsidRPr="00F36F29">
        <w:rPr>
          <w:b/>
          <w:bCs/>
          <w:sz w:val="22"/>
          <w:szCs w:val="22"/>
        </w:rPr>
        <w:t>recommends that UNDP find a solution for the local situation in this country and ensure that the country office request adequate evidence for service contract holders’ pension plan coverage and for their monthly remittances to the social security schemes.</w:t>
      </w:r>
    </w:p>
    <w:p w14:paraId="463E7205" w14:textId="77777777" w:rsidR="00D762F0" w:rsidRPr="00F36F29" w:rsidRDefault="00D762F0" w:rsidP="00D762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4ABFF507" w14:textId="77777777" w:rsidTr="005D499C">
        <w:tc>
          <w:tcPr>
            <w:tcW w:w="2970" w:type="dxa"/>
          </w:tcPr>
          <w:p w14:paraId="47A09C7A" w14:textId="77777777" w:rsidR="00097432" w:rsidRPr="00F36F29" w:rsidRDefault="00097432" w:rsidP="005D499C">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779FDBCB" w14:textId="1404D5C3" w:rsidR="00097432" w:rsidRPr="00F36F29" w:rsidRDefault="002F012A" w:rsidP="005D499C">
            <w:pPr>
              <w:pStyle w:val="SingleTxt"/>
              <w:tabs>
                <w:tab w:val="clear" w:pos="1267"/>
                <w:tab w:val="left" w:pos="209"/>
                <w:tab w:val="left" w:pos="836"/>
              </w:tabs>
              <w:spacing w:after="0" w:line="240" w:lineRule="auto"/>
              <w:ind w:left="0" w:right="27"/>
            </w:pPr>
            <w:r w:rsidRPr="00F36F29">
              <w:t>R</w:t>
            </w:r>
            <w:r w:rsidR="00494727" w:rsidRPr="00F36F29">
              <w:t>egional Bureau of Africa</w:t>
            </w:r>
          </w:p>
        </w:tc>
      </w:tr>
      <w:tr w:rsidR="00F36F29" w:rsidRPr="00F36F29" w14:paraId="7DB73A53" w14:textId="77777777" w:rsidTr="005D499C">
        <w:tc>
          <w:tcPr>
            <w:tcW w:w="2970" w:type="dxa"/>
          </w:tcPr>
          <w:p w14:paraId="4127F82B" w14:textId="77777777" w:rsidR="00097432" w:rsidRPr="00F36F29" w:rsidRDefault="00097432" w:rsidP="005D499C">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35684F4E" w14:textId="77777777" w:rsidR="00097432" w:rsidRPr="00F36F29" w:rsidRDefault="00097432" w:rsidP="005D499C">
            <w:pPr>
              <w:pStyle w:val="SingleTxt"/>
              <w:tabs>
                <w:tab w:val="clear" w:pos="1267"/>
                <w:tab w:val="left" w:pos="209"/>
                <w:tab w:val="left" w:pos="836"/>
              </w:tabs>
              <w:spacing w:after="0" w:line="240" w:lineRule="auto"/>
              <w:ind w:left="0" w:right="27"/>
            </w:pPr>
            <w:r w:rsidRPr="00F36F29">
              <w:t>In progress</w:t>
            </w:r>
          </w:p>
        </w:tc>
      </w:tr>
      <w:tr w:rsidR="00097432" w:rsidRPr="00F36F29" w14:paraId="254EA5D0" w14:textId="77777777" w:rsidTr="005D499C">
        <w:tc>
          <w:tcPr>
            <w:tcW w:w="2970" w:type="dxa"/>
          </w:tcPr>
          <w:p w14:paraId="74CD435B" w14:textId="77777777" w:rsidR="00097432" w:rsidRPr="00F36F29" w:rsidRDefault="00097432" w:rsidP="005D499C">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019DFF0F" w14:textId="3F7793EC" w:rsidR="00097432" w:rsidRPr="00F36F29" w:rsidRDefault="00FD491D" w:rsidP="005D499C">
            <w:pPr>
              <w:pStyle w:val="SingleTxt"/>
              <w:tabs>
                <w:tab w:val="clear" w:pos="1267"/>
                <w:tab w:val="left" w:pos="209"/>
                <w:tab w:val="left" w:pos="836"/>
              </w:tabs>
              <w:spacing w:after="0" w:line="240" w:lineRule="auto"/>
              <w:ind w:left="0" w:right="27"/>
            </w:pPr>
            <w:r w:rsidRPr="00F36F29">
              <w:t>Q</w:t>
            </w:r>
            <w:r w:rsidR="00D80552">
              <w:t>1</w:t>
            </w:r>
            <w:r w:rsidRPr="00F36F29">
              <w:t>, 202</w:t>
            </w:r>
            <w:r w:rsidR="00D80552">
              <w:t>1</w:t>
            </w:r>
          </w:p>
        </w:tc>
      </w:tr>
    </w:tbl>
    <w:p w14:paraId="553BDB5A" w14:textId="77777777" w:rsidR="00097432" w:rsidRPr="00F36F29" w:rsidRDefault="00097432" w:rsidP="000974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p w14:paraId="745AF946" w14:textId="271EC35B" w:rsidR="00097432" w:rsidRPr="00F36F29" w:rsidRDefault="00AA544E"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3057F1">
        <w:rPr>
          <w:sz w:val="22"/>
          <w:szCs w:val="22"/>
        </w:rPr>
        <w:t xml:space="preserve">is in discussion with </w:t>
      </w:r>
      <w:r w:rsidR="00D80552">
        <w:rPr>
          <w:sz w:val="22"/>
          <w:szCs w:val="22"/>
        </w:rPr>
        <w:t xml:space="preserve">service contract holders in the specific country office to which this recommendation applies. The recommendation is expected to be implemented by Q1, 2021. </w:t>
      </w:r>
    </w:p>
    <w:p w14:paraId="146B88D6" w14:textId="1349CF5F" w:rsidR="00E05E1C" w:rsidRPr="00F36F29" w:rsidRDefault="00E05E1C" w:rsidP="00E05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pPr>
    </w:p>
    <w:p w14:paraId="5E51600B" w14:textId="685C1B82" w:rsidR="000D184F" w:rsidRPr="00F36F29" w:rsidRDefault="000D184F" w:rsidP="00780BF2">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lastRenderedPageBreak/>
        <w:t xml:space="preserve">In paragraph 50, the Board also recommends that UNDP ensure that the country office uses the current service contracts template for new service contracts and update existing contracts which were signed before the new template had been launched. </w:t>
      </w:r>
    </w:p>
    <w:p w14:paraId="30984BB4"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344F416E" w14:textId="77777777" w:rsidTr="00BD64A1">
        <w:tc>
          <w:tcPr>
            <w:tcW w:w="2970" w:type="dxa"/>
          </w:tcPr>
          <w:p w14:paraId="55FA0692" w14:textId="77777777" w:rsidR="000D184F" w:rsidRPr="00F36F29" w:rsidRDefault="000D184F"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73DB04AC" w14:textId="7B19BB5F" w:rsidR="000D184F" w:rsidRPr="00F36F29" w:rsidRDefault="002F012A" w:rsidP="00BD64A1">
            <w:pPr>
              <w:pStyle w:val="SingleTxt"/>
              <w:tabs>
                <w:tab w:val="clear" w:pos="1267"/>
                <w:tab w:val="left" w:pos="209"/>
                <w:tab w:val="left" w:pos="836"/>
              </w:tabs>
              <w:spacing w:after="0" w:line="240" w:lineRule="auto"/>
              <w:ind w:left="0" w:right="27"/>
            </w:pPr>
            <w:r w:rsidRPr="00F36F29">
              <w:t>R</w:t>
            </w:r>
            <w:r w:rsidR="00550DB2" w:rsidRPr="00F36F29">
              <w:t>egional Bureau of Africa</w:t>
            </w:r>
          </w:p>
        </w:tc>
      </w:tr>
      <w:tr w:rsidR="00F36F29" w:rsidRPr="00F36F29" w14:paraId="77BD7D2D" w14:textId="77777777" w:rsidTr="00BD64A1">
        <w:tc>
          <w:tcPr>
            <w:tcW w:w="2970" w:type="dxa"/>
          </w:tcPr>
          <w:p w14:paraId="5F8DF80B" w14:textId="77777777" w:rsidR="000D184F" w:rsidRPr="00F36F29" w:rsidRDefault="000D184F"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6471AB17" w14:textId="573B83CC" w:rsidR="000D184F" w:rsidRPr="00F36F29" w:rsidRDefault="000D184F" w:rsidP="00BD64A1">
            <w:pPr>
              <w:pStyle w:val="SingleTxt"/>
              <w:tabs>
                <w:tab w:val="clear" w:pos="1267"/>
                <w:tab w:val="left" w:pos="209"/>
                <w:tab w:val="left" w:pos="836"/>
              </w:tabs>
              <w:spacing w:after="0" w:line="240" w:lineRule="auto"/>
              <w:ind w:left="0" w:right="27"/>
            </w:pPr>
            <w:r w:rsidRPr="00F36F29">
              <w:t>I</w:t>
            </w:r>
            <w:r w:rsidR="001E4AEA">
              <w:t>mplemented</w:t>
            </w:r>
          </w:p>
        </w:tc>
      </w:tr>
      <w:tr w:rsidR="000D184F" w:rsidRPr="00F36F29" w14:paraId="3E1DD3CF" w14:textId="77777777" w:rsidTr="00BD64A1">
        <w:tc>
          <w:tcPr>
            <w:tcW w:w="2970" w:type="dxa"/>
          </w:tcPr>
          <w:p w14:paraId="5AB0ACDB" w14:textId="77777777" w:rsidR="000D184F" w:rsidRPr="00F36F29" w:rsidRDefault="000D184F"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46E44452" w14:textId="7143377B" w:rsidR="000D184F" w:rsidRPr="00F36F29" w:rsidRDefault="00FD491D" w:rsidP="00BD64A1">
            <w:pPr>
              <w:pStyle w:val="SingleTxt"/>
              <w:tabs>
                <w:tab w:val="clear" w:pos="1267"/>
                <w:tab w:val="left" w:pos="209"/>
                <w:tab w:val="left" w:pos="836"/>
              </w:tabs>
              <w:spacing w:after="0" w:line="240" w:lineRule="auto"/>
              <w:ind w:left="0" w:right="27"/>
            </w:pPr>
            <w:r w:rsidRPr="00F36F29">
              <w:t>Q</w:t>
            </w:r>
            <w:r w:rsidR="00BF71CF">
              <w:t>3</w:t>
            </w:r>
            <w:r w:rsidRPr="00F36F29">
              <w:t>, 2020</w:t>
            </w:r>
          </w:p>
        </w:tc>
      </w:tr>
    </w:tbl>
    <w:p w14:paraId="3CFC419A" w14:textId="77777777" w:rsidR="000D184F" w:rsidRPr="00F36F29" w:rsidRDefault="000D184F" w:rsidP="000D184F">
      <w:pPr>
        <w:pStyle w:val="ListParagraph"/>
        <w:rPr>
          <w:b/>
          <w:bCs/>
          <w:sz w:val="22"/>
          <w:szCs w:val="22"/>
          <w:lang w:val="en-US"/>
        </w:rPr>
      </w:pPr>
    </w:p>
    <w:p w14:paraId="1C1DC431" w14:textId="77777777" w:rsidR="000D184F" w:rsidRPr="00F36F29" w:rsidRDefault="000D184F" w:rsidP="000D18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right="29"/>
        <w:rPr>
          <w:b/>
          <w:bCs/>
          <w:sz w:val="22"/>
          <w:szCs w:val="22"/>
          <w:lang w:val="en-US"/>
        </w:rPr>
      </w:pPr>
    </w:p>
    <w:p w14:paraId="318C9EDD" w14:textId="49198ADD" w:rsidR="000D184F" w:rsidRPr="00F36F29" w:rsidRDefault="000D184F"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UNDP</w:t>
      </w:r>
      <w:r w:rsidR="00BF71CF">
        <w:rPr>
          <w:sz w:val="22"/>
          <w:szCs w:val="22"/>
        </w:rPr>
        <w:t xml:space="preserve"> has implemented this recommendation. </w:t>
      </w:r>
    </w:p>
    <w:p w14:paraId="72DE6886" w14:textId="77777777" w:rsidR="000D184F" w:rsidRPr="00F36F29" w:rsidRDefault="000D184F" w:rsidP="000D184F">
      <w:pPr>
        <w:pStyle w:val="ListParagraph"/>
        <w:rPr>
          <w:b/>
          <w:bCs/>
          <w:sz w:val="22"/>
          <w:szCs w:val="22"/>
        </w:rPr>
      </w:pPr>
    </w:p>
    <w:p w14:paraId="59C0C55D" w14:textId="6381C46A" w:rsidR="000D184F" w:rsidRPr="00A562DE" w:rsidRDefault="0001335B" w:rsidP="00780BF2">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AA2547" w:rsidRPr="00F36F29">
        <w:rPr>
          <w:b/>
          <w:bCs/>
          <w:sz w:val="22"/>
          <w:szCs w:val="22"/>
          <w:lang w:val="en-US"/>
        </w:rPr>
        <w:t>62</w:t>
      </w:r>
      <w:r w:rsidRPr="00F36F29">
        <w:rPr>
          <w:b/>
          <w:bCs/>
          <w:sz w:val="22"/>
          <w:szCs w:val="22"/>
          <w:lang w:val="en-US"/>
        </w:rPr>
        <w:t>, the Board</w:t>
      </w:r>
      <w:r w:rsidR="00AA2547" w:rsidRPr="00F36F29">
        <w:rPr>
          <w:b/>
          <w:bCs/>
          <w:sz w:val="22"/>
          <w:szCs w:val="22"/>
          <w:lang w:val="en-US"/>
        </w:rPr>
        <w:t xml:space="preserve"> </w:t>
      </w:r>
      <w:r w:rsidR="00AA2547" w:rsidRPr="00A562DE">
        <w:rPr>
          <w:rFonts w:cs="Arial"/>
          <w:b/>
          <w:sz w:val="22"/>
          <w:szCs w:val="22"/>
        </w:rPr>
        <w:t>recommends that UNDP revise its enterprise risk management policy to exclude external oversight bodies such as the United Nations Board of Auditors from the third line of defence.</w:t>
      </w:r>
    </w:p>
    <w:p w14:paraId="0885AABF"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1DEE012E" w14:textId="77777777" w:rsidTr="09724386">
        <w:tc>
          <w:tcPr>
            <w:tcW w:w="2970" w:type="dxa"/>
          </w:tcPr>
          <w:p w14:paraId="639E1882"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431F2C29" w14:textId="3B87FE41" w:rsidR="0001335B" w:rsidRPr="00F36F29" w:rsidRDefault="002F012A" w:rsidP="00BD64A1">
            <w:pPr>
              <w:pStyle w:val="SingleTxt"/>
              <w:tabs>
                <w:tab w:val="clear" w:pos="1267"/>
                <w:tab w:val="left" w:pos="209"/>
                <w:tab w:val="left" w:pos="836"/>
              </w:tabs>
              <w:spacing w:after="0" w:line="240" w:lineRule="auto"/>
              <w:ind w:left="0" w:right="27"/>
            </w:pPr>
            <w:r w:rsidRPr="00F36F29">
              <w:t>B</w:t>
            </w:r>
            <w:r w:rsidR="00460A42" w:rsidRPr="00F36F29">
              <w:t>MS</w:t>
            </w:r>
            <w:r w:rsidRPr="00F36F29">
              <w:t>/Directorate</w:t>
            </w:r>
          </w:p>
        </w:tc>
      </w:tr>
      <w:tr w:rsidR="00F36F29" w:rsidRPr="00F36F29" w14:paraId="6C4CF2B5" w14:textId="77777777" w:rsidTr="09724386">
        <w:tc>
          <w:tcPr>
            <w:tcW w:w="2970" w:type="dxa"/>
          </w:tcPr>
          <w:p w14:paraId="4EB004D9"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51B6C914" w14:textId="6BDD7F14" w:rsidR="0001335B" w:rsidRPr="00F36F29" w:rsidRDefault="003B1AD2" w:rsidP="00BD64A1">
            <w:pPr>
              <w:pStyle w:val="SingleTxt"/>
              <w:tabs>
                <w:tab w:val="clear" w:pos="1267"/>
                <w:tab w:val="left" w:pos="209"/>
                <w:tab w:val="left" w:pos="836"/>
              </w:tabs>
              <w:spacing w:after="0" w:line="240" w:lineRule="auto"/>
              <w:ind w:left="0" w:right="27"/>
            </w:pPr>
            <w:r>
              <w:t>Implemented</w:t>
            </w:r>
          </w:p>
        </w:tc>
      </w:tr>
      <w:tr w:rsidR="0001335B" w:rsidRPr="00F36F29" w14:paraId="59BCEABA" w14:textId="77777777" w:rsidTr="09724386">
        <w:tc>
          <w:tcPr>
            <w:tcW w:w="2970" w:type="dxa"/>
          </w:tcPr>
          <w:p w14:paraId="5E60441B"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2E21977A" w14:textId="4AF6AF9C" w:rsidR="0001335B" w:rsidRPr="00F36F29" w:rsidRDefault="00FD491D" w:rsidP="00BD64A1">
            <w:pPr>
              <w:pStyle w:val="SingleTxt"/>
              <w:tabs>
                <w:tab w:val="clear" w:pos="1267"/>
                <w:tab w:val="left" w:pos="209"/>
                <w:tab w:val="left" w:pos="836"/>
              </w:tabs>
              <w:spacing w:after="0" w:line="240" w:lineRule="auto"/>
              <w:ind w:left="0" w:right="27"/>
            </w:pPr>
            <w:r w:rsidRPr="00F36F29">
              <w:t>Q</w:t>
            </w:r>
            <w:r w:rsidR="00963259" w:rsidRPr="00F36F29">
              <w:t>3</w:t>
            </w:r>
            <w:r w:rsidRPr="00F36F29">
              <w:t>, 2020</w:t>
            </w:r>
          </w:p>
        </w:tc>
      </w:tr>
    </w:tbl>
    <w:p w14:paraId="208B8766"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4255C4C8" w14:textId="77777777" w:rsidR="003B1AD2" w:rsidRPr="00F36F29" w:rsidRDefault="003B1AD2" w:rsidP="003B1A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UNDP</w:t>
      </w:r>
      <w:r>
        <w:rPr>
          <w:sz w:val="22"/>
          <w:szCs w:val="22"/>
        </w:rPr>
        <w:t xml:space="preserve"> has implemented this recommendation. </w:t>
      </w:r>
    </w:p>
    <w:p w14:paraId="69556B40" w14:textId="0D006DB0" w:rsidR="0001335B" w:rsidRPr="003B1AD2" w:rsidRDefault="0001335B"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43EC8C0D" w14:textId="76F46052"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DF3C63" w:rsidRPr="00F36F29">
        <w:rPr>
          <w:b/>
          <w:bCs/>
          <w:sz w:val="22"/>
          <w:szCs w:val="22"/>
          <w:lang w:val="en-US"/>
        </w:rPr>
        <w:t>77</w:t>
      </w:r>
      <w:r w:rsidRPr="00F36F29">
        <w:rPr>
          <w:b/>
          <w:bCs/>
          <w:sz w:val="22"/>
          <w:szCs w:val="22"/>
          <w:lang w:val="en-US"/>
        </w:rPr>
        <w:t>, the Board</w:t>
      </w:r>
      <w:r w:rsidR="00DF3C63" w:rsidRPr="00F36F29">
        <w:rPr>
          <w:b/>
          <w:bCs/>
          <w:sz w:val="22"/>
          <w:szCs w:val="22"/>
          <w:lang w:val="en-US"/>
        </w:rPr>
        <w:t xml:space="preserve"> recommends that UNDP enhance awareness of country offices and other units on how to conduct fraud risk assessments in an integrated manner, for example by presenting good practices at regional or annual retreats of its managers.</w:t>
      </w:r>
    </w:p>
    <w:p w14:paraId="64C59F7E"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59581DE0" w14:textId="77777777" w:rsidTr="09724386">
        <w:tc>
          <w:tcPr>
            <w:tcW w:w="2970" w:type="dxa"/>
          </w:tcPr>
          <w:p w14:paraId="0C849DA3"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56A0292A" w14:textId="1D212929" w:rsidR="0001335B" w:rsidRPr="00F36F29" w:rsidRDefault="003528E9" w:rsidP="00BD64A1">
            <w:pPr>
              <w:pStyle w:val="SingleTxt"/>
              <w:tabs>
                <w:tab w:val="clear" w:pos="1267"/>
                <w:tab w:val="left" w:pos="209"/>
                <w:tab w:val="left" w:pos="836"/>
              </w:tabs>
              <w:spacing w:after="0" w:line="240" w:lineRule="auto"/>
              <w:ind w:left="0" w:right="27"/>
            </w:pPr>
            <w:r w:rsidRPr="00F36F29">
              <w:t>BMS</w:t>
            </w:r>
            <w:r w:rsidR="00550DB2" w:rsidRPr="00F36F29">
              <w:t>/</w:t>
            </w:r>
            <w:r w:rsidR="00E97D5B" w:rsidRPr="00F36F29">
              <w:t>Directorate</w:t>
            </w:r>
            <w:r w:rsidR="00E04FFF" w:rsidRPr="00F36F29">
              <w:t>, OFRM</w:t>
            </w:r>
            <w:r w:rsidR="00E97D5B" w:rsidRPr="00F36F29">
              <w:t xml:space="preserve"> </w:t>
            </w:r>
            <w:r w:rsidRPr="00F36F29">
              <w:t xml:space="preserve">and </w:t>
            </w:r>
            <w:r w:rsidR="00E97D5B" w:rsidRPr="00F36F29">
              <w:t xml:space="preserve">Central and </w:t>
            </w:r>
            <w:r w:rsidRPr="00F36F29">
              <w:t>Regional Bureau</w:t>
            </w:r>
            <w:r w:rsidR="0089519B" w:rsidRPr="00F36F29">
              <w:t>x</w:t>
            </w:r>
            <w:r w:rsidRPr="00F36F29">
              <w:t xml:space="preserve"> </w:t>
            </w:r>
          </w:p>
        </w:tc>
      </w:tr>
      <w:tr w:rsidR="00F36F29" w:rsidRPr="00F36F29" w14:paraId="4216AB9E" w14:textId="77777777" w:rsidTr="09724386">
        <w:tc>
          <w:tcPr>
            <w:tcW w:w="2970" w:type="dxa"/>
          </w:tcPr>
          <w:p w14:paraId="247F109D"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39AD22A3" w14:textId="77777777" w:rsidR="0001335B" w:rsidRPr="00F36F29" w:rsidRDefault="0001335B" w:rsidP="00BD64A1">
            <w:pPr>
              <w:pStyle w:val="SingleTxt"/>
              <w:tabs>
                <w:tab w:val="clear" w:pos="1267"/>
                <w:tab w:val="left" w:pos="209"/>
                <w:tab w:val="left" w:pos="836"/>
              </w:tabs>
              <w:spacing w:after="0" w:line="240" w:lineRule="auto"/>
              <w:ind w:left="0" w:right="27"/>
            </w:pPr>
            <w:r w:rsidRPr="00F36F29">
              <w:t>In progress</w:t>
            </w:r>
          </w:p>
        </w:tc>
      </w:tr>
      <w:tr w:rsidR="0001335B" w:rsidRPr="00F36F29" w14:paraId="283098CC" w14:textId="77777777" w:rsidTr="09724386">
        <w:tc>
          <w:tcPr>
            <w:tcW w:w="2970" w:type="dxa"/>
          </w:tcPr>
          <w:p w14:paraId="4EF6CBE6"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6CF9048D" w14:textId="27EA7822" w:rsidR="0001335B" w:rsidRPr="00F36F29" w:rsidRDefault="0E331B0A" w:rsidP="00BD64A1">
            <w:pPr>
              <w:pStyle w:val="SingleTxt"/>
              <w:tabs>
                <w:tab w:val="clear" w:pos="1267"/>
                <w:tab w:val="left" w:pos="209"/>
                <w:tab w:val="left" w:pos="836"/>
              </w:tabs>
              <w:spacing w:after="0" w:line="240" w:lineRule="auto"/>
              <w:ind w:left="0" w:right="27"/>
            </w:pPr>
            <w:r w:rsidRPr="00F36F29">
              <w:t>Q3, 2021</w:t>
            </w:r>
          </w:p>
        </w:tc>
      </w:tr>
    </w:tbl>
    <w:p w14:paraId="6B62A273"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0EE03E4A" w14:textId="5C687A10" w:rsidR="003A63E8" w:rsidRPr="003A63E8" w:rsidRDefault="003A63E8" w:rsidP="003A63E8">
      <w:pPr>
        <w:pStyle w:val="SingleTxt"/>
        <w:spacing w:line="240" w:lineRule="auto"/>
        <w:ind w:left="720" w:right="29"/>
        <w:rPr>
          <w:sz w:val="22"/>
          <w:szCs w:val="22"/>
        </w:rPr>
      </w:pPr>
      <w:r>
        <w:rPr>
          <w:sz w:val="22"/>
          <w:szCs w:val="22"/>
        </w:rPr>
        <w:t>UNDP to fin</w:t>
      </w:r>
      <w:r w:rsidRPr="003A63E8">
        <w:rPr>
          <w:sz w:val="22"/>
          <w:szCs w:val="22"/>
        </w:rPr>
        <w:t>alize the draft anti-fraud strategy</w:t>
      </w:r>
      <w:r w:rsidR="00434942">
        <w:rPr>
          <w:sz w:val="22"/>
          <w:szCs w:val="22"/>
        </w:rPr>
        <w:t>, o</w:t>
      </w:r>
      <w:r w:rsidRPr="003A63E8">
        <w:rPr>
          <w:sz w:val="22"/>
          <w:szCs w:val="22"/>
        </w:rPr>
        <w:t>rganize webinars to all regions to raise awareness on Fraud Risk assessment and how to Integrate Fraud risks in the ERM tool</w:t>
      </w:r>
      <w:r w:rsidR="00434942">
        <w:rPr>
          <w:sz w:val="22"/>
          <w:szCs w:val="22"/>
        </w:rPr>
        <w:t>, in</w:t>
      </w:r>
      <w:r w:rsidR="00434942" w:rsidRPr="003A63E8">
        <w:rPr>
          <w:sz w:val="22"/>
          <w:szCs w:val="22"/>
        </w:rPr>
        <w:t>clude additional information about Fraud Risk assessment and Management in the IWP/Risk Register guidance</w:t>
      </w:r>
      <w:r w:rsidR="00434942">
        <w:rPr>
          <w:sz w:val="22"/>
          <w:szCs w:val="22"/>
        </w:rPr>
        <w:t xml:space="preserve"> and coordinate with regional bureaus to include </w:t>
      </w:r>
      <w:r w:rsidR="00434942" w:rsidRPr="003A63E8">
        <w:rPr>
          <w:sz w:val="22"/>
          <w:szCs w:val="22"/>
        </w:rPr>
        <w:t>fraud risks management session at regional/annual retreats</w:t>
      </w:r>
      <w:r w:rsidR="00434942">
        <w:rPr>
          <w:sz w:val="22"/>
          <w:szCs w:val="22"/>
        </w:rPr>
        <w:t xml:space="preserve">. </w:t>
      </w:r>
    </w:p>
    <w:p w14:paraId="6D1E6800" w14:textId="18E0E01A"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6B1885" w:rsidRPr="00F36F29">
        <w:rPr>
          <w:b/>
          <w:bCs/>
          <w:sz w:val="22"/>
          <w:szCs w:val="22"/>
          <w:lang w:val="en-US"/>
        </w:rPr>
        <w:t>78</w:t>
      </w:r>
      <w:r w:rsidRPr="00F36F29">
        <w:rPr>
          <w:b/>
          <w:bCs/>
          <w:sz w:val="22"/>
          <w:szCs w:val="22"/>
          <w:lang w:val="en-US"/>
        </w:rPr>
        <w:t>, the Board</w:t>
      </w:r>
      <w:r w:rsidR="006B1885" w:rsidRPr="00F36F29">
        <w:rPr>
          <w:b/>
          <w:bCs/>
          <w:sz w:val="22"/>
          <w:szCs w:val="22"/>
          <w:lang w:val="en-US"/>
        </w:rPr>
        <w:t xml:space="preserve"> recommends that UNDP tighten the assertions by adding an affirmative statement that an office had assessed fraud and corruption risks in an integrated manner as required by the anti-fraud policy and the enterprise risk management policy.</w:t>
      </w:r>
    </w:p>
    <w:p w14:paraId="4288C308"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6B18FA67" w14:textId="77777777" w:rsidTr="00BD64A1">
        <w:tc>
          <w:tcPr>
            <w:tcW w:w="2970" w:type="dxa"/>
          </w:tcPr>
          <w:p w14:paraId="13AEEDA4"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38DF56FD" w14:textId="222F1937" w:rsidR="0001335B" w:rsidRPr="00F36F29" w:rsidRDefault="00550DB2" w:rsidP="00BD64A1">
            <w:pPr>
              <w:pStyle w:val="SingleTxt"/>
              <w:tabs>
                <w:tab w:val="clear" w:pos="1267"/>
                <w:tab w:val="left" w:pos="209"/>
                <w:tab w:val="left" w:pos="836"/>
              </w:tabs>
              <w:spacing w:after="0" w:line="240" w:lineRule="auto"/>
              <w:ind w:left="0" w:right="27"/>
            </w:pPr>
            <w:r w:rsidRPr="00F36F29">
              <w:t>BMS/ Office of Financial Resources Management</w:t>
            </w:r>
          </w:p>
        </w:tc>
      </w:tr>
      <w:tr w:rsidR="00F36F29" w:rsidRPr="00F36F29" w14:paraId="2511907B" w14:textId="77777777" w:rsidTr="00BD64A1">
        <w:tc>
          <w:tcPr>
            <w:tcW w:w="2970" w:type="dxa"/>
          </w:tcPr>
          <w:p w14:paraId="384B4119"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3A0D2357" w14:textId="4B5CB88C" w:rsidR="0001335B" w:rsidRPr="00F36F29" w:rsidRDefault="0001335B" w:rsidP="00BD64A1">
            <w:pPr>
              <w:pStyle w:val="SingleTxt"/>
              <w:tabs>
                <w:tab w:val="clear" w:pos="1267"/>
                <w:tab w:val="left" w:pos="209"/>
                <w:tab w:val="left" w:pos="836"/>
              </w:tabs>
              <w:spacing w:after="0" w:line="240" w:lineRule="auto"/>
              <w:ind w:left="0" w:right="27"/>
            </w:pPr>
            <w:r w:rsidRPr="00F36F29">
              <w:t>I</w:t>
            </w:r>
            <w:r w:rsidR="008A2EAF">
              <w:t>mplemented</w:t>
            </w:r>
          </w:p>
        </w:tc>
      </w:tr>
      <w:tr w:rsidR="0001335B" w:rsidRPr="00F36F29" w14:paraId="3B79E8D6" w14:textId="77777777" w:rsidTr="00BD64A1">
        <w:tc>
          <w:tcPr>
            <w:tcW w:w="2970" w:type="dxa"/>
          </w:tcPr>
          <w:p w14:paraId="3E875FB1"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6A6EE5FC" w14:textId="61B6B5E8" w:rsidR="0001335B" w:rsidRPr="00F36F29" w:rsidRDefault="00DC3A8B" w:rsidP="00BD64A1">
            <w:pPr>
              <w:pStyle w:val="SingleTxt"/>
              <w:tabs>
                <w:tab w:val="clear" w:pos="1267"/>
                <w:tab w:val="left" w:pos="209"/>
                <w:tab w:val="left" w:pos="836"/>
              </w:tabs>
              <w:spacing w:after="0" w:line="240" w:lineRule="auto"/>
              <w:ind w:left="0" w:right="27"/>
            </w:pPr>
            <w:r w:rsidRPr="00F36F29">
              <w:t>Q</w:t>
            </w:r>
            <w:r w:rsidR="008A2EAF">
              <w:t>3</w:t>
            </w:r>
            <w:r w:rsidR="000859B3" w:rsidRPr="00F36F29">
              <w:t>, 2020</w:t>
            </w:r>
          </w:p>
        </w:tc>
      </w:tr>
    </w:tbl>
    <w:p w14:paraId="4EE62FFC" w14:textId="77777777"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p w14:paraId="7E9A244B" w14:textId="77777777" w:rsidR="008A2EAF" w:rsidRPr="00F36F29" w:rsidRDefault="008A2EAF" w:rsidP="008A2E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UNDP</w:t>
      </w:r>
      <w:r>
        <w:rPr>
          <w:sz w:val="22"/>
          <w:szCs w:val="22"/>
        </w:rPr>
        <w:t xml:space="preserve"> has implemented this recommendation. </w:t>
      </w:r>
    </w:p>
    <w:p w14:paraId="09FD832F"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749F331B" w14:textId="67E045C9"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E43411" w:rsidRPr="00F36F29">
        <w:rPr>
          <w:b/>
          <w:bCs/>
          <w:sz w:val="22"/>
          <w:szCs w:val="22"/>
          <w:lang w:val="en-US"/>
        </w:rPr>
        <w:t>98</w:t>
      </w:r>
      <w:r w:rsidRPr="00F36F29">
        <w:rPr>
          <w:b/>
          <w:bCs/>
          <w:sz w:val="22"/>
          <w:szCs w:val="22"/>
          <w:lang w:val="en-US"/>
        </w:rPr>
        <w:t>, the Board</w:t>
      </w:r>
      <w:r w:rsidR="00E43411" w:rsidRPr="00F36F29">
        <w:rPr>
          <w:b/>
          <w:bCs/>
          <w:sz w:val="22"/>
          <w:szCs w:val="22"/>
          <w:lang w:val="en-US"/>
        </w:rPr>
        <w:t xml:space="preserve"> recommends that UNDP define its organizational priorities through an organization-specific anti-fraud strategy which should incorporate current good practices.</w:t>
      </w:r>
    </w:p>
    <w:p w14:paraId="1A789BDB"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504ED47A" w14:textId="77777777" w:rsidTr="00BD64A1">
        <w:tc>
          <w:tcPr>
            <w:tcW w:w="2970" w:type="dxa"/>
          </w:tcPr>
          <w:p w14:paraId="1FFFDC94"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lastRenderedPageBreak/>
              <w:t>Department(s) responsible:</w:t>
            </w:r>
          </w:p>
        </w:tc>
        <w:tc>
          <w:tcPr>
            <w:tcW w:w="5033" w:type="dxa"/>
          </w:tcPr>
          <w:p w14:paraId="35BDE033" w14:textId="507A3EE7" w:rsidR="0001335B" w:rsidRPr="00F36F29" w:rsidRDefault="00460A42" w:rsidP="00BD64A1">
            <w:pPr>
              <w:pStyle w:val="SingleTxt"/>
              <w:tabs>
                <w:tab w:val="clear" w:pos="1267"/>
                <w:tab w:val="left" w:pos="209"/>
                <w:tab w:val="left" w:pos="836"/>
              </w:tabs>
              <w:spacing w:after="0" w:line="240" w:lineRule="auto"/>
              <w:ind w:left="0" w:right="27"/>
            </w:pPr>
            <w:r w:rsidRPr="00F36F29">
              <w:t>BMS/ Office of Financial Resources Management</w:t>
            </w:r>
          </w:p>
        </w:tc>
      </w:tr>
      <w:tr w:rsidR="00F36F29" w:rsidRPr="00F36F29" w14:paraId="0191A8C0" w14:textId="77777777" w:rsidTr="00BD64A1">
        <w:tc>
          <w:tcPr>
            <w:tcW w:w="2970" w:type="dxa"/>
          </w:tcPr>
          <w:p w14:paraId="7B3A1EE3"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7FBFF11C" w14:textId="77777777" w:rsidR="0001335B" w:rsidRPr="00F36F29" w:rsidRDefault="0001335B" w:rsidP="00BD64A1">
            <w:pPr>
              <w:pStyle w:val="SingleTxt"/>
              <w:tabs>
                <w:tab w:val="clear" w:pos="1267"/>
                <w:tab w:val="left" w:pos="209"/>
                <w:tab w:val="left" w:pos="836"/>
              </w:tabs>
              <w:spacing w:after="0" w:line="240" w:lineRule="auto"/>
              <w:ind w:left="0" w:right="27"/>
            </w:pPr>
            <w:r w:rsidRPr="00F36F29">
              <w:t>In progress</w:t>
            </w:r>
          </w:p>
        </w:tc>
      </w:tr>
      <w:tr w:rsidR="0001335B" w:rsidRPr="00F36F29" w14:paraId="39F452E8" w14:textId="77777777" w:rsidTr="00BD64A1">
        <w:tc>
          <w:tcPr>
            <w:tcW w:w="2970" w:type="dxa"/>
          </w:tcPr>
          <w:p w14:paraId="5B97370D"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5327D3C7" w14:textId="50211C9D" w:rsidR="0001335B" w:rsidRPr="00F36F29" w:rsidRDefault="000859B3" w:rsidP="00BD64A1">
            <w:pPr>
              <w:pStyle w:val="SingleTxt"/>
              <w:tabs>
                <w:tab w:val="clear" w:pos="1267"/>
                <w:tab w:val="left" w:pos="209"/>
                <w:tab w:val="left" w:pos="836"/>
              </w:tabs>
              <w:spacing w:after="0" w:line="240" w:lineRule="auto"/>
              <w:ind w:left="0" w:right="27"/>
            </w:pPr>
            <w:r w:rsidRPr="00F36F29">
              <w:t>Q</w:t>
            </w:r>
            <w:r w:rsidR="009F1271" w:rsidRPr="00F36F29">
              <w:t>4</w:t>
            </w:r>
            <w:r w:rsidRPr="00F36F29">
              <w:t>, 2020</w:t>
            </w:r>
          </w:p>
        </w:tc>
      </w:tr>
    </w:tbl>
    <w:p w14:paraId="6D1D7169"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1D94AEE6" w14:textId="5A670346"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8A2EAF">
        <w:rPr>
          <w:sz w:val="22"/>
          <w:szCs w:val="22"/>
        </w:rPr>
        <w:t>is in the process of finalizing its anti-fraud strategy</w:t>
      </w:r>
      <w:r w:rsidRPr="00F36F29">
        <w:rPr>
          <w:sz w:val="22"/>
          <w:szCs w:val="22"/>
        </w:rPr>
        <w:t>.</w:t>
      </w:r>
    </w:p>
    <w:p w14:paraId="66F44A39"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6C067ACE" w14:textId="6CBCD0E9"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BC784E" w:rsidRPr="00F36F29">
        <w:rPr>
          <w:b/>
          <w:bCs/>
          <w:sz w:val="22"/>
          <w:szCs w:val="22"/>
          <w:lang w:val="en-US"/>
        </w:rPr>
        <w:t>99</w:t>
      </w:r>
      <w:r w:rsidRPr="00F36F29">
        <w:rPr>
          <w:b/>
          <w:bCs/>
          <w:sz w:val="22"/>
          <w:szCs w:val="22"/>
          <w:lang w:val="en-US"/>
        </w:rPr>
        <w:t>, the Board</w:t>
      </w:r>
      <w:r w:rsidR="00BC784E" w:rsidRPr="00F36F29">
        <w:rPr>
          <w:b/>
          <w:bCs/>
          <w:sz w:val="22"/>
          <w:szCs w:val="22"/>
          <w:lang w:val="en-US"/>
        </w:rPr>
        <w:t xml:space="preserve"> recommends that UNDP continue to implement its fraud risk management framework action plan and provide regular updates on the status to UNDP’s Risk Committee which should be documented in the meeting minutes.</w:t>
      </w:r>
    </w:p>
    <w:p w14:paraId="4FA21517"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0C41F8F3" w14:textId="77777777" w:rsidTr="09724386">
        <w:tc>
          <w:tcPr>
            <w:tcW w:w="2970" w:type="dxa"/>
          </w:tcPr>
          <w:p w14:paraId="180FEEB2" w14:textId="77777777" w:rsidR="000859B3" w:rsidRPr="00F36F29" w:rsidRDefault="000859B3" w:rsidP="000859B3">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3644E640" w14:textId="70157ED3" w:rsidR="000859B3" w:rsidRPr="00F36F29" w:rsidRDefault="000859B3" w:rsidP="000859B3">
            <w:pPr>
              <w:pStyle w:val="SingleTxt"/>
              <w:tabs>
                <w:tab w:val="clear" w:pos="1267"/>
                <w:tab w:val="left" w:pos="209"/>
                <w:tab w:val="left" w:pos="836"/>
              </w:tabs>
              <w:spacing w:after="0" w:line="240" w:lineRule="auto"/>
              <w:ind w:left="0" w:right="27"/>
            </w:pPr>
            <w:r w:rsidRPr="00F36F29">
              <w:t>BMS</w:t>
            </w:r>
            <w:r w:rsidR="00460A42" w:rsidRPr="00F36F29">
              <w:t>/</w:t>
            </w:r>
            <w:r w:rsidRPr="00F36F29">
              <w:t xml:space="preserve">Directorate </w:t>
            </w:r>
          </w:p>
        </w:tc>
      </w:tr>
      <w:tr w:rsidR="00F36F29" w:rsidRPr="00F36F29" w14:paraId="68447E6C" w14:textId="77777777" w:rsidTr="09724386">
        <w:tc>
          <w:tcPr>
            <w:tcW w:w="2970" w:type="dxa"/>
          </w:tcPr>
          <w:p w14:paraId="59F831A1" w14:textId="77777777" w:rsidR="000859B3" w:rsidRPr="00F36F29" w:rsidRDefault="000859B3" w:rsidP="000859B3">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2194E5E6" w14:textId="77777777" w:rsidR="000859B3" w:rsidRPr="00F36F29" w:rsidRDefault="000859B3" w:rsidP="000859B3">
            <w:pPr>
              <w:pStyle w:val="SingleTxt"/>
              <w:tabs>
                <w:tab w:val="clear" w:pos="1267"/>
                <w:tab w:val="left" w:pos="209"/>
                <w:tab w:val="left" w:pos="836"/>
              </w:tabs>
              <w:spacing w:after="0" w:line="240" w:lineRule="auto"/>
              <w:ind w:left="0" w:right="27"/>
            </w:pPr>
            <w:r w:rsidRPr="00F36F29">
              <w:t>In progress</w:t>
            </w:r>
          </w:p>
        </w:tc>
      </w:tr>
      <w:tr w:rsidR="000859B3" w:rsidRPr="00F36F29" w14:paraId="43A8CBAA" w14:textId="77777777" w:rsidTr="09724386">
        <w:tc>
          <w:tcPr>
            <w:tcW w:w="2970" w:type="dxa"/>
          </w:tcPr>
          <w:p w14:paraId="688CCF99" w14:textId="77777777" w:rsidR="000859B3" w:rsidRPr="00F36F29" w:rsidRDefault="000859B3" w:rsidP="000859B3">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7D04FE9D" w14:textId="2117CB5C" w:rsidR="000859B3" w:rsidRPr="00F36F29" w:rsidRDefault="03ADCB40" w:rsidP="000859B3">
            <w:pPr>
              <w:pStyle w:val="SingleTxt"/>
              <w:tabs>
                <w:tab w:val="clear" w:pos="1267"/>
                <w:tab w:val="left" w:pos="209"/>
                <w:tab w:val="left" w:pos="836"/>
              </w:tabs>
              <w:spacing w:after="0" w:line="240" w:lineRule="auto"/>
              <w:ind w:left="0" w:right="27"/>
            </w:pPr>
            <w:r w:rsidRPr="00F36F29">
              <w:t>Q</w:t>
            </w:r>
            <w:r w:rsidR="001952E6" w:rsidRPr="00F36F29">
              <w:t>1</w:t>
            </w:r>
            <w:r w:rsidRPr="00F36F29">
              <w:t>, 202</w:t>
            </w:r>
            <w:r w:rsidR="001952E6" w:rsidRPr="00F36F29">
              <w:t>1</w:t>
            </w:r>
          </w:p>
        </w:tc>
      </w:tr>
    </w:tbl>
    <w:p w14:paraId="3D9A11B3"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5AA5CACE" w14:textId="4E18A45F"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140741">
        <w:rPr>
          <w:sz w:val="22"/>
          <w:szCs w:val="22"/>
        </w:rPr>
        <w:t xml:space="preserve">has provided the Risk Committee </w:t>
      </w:r>
      <w:r w:rsidR="00F75287">
        <w:rPr>
          <w:sz w:val="22"/>
          <w:szCs w:val="22"/>
        </w:rPr>
        <w:t xml:space="preserve">an update </w:t>
      </w:r>
      <w:r w:rsidR="000C400B">
        <w:rPr>
          <w:sz w:val="22"/>
          <w:szCs w:val="22"/>
        </w:rPr>
        <w:t xml:space="preserve">on UNBOA findings on fraud in July 2020. </w:t>
      </w:r>
      <w:r w:rsidR="008A38EB">
        <w:rPr>
          <w:sz w:val="22"/>
          <w:szCs w:val="22"/>
        </w:rPr>
        <w:t>UNDP will present to the Risk Committee in Q4, 2020 an update on the Fraud Risk Manage</w:t>
      </w:r>
      <w:r w:rsidR="00B179E6">
        <w:rPr>
          <w:sz w:val="22"/>
          <w:szCs w:val="22"/>
        </w:rPr>
        <w:t xml:space="preserve">ment Framework Action Plan. </w:t>
      </w:r>
    </w:p>
    <w:p w14:paraId="1E889869"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25622551" w14:textId="4D248B8F"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BB055F" w:rsidRPr="00F36F29">
        <w:rPr>
          <w:b/>
          <w:bCs/>
          <w:sz w:val="22"/>
          <w:szCs w:val="22"/>
          <w:lang w:val="en-US"/>
        </w:rPr>
        <w:t>10</w:t>
      </w:r>
      <w:r w:rsidRPr="00F36F29">
        <w:rPr>
          <w:b/>
          <w:bCs/>
          <w:sz w:val="22"/>
          <w:szCs w:val="22"/>
          <w:lang w:val="en-US"/>
        </w:rPr>
        <w:t>0, the Board</w:t>
      </w:r>
      <w:r w:rsidR="00BB055F" w:rsidRPr="00F36F29">
        <w:rPr>
          <w:b/>
          <w:bCs/>
          <w:sz w:val="22"/>
          <w:szCs w:val="22"/>
          <w:lang w:val="en-US"/>
        </w:rPr>
        <w:t xml:space="preserve"> recommends that UNDP set a realistic time frame for implementing its fraud risk management framework action plan.</w:t>
      </w:r>
    </w:p>
    <w:p w14:paraId="413E5E28"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2F7F2756" w14:textId="77777777" w:rsidTr="09724386">
        <w:tc>
          <w:tcPr>
            <w:tcW w:w="2970" w:type="dxa"/>
          </w:tcPr>
          <w:p w14:paraId="10AEF42F" w14:textId="77777777" w:rsidR="00A8182F" w:rsidRPr="00F36F29" w:rsidRDefault="00A8182F" w:rsidP="00A8182F">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22DA65C6" w14:textId="7661A97B" w:rsidR="00A8182F" w:rsidRPr="00F36F29" w:rsidRDefault="00A8182F" w:rsidP="00A8182F">
            <w:pPr>
              <w:pStyle w:val="SingleTxt"/>
              <w:tabs>
                <w:tab w:val="clear" w:pos="1267"/>
                <w:tab w:val="left" w:pos="209"/>
                <w:tab w:val="left" w:pos="836"/>
              </w:tabs>
              <w:spacing w:after="0" w:line="240" w:lineRule="auto"/>
              <w:ind w:left="0" w:right="27"/>
            </w:pPr>
            <w:r w:rsidRPr="00F36F29">
              <w:t>BMS</w:t>
            </w:r>
            <w:r w:rsidR="00460A42" w:rsidRPr="00F36F29">
              <w:t>/</w:t>
            </w:r>
            <w:r w:rsidRPr="00F36F29">
              <w:t>Directorate</w:t>
            </w:r>
          </w:p>
        </w:tc>
      </w:tr>
      <w:tr w:rsidR="00F36F29" w:rsidRPr="00F36F29" w14:paraId="5F69ABAD" w14:textId="77777777" w:rsidTr="09724386">
        <w:tc>
          <w:tcPr>
            <w:tcW w:w="2970" w:type="dxa"/>
          </w:tcPr>
          <w:p w14:paraId="3C14CFE1" w14:textId="77777777" w:rsidR="00A8182F" w:rsidRPr="00F36F29" w:rsidRDefault="00A8182F" w:rsidP="00A8182F">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0577C914" w14:textId="77777777" w:rsidR="00A8182F" w:rsidRPr="00F36F29" w:rsidRDefault="00A8182F" w:rsidP="00A8182F">
            <w:pPr>
              <w:pStyle w:val="SingleTxt"/>
              <w:tabs>
                <w:tab w:val="clear" w:pos="1267"/>
                <w:tab w:val="left" w:pos="209"/>
                <w:tab w:val="left" w:pos="836"/>
              </w:tabs>
              <w:spacing w:after="0" w:line="240" w:lineRule="auto"/>
              <w:ind w:left="0" w:right="27"/>
            </w:pPr>
            <w:r w:rsidRPr="00F36F29">
              <w:t>In progress</w:t>
            </w:r>
          </w:p>
        </w:tc>
      </w:tr>
      <w:tr w:rsidR="00A8182F" w:rsidRPr="00F36F29" w14:paraId="581980EE" w14:textId="77777777" w:rsidTr="09724386">
        <w:tc>
          <w:tcPr>
            <w:tcW w:w="2970" w:type="dxa"/>
          </w:tcPr>
          <w:p w14:paraId="0A295069" w14:textId="77777777" w:rsidR="00A8182F" w:rsidRPr="00F36F29" w:rsidRDefault="00A8182F" w:rsidP="00A8182F">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6DFE83F7" w14:textId="52153E63" w:rsidR="00A8182F" w:rsidRPr="00F36F29" w:rsidRDefault="1B1E6BB1" w:rsidP="00A8182F">
            <w:pPr>
              <w:pStyle w:val="SingleTxt"/>
              <w:tabs>
                <w:tab w:val="clear" w:pos="1267"/>
                <w:tab w:val="left" w:pos="209"/>
                <w:tab w:val="left" w:pos="836"/>
              </w:tabs>
              <w:spacing w:after="0" w:line="240" w:lineRule="auto"/>
              <w:ind w:left="0" w:right="27"/>
            </w:pPr>
            <w:r w:rsidRPr="00F36F29">
              <w:t>Q</w:t>
            </w:r>
            <w:r w:rsidR="00992E74" w:rsidRPr="00F36F29">
              <w:t>1</w:t>
            </w:r>
            <w:r w:rsidRPr="00F36F29">
              <w:t>, 202</w:t>
            </w:r>
            <w:r w:rsidR="00EB5493" w:rsidRPr="00F36F29">
              <w:t>1</w:t>
            </w:r>
          </w:p>
        </w:tc>
      </w:tr>
    </w:tbl>
    <w:p w14:paraId="6574215F"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33311D78" w14:textId="3759388F"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6B4C01">
        <w:rPr>
          <w:sz w:val="22"/>
          <w:szCs w:val="22"/>
        </w:rPr>
        <w:t xml:space="preserve">is in the process of updating its Fraud Risk Management Framework Action Plan to include realist timeframe. </w:t>
      </w:r>
    </w:p>
    <w:p w14:paraId="06696319"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7E4443E8" w14:textId="0567ED23"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863E10" w:rsidRPr="00F36F29">
        <w:rPr>
          <w:b/>
          <w:bCs/>
          <w:sz w:val="22"/>
          <w:szCs w:val="22"/>
          <w:lang w:val="en-US"/>
        </w:rPr>
        <w:t>101</w:t>
      </w:r>
      <w:r w:rsidRPr="00F36F29">
        <w:rPr>
          <w:b/>
          <w:bCs/>
          <w:sz w:val="22"/>
          <w:szCs w:val="22"/>
          <w:lang w:val="en-US"/>
        </w:rPr>
        <w:t>, the Board</w:t>
      </w:r>
      <w:r w:rsidR="00863E10" w:rsidRPr="00F36F29">
        <w:rPr>
          <w:b/>
          <w:bCs/>
          <w:sz w:val="22"/>
          <w:szCs w:val="22"/>
          <w:lang w:val="en-US"/>
        </w:rPr>
        <w:t xml:space="preserve"> recommends that UNDP enhance awareness of country offices and other units on how to document fraud risk treatment actions in the corporate risk management tools available, for example by presenting good practices at regional or annual retreats of its managers.</w:t>
      </w:r>
    </w:p>
    <w:p w14:paraId="1BEE07C8"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7B1A3FB1" w14:textId="77777777" w:rsidTr="09724386">
        <w:tc>
          <w:tcPr>
            <w:tcW w:w="2970" w:type="dxa"/>
          </w:tcPr>
          <w:p w14:paraId="15AD37BC"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313FE3FD" w14:textId="2F882938" w:rsidR="0001335B" w:rsidRPr="00F36F29" w:rsidRDefault="003D44F3" w:rsidP="00BD64A1">
            <w:pPr>
              <w:pStyle w:val="SingleTxt"/>
              <w:tabs>
                <w:tab w:val="clear" w:pos="1267"/>
                <w:tab w:val="left" w:pos="209"/>
                <w:tab w:val="left" w:pos="836"/>
              </w:tabs>
              <w:spacing w:after="0" w:line="240" w:lineRule="auto"/>
              <w:ind w:left="0" w:right="27"/>
            </w:pPr>
            <w:r w:rsidRPr="00F36F29">
              <w:t>BMS</w:t>
            </w:r>
            <w:r w:rsidR="00460A42" w:rsidRPr="00F36F29">
              <w:t>/</w:t>
            </w:r>
            <w:r w:rsidRPr="00F36F29">
              <w:t>Directorate and Central and Regional Bureau</w:t>
            </w:r>
            <w:r w:rsidR="0089519B" w:rsidRPr="00F36F29">
              <w:t>x</w:t>
            </w:r>
            <w:r w:rsidRPr="00F36F29">
              <w:t xml:space="preserve"> </w:t>
            </w:r>
          </w:p>
        </w:tc>
      </w:tr>
      <w:tr w:rsidR="00F36F29" w:rsidRPr="00F36F29" w14:paraId="01830EBD" w14:textId="77777777" w:rsidTr="09724386">
        <w:tc>
          <w:tcPr>
            <w:tcW w:w="2970" w:type="dxa"/>
          </w:tcPr>
          <w:p w14:paraId="390A60E3"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5E33BA68" w14:textId="77777777" w:rsidR="0001335B" w:rsidRPr="00F36F29" w:rsidRDefault="0001335B" w:rsidP="00BD64A1">
            <w:pPr>
              <w:pStyle w:val="SingleTxt"/>
              <w:tabs>
                <w:tab w:val="clear" w:pos="1267"/>
                <w:tab w:val="left" w:pos="209"/>
                <w:tab w:val="left" w:pos="836"/>
              </w:tabs>
              <w:spacing w:after="0" w:line="240" w:lineRule="auto"/>
              <w:ind w:left="0" w:right="27"/>
            </w:pPr>
            <w:r w:rsidRPr="00F36F29">
              <w:t>In progress</w:t>
            </w:r>
          </w:p>
        </w:tc>
      </w:tr>
      <w:tr w:rsidR="0001335B" w:rsidRPr="00F36F29" w14:paraId="516571C3" w14:textId="77777777" w:rsidTr="09724386">
        <w:tc>
          <w:tcPr>
            <w:tcW w:w="2970" w:type="dxa"/>
          </w:tcPr>
          <w:p w14:paraId="06FC1058"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0F0BC3DB" w14:textId="7BA6DE3A" w:rsidR="0001335B" w:rsidRPr="00F36F29" w:rsidRDefault="01B32C50" w:rsidP="00BD64A1">
            <w:pPr>
              <w:pStyle w:val="SingleTxt"/>
              <w:tabs>
                <w:tab w:val="clear" w:pos="1267"/>
                <w:tab w:val="left" w:pos="209"/>
                <w:tab w:val="left" w:pos="836"/>
              </w:tabs>
              <w:spacing w:after="0" w:line="240" w:lineRule="auto"/>
              <w:ind w:left="0" w:right="27"/>
            </w:pPr>
            <w:r w:rsidRPr="00F36F29">
              <w:t>Q</w:t>
            </w:r>
            <w:r w:rsidR="008725CA" w:rsidRPr="00F36F29">
              <w:t>1</w:t>
            </w:r>
            <w:r w:rsidRPr="00F36F29">
              <w:t>,</w:t>
            </w:r>
            <w:r w:rsidR="0001335B" w:rsidRPr="00F36F29">
              <w:t xml:space="preserve"> 202</w:t>
            </w:r>
            <w:r w:rsidR="008725CA" w:rsidRPr="00F36F29">
              <w:t>1</w:t>
            </w:r>
          </w:p>
        </w:tc>
      </w:tr>
    </w:tbl>
    <w:p w14:paraId="3BCA3170"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4E9DFD39" w14:textId="77777777" w:rsidR="00861C7E" w:rsidRPr="003A63E8" w:rsidRDefault="00861C7E" w:rsidP="00861C7E">
      <w:pPr>
        <w:pStyle w:val="SingleTxt"/>
        <w:spacing w:line="240" w:lineRule="auto"/>
        <w:ind w:left="720" w:right="29"/>
        <w:rPr>
          <w:sz w:val="22"/>
          <w:szCs w:val="22"/>
        </w:rPr>
      </w:pPr>
      <w:r>
        <w:rPr>
          <w:sz w:val="22"/>
          <w:szCs w:val="22"/>
        </w:rPr>
        <w:t>UNDP to fin</w:t>
      </w:r>
      <w:r w:rsidRPr="003A63E8">
        <w:rPr>
          <w:sz w:val="22"/>
          <w:szCs w:val="22"/>
        </w:rPr>
        <w:t>alize the draft anti-fraud strategy</w:t>
      </w:r>
      <w:r>
        <w:rPr>
          <w:sz w:val="22"/>
          <w:szCs w:val="22"/>
        </w:rPr>
        <w:t>, o</w:t>
      </w:r>
      <w:r w:rsidRPr="003A63E8">
        <w:rPr>
          <w:sz w:val="22"/>
          <w:szCs w:val="22"/>
        </w:rPr>
        <w:t>rganize webinars to all regions to raise awareness on Fraud Risk assessment and how to Integrate Fraud risks in the ERM tool</w:t>
      </w:r>
      <w:r>
        <w:rPr>
          <w:sz w:val="22"/>
          <w:szCs w:val="22"/>
        </w:rPr>
        <w:t>, in</w:t>
      </w:r>
      <w:r w:rsidRPr="003A63E8">
        <w:rPr>
          <w:sz w:val="22"/>
          <w:szCs w:val="22"/>
        </w:rPr>
        <w:t>clude additional information about Fraud Risk assessment and Management in the IWP/Risk Register guidance</w:t>
      </w:r>
      <w:r>
        <w:rPr>
          <w:sz w:val="22"/>
          <w:szCs w:val="22"/>
        </w:rPr>
        <w:t xml:space="preserve"> and coordinate with regional bureaus to include </w:t>
      </w:r>
      <w:r w:rsidRPr="003A63E8">
        <w:rPr>
          <w:sz w:val="22"/>
          <w:szCs w:val="22"/>
        </w:rPr>
        <w:t>fraud risks management session at regional/annual retreats</w:t>
      </w:r>
      <w:r>
        <w:rPr>
          <w:sz w:val="22"/>
          <w:szCs w:val="22"/>
        </w:rPr>
        <w:t xml:space="preserve">. </w:t>
      </w:r>
    </w:p>
    <w:p w14:paraId="075A6125"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20ECEA95" w14:textId="61D03617"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292EEE" w:rsidRPr="00F36F29">
        <w:rPr>
          <w:b/>
          <w:bCs/>
          <w:sz w:val="22"/>
          <w:szCs w:val="22"/>
          <w:lang w:val="en-US"/>
        </w:rPr>
        <w:t>115</w:t>
      </w:r>
      <w:r w:rsidRPr="00F36F29">
        <w:rPr>
          <w:b/>
          <w:bCs/>
          <w:sz w:val="22"/>
          <w:szCs w:val="22"/>
          <w:lang w:val="en-US"/>
        </w:rPr>
        <w:t>, the Board</w:t>
      </w:r>
      <w:r w:rsidR="00292EEE" w:rsidRPr="00F36F29">
        <w:rPr>
          <w:b/>
          <w:bCs/>
          <w:sz w:val="22"/>
          <w:szCs w:val="22"/>
          <w:lang w:val="en-US"/>
        </w:rPr>
        <w:t xml:space="preserve"> recommends that UNDP further enhance its efforts and continue to raise fraud awareness internally.</w:t>
      </w:r>
    </w:p>
    <w:p w14:paraId="3BF00A0E"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4BE964D9" w14:textId="77777777" w:rsidTr="09724386">
        <w:tc>
          <w:tcPr>
            <w:tcW w:w="2970" w:type="dxa"/>
          </w:tcPr>
          <w:p w14:paraId="02BE9035" w14:textId="77777777" w:rsidR="00E4174C" w:rsidRPr="00F36F29" w:rsidRDefault="00E4174C" w:rsidP="00E4174C">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63AF01EA" w14:textId="04A5FC5C" w:rsidR="00E4174C" w:rsidRPr="00F36F29" w:rsidRDefault="00E4174C" w:rsidP="00E4174C">
            <w:pPr>
              <w:pStyle w:val="SingleTxt"/>
              <w:tabs>
                <w:tab w:val="clear" w:pos="1267"/>
                <w:tab w:val="left" w:pos="209"/>
                <w:tab w:val="left" w:pos="836"/>
              </w:tabs>
              <w:spacing w:after="0" w:line="240" w:lineRule="auto"/>
              <w:ind w:left="0" w:right="27"/>
            </w:pPr>
            <w:r w:rsidRPr="00F36F29">
              <w:t>BMS</w:t>
            </w:r>
            <w:r w:rsidR="00460A42" w:rsidRPr="00F36F29">
              <w:t>/</w:t>
            </w:r>
            <w:r w:rsidRPr="00F36F29">
              <w:t>Directorate</w:t>
            </w:r>
            <w:r w:rsidR="00ED10C1" w:rsidRPr="00F36F29">
              <w:t>, OFRM</w:t>
            </w:r>
            <w:r w:rsidRPr="00F36F29">
              <w:t xml:space="preserve"> and Central and Regional Bureau</w:t>
            </w:r>
            <w:r w:rsidR="0089519B" w:rsidRPr="00F36F29">
              <w:t>x</w:t>
            </w:r>
            <w:r w:rsidRPr="00F36F29">
              <w:t xml:space="preserve"> </w:t>
            </w:r>
          </w:p>
        </w:tc>
      </w:tr>
      <w:tr w:rsidR="00F36F29" w:rsidRPr="00F36F29" w14:paraId="308665BE" w14:textId="77777777" w:rsidTr="09724386">
        <w:tc>
          <w:tcPr>
            <w:tcW w:w="2970" w:type="dxa"/>
          </w:tcPr>
          <w:p w14:paraId="53CEA675" w14:textId="77777777" w:rsidR="00E4174C" w:rsidRPr="00F36F29" w:rsidRDefault="00E4174C" w:rsidP="00E4174C">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39D4B73D" w14:textId="77777777" w:rsidR="00E4174C" w:rsidRPr="00F36F29" w:rsidRDefault="00E4174C" w:rsidP="00E4174C">
            <w:pPr>
              <w:pStyle w:val="SingleTxt"/>
              <w:tabs>
                <w:tab w:val="clear" w:pos="1267"/>
                <w:tab w:val="left" w:pos="209"/>
                <w:tab w:val="left" w:pos="836"/>
              </w:tabs>
              <w:spacing w:after="0" w:line="240" w:lineRule="auto"/>
              <w:ind w:left="0" w:right="27"/>
            </w:pPr>
            <w:r w:rsidRPr="00F36F29">
              <w:t>In progress</w:t>
            </w:r>
          </w:p>
        </w:tc>
      </w:tr>
      <w:tr w:rsidR="00E4174C" w:rsidRPr="00F36F29" w14:paraId="786FF18C" w14:textId="77777777" w:rsidTr="09724386">
        <w:tc>
          <w:tcPr>
            <w:tcW w:w="2970" w:type="dxa"/>
          </w:tcPr>
          <w:p w14:paraId="5153E1DD" w14:textId="77777777" w:rsidR="00E4174C" w:rsidRPr="00F36F29" w:rsidRDefault="00E4174C" w:rsidP="00E4174C">
            <w:pPr>
              <w:pStyle w:val="SingleTxt"/>
              <w:tabs>
                <w:tab w:val="clear" w:pos="1267"/>
                <w:tab w:val="left" w:pos="209"/>
                <w:tab w:val="left" w:pos="836"/>
              </w:tabs>
              <w:spacing w:after="0" w:line="240" w:lineRule="auto"/>
              <w:ind w:left="0" w:right="27"/>
              <w:rPr>
                <w:i/>
              </w:rPr>
            </w:pPr>
            <w:r w:rsidRPr="00F36F29">
              <w:rPr>
                <w:i/>
              </w:rPr>
              <w:lastRenderedPageBreak/>
              <w:t>Target date:</w:t>
            </w:r>
          </w:p>
        </w:tc>
        <w:tc>
          <w:tcPr>
            <w:tcW w:w="5033" w:type="dxa"/>
          </w:tcPr>
          <w:p w14:paraId="1A0CCF0D" w14:textId="7D89035D" w:rsidR="00E4174C" w:rsidRPr="00F36F29" w:rsidRDefault="29F448E0" w:rsidP="00E4174C">
            <w:pPr>
              <w:pStyle w:val="SingleTxt"/>
              <w:tabs>
                <w:tab w:val="clear" w:pos="1267"/>
                <w:tab w:val="left" w:pos="209"/>
                <w:tab w:val="left" w:pos="836"/>
              </w:tabs>
              <w:spacing w:after="0" w:line="240" w:lineRule="auto"/>
              <w:ind w:left="0" w:right="27"/>
            </w:pPr>
            <w:r w:rsidRPr="00F36F29">
              <w:t>Q</w:t>
            </w:r>
            <w:r w:rsidR="008725CA" w:rsidRPr="00F36F29">
              <w:t>1</w:t>
            </w:r>
            <w:r w:rsidRPr="00F36F29">
              <w:t>, 202</w:t>
            </w:r>
            <w:r w:rsidR="00D03020" w:rsidRPr="00F36F29">
              <w:t>1</w:t>
            </w:r>
          </w:p>
        </w:tc>
      </w:tr>
    </w:tbl>
    <w:p w14:paraId="7992812A"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661E2F8C" w14:textId="1C4FC84C" w:rsidR="007503E4" w:rsidRDefault="00F00EAD"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Pr>
          <w:sz w:val="22"/>
          <w:szCs w:val="22"/>
        </w:rPr>
        <w:t>UNDP to fin</w:t>
      </w:r>
      <w:r w:rsidRPr="003A63E8">
        <w:rPr>
          <w:sz w:val="22"/>
          <w:szCs w:val="22"/>
        </w:rPr>
        <w:t>alize the draft anti-fraud strategy</w:t>
      </w:r>
      <w:r>
        <w:rPr>
          <w:sz w:val="22"/>
          <w:szCs w:val="22"/>
        </w:rPr>
        <w:t xml:space="preserve"> and o</w:t>
      </w:r>
      <w:r w:rsidRPr="003A63E8">
        <w:rPr>
          <w:sz w:val="22"/>
          <w:szCs w:val="22"/>
        </w:rPr>
        <w:t>rganize webinars to all regions to raise awareness on Fraud</w:t>
      </w:r>
      <w:r>
        <w:rPr>
          <w:sz w:val="22"/>
          <w:szCs w:val="22"/>
        </w:rPr>
        <w:t xml:space="preserve"> internally</w:t>
      </w:r>
      <w:r w:rsidR="002874A6">
        <w:rPr>
          <w:sz w:val="22"/>
          <w:szCs w:val="22"/>
        </w:rPr>
        <w:t xml:space="preserve"> through webinars and email communications. </w:t>
      </w:r>
      <w:r w:rsidR="0074019A">
        <w:rPr>
          <w:sz w:val="22"/>
          <w:szCs w:val="22"/>
        </w:rPr>
        <w:t>In addition, e</w:t>
      </w:r>
      <w:r w:rsidR="00A8689B" w:rsidRPr="00A8689B">
        <w:rPr>
          <w:sz w:val="22"/>
          <w:szCs w:val="22"/>
        </w:rPr>
        <w:t xml:space="preserve">nhanced training </w:t>
      </w:r>
      <w:r w:rsidR="0074019A">
        <w:rPr>
          <w:sz w:val="22"/>
          <w:szCs w:val="22"/>
        </w:rPr>
        <w:t>is planned for regional bureaus</w:t>
      </w:r>
      <w:r w:rsidR="00593A08">
        <w:rPr>
          <w:sz w:val="22"/>
          <w:szCs w:val="22"/>
        </w:rPr>
        <w:t xml:space="preserve">. </w:t>
      </w:r>
    </w:p>
    <w:p w14:paraId="2AF4BA32" w14:textId="77777777" w:rsidR="00F00EAD" w:rsidRPr="00F36F29" w:rsidRDefault="00F00EAD"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2AFA0371" w14:textId="51E1E1AC"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F02D9B" w:rsidRPr="00F36F29">
        <w:rPr>
          <w:b/>
          <w:bCs/>
          <w:sz w:val="22"/>
          <w:szCs w:val="22"/>
          <w:lang w:val="en-US"/>
        </w:rPr>
        <w:t>124</w:t>
      </w:r>
      <w:r w:rsidRPr="00F36F29">
        <w:rPr>
          <w:b/>
          <w:bCs/>
          <w:sz w:val="22"/>
          <w:szCs w:val="22"/>
          <w:lang w:val="en-US"/>
        </w:rPr>
        <w:t>, the Board</w:t>
      </w:r>
      <w:r w:rsidR="00F02D9B" w:rsidRPr="00F36F29">
        <w:rPr>
          <w:b/>
          <w:bCs/>
          <w:sz w:val="22"/>
          <w:szCs w:val="22"/>
          <w:lang w:val="en-US"/>
        </w:rPr>
        <w:t xml:space="preserve"> recommends that UNDP further enhance its continuous efforts to raise fraud awareness with external partners.</w:t>
      </w:r>
    </w:p>
    <w:p w14:paraId="5462DB05"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1D915DE0" w14:textId="77777777" w:rsidTr="00BD64A1">
        <w:tc>
          <w:tcPr>
            <w:tcW w:w="2970" w:type="dxa"/>
          </w:tcPr>
          <w:p w14:paraId="6F7927E7"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15FCC800" w14:textId="0CBAD44B" w:rsidR="0001335B" w:rsidRPr="00F36F29" w:rsidRDefault="001124F5" w:rsidP="00BD64A1">
            <w:pPr>
              <w:pStyle w:val="SingleTxt"/>
              <w:tabs>
                <w:tab w:val="clear" w:pos="1267"/>
                <w:tab w:val="left" w:pos="209"/>
                <w:tab w:val="left" w:pos="836"/>
              </w:tabs>
              <w:spacing w:after="0" w:line="240" w:lineRule="auto"/>
              <w:ind w:left="0" w:right="27"/>
            </w:pPr>
            <w:r w:rsidRPr="00F36F29">
              <w:t>BMS/</w:t>
            </w:r>
            <w:r w:rsidR="00C92E40" w:rsidRPr="00F36F29">
              <w:t>P</w:t>
            </w:r>
            <w:r w:rsidRPr="00F36F29">
              <w:t xml:space="preserve">rocurement </w:t>
            </w:r>
            <w:r w:rsidR="00C92E40" w:rsidRPr="00F36F29">
              <w:t>S</w:t>
            </w:r>
            <w:r w:rsidRPr="00F36F29">
              <w:t xml:space="preserve">ourcing </w:t>
            </w:r>
            <w:r w:rsidR="00C92E40" w:rsidRPr="00F36F29">
              <w:t>U</w:t>
            </w:r>
            <w:r w:rsidRPr="00F36F29">
              <w:t>nit</w:t>
            </w:r>
            <w:r w:rsidR="005C2266" w:rsidRPr="00F36F29">
              <w:t xml:space="preserve"> and BERA</w:t>
            </w:r>
          </w:p>
        </w:tc>
      </w:tr>
      <w:tr w:rsidR="00F36F29" w:rsidRPr="00F36F29" w14:paraId="00935B8D" w14:textId="77777777" w:rsidTr="00BD64A1">
        <w:tc>
          <w:tcPr>
            <w:tcW w:w="2970" w:type="dxa"/>
          </w:tcPr>
          <w:p w14:paraId="6CCB24DA"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4851AE2A" w14:textId="43CB2CB1" w:rsidR="0001335B" w:rsidRPr="00F36F29" w:rsidRDefault="00D92066" w:rsidP="00BD64A1">
            <w:pPr>
              <w:pStyle w:val="SingleTxt"/>
              <w:tabs>
                <w:tab w:val="clear" w:pos="1267"/>
                <w:tab w:val="left" w:pos="209"/>
                <w:tab w:val="left" w:pos="836"/>
              </w:tabs>
              <w:spacing w:after="0" w:line="240" w:lineRule="auto"/>
              <w:ind w:left="0" w:right="27"/>
            </w:pPr>
            <w:r>
              <w:t>Implemented</w:t>
            </w:r>
          </w:p>
        </w:tc>
      </w:tr>
      <w:tr w:rsidR="0001335B" w:rsidRPr="00F36F29" w14:paraId="50F845AC" w14:textId="77777777" w:rsidTr="00BD64A1">
        <w:tc>
          <w:tcPr>
            <w:tcW w:w="2970" w:type="dxa"/>
          </w:tcPr>
          <w:p w14:paraId="53670578"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3249B6D8" w14:textId="497BFB04" w:rsidR="0001335B" w:rsidRPr="00F36F29" w:rsidRDefault="00C92E40" w:rsidP="00BD64A1">
            <w:pPr>
              <w:pStyle w:val="SingleTxt"/>
              <w:tabs>
                <w:tab w:val="clear" w:pos="1267"/>
                <w:tab w:val="left" w:pos="209"/>
                <w:tab w:val="left" w:pos="836"/>
              </w:tabs>
              <w:spacing w:after="0" w:line="240" w:lineRule="auto"/>
              <w:ind w:left="0" w:right="27"/>
            </w:pPr>
            <w:r w:rsidRPr="00F36F29">
              <w:t>Q</w:t>
            </w:r>
            <w:r w:rsidR="00D92066">
              <w:t>3</w:t>
            </w:r>
            <w:r w:rsidRPr="00F36F29">
              <w:t>, 202</w:t>
            </w:r>
            <w:r w:rsidR="00D92066">
              <w:t>0</w:t>
            </w:r>
          </w:p>
        </w:tc>
      </w:tr>
    </w:tbl>
    <w:p w14:paraId="5F95C314"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2DBAED3B" w14:textId="6169FBCA" w:rsidR="007503E4" w:rsidRDefault="00D92066"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D92066">
        <w:rPr>
          <w:sz w:val="22"/>
          <w:szCs w:val="22"/>
        </w:rPr>
        <w:t xml:space="preserve">UNDP’s policy against fraud and other corrupt practices now linked to the external websites of all country offices for increased awareness </w:t>
      </w:r>
      <w:r>
        <w:rPr>
          <w:sz w:val="22"/>
          <w:szCs w:val="22"/>
        </w:rPr>
        <w:t xml:space="preserve">externally. </w:t>
      </w:r>
    </w:p>
    <w:p w14:paraId="2D83C874" w14:textId="77777777" w:rsidR="00D92066" w:rsidRPr="00F36F29" w:rsidRDefault="00D92066"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69641620" w14:textId="037F402F"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897262" w:rsidRPr="00F36F29">
        <w:rPr>
          <w:b/>
          <w:bCs/>
          <w:sz w:val="22"/>
          <w:szCs w:val="22"/>
          <w:lang w:val="en-US"/>
        </w:rPr>
        <w:t>134</w:t>
      </w:r>
      <w:r w:rsidRPr="00F36F29">
        <w:rPr>
          <w:b/>
          <w:bCs/>
          <w:sz w:val="22"/>
          <w:szCs w:val="22"/>
          <w:lang w:val="en-US"/>
        </w:rPr>
        <w:t>, the Board</w:t>
      </w:r>
      <w:r w:rsidR="00897262" w:rsidRPr="00F36F29">
        <w:rPr>
          <w:b/>
          <w:bCs/>
          <w:sz w:val="22"/>
          <w:szCs w:val="22"/>
          <w:lang w:val="en-US"/>
        </w:rPr>
        <w:t xml:space="preserve"> reiterates its recommendation that UNDP review the cases of non-compliance presented by the Board and </w:t>
      </w:r>
      <w:proofErr w:type="spellStart"/>
      <w:r w:rsidR="00897262" w:rsidRPr="00F36F29">
        <w:rPr>
          <w:b/>
          <w:bCs/>
          <w:sz w:val="22"/>
          <w:szCs w:val="22"/>
          <w:lang w:val="en-US"/>
        </w:rPr>
        <w:t>analyse</w:t>
      </w:r>
      <w:proofErr w:type="spellEnd"/>
      <w:r w:rsidR="00897262" w:rsidRPr="00F36F29">
        <w:rPr>
          <w:b/>
          <w:bCs/>
          <w:sz w:val="22"/>
          <w:szCs w:val="22"/>
          <w:lang w:val="en-US"/>
        </w:rPr>
        <w:t xml:space="preserve"> the reasons for and the circumstances in which bureaux and country offices did not fully comply with the corporate internal control framework.</w:t>
      </w:r>
    </w:p>
    <w:p w14:paraId="3FB1CA47"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57D9ADF5" w14:textId="77777777" w:rsidTr="00BD64A1">
        <w:tc>
          <w:tcPr>
            <w:tcW w:w="2970" w:type="dxa"/>
          </w:tcPr>
          <w:p w14:paraId="22A9DAEA"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694003AB" w14:textId="15F743DA" w:rsidR="0001335B" w:rsidRPr="00F36F29" w:rsidRDefault="001124F5" w:rsidP="00BD64A1">
            <w:pPr>
              <w:pStyle w:val="SingleTxt"/>
              <w:tabs>
                <w:tab w:val="clear" w:pos="1267"/>
                <w:tab w:val="left" w:pos="209"/>
                <w:tab w:val="left" w:pos="836"/>
              </w:tabs>
              <w:spacing w:after="0" w:line="240" w:lineRule="auto"/>
              <w:ind w:left="0" w:right="27"/>
            </w:pPr>
            <w:r w:rsidRPr="00F36F29">
              <w:t>BMS/</w:t>
            </w:r>
            <w:r w:rsidR="005C2266" w:rsidRPr="00F36F29">
              <w:t>O</w:t>
            </w:r>
            <w:r w:rsidRPr="00F36F29">
              <w:t xml:space="preserve">ffice of </w:t>
            </w:r>
            <w:r w:rsidR="005C2266" w:rsidRPr="00F36F29">
              <w:t>F</w:t>
            </w:r>
            <w:r w:rsidRPr="00F36F29">
              <w:t xml:space="preserve">inancial </w:t>
            </w:r>
            <w:r w:rsidR="005C2266" w:rsidRPr="00F36F29">
              <w:t>R</w:t>
            </w:r>
            <w:r w:rsidRPr="00F36F29">
              <w:t xml:space="preserve">esource </w:t>
            </w:r>
            <w:r w:rsidR="005C2266" w:rsidRPr="00F36F29">
              <w:t>M</w:t>
            </w:r>
            <w:r w:rsidRPr="00F36F29">
              <w:t>anagement</w:t>
            </w:r>
            <w:r w:rsidR="005C2266" w:rsidRPr="00F36F29">
              <w:t xml:space="preserve"> and Regional Bureau</w:t>
            </w:r>
            <w:r w:rsidR="0089519B" w:rsidRPr="00F36F29">
              <w:t>x</w:t>
            </w:r>
          </w:p>
        </w:tc>
      </w:tr>
      <w:tr w:rsidR="00F36F29" w:rsidRPr="00F36F29" w14:paraId="05CC7EE1" w14:textId="77777777" w:rsidTr="00BD64A1">
        <w:tc>
          <w:tcPr>
            <w:tcW w:w="2970" w:type="dxa"/>
          </w:tcPr>
          <w:p w14:paraId="54F36CFD"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19A90FB6" w14:textId="3C02A7B3" w:rsidR="0001335B" w:rsidRPr="00F36F29" w:rsidRDefault="00D90EF6" w:rsidP="00BD64A1">
            <w:pPr>
              <w:pStyle w:val="SingleTxt"/>
              <w:tabs>
                <w:tab w:val="clear" w:pos="1267"/>
                <w:tab w:val="left" w:pos="209"/>
                <w:tab w:val="left" w:pos="836"/>
              </w:tabs>
              <w:spacing w:after="0" w:line="240" w:lineRule="auto"/>
              <w:ind w:left="0" w:right="27"/>
            </w:pPr>
            <w:r>
              <w:t>Implemented</w:t>
            </w:r>
          </w:p>
        </w:tc>
      </w:tr>
      <w:tr w:rsidR="0001335B" w:rsidRPr="00F36F29" w14:paraId="2FC728A6" w14:textId="77777777" w:rsidTr="00BD64A1">
        <w:tc>
          <w:tcPr>
            <w:tcW w:w="2970" w:type="dxa"/>
          </w:tcPr>
          <w:p w14:paraId="0C3764D4"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4423E2F8" w14:textId="094BC824" w:rsidR="0001335B" w:rsidRPr="00F36F29" w:rsidRDefault="005C2266" w:rsidP="00BD64A1">
            <w:pPr>
              <w:pStyle w:val="SingleTxt"/>
              <w:tabs>
                <w:tab w:val="clear" w:pos="1267"/>
                <w:tab w:val="left" w:pos="209"/>
                <w:tab w:val="left" w:pos="836"/>
              </w:tabs>
              <w:spacing w:after="0" w:line="240" w:lineRule="auto"/>
              <w:ind w:left="0" w:right="27"/>
            </w:pPr>
            <w:r w:rsidRPr="00F36F29">
              <w:t>Q</w:t>
            </w:r>
            <w:r w:rsidR="00D90EF6">
              <w:t>3</w:t>
            </w:r>
            <w:r w:rsidR="00E80901" w:rsidRPr="00F36F29">
              <w:t>, 2020</w:t>
            </w:r>
          </w:p>
        </w:tc>
      </w:tr>
    </w:tbl>
    <w:p w14:paraId="066F3902"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2B1F9C38" w14:textId="3B49CE6B" w:rsidR="007503E4" w:rsidRDefault="00403E37"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Pr>
          <w:sz w:val="22"/>
          <w:szCs w:val="22"/>
        </w:rPr>
        <w:t>UNDP</w:t>
      </w:r>
      <w:r w:rsidRPr="00403E37">
        <w:rPr>
          <w:sz w:val="22"/>
          <w:szCs w:val="22"/>
        </w:rPr>
        <w:t xml:space="preserve"> is reviewing all cases of non-compliance by </w:t>
      </w:r>
      <w:r>
        <w:rPr>
          <w:sz w:val="22"/>
          <w:szCs w:val="22"/>
        </w:rPr>
        <w:t>Regional Bureaus</w:t>
      </w:r>
      <w:r w:rsidRPr="00403E37">
        <w:rPr>
          <w:sz w:val="22"/>
          <w:szCs w:val="22"/>
        </w:rPr>
        <w:t xml:space="preserve"> and </w:t>
      </w:r>
      <w:r>
        <w:rPr>
          <w:sz w:val="22"/>
          <w:szCs w:val="22"/>
        </w:rPr>
        <w:t>country offices</w:t>
      </w:r>
      <w:r w:rsidRPr="00403E37">
        <w:rPr>
          <w:sz w:val="22"/>
          <w:szCs w:val="22"/>
        </w:rPr>
        <w:t xml:space="preserve"> identified by the audi</w:t>
      </w:r>
      <w:r>
        <w:rPr>
          <w:sz w:val="22"/>
          <w:szCs w:val="22"/>
        </w:rPr>
        <w:t>t</w:t>
      </w:r>
      <w:r w:rsidRPr="00403E37">
        <w:rPr>
          <w:sz w:val="22"/>
          <w:szCs w:val="22"/>
        </w:rPr>
        <w:t xml:space="preserve">ors, and new cases which have arisen since the audit was performed. </w:t>
      </w:r>
      <w:r>
        <w:rPr>
          <w:sz w:val="22"/>
          <w:szCs w:val="22"/>
        </w:rPr>
        <w:t>UNDP</w:t>
      </w:r>
      <w:r w:rsidRPr="00403E37">
        <w:rPr>
          <w:sz w:val="22"/>
          <w:szCs w:val="22"/>
        </w:rPr>
        <w:t xml:space="preserve"> is taking corrective action via automating segregation of duties where possible or implementing detective control of reviewing cases of non-compliance. </w:t>
      </w:r>
    </w:p>
    <w:p w14:paraId="053FC446" w14:textId="77777777" w:rsidR="00403E37" w:rsidRPr="00F36F29" w:rsidRDefault="00403E37"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0C115644" w14:textId="26D26905"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9401E2" w:rsidRPr="00F36F29">
        <w:rPr>
          <w:b/>
          <w:bCs/>
          <w:sz w:val="22"/>
          <w:szCs w:val="22"/>
          <w:lang w:val="en-US"/>
        </w:rPr>
        <w:t>135</w:t>
      </w:r>
      <w:r w:rsidRPr="00F36F29">
        <w:rPr>
          <w:b/>
          <w:bCs/>
          <w:sz w:val="22"/>
          <w:szCs w:val="22"/>
          <w:lang w:val="en-US"/>
        </w:rPr>
        <w:t>, the Board</w:t>
      </w:r>
      <w:r w:rsidR="009401E2" w:rsidRPr="00F36F29">
        <w:rPr>
          <w:b/>
          <w:bCs/>
          <w:sz w:val="22"/>
          <w:szCs w:val="22"/>
          <w:lang w:val="en-US"/>
        </w:rPr>
        <w:t xml:space="preserve"> recommends that UNDP develop an adequate project outline with appropriate timelines and budgets for the planning phase involved in a complex multi-year project to introduce a new enterprise resource planning system.</w:t>
      </w:r>
    </w:p>
    <w:p w14:paraId="102735AA"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67104B37" w14:textId="77777777" w:rsidTr="00BD64A1">
        <w:tc>
          <w:tcPr>
            <w:tcW w:w="2970" w:type="dxa"/>
          </w:tcPr>
          <w:p w14:paraId="4B426EC2"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4E9FE490" w14:textId="5C813E43" w:rsidR="0001335B" w:rsidRPr="00F36F29" w:rsidRDefault="00201D36" w:rsidP="00BD64A1">
            <w:pPr>
              <w:pStyle w:val="SingleTxt"/>
              <w:tabs>
                <w:tab w:val="clear" w:pos="1267"/>
                <w:tab w:val="left" w:pos="209"/>
                <w:tab w:val="left" w:pos="836"/>
              </w:tabs>
              <w:spacing w:after="0" w:line="240" w:lineRule="auto"/>
              <w:ind w:left="0" w:right="27"/>
            </w:pPr>
            <w:r w:rsidRPr="00F36F29">
              <w:t xml:space="preserve">BMS/ </w:t>
            </w:r>
            <w:r w:rsidR="00F307AD" w:rsidRPr="00F36F29">
              <w:t>O</w:t>
            </w:r>
            <w:r w:rsidR="001124F5" w:rsidRPr="00F36F29">
              <w:t>ffice of I</w:t>
            </w:r>
            <w:r w:rsidR="007A6612" w:rsidRPr="00F36F29">
              <w:t>nformation and Management Technology</w:t>
            </w:r>
          </w:p>
        </w:tc>
      </w:tr>
      <w:tr w:rsidR="00F36F29" w:rsidRPr="00F36F29" w14:paraId="7663E70B" w14:textId="77777777" w:rsidTr="00BD64A1">
        <w:tc>
          <w:tcPr>
            <w:tcW w:w="2970" w:type="dxa"/>
          </w:tcPr>
          <w:p w14:paraId="77227430"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7FD05543" w14:textId="27503304" w:rsidR="0001335B" w:rsidRPr="00F36F29" w:rsidRDefault="0001335B" w:rsidP="00BD64A1">
            <w:pPr>
              <w:pStyle w:val="SingleTxt"/>
              <w:tabs>
                <w:tab w:val="clear" w:pos="1267"/>
                <w:tab w:val="left" w:pos="209"/>
                <w:tab w:val="left" w:pos="836"/>
              </w:tabs>
              <w:spacing w:after="0" w:line="240" w:lineRule="auto"/>
              <w:ind w:left="0" w:right="27"/>
            </w:pPr>
            <w:r w:rsidRPr="00F36F29">
              <w:t>I</w:t>
            </w:r>
            <w:r w:rsidR="00885FD4">
              <w:t>mplemented</w:t>
            </w:r>
          </w:p>
        </w:tc>
      </w:tr>
      <w:tr w:rsidR="0001335B" w:rsidRPr="00F36F29" w14:paraId="07A35A09" w14:textId="77777777" w:rsidTr="00BD64A1">
        <w:tc>
          <w:tcPr>
            <w:tcW w:w="2970" w:type="dxa"/>
          </w:tcPr>
          <w:p w14:paraId="1E6FA801"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3C8CFBC4" w14:textId="06AE065E" w:rsidR="0001335B" w:rsidRPr="00F36F29" w:rsidRDefault="00F307AD" w:rsidP="00BD64A1">
            <w:pPr>
              <w:pStyle w:val="SingleTxt"/>
              <w:tabs>
                <w:tab w:val="clear" w:pos="1267"/>
                <w:tab w:val="left" w:pos="209"/>
                <w:tab w:val="left" w:pos="836"/>
              </w:tabs>
              <w:spacing w:after="0" w:line="240" w:lineRule="auto"/>
              <w:ind w:left="0" w:right="27"/>
            </w:pPr>
            <w:r w:rsidRPr="00F36F29">
              <w:t>Q</w:t>
            </w:r>
            <w:r w:rsidR="00885FD4">
              <w:t>3</w:t>
            </w:r>
            <w:r w:rsidR="00071D20" w:rsidRPr="00F36F29">
              <w:t>, 202</w:t>
            </w:r>
            <w:r w:rsidR="00885FD4">
              <w:t>0</w:t>
            </w:r>
          </w:p>
        </w:tc>
      </w:tr>
    </w:tbl>
    <w:p w14:paraId="20C1B7DB"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42B702F5" w14:textId="4662E0FA"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885FD4">
        <w:rPr>
          <w:sz w:val="22"/>
          <w:szCs w:val="22"/>
        </w:rPr>
        <w:t xml:space="preserve">has implemented this recommendation. </w:t>
      </w:r>
    </w:p>
    <w:p w14:paraId="32D37038"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01F945E7" w14:textId="763D1818"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164EA1" w:rsidRPr="00F36F29">
        <w:rPr>
          <w:b/>
          <w:bCs/>
          <w:sz w:val="22"/>
          <w:szCs w:val="22"/>
          <w:lang w:val="en-US"/>
        </w:rPr>
        <w:t>136</w:t>
      </w:r>
      <w:r w:rsidRPr="00F36F29">
        <w:rPr>
          <w:b/>
          <w:bCs/>
          <w:sz w:val="22"/>
          <w:szCs w:val="22"/>
          <w:lang w:val="en-US"/>
        </w:rPr>
        <w:t>, the Board</w:t>
      </w:r>
      <w:r w:rsidR="00164EA1" w:rsidRPr="00F36F29">
        <w:rPr>
          <w:b/>
          <w:bCs/>
          <w:sz w:val="22"/>
          <w:szCs w:val="22"/>
          <w:lang w:val="en-US"/>
        </w:rPr>
        <w:t xml:space="preserve"> reiterates its recommendation that UNDP on the basis of the above analysis further refine its internal control framework and further recommends that UNDP streamline its internal control framework documentation in the operational guide to strengthen its implementation.</w:t>
      </w:r>
    </w:p>
    <w:p w14:paraId="52FB5AAD"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5EF242FC" w14:textId="77777777" w:rsidTr="00BD64A1">
        <w:tc>
          <w:tcPr>
            <w:tcW w:w="2970" w:type="dxa"/>
          </w:tcPr>
          <w:p w14:paraId="0FD27BB0"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18DFDB71" w14:textId="7CFDB218" w:rsidR="0001335B" w:rsidRPr="00F36F29" w:rsidRDefault="007A6612" w:rsidP="00BD64A1">
            <w:pPr>
              <w:pStyle w:val="SingleTxt"/>
              <w:tabs>
                <w:tab w:val="clear" w:pos="1267"/>
                <w:tab w:val="left" w:pos="209"/>
                <w:tab w:val="left" w:pos="836"/>
              </w:tabs>
              <w:spacing w:after="0" w:line="240" w:lineRule="auto"/>
              <w:ind w:left="0" w:right="27"/>
            </w:pPr>
            <w:r w:rsidRPr="00F36F29">
              <w:t>BMS/</w:t>
            </w:r>
            <w:r w:rsidR="00DA533C" w:rsidRPr="00F36F29">
              <w:t>O</w:t>
            </w:r>
            <w:r w:rsidRPr="00F36F29">
              <w:t xml:space="preserve">ffice of </w:t>
            </w:r>
            <w:r w:rsidR="00DA533C" w:rsidRPr="00F36F29">
              <w:t>F</w:t>
            </w:r>
            <w:r w:rsidRPr="00F36F29">
              <w:t xml:space="preserve">inancial </w:t>
            </w:r>
            <w:r w:rsidR="00DA533C" w:rsidRPr="00F36F29">
              <w:t>R</w:t>
            </w:r>
            <w:r w:rsidRPr="00F36F29">
              <w:t xml:space="preserve">esources </w:t>
            </w:r>
            <w:r w:rsidR="00DA533C" w:rsidRPr="00F36F29">
              <w:t>M</w:t>
            </w:r>
            <w:r w:rsidRPr="00F36F29">
              <w:t>anagement</w:t>
            </w:r>
          </w:p>
        </w:tc>
      </w:tr>
      <w:tr w:rsidR="00F36F29" w:rsidRPr="00F36F29" w14:paraId="0E53AA7C" w14:textId="77777777" w:rsidTr="00BD64A1">
        <w:tc>
          <w:tcPr>
            <w:tcW w:w="2970" w:type="dxa"/>
          </w:tcPr>
          <w:p w14:paraId="0F009B96"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255D7B65" w14:textId="79070BD4" w:rsidR="0001335B" w:rsidRPr="00F36F29" w:rsidRDefault="007156BA" w:rsidP="00BD64A1">
            <w:pPr>
              <w:pStyle w:val="SingleTxt"/>
              <w:tabs>
                <w:tab w:val="clear" w:pos="1267"/>
                <w:tab w:val="left" w:pos="209"/>
                <w:tab w:val="left" w:pos="836"/>
              </w:tabs>
              <w:spacing w:after="0" w:line="240" w:lineRule="auto"/>
              <w:ind w:left="0" w:right="27"/>
            </w:pPr>
            <w:r>
              <w:t>Implemented</w:t>
            </w:r>
          </w:p>
        </w:tc>
      </w:tr>
      <w:tr w:rsidR="0001335B" w:rsidRPr="00F36F29" w14:paraId="2C6F9A26" w14:textId="77777777" w:rsidTr="00BD64A1">
        <w:tc>
          <w:tcPr>
            <w:tcW w:w="2970" w:type="dxa"/>
          </w:tcPr>
          <w:p w14:paraId="14DB49B7"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lastRenderedPageBreak/>
              <w:t>Target date:</w:t>
            </w:r>
          </w:p>
        </w:tc>
        <w:tc>
          <w:tcPr>
            <w:tcW w:w="5033" w:type="dxa"/>
          </w:tcPr>
          <w:p w14:paraId="3BA7B8F6" w14:textId="0B690AAF" w:rsidR="0001335B" w:rsidRPr="00F36F29" w:rsidRDefault="00DA533C" w:rsidP="00BD64A1">
            <w:pPr>
              <w:pStyle w:val="SingleTxt"/>
              <w:tabs>
                <w:tab w:val="clear" w:pos="1267"/>
                <w:tab w:val="left" w:pos="209"/>
                <w:tab w:val="left" w:pos="836"/>
              </w:tabs>
              <w:spacing w:after="0" w:line="240" w:lineRule="auto"/>
              <w:ind w:left="0" w:right="27"/>
            </w:pPr>
            <w:r w:rsidRPr="00F36F29">
              <w:t>Q</w:t>
            </w:r>
            <w:r w:rsidR="007156BA">
              <w:t>3</w:t>
            </w:r>
            <w:r w:rsidRPr="00F36F29">
              <w:t>, 2020</w:t>
            </w:r>
          </w:p>
        </w:tc>
      </w:tr>
    </w:tbl>
    <w:p w14:paraId="5079630B"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5BD98286" w14:textId="54EBF8E6"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6A167D" w:rsidRPr="006A167D">
        <w:rPr>
          <w:sz w:val="22"/>
          <w:szCs w:val="22"/>
        </w:rPr>
        <w:t>has updated the I</w:t>
      </w:r>
      <w:r w:rsidR="006A167D">
        <w:rPr>
          <w:sz w:val="22"/>
          <w:szCs w:val="22"/>
        </w:rPr>
        <w:t>nternal Control Framework</w:t>
      </w:r>
      <w:r w:rsidR="006A167D" w:rsidRPr="006A167D">
        <w:rPr>
          <w:sz w:val="22"/>
          <w:szCs w:val="22"/>
        </w:rPr>
        <w:t xml:space="preserve"> </w:t>
      </w:r>
      <w:r w:rsidR="00D90EF6">
        <w:rPr>
          <w:sz w:val="22"/>
          <w:szCs w:val="22"/>
        </w:rPr>
        <w:t xml:space="preserve">(ICF) </w:t>
      </w:r>
      <w:r w:rsidR="006A167D" w:rsidRPr="006A167D">
        <w:rPr>
          <w:sz w:val="22"/>
          <w:szCs w:val="22"/>
        </w:rPr>
        <w:t xml:space="preserve">to reflect changes noted by UNBOA, and sent communication to all Cos and </w:t>
      </w:r>
      <w:proofErr w:type="spellStart"/>
      <w:r w:rsidR="006A167D" w:rsidRPr="006A167D">
        <w:rPr>
          <w:sz w:val="22"/>
          <w:szCs w:val="22"/>
        </w:rPr>
        <w:t>RBx</w:t>
      </w:r>
      <w:proofErr w:type="spellEnd"/>
      <w:r w:rsidR="006A167D" w:rsidRPr="006A167D">
        <w:rPr>
          <w:sz w:val="22"/>
          <w:szCs w:val="22"/>
        </w:rPr>
        <w:t xml:space="preserve"> in July. </w:t>
      </w:r>
      <w:r w:rsidR="007156BA">
        <w:rPr>
          <w:sz w:val="22"/>
          <w:szCs w:val="22"/>
        </w:rPr>
        <w:t>UNDP has further sent</w:t>
      </w:r>
      <w:r w:rsidR="006A167D" w:rsidRPr="006A167D">
        <w:rPr>
          <w:sz w:val="22"/>
          <w:szCs w:val="22"/>
        </w:rPr>
        <w:t xml:space="preserve"> another global communication to </w:t>
      </w:r>
      <w:proofErr w:type="spellStart"/>
      <w:r w:rsidR="006A167D" w:rsidRPr="006A167D">
        <w:rPr>
          <w:sz w:val="22"/>
          <w:szCs w:val="22"/>
        </w:rPr>
        <w:t>RBx</w:t>
      </w:r>
      <w:proofErr w:type="spellEnd"/>
      <w:r w:rsidR="006A167D" w:rsidRPr="006A167D">
        <w:rPr>
          <w:sz w:val="22"/>
          <w:szCs w:val="22"/>
        </w:rPr>
        <w:t xml:space="preserve"> to remind </w:t>
      </w:r>
      <w:proofErr w:type="spellStart"/>
      <w:r w:rsidR="006A167D" w:rsidRPr="006A167D">
        <w:rPr>
          <w:sz w:val="22"/>
          <w:szCs w:val="22"/>
        </w:rPr>
        <w:t>Bx</w:t>
      </w:r>
      <w:proofErr w:type="spellEnd"/>
      <w:r w:rsidR="006A167D" w:rsidRPr="006A167D">
        <w:rPr>
          <w:sz w:val="22"/>
          <w:szCs w:val="22"/>
        </w:rPr>
        <w:t xml:space="preserve"> and COs to comply with the new changes in ICF.</w:t>
      </w:r>
    </w:p>
    <w:p w14:paraId="24C04C26"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42712D3D" w14:textId="6821C5ED"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070D6B" w:rsidRPr="00F36F29">
        <w:rPr>
          <w:b/>
          <w:bCs/>
          <w:sz w:val="22"/>
          <w:szCs w:val="22"/>
          <w:lang w:val="en-US"/>
        </w:rPr>
        <w:t>148</w:t>
      </w:r>
      <w:r w:rsidRPr="00F36F29">
        <w:rPr>
          <w:b/>
          <w:bCs/>
          <w:sz w:val="22"/>
          <w:szCs w:val="22"/>
          <w:lang w:val="en-US"/>
        </w:rPr>
        <w:t>, the Board</w:t>
      </w:r>
      <w:r w:rsidR="00070D6B" w:rsidRPr="00F36F29">
        <w:rPr>
          <w:b/>
          <w:bCs/>
          <w:sz w:val="22"/>
          <w:szCs w:val="22"/>
          <w:lang w:val="en-US"/>
        </w:rPr>
        <w:t xml:space="preserve"> recommends that UNDP assess applying good practices such as rotation of tasks amongst personnel in contexts where a higher risk of fraudulent acts had been identified.</w:t>
      </w:r>
    </w:p>
    <w:p w14:paraId="0AE15FD8"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52B8E687" w14:textId="77777777" w:rsidTr="00BD64A1">
        <w:tc>
          <w:tcPr>
            <w:tcW w:w="2970" w:type="dxa"/>
          </w:tcPr>
          <w:p w14:paraId="03269D6A"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7B71AAF8" w14:textId="7C72780A" w:rsidR="0001335B" w:rsidRPr="00F36F29" w:rsidRDefault="007A6612" w:rsidP="00BD64A1">
            <w:pPr>
              <w:pStyle w:val="SingleTxt"/>
              <w:tabs>
                <w:tab w:val="clear" w:pos="1267"/>
                <w:tab w:val="left" w:pos="209"/>
                <w:tab w:val="left" w:pos="836"/>
              </w:tabs>
              <w:spacing w:after="0" w:line="240" w:lineRule="auto"/>
              <w:ind w:left="0" w:right="27"/>
            </w:pPr>
            <w:r w:rsidRPr="00F36F29">
              <w:t>BMS/</w:t>
            </w:r>
            <w:r w:rsidR="00DA533C" w:rsidRPr="00F36F29">
              <w:t>P</w:t>
            </w:r>
            <w:r w:rsidRPr="00F36F29">
              <w:t xml:space="preserve">rocurement </w:t>
            </w:r>
            <w:r w:rsidR="00DA533C" w:rsidRPr="00F36F29">
              <w:t>S</w:t>
            </w:r>
            <w:r w:rsidRPr="00F36F29">
              <w:t xml:space="preserve">ourcing </w:t>
            </w:r>
            <w:r w:rsidR="00DA533C" w:rsidRPr="00F36F29">
              <w:t>U</w:t>
            </w:r>
            <w:r w:rsidRPr="00F36F29">
              <w:t>nit</w:t>
            </w:r>
            <w:r w:rsidR="00BA7F0E" w:rsidRPr="00F36F29">
              <w:t>. OHR</w:t>
            </w:r>
            <w:r w:rsidR="00F57794" w:rsidRPr="00F36F29">
              <w:t xml:space="preserve"> and</w:t>
            </w:r>
            <w:r w:rsidR="00DA533C" w:rsidRPr="00F36F29">
              <w:t xml:space="preserve"> </w:t>
            </w:r>
            <w:r w:rsidRPr="00F36F29">
              <w:t>Global Shared Services Unit</w:t>
            </w:r>
          </w:p>
        </w:tc>
      </w:tr>
      <w:tr w:rsidR="00F36F29" w:rsidRPr="00F36F29" w14:paraId="6DCC7FCB" w14:textId="77777777" w:rsidTr="00BD64A1">
        <w:tc>
          <w:tcPr>
            <w:tcW w:w="2970" w:type="dxa"/>
          </w:tcPr>
          <w:p w14:paraId="1A70B252"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7075AF21" w14:textId="77777777" w:rsidR="0001335B" w:rsidRPr="00F36F29" w:rsidRDefault="0001335B" w:rsidP="00BD64A1">
            <w:pPr>
              <w:pStyle w:val="SingleTxt"/>
              <w:tabs>
                <w:tab w:val="clear" w:pos="1267"/>
                <w:tab w:val="left" w:pos="209"/>
                <w:tab w:val="left" w:pos="836"/>
              </w:tabs>
              <w:spacing w:after="0" w:line="240" w:lineRule="auto"/>
              <w:ind w:left="0" w:right="27"/>
            </w:pPr>
            <w:r w:rsidRPr="00F36F29">
              <w:t>In progress</w:t>
            </w:r>
          </w:p>
        </w:tc>
      </w:tr>
      <w:tr w:rsidR="0001335B" w:rsidRPr="00F36F29" w14:paraId="00A9E930" w14:textId="77777777" w:rsidTr="00BD64A1">
        <w:tc>
          <w:tcPr>
            <w:tcW w:w="2970" w:type="dxa"/>
          </w:tcPr>
          <w:p w14:paraId="78D9EA39"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5AFB95AD" w14:textId="4BCCAA83" w:rsidR="0001335B" w:rsidRPr="00F36F29" w:rsidRDefault="00BB5016" w:rsidP="00BD64A1">
            <w:pPr>
              <w:pStyle w:val="SingleTxt"/>
              <w:tabs>
                <w:tab w:val="clear" w:pos="1267"/>
                <w:tab w:val="left" w:pos="209"/>
                <w:tab w:val="left" w:pos="836"/>
              </w:tabs>
              <w:spacing w:after="0" w:line="240" w:lineRule="auto"/>
              <w:ind w:left="0" w:right="27"/>
            </w:pPr>
            <w:r w:rsidRPr="00F36F29">
              <w:t>Q</w:t>
            </w:r>
            <w:r w:rsidR="00D62E7D">
              <w:t>1</w:t>
            </w:r>
            <w:r w:rsidRPr="00F36F29">
              <w:t>, 202</w:t>
            </w:r>
            <w:r w:rsidR="000A41EB" w:rsidRPr="00F36F29">
              <w:t>1</w:t>
            </w:r>
          </w:p>
        </w:tc>
      </w:tr>
    </w:tbl>
    <w:p w14:paraId="11639A07"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3518ABE0" w14:textId="21020AB2" w:rsidR="0001335B" w:rsidRPr="00F36F29" w:rsidRDefault="0001335B" w:rsidP="00D62E7D">
      <w:pPr>
        <w:pStyle w:val="SingleTxt"/>
        <w:spacing w:line="240" w:lineRule="auto"/>
        <w:ind w:left="720" w:right="29"/>
        <w:rPr>
          <w:sz w:val="22"/>
          <w:szCs w:val="22"/>
        </w:rPr>
      </w:pPr>
      <w:r w:rsidRPr="00F36F29">
        <w:rPr>
          <w:sz w:val="22"/>
          <w:szCs w:val="22"/>
        </w:rPr>
        <w:t xml:space="preserve">UNDP </w:t>
      </w:r>
      <w:r w:rsidR="007F4B8B" w:rsidRPr="007F4B8B">
        <w:rPr>
          <w:sz w:val="22"/>
          <w:szCs w:val="22"/>
        </w:rPr>
        <w:t xml:space="preserve">GSSU Finance unit has </w:t>
      </w:r>
      <w:r w:rsidR="00484A0B">
        <w:rPr>
          <w:sz w:val="22"/>
          <w:szCs w:val="22"/>
        </w:rPr>
        <w:t>s</w:t>
      </w:r>
      <w:r w:rsidR="007F4B8B" w:rsidRPr="007F4B8B">
        <w:rPr>
          <w:sz w:val="22"/>
          <w:szCs w:val="22"/>
        </w:rPr>
        <w:t xml:space="preserve">tarted offering staff the opportunity to rotate within GSSU units for capacity building. This process will be systemized to ensure that staff have a maximum time spent in a position. Thus, reducing the risk of fraud while allowing staff to have an end-to-end view of all Finance processes. A rotation guideline will be developed </w:t>
      </w:r>
      <w:r w:rsidR="00D62E7D">
        <w:rPr>
          <w:sz w:val="22"/>
          <w:szCs w:val="22"/>
        </w:rPr>
        <w:t>by Q1, 2021</w:t>
      </w:r>
      <w:r w:rsidR="007F4B8B" w:rsidRPr="007F4B8B">
        <w:rPr>
          <w:sz w:val="22"/>
          <w:szCs w:val="22"/>
        </w:rPr>
        <w:t>.</w:t>
      </w:r>
    </w:p>
    <w:p w14:paraId="2CDF01D1"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0E869199" w14:textId="27D50A3A" w:rsidR="0001335B" w:rsidRPr="00B1185C"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B1185C">
        <w:rPr>
          <w:b/>
          <w:bCs/>
          <w:sz w:val="22"/>
          <w:szCs w:val="22"/>
          <w:lang w:val="en-US"/>
        </w:rPr>
        <w:t xml:space="preserve">In paragraph </w:t>
      </w:r>
      <w:r w:rsidR="00796A8A" w:rsidRPr="00B1185C">
        <w:rPr>
          <w:b/>
          <w:bCs/>
          <w:sz w:val="22"/>
          <w:szCs w:val="22"/>
          <w:lang w:val="en-US"/>
        </w:rPr>
        <w:t>1</w:t>
      </w:r>
      <w:r w:rsidRPr="00B1185C">
        <w:rPr>
          <w:b/>
          <w:bCs/>
          <w:sz w:val="22"/>
          <w:szCs w:val="22"/>
          <w:lang w:val="en-US"/>
        </w:rPr>
        <w:t>5</w:t>
      </w:r>
      <w:r w:rsidR="00796A8A" w:rsidRPr="00B1185C">
        <w:rPr>
          <w:b/>
          <w:bCs/>
          <w:sz w:val="22"/>
          <w:szCs w:val="22"/>
          <w:lang w:val="en-US"/>
        </w:rPr>
        <w:t>3</w:t>
      </w:r>
      <w:r w:rsidRPr="00B1185C">
        <w:rPr>
          <w:b/>
          <w:bCs/>
          <w:sz w:val="22"/>
          <w:szCs w:val="22"/>
          <w:lang w:val="en-US"/>
        </w:rPr>
        <w:t>, the Board</w:t>
      </w:r>
      <w:r w:rsidR="00796A8A" w:rsidRPr="00B1185C">
        <w:rPr>
          <w:b/>
          <w:bCs/>
          <w:sz w:val="22"/>
          <w:szCs w:val="22"/>
          <w:lang w:val="en-US"/>
        </w:rPr>
        <w:t xml:space="preserve"> recommends that UNDP record the vehicles not yet included in the enterprise resource planning system in compliance with IPSAS 17: Property, plant and equipment.</w:t>
      </w:r>
    </w:p>
    <w:p w14:paraId="5B8C54EA" w14:textId="77777777" w:rsidR="0001335B" w:rsidRPr="00B1185C"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B1185C" w14:paraId="3508B483" w14:textId="77777777" w:rsidTr="00BD64A1">
        <w:tc>
          <w:tcPr>
            <w:tcW w:w="2970" w:type="dxa"/>
          </w:tcPr>
          <w:p w14:paraId="31A26B4A" w14:textId="77777777" w:rsidR="0001335B" w:rsidRPr="00B1185C" w:rsidRDefault="0001335B" w:rsidP="00BD64A1">
            <w:pPr>
              <w:pStyle w:val="SingleTxt"/>
              <w:tabs>
                <w:tab w:val="clear" w:pos="1267"/>
                <w:tab w:val="left" w:pos="209"/>
                <w:tab w:val="left" w:pos="836"/>
              </w:tabs>
              <w:spacing w:after="0" w:line="240" w:lineRule="auto"/>
              <w:ind w:left="0" w:right="29"/>
              <w:rPr>
                <w:i/>
              </w:rPr>
            </w:pPr>
            <w:r w:rsidRPr="00B1185C">
              <w:rPr>
                <w:i/>
              </w:rPr>
              <w:t>Department(s) responsible:</w:t>
            </w:r>
          </w:p>
        </w:tc>
        <w:tc>
          <w:tcPr>
            <w:tcW w:w="5033" w:type="dxa"/>
          </w:tcPr>
          <w:p w14:paraId="3EFAC29C" w14:textId="3CF717D1" w:rsidR="0001335B" w:rsidRPr="00B1185C" w:rsidRDefault="00BB5016" w:rsidP="00BD64A1">
            <w:pPr>
              <w:pStyle w:val="SingleTxt"/>
              <w:tabs>
                <w:tab w:val="clear" w:pos="1267"/>
                <w:tab w:val="left" w:pos="209"/>
                <w:tab w:val="left" w:pos="836"/>
              </w:tabs>
              <w:spacing w:after="0" w:line="240" w:lineRule="auto"/>
              <w:ind w:left="0" w:right="27"/>
            </w:pPr>
            <w:r w:rsidRPr="00B1185C">
              <w:t>Regional Bureau</w:t>
            </w:r>
            <w:r w:rsidR="0089519B" w:rsidRPr="00B1185C">
              <w:t>x</w:t>
            </w:r>
          </w:p>
        </w:tc>
      </w:tr>
      <w:tr w:rsidR="00F36F29" w:rsidRPr="00B1185C" w14:paraId="18581A29" w14:textId="77777777" w:rsidTr="00BD64A1">
        <w:tc>
          <w:tcPr>
            <w:tcW w:w="2970" w:type="dxa"/>
          </w:tcPr>
          <w:p w14:paraId="2A01D743" w14:textId="77777777" w:rsidR="0001335B" w:rsidRPr="00B1185C" w:rsidRDefault="0001335B" w:rsidP="00BD64A1">
            <w:pPr>
              <w:pStyle w:val="SingleTxt"/>
              <w:tabs>
                <w:tab w:val="clear" w:pos="1267"/>
                <w:tab w:val="left" w:pos="209"/>
                <w:tab w:val="left" w:pos="836"/>
              </w:tabs>
              <w:spacing w:after="0" w:line="240" w:lineRule="auto"/>
              <w:ind w:left="0" w:right="27"/>
              <w:rPr>
                <w:i/>
              </w:rPr>
            </w:pPr>
            <w:r w:rsidRPr="00B1185C">
              <w:rPr>
                <w:i/>
              </w:rPr>
              <w:t>Status:</w:t>
            </w:r>
          </w:p>
        </w:tc>
        <w:tc>
          <w:tcPr>
            <w:tcW w:w="5033" w:type="dxa"/>
          </w:tcPr>
          <w:p w14:paraId="23ABFEBB" w14:textId="08A23A2D" w:rsidR="0001335B" w:rsidRPr="00B1185C" w:rsidRDefault="0018394A" w:rsidP="00BD64A1">
            <w:pPr>
              <w:pStyle w:val="SingleTxt"/>
              <w:tabs>
                <w:tab w:val="clear" w:pos="1267"/>
                <w:tab w:val="left" w:pos="209"/>
                <w:tab w:val="left" w:pos="836"/>
              </w:tabs>
              <w:spacing w:after="0" w:line="240" w:lineRule="auto"/>
              <w:ind w:left="0" w:right="27"/>
            </w:pPr>
            <w:r>
              <w:t xml:space="preserve">In progress </w:t>
            </w:r>
          </w:p>
        </w:tc>
      </w:tr>
      <w:tr w:rsidR="0001335B" w:rsidRPr="00B1185C" w14:paraId="0D6D40A5" w14:textId="77777777" w:rsidTr="00BD64A1">
        <w:tc>
          <w:tcPr>
            <w:tcW w:w="2970" w:type="dxa"/>
          </w:tcPr>
          <w:p w14:paraId="1FDB6927" w14:textId="77777777" w:rsidR="0001335B" w:rsidRPr="00B1185C" w:rsidRDefault="0001335B" w:rsidP="00BD64A1">
            <w:pPr>
              <w:pStyle w:val="SingleTxt"/>
              <w:tabs>
                <w:tab w:val="clear" w:pos="1267"/>
                <w:tab w:val="left" w:pos="209"/>
                <w:tab w:val="left" w:pos="836"/>
              </w:tabs>
              <w:spacing w:after="0" w:line="240" w:lineRule="auto"/>
              <w:ind w:left="0" w:right="27"/>
              <w:rPr>
                <w:i/>
              </w:rPr>
            </w:pPr>
            <w:r w:rsidRPr="00B1185C">
              <w:rPr>
                <w:i/>
              </w:rPr>
              <w:t>Target date:</w:t>
            </w:r>
          </w:p>
        </w:tc>
        <w:tc>
          <w:tcPr>
            <w:tcW w:w="5033" w:type="dxa"/>
          </w:tcPr>
          <w:p w14:paraId="3F5DD2D0" w14:textId="2C66ED2B" w:rsidR="0001335B" w:rsidRPr="00B1185C" w:rsidRDefault="00BB5016" w:rsidP="00BD64A1">
            <w:pPr>
              <w:pStyle w:val="SingleTxt"/>
              <w:tabs>
                <w:tab w:val="clear" w:pos="1267"/>
                <w:tab w:val="left" w:pos="209"/>
                <w:tab w:val="left" w:pos="836"/>
              </w:tabs>
              <w:spacing w:after="0" w:line="240" w:lineRule="auto"/>
              <w:ind w:left="0" w:right="27"/>
            </w:pPr>
            <w:r w:rsidRPr="00B1185C">
              <w:t>Q</w:t>
            </w:r>
            <w:r w:rsidR="00BE6C14" w:rsidRPr="00B1185C">
              <w:t>1</w:t>
            </w:r>
            <w:r w:rsidRPr="00B1185C">
              <w:t>, 202</w:t>
            </w:r>
            <w:r w:rsidR="00BE6C14" w:rsidRPr="00B1185C">
              <w:t>1</w:t>
            </w:r>
          </w:p>
        </w:tc>
      </w:tr>
    </w:tbl>
    <w:p w14:paraId="3355AD91" w14:textId="77777777" w:rsidR="0001335B" w:rsidRPr="00B1185C"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1A775AB7" w14:textId="77777777" w:rsidR="00E040CA" w:rsidRPr="00AB7BB8" w:rsidRDefault="0018394A"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AB7BB8">
        <w:rPr>
          <w:sz w:val="22"/>
          <w:szCs w:val="22"/>
        </w:rPr>
        <w:t xml:space="preserve">UNDP </w:t>
      </w:r>
      <w:r w:rsidR="00E040CA" w:rsidRPr="00AB7BB8">
        <w:rPr>
          <w:sz w:val="22"/>
          <w:szCs w:val="22"/>
        </w:rPr>
        <w:t xml:space="preserve">office along with the regional bureau is working with the country office in question to ensure all concerned vehicles are included in the enterprise recourse planning system. </w:t>
      </w:r>
    </w:p>
    <w:p w14:paraId="118EC2AF" w14:textId="77777777" w:rsidR="007503E4" w:rsidRPr="00AB7BB8"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3B8388AB" w14:textId="5CABC662" w:rsidR="0001335B" w:rsidRPr="00AB7BB8"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AB7BB8">
        <w:rPr>
          <w:b/>
          <w:bCs/>
          <w:sz w:val="22"/>
          <w:szCs w:val="22"/>
          <w:lang w:val="en-US"/>
        </w:rPr>
        <w:t xml:space="preserve">In paragraph </w:t>
      </w:r>
      <w:r w:rsidR="003738B2" w:rsidRPr="00AB7BB8">
        <w:rPr>
          <w:b/>
          <w:bCs/>
          <w:sz w:val="22"/>
          <w:szCs w:val="22"/>
          <w:lang w:val="en-US"/>
        </w:rPr>
        <w:t>154</w:t>
      </w:r>
      <w:r w:rsidRPr="00AB7BB8">
        <w:rPr>
          <w:b/>
          <w:bCs/>
          <w:sz w:val="22"/>
          <w:szCs w:val="22"/>
          <w:lang w:val="en-US"/>
        </w:rPr>
        <w:t>, the Board</w:t>
      </w:r>
      <w:r w:rsidR="003738B2" w:rsidRPr="00AB7BB8">
        <w:rPr>
          <w:b/>
          <w:bCs/>
          <w:sz w:val="22"/>
          <w:szCs w:val="22"/>
          <w:lang w:val="en-US"/>
        </w:rPr>
        <w:t xml:space="preserve"> recommends that UNDP enhance awareness of the importance to fully comply with requirements in place to physically verify the existence and completeness of vehicles in country offices where matters of non-compliance were identified.</w:t>
      </w:r>
    </w:p>
    <w:p w14:paraId="401ED72C" w14:textId="77777777" w:rsidR="0001335B" w:rsidRPr="00AB7BB8"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AB7BB8" w14:paraId="2224B849" w14:textId="77777777" w:rsidTr="00BD64A1">
        <w:tc>
          <w:tcPr>
            <w:tcW w:w="2970" w:type="dxa"/>
          </w:tcPr>
          <w:p w14:paraId="7A317EA9" w14:textId="77777777" w:rsidR="0001335B" w:rsidRPr="00AB7BB8" w:rsidRDefault="0001335B" w:rsidP="00BD64A1">
            <w:pPr>
              <w:pStyle w:val="SingleTxt"/>
              <w:tabs>
                <w:tab w:val="clear" w:pos="1267"/>
                <w:tab w:val="left" w:pos="209"/>
                <w:tab w:val="left" w:pos="836"/>
              </w:tabs>
              <w:spacing w:after="0" w:line="240" w:lineRule="auto"/>
              <w:ind w:left="0" w:right="29"/>
              <w:rPr>
                <w:i/>
              </w:rPr>
            </w:pPr>
            <w:r w:rsidRPr="00AB7BB8">
              <w:rPr>
                <w:i/>
              </w:rPr>
              <w:t>Department(s) responsible:</w:t>
            </w:r>
          </w:p>
        </w:tc>
        <w:tc>
          <w:tcPr>
            <w:tcW w:w="5033" w:type="dxa"/>
          </w:tcPr>
          <w:p w14:paraId="57D504C4" w14:textId="79189B74" w:rsidR="0001335B" w:rsidRPr="00AB7BB8" w:rsidRDefault="007A6612" w:rsidP="00BD64A1">
            <w:pPr>
              <w:pStyle w:val="SingleTxt"/>
              <w:tabs>
                <w:tab w:val="clear" w:pos="1267"/>
                <w:tab w:val="left" w:pos="209"/>
                <w:tab w:val="left" w:pos="836"/>
              </w:tabs>
              <w:spacing w:after="0" w:line="240" w:lineRule="auto"/>
              <w:ind w:left="0" w:right="27"/>
            </w:pPr>
            <w:r w:rsidRPr="00AB7BB8">
              <w:t>BMS/ Office of Sourcing and Operations and Regional Bureau</w:t>
            </w:r>
            <w:r w:rsidR="0089519B" w:rsidRPr="00AB7BB8">
              <w:t>x</w:t>
            </w:r>
          </w:p>
        </w:tc>
      </w:tr>
      <w:tr w:rsidR="00F36F29" w:rsidRPr="00AB7BB8" w14:paraId="3ADD334E" w14:textId="77777777" w:rsidTr="00BD64A1">
        <w:tc>
          <w:tcPr>
            <w:tcW w:w="2970" w:type="dxa"/>
          </w:tcPr>
          <w:p w14:paraId="75BE7D44" w14:textId="77777777" w:rsidR="0001335B" w:rsidRPr="00AB7BB8" w:rsidRDefault="0001335B" w:rsidP="00BD64A1">
            <w:pPr>
              <w:pStyle w:val="SingleTxt"/>
              <w:tabs>
                <w:tab w:val="clear" w:pos="1267"/>
                <w:tab w:val="left" w:pos="209"/>
                <w:tab w:val="left" w:pos="836"/>
              </w:tabs>
              <w:spacing w:after="0" w:line="240" w:lineRule="auto"/>
              <w:ind w:left="0" w:right="27"/>
              <w:rPr>
                <w:i/>
              </w:rPr>
            </w:pPr>
            <w:r w:rsidRPr="00AB7BB8">
              <w:rPr>
                <w:i/>
              </w:rPr>
              <w:t>Status:</w:t>
            </w:r>
          </w:p>
        </w:tc>
        <w:tc>
          <w:tcPr>
            <w:tcW w:w="5033" w:type="dxa"/>
          </w:tcPr>
          <w:p w14:paraId="27D8951D" w14:textId="77777777" w:rsidR="0001335B" w:rsidRPr="00AB7BB8" w:rsidRDefault="0001335B" w:rsidP="00BD64A1">
            <w:pPr>
              <w:pStyle w:val="SingleTxt"/>
              <w:tabs>
                <w:tab w:val="clear" w:pos="1267"/>
                <w:tab w:val="left" w:pos="209"/>
                <w:tab w:val="left" w:pos="836"/>
              </w:tabs>
              <w:spacing w:after="0" w:line="240" w:lineRule="auto"/>
              <w:ind w:left="0" w:right="27"/>
            </w:pPr>
            <w:r w:rsidRPr="00AB7BB8">
              <w:t>In progress</w:t>
            </w:r>
          </w:p>
        </w:tc>
      </w:tr>
      <w:tr w:rsidR="0001335B" w:rsidRPr="00AB7BB8" w14:paraId="495CEA83" w14:textId="77777777" w:rsidTr="00BD64A1">
        <w:tc>
          <w:tcPr>
            <w:tcW w:w="2970" w:type="dxa"/>
          </w:tcPr>
          <w:p w14:paraId="42A8EE25" w14:textId="77777777" w:rsidR="0001335B" w:rsidRPr="00AB7BB8" w:rsidRDefault="0001335B" w:rsidP="00BD64A1">
            <w:pPr>
              <w:pStyle w:val="SingleTxt"/>
              <w:tabs>
                <w:tab w:val="clear" w:pos="1267"/>
                <w:tab w:val="left" w:pos="209"/>
                <w:tab w:val="left" w:pos="836"/>
              </w:tabs>
              <w:spacing w:after="0" w:line="240" w:lineRule="auto"/>
              <w:ind w:left="0" w:right="27"/>
              <w:rPr>
                <w:i/>
              </w:rPr>
            </w:pPr>
            <w:r w:rsidRPr="00AB7BB8">
              <w:rPr>
                <w:i/>
              </w:rPr>
              <w:t>Target date:</w:t>
            </w:r>
          </w:p>
        </w:tc>
        <w:tc>
          <w:tcPr>
            <w:tcW w:w="5033" w:type="dxa"/>
          </w:tcPr>
          <w:p w14:paraId="65C4C8EC" w14:textId="4B522FBB" w:rsidR="0001335B" w:rsidRPr="00AB7BB8" w:rsidRDefault="00AD740D" w:rsidP="00BD64A1">
            <w:pPr>
              <w:pStyle w:val="SingleTxt"/>
              <w:tabs>
                <w:tab w:val="clear" w:pos="1267"/>
                <w:tab w:val="left" w:pos="209"/>
                <w:tab w:val="left" w:pos="836"/>
              </w:tabs>
              <w:spacing w:after="0" w:line="240" w:lineRule="auto"/>
              <w:ind w:left="0" w:right="27"/>
            </w:pPr>
            <w:r w:rsidRPr="00AB7BB8">
              <w:t>Q</w:t>
            </w:r>
            <w:r w:rsidR="00BE6C14" w:rsidRPr="00AB7BB8">
              <w:t>1</w:t>
            </w:r>
            <w:r w:rsidRPr="00AB7BB8">
              <w:t>, 202</w:t>
            </w:r>
            <w:r w:rsidR="00BE6C14" w:rsidRPr="00AB7BB8">
              <w:t>1</w:t>
            </w:r>
          </w:p>
        </w:tc>
      </w:tr>
    </w:tbl>
    <w:p w14:paraId="0C9D8932" w14:textId="77777777" w:rsidR="0001335B" w:rsidRPr="00AB7BB8"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14F243F6" w14:textId="79F507B2" w:rsidR="00E040CA" w:rsidRPr="00B1185C" w:rsidRDefault="00E040CA" w:rsidP="00E040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AB7BB8">
        <w:rPr>
          <w:sz w:val="22"/>
          <w:szCs w:val="22"/>
        </w:rPr>
        <w:t>UNDP has strengthened its communication to the regional bureaus and country offices on the need to ensure all vehicle</w:t>
      </w:r>
      <w:r w:rsidR="00C96FD8" w:rsidRPr="00AB7BB8">
        <w:rPr>
          <w:sz w:val="22"/>
          <w:szCs w:val="22"/>
        </w:rPr>
        <w:t xml:space="preserve"> records are reviewed and updated in the </w:t>
      </w:r>
      <w:r w:rsidRPr="00AB7BB8">
        <w:rPr>
          <w:sz w:val="22"/>
          <w:szCs w:val="22"/>
        </w:rPr>
        <w:t>enterprise recourse planning system. Multiple communications have been sent since July to date</w:t>
      </w:r>
      <w:r w:rsidR="00AB7BB8" w:rsidRPr="00AB7BB8">
        <w:rPr>
          <w:sz w:val="22"/>
          <w:szCs w:val="22"/>
        </w:rPr>
        <w:t xml:space="preserve"> to country offices</w:t>
      </w:r>
      <w:r w:rsidRPr="00AB7BB8">
        <w:rPr>
          <w:sz w:val="22"/>
          <w:szCs w:val="22"/>
        </w:rPr>
        <w:t>.</w:t>
      </w:r>
      <w:r w:rsidRPr="00B1185C">
        <w:rPr>
          <w:sz w:val="22"/>
          <w:szCs w:val="22"/>
        </w:rPr>
        <w:t xml:space="preserve"> </w:t>
      </w:r>
    </w:p>
    <w:p w14:paraId="03425DAA"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5F572F13" w14:textId="1C8F6AC2"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A73AC8" w:rsidRPr="00F36F29">
        <w:rPr>
          <w:b/>
          <w:bCs/>
          <w:sz w:val="22"/>
          <w:szCs w:val="22"/>
          <w:lang w:val="en-US"/>
        </w:rPr>
        <w:t>159</w:t>
      </w:r>
      <w:r w:rsidRPr="00F36F29">
        <w:rPr>
          <w:b/>
          <w:bCs/>
          <w:sz w:val="22"/>
          <w:szCs w:val="22"/>
          <w:lang w:val="en-US"/>
        </w:rPr>
        <w:t>, the Board</w:t>
      </w:r>
      <w:r w:rsidR="00A73AC8" w:rsidRPr="00F36F29">
        <w:rPr>
          <w:b/>
          <w:bCs/>
          <w:sz w:val="22"/>
          <w:szCs w:val="22"/>
          <w:lang w:val="en-US"/>
        </w:rPr>
        <w:t xml:space="preserve"> recommends that UNDP establish a detective control at global shared services unit level to ensure that information entered by country offices in the enterprise resource planning system is correct and accurate.</w:t>
      </w:r>
    </w:p>
    <w:p w14:paraId="2EB5CE96"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2AFD803D" w14:textId="77777777" w:rsidTr="00BD64A1">
        <w:tc>
          <w:tcPr>
            <w:tcW w:w="2970" w:type="dxa"/>
          </w:tcPr>
          <w:p w14:paraId="0FC30C70"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lastRenderedPageBreak/>
              <w:t>Department(s) responsible:</w:t>
            </w:r>
          </w:p>
        </w:tc>
        <w:tc>
          <w:tcPr>
            <w:tcW w:w="5033" w:type="dxa"/>
          </w:tcPr>
          <w:p w14:paraId="48C0E427" w14:textId="4437CA1D" w:rsidR="0001335B" w:rsidRPr="00F36F29" w:rsidRDefault="00AD740D" w:rsidP="00BD64A1">
            <w:pPr>
              <w:pStyle w:val="SingleTxt"/>
              <w:tabs>
                <w:tab w:val="clear" w:pos="1267"/>
                <w:tab w:val="left" w:pos="209"/>
                <w:tab w:val="left" w:pos="836"/>
              </w:tabs>
              <w:spacing w:after="0" w:line="240" w:lineRule="auto"/>
              <w:ind w:left="0" w:right="27"/>
            </w:pPr>
            <w:r w:rsidRPr="00F36F29">
              <w:t>G</w:t>
            </w:r>
            <w:r w:rsidR="009553B1" w:rsidRPr="00F36F29">
              <w:t>lobal Shared Services Unit</w:t>
            </w:r>
            <w:r w:rsidRPr="00F36F29">
              <w:t xml:space="preserve"> and </w:t>
            </w:r>
            <w:r w:rsidR="009553B1" w:rsidRPr="00F36F29">
              <w:t>BMS/Office of Human Resources</w:t>
            </w:r>
          </w:p>
        </w:tc>
      </w:tr>
      <w:tr w:rsidR="00F36F29" w:rsidRPr="00F36F29" w14:paraId="4B844A07" w14:textId="77777777" w:rsidTr="00BD64A1">
        <w:tc>
          <w:tcPr>
            <w:tcW w:w="2970" w:type="dxa"/>
          </w:tcPr>
          <w:p w14:paraId="5A2D765B"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1D2264DE" w14:textId="77777777" w:rsidR="0001335B" w:rsidRPr="00F36F29" w:rsidRDefault="0001335B" w:rsidP="00BD64A1">
            <w:pPr>
              <w:pStyle w:val="SingleTxt"/>
              <w:tabs>
                <w:tab w:val="clear" w:pos="1267"/>
                <w:tab w:val="left" w:pos="209"/>
                <w:tab w:val="left" w:pos="836"/>
              </w:tabs>
              <w:spacing w:after="0" w:line="240" w:lineRule="auto"/>
              <w:ind w:left="0" w:right="27"/>
            </w:pPr>
            <w:r w:rsidRPr="00F36F29">
              <w:t>In progress</w:t>
            </w:r>
          </w:p>
        </w:tc>
      </w:tr>
      <w:tr w:rsidR="0001335B" w:rsidRPr="00F36F29" w14:paraId="1FF3730C" w14:textId="77777777" w:rsidTr="00BD64A1">
        <w:tc>
          <w:tcPr>
            <w:tcW w:w="2970" w:type="dxa"/>
          </w:tcPr>
          <w:p w14:paraId="5C5FC67D"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614E9D3F" w14:textId="6697E9EB" w:rsidR="0001335B" w:rsidRPr="00F36F29" w:rsidRDefault="001236F4" w:rsidP="00BD64A1">
            <w:pPr>
              <w:pStyle w:val="SingleTxt"/>
              <w:tabs>
                <w:tab w:val="clear" w:pos="1267"/>
                <w:tab w:val="left" w:pos="209"/>
                <w:tab w:val="left" w:pos="836"/>
              </w:tabs>
              <w:spacing w:after="0" w:line="240" w:lineRule="auto"/>
              <w:ind w:left="0" w:right="27"/>
            </w:pPr>
            <w:r w:rsidRPr="00F36F29">
              <w:t>Q</w:t>
            </w:r>
            <w:r w:rsidR="00C247FE" w:rsidRPr="00F36F29">
              <w:t>4</w:t>
            </w:r>
            <w:r w:rsidRPr="00F36F29">
              <w:t>, 2021</w:t>
            </w:r>
          </w:p>
        </w:tc>
      </w:tr>
    </w:tbl>
    <w:p w14:paraId="5991622F"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39708236" w14:textId="2BD3CB50" w:rsidR="0001335B" w:rsidRPr="00F36F29" w:rsidRDefault="000A20F9" w:rsidP="000A20F9">
      <w:pPr>
        <w:pStyle w:val="SingleTxt"/>
        <w:spacing w:line="240" w:lineRule="auto"/>
        <w:ind w:left="720" w:right="29"/>
        <w:rPr>
          <w:sz w:val="22"/>
          <w:szCs w:val="22"/>
        </w:rPr>
      </w:pPr>
      <w:r w:rsidRPr="000A20F9">
        <w:rPr>
          <w:sz w:val="22"/>
          <w:szCs w:val="22"/>
        </w:rPr>
        <w:t>As part of the Clustering implementation of HR services, the HR Administration of local personnel is expected to be completely centralised in GSSU. This will prevent CO to make any data entry in Atlas and from that moment onwards GSSU will be responsible for setting up a proper verification process.</w:t>
      </w:r>
      <w:r>
        <w:rPr>
          <w:sz w:val="22"/>
          <w:szCs w:val="22"/>
        </w:rPr>
        <w:t xml:space="preserve"> </w:t>
      </w:r>
    </w:p>
    <w:p w14:paraId="4D4B01D9"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2C4022FE" w14:textId="5A290A2A"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3D1C56" w:rsidRPr="00F36F29">
        <w:rPr>
          <w:b/>
          <w:bCs/>
          <w:sz w:val="22"/>
          <w:szCs w:val="22"/>
          <w:lang w:val="en-US"/>
        </w:rPr>
        <w:t>166</w:t>
      </w:r>
      <w:r w:rsidRPr="00F36F29">
        <w:rPr>
          <w:b/>
          <w:bCs/>
          <w:sz w:val="22"/>
          <w:szCs w:val="22"/>
          <w:lang w:val="en-US"/>
        </w:rPr>
        <w:t>, the Board</w:t>
      </w:r>
      <w:r w:rsidR="003D1C56" w:rsidRPr="00F36F29">
        <w:rPr>
          <w:b/>
          <w:bCs/>
          <w:sz w:val="22"/>
          <w:szCs w:val="22"/>
          <w:lang w:val="en-US"/>
        </w:rPr>
        <w:t xml:space="preserve"> recommends that UNDP streamline existing referencing on eligibility checks to be performed during vendor creation.</w:t>
      </w:r>
    </w:p>
    <w:p w14:paraId="338B27CA"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4654CB99" w14:textId="77777777" w:rsidTr="00BD64A1">
        <w:tc>
          <w:tcPr>
            <w:tcW w:w="2970" w:type="dxa"/>
          </w:tcPr>
          <w:p w14:paraId="7C824F17"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2E2115F9" w14:textId="7279AADB" w:rsidR="0001335B" w:rsidRPr="00F36F29" w:rsidRDefault="009553B1" w:rsidP="00BD64A1">
            <w:pPr>
              <w:pStyle w:val="SingleTxt"/>
              <w:tabs>
                <w:tab w:val="clear" w:pos="1267"/>
                <w:tab w:val="left" w:pos="209"/>
                <w:tab w:val="left" w:pos="836"/>
              </w:tabs>
              <w:spacing w:after="0" w:line="240" w:lineRule="auto"/>
              <w:ind w:left="0" w:right="27"/>
            </w:pPr>
            <w:r w:rsidRPr="00F36F29">
              <w:t>BMS/</w:t>
            </w:r>
            <w:r w:rsidR="001236F4" w:rsidRPr="00F36F29">
              <w:t>P</w:t>
            </w:r>
            <w:r w:rsidRPr="00F36F29">
              <w:t>rocurement Sourcing Unit</w:t>
            </w:r>
          </w:p>
        </w:tc>
      </w:tr>
      <w:tr w:rsidR="00F36F29" w:rsidRPr="00F36F29" w14:paraId="217DD4E6" w14:textId="77777777" w:rsidTr="00BD64A1">
        <w:tc>
          <w:tcPr>
            <w:tcW w:w="2970" w:type="dxa"/>
          </w:tcPr>
          <w:p w14:paraId="3E1373C4"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0B4CEF1D" w14:textId="68805CAD" w:rsidR="0001335B" w:rsidRPr="00F36F29" w:rsidRDefault="00924B37" w:rsidP="00BD64A1">
            <w:pPr>
              <w:pStyle w:val="SingleTxt"/>
              <w:tabs>
                <w:tab w:val="clear" w:pos="1267"/>
                <w:tab w:val="left" w:pos="209"/>
                <w:tab w:val="left" w:pos="836"/>
              </w:tabs>
              <w:spacing w:after="0" w:line="240" w:lineRule="auto"/>
              <w:ind w:left="0" w:right="27"/>
            </w:pPr>
            <w:r>
              <w:t>Implemented</w:t>
            </w:r>
          </w:p>
        </w:tc>
      </w:tr>
      <w:tr w:rsidR="0001335B" w:rsidRPr="00F36F29" w14:paraId="15868B18" w14:textId="77777777" w:rsidTr="00BD64A1">
        <w:tc>
          <w:tcPr>
            <w:tcW w:w="2970" w:type="dxa"/>
          </w:tcPr>
          <w:p w14:paraId="47E5C213"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54532A31" w14:textId="2ED279AE" w:rsidR="0001335B" w:rsidRPr="00F36F29" w:rsidRDefault="001236F4" w:rsidP="00BD64A1">
            <w:pPr>
              <w:pStyle w:val="SingleTxt"/>
              <w:tabs>
                <w:tab w:val="clear" w:pos="1267"/>
                <w:tab w:val="left" w:pos="209"/>
                <w:tab w:val="left" w:pos="836"/>
              </w:tabs>
              <w:spacing w:after="0" w:line="240" w:lineRule="auto"/>
              <w:ind w:left="0" w:right="27"/>
            </w:pPr>
            <w:r w:rsidRPr="00F36F29">
              <w:t>Q4, 2020</w:t>
            </w:r>
          </w:p>
        </w:tc>
      </w:tr>
    </w:tbl>
    <w:p w14:paraId="6592E3C5"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4F38E46B" w14:textId="1E08AF95"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924B37">
        <w:rPr>
          <w:sz w:val="22"/>
          <w:szCs w:val="22"/>
        </w:rPr>
        <w:t>has implemented this</w:t>
      </w:r>
      <w:r w:rsidRPr="00F36F29">
        <w:rPr>
          <w:sz w:val="22"/>
          <w:szCs w:val="22"/>
        </w:rPr>
        <w:t xml:space="preserve"> recommendation.</w:t>
      </w:r>
    </w:p>
    <w:p w14:paraId="4BB955EA"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549FAD45" w14:textId="749054D2"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2A77D9" w:rsidRPr="00F36F29">
        <w:rPr>
          <w:b/>
          <w:bCs/>
          <w:sz w:val="22"/>
          <w:szCs w:val="22"/>
          <w:lang w:val="en-US"/>
        </w:rPr>
        <w:t>167</w:t>
      </w:r>
      <w:r w:rsidRPr="00F36F29">
        <w:rPr>
          <w:b/>
          <w:bCs/>
          <w:sz w:val="22"/>
          <w:szCs w:val="22"/>
          <w:lang w:val="en-US"/>
        </w:rPr>
        <w:t>, the Board</w:t>
      </w:r>
      <w:r w:rsidR="002A77D9" w:rsidRPr="00F36F29">
        <w:rPr>
          <w:b/>
          <w:bCs/>
          <w:sz w:val="22"/>
          <w:szCs w:val="22"/>
          <w:lang w:val="en-US"/>
        </w:rPr>
        <w:t xml:space="preserve"> recommends that UNDP streamline and enhance guidance on required supporting documents for vendor creation.</w:t>
      </w:r>
    </w:p>
    <w:p w14:paraId="0CC70616"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77D1B2CA" w14:textId="77777777" w:rsidTr="00BD64A1">
        <w:tc>
          <w:tcPr>
            <w:tcW w:w="2970" w:type="dxa"/>
          </w:tcPr>
          <w:p w14:paraId="4A41418C"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447C839B" w14:textId="29C97B17" w:rsidR="0001335B" w:rsidRPr="00F36F29" w:rsidRDefault="009553B1" w:rsidP="00BD64A1">
            <w:pPr>
              <w:pStyle w:val="SingleTxt"/>
              <w:tabs>
                <w:tab w:val="clear" w:pos="1267"/>
                <w:tab w:val="left" w:pos="209"/>
                <w:tab w:val="left" w:pos="836"/>
              </w:tabs>
              <w:spacing w:after="0" w:line="240" w:lineRule="auto"/>
              <w:ind w:left="0" w:right="27"/>
            </w:pPr>
            <w:r w:rsidRPr="00F36F29">
              <w:t>BMS/</w:t>
            </w:r>
            <w:r w:rsidR="001236F4" w:rsidRPr="00F36F29">
              <w:t>P</w:t>
            </w:r>
            <w:r w:rsidRPr="00F36F29">
              <w:t>rocurement Sourcing Unit</w:t>
            </w:r>
            <w:r w:rsidR="001236F4" w:rsidRPr="00F36F29">
              <w:t xml:space="preserve"> </w:t>
            </w:r>
            <w:r w:rsidRPr="00F36F29">
              <w:t>and</w:t>
            </w:r>
            <w:r w:rsidR="001236F4" w:rsidRPr="00F36F29">
              <w:t xml:space="preserve"> </w:t>
            </w:r>
            <w:r w:rsidRPr="00F36F29">
              <w:t>BMS/</w:t>
            </w:r>
            <w:r w:rsidR="001236F4" w:rsidRPr="00F36F29">
              <w:t>Treasury</w:t>
            </w:r>
          </w:p>
        </w:tc>
      </w:tr>
      <w:tr w:rsidR="00F36F29" w:rsidRPr="00F36F29" w14:paraId="23B53807" w14:textId="77777777" w:rsidTr="00BD64A1">
        <w:tc>
          <w:tcPr>
            <w:tcW w:w="2970" w:type="dxa"/>
          </w:tcPr>
          <w:p w14:paraId="42C4D549"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14372C8F" w14:textId="77777777" w:rsidR="0001335B" w:rsidRPr="00F36F29" w:rsidRDefault="0001335B" w:rsidP="00BD64A1">
            <w:pPr>
              <w:pStyle w:val="SingleTxt"/>
              <w:tabs>
                <w:tab w:val="clear" w:pos="1267"/>
                <w:tab w:val="left" w:pos="209"/>
                <w:tab w:val="left" w:pos="836"/>
              </w:tabs>
              <w:spacing w:after="0" w:line="240" w:lineRule="auto"/>
              <w:ind w:left="0" w:right="27"/>
            </w:pPr>
            <w:r w:rsidRPr="00F36F29">
              <w:t>In progress</w:t>
            </w:r>
          </w:p>
        </w:tc>
      </w:tr>
      <w:tr w:rsidR="0001335B" w:rsidRPr="00F36F29" w14:paraId="23D8AE8A" w14:textId="77777777" w:rsidTr="00BD64A1">
        <w:tc>
          <w:tcPr>
            <w:tcW w:w="2970" w:type="dxa"/>
          </w:tcPr>
          <w:p w14:paraId="7332D7AD"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008906DB" w14:textId="2884E18B" w:rsidR="0001335B" w:rsidRPr="00F36F29" w:rsidRDefault="001236F4" w:rsidP="00BD64A1">
            <w:pPr>
              <w:pStyle w:val="SingleTxt"/>
              <w:tabs>
                <w:tab w:val="clear" w:pos="1267"/>
                <w:tab w:val="left" w:pos="209"/>
                <w:tab w:val="left" w:pos="836"/>
              </w:tabs>
              <w:spacing w:after="0" w:line="240" w:lineRule="auto"/>
              <w:ind w:left="0" w:right="27"/>
            </w:pPr>
            <w:r w:rsidRPr="00F36F29">
              <w:t>Q4, 2020</w:t>
            </w:r>
          </w:p>
        </w:tc>
      </w:tr>
    </w:tbl>
    <w:p w14:paraId="4AACB9B4"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5F5CFE00" w14:textId="70C00DD0"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UNDP agreed with the recommendation.</w:t>
      </w:r>
    </w:p>
    <w:p w14:paraId="12DEE285"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0D8932CD" w14:textId="43FA13F0"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6D2E3C" w:rsidRPr="00F36F29">
        <w:rPr>
          <w:b/>
          <w:bCs/>
          <w:sz w:val="22"/>
          <w:szCs w:val="22"/>
          <w:lang w:val="en-US"/>
        </w:rPr>
        <w:t>173</w:t>
      </w:r>
      <w:r w:rsidRPr="00F36F29">
        <w:rPr>
          <w:b/>
          <w:bCs/>
          <w:sz w:val="22"/>
          <w:szCs w:val="22"/>
          <w:lang w:val="en-US"/>
        </w:rPr>
        <w:t>, the Board</w:t>
      </w:r>
      <w:r w:rsidR="006D2E3C" w:rsidRPr="00F36F29">
        <w:rPr>
          <w:b/>
          <w:bCs/>
          <w:sz w:val="22"/>
          <w:szCs w:val="22"/>
          <w:lang w:val="en-US"/>
        </w:rPr>
        <w:t xml:space="preserve"> recommends that UNDP enhance existing guidance for business units outlining procedures to be performed at regular intervals for vendor monitoring and maintenance of vendor records and continuous due diligence.</w:t>
      </w:r>
    </w:p>
    <w:p w14:paraId="636E8C0E"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746BA694" w14:textId="77777777" w:rsidTr="00BD64A1">
        <w:tc>
          <w:tcPr>
            <w:tcW w:w="2970" w:type="dxa"/>
          </w:tcPr>
          <w:p w14:paraId="22FFEE06"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4F5B1619" w14:textId="6758C3CC" w:rsidR="0001335B" w:rsidRPr="00F36F29" w:rsidRDefault="009553B1" w:rsidP="00BD64A1">
            <w:pPr>
              <w:pStyle w:val="SingleTxt"/>
              <w:tabs>
                <w:tab w:val="clear" w:pos="1267"/>
                <w:tab w:val="left" w:pos="209"/>
                <w:tab w:val="left" w:pos="836"/>
              </w:tabs>
              <w:spacing w:after="0" w:line="240" w:lineRule="auto"/>
              <w:ind w:left="0" w:right="27"/>
            </w:pPr>
            <w:r w:rsidRPr="00F36F29">
              <w:t>BMS/</w:t>
            </w:r>
            <w:r w:rsidR="00B06CFC" w:rsidRPr="00F36F29">
              <w:t>P</w:t>
            </w:r>
            <w:r w:rsidRPr="00F36F29">
              <w:t>rocurement Sourcing Unit</w:t>
            </w:r>
            <w:r w:rsidR="00B06CFC" w:rsidRPr="00F36F29">
              <w:t xml:space="preserve"> </w:t>
            </w:r>
          </w:p>
        </w:tc>
      </w:tr>
      <w:tr w:rsidR="00F36F29" w:rsidRPr="00F36F29" w14:paraId="5003E875" w14:textId="77777777" w:rsidTr="00BD64A1">
        <w:tc>
          <w:tcPr>
            <w:tcW w:w="2970" w:type="dxa"/>
          </w:tcPr>
          <w:p w14:paraId="60E27260"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6A4ABB64" w14:textId="4AE193EF" w:rsidR="0001335B" w:rsidRPr="00F36F29" w:rsidRDefault="007A723E" w:rsidP="00BD64A1">
            <w:pPr>
              <w:pStyle w:val="SingleTxt"/>
              <w:tabs>
                <w:tab w:val="clear" w:pos="1267"/>
                <w:tab w:val="left" w:pos="209"/>
                <w:tab w:val="left" w:pos="836"/>
              </w:tabs>
              <w:spacing w:after="0" w:line="240" w:lineRule="auto"/>
              <w:ind w:left="0" w:right="27"/>
            </w:pPr>
            <w:r>
              <w:t>Implemented</w:t>
            </w:r>
          </w:p>
        </w:tc>
      </w:tr>
      <w:tr w:rsidR="00F36F29" w:rsidRPr="00F36F29" w14:paraId="32EE8203" w14:textId="77777777" w:rsidTr="00BD64A1">
        <w:tc>
          <w:tcPr>
            <w:tcW w:w="2970" w:type="dxa"/>
          </w:tcPr>
          <w:p w14:paraId="6C88D299"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58042AE5" w14:textId="1FB34486" w:rsidR="0001335B" w:rsidRPr="00F36F29" w:rsidRDefault="00B06CFC" w:rsidP="00BD64A1">
            <w:pPr>
              <w:pStyle w:val="SingleTxt"/>
              <w:tabs>
                <w:tab w:val="clear" w:pos="1267"/>
                <w:tab w:val="left" w:pos="209"/>
                <w:tab w:val="left" w:pos="836"/>
              </w:tabs>
              <w:spacing w:after="0" w:line="240" w:lineRule="auto"/>
              <w:ind w:left="0" w:right="27"/>
            </w:pPr>
            <w:r w:rsidRPr="00F36F29">
              <w:t>Q</w:t>
            </w:r>
            <w:r w:rsidR="00BA7F0E" w:rsidRPr="00F36F29">
              <w:t>4</w:t>
            </w:r>
            <w:r w:rsidRPr="00F36F29">
              <w:t>, 202</w:t>
            </w:r>
            <w:r w:rsidR="00BA7F0E" w:rsidRPr="00F36F29">
              <w:t>0</w:t>
            </w:r>
          </w:p>
        </w:tc>
      </w:tr>
    </w:tbl>
    <w:p w14:paraId="02FE795F"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7782E18A" w14:textId="473DAAFD"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7A723E">
        <w:rPr>
          <w:sz w:val="22"/>
          <w:szCs w:val="22"/>
        </w:rPr>
        <w:t>has implemented this</w:t>
      </w:r>
      <w:r w:rsidRPr="00F36F29">
        <w:rPr>
          <w:sz w:val="22"/>
          <w:szCs w:val="22"/>
        </w:rPr>
        <w:t xml:space="preserve"> recommendation.</w:t>
      </w:r>
    </w:p>
    <w:p w14:paraId="4F0AEA01"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73135588" w14:textId="027E14B1"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206E35" w:rsidRPr="00F36F29">
        <w:rPr>
          <w:b/>
          <w:bCs/>
          <w:sz w:val="22"/>
          <w:szCs w:val="22"/>
          <w:lang w:val="en-US"/>
        </w:rPr>
        <w:t>174</w:t>
      </w:r>
      <w:r w:rsidRPr="00F36F29">
        <w:rPr>
          <w:b/>
          <w:bCs/>
          <w:sz w:val="22"/>
          <w:szCs w:val="22"/>
          <w:lang w:val="en-US"/>
        </w:rPr>
        <w:t>, the Board</w:t>
      </w:r>
      <w:r w:rsidR="00206E35" w:rsidRPr="00F36F29">
        <w:rPr>
          <w:b/>
          <w:bCs/>
          <w:sz w:val="22"/>
          <w:szCs w:val="22"/>
          <w:lang w:val="en-US"/>
        </w:rPr>
        <w:t xml:space="preserve"> recommends that UNDP implement the recently established process to regularly review its vendor databases to exclude ineligible vendors.</w:t>
      </w:r>
    </w:p>
    <w:p w14:paraId="47C530A0"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6660A206" w14:textId="77777777" w:rsidTr="00BD64A1">
        <w:tc>
          <w:tcPr>
            <w:tcW w:w="2970" w:type="dxa"/>
          </w:tcPr>
          <w:p w14:paraId="72E74B74"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2E469F79" w14:textId="625A0CC2" w:rsidR="0001335B" w:rsidRPr="00F36F29" w:rsidRDefault="009553B1" w:rsidP="00BD64A1">
            <w:pPr>
              <w:pStyle w:val="SingleTxt"/>
              <w:tabs>
                <w:tab w:val="clear" w:pos="1267"/>
                <w:tab w:val="left" w:pos="209"/>
                <w:tab w:val="left" w:pos="836"/>
              </w:tabs>
              <w:spacing w:after="0" w:line="240" w:lineRule="auto"/>
              <w:ind w:left="0" w:right="27"/>
            </w:pPr>
            <w:r w:rsidRPr="00F36F29">
              <w:t xml:space="preserve">BMS/Procurement Sourcing Unit </w:t>
            </w:r>
          </w:p>
        </w:tc>
      </w:tr>
      <w:tr w:rsidR="00F36F29" w:rsidRPr="00F36F29" w14:paraId="4ACC07B9" w14:textId="77777777" w:rsidTr="00BD64A1">
        <w:tc>
          <w:tcPr>
            <w:tcW w:w="2970" w:type="dxa"/>
          </w:tcPr>
          <w:p w14:paraId="24349B72"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113C2109" w14:textId="7B72AF36" w:rsidR="0001335B" w:rsidRPr="00F36F29" w:rsidRDefault="00A36198" w:rsidP="00BD64A1">
            <w:pPr>
              <w:pStyle w:val="SingleTxt"/>
              <w:tabs>
                <w:tab w:val="clear" w:pos="1267"/>
                <w:tab w:val="left" w:pos="209"/>
                <w:tab w:val="left" w:pos="836"/>
              </w:tabs>
              <w:spacing w:after="0" w:line="240" w:lineRule="auto"/>
              <w:ind w:left="0" w:right="27"/>
            </w:pPr>
            <w:r>
              <w:t>Implemented</w:t>
            </w:r>
          </w:p>
        </w:tc>
      </w:tr>
      <w:tr w:rsidR="0001335B" w:rsidRPr="00F36F29" w14:paraId="0AB5E7BB" w14:textId="77777777" w:rsidTr="00BD64A1">
        <w:tc>
          <w:tcPr>
            <w:tcW w:w="2970" w:type="dxa"/>
          </w:tcPr>
          <w:p w14:paraId="153D65AC"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6F72305A" w14:textId="092039DF" w:rsidR="0001335B" w:rsidRPr="00F36F29" w:rsidRDefault="00D05A4B" w:rsidP="00BD64A1">
            <w:pPr>
              <w:pStyle w:val="SingleTxt"/>
              <w:tabs>
                <w:tab w:val="clear" w:pos="1267"/>
                <w:tab w:val="left" w:pos="209"/>
                <w:tab w:val="left" w:pos="836"/>
              </w:tabs>
              <w:spacing w:after="0" w:line="240" w:lineRule="auto"/>
              <w:ind w:left="0" w:right="27"/>
            </w:pPr>
            <w:r w:rsidRPr="00F36F29">
              <w:t>Q</w:t>
            </w:r>
            <w:r w:rsidR="00E439FB" w:rsidRPr="00F36F29">
              <w:t>4</w:t>
            </w:r>
            <w:r w:rsidRPr="00F36F29">
              <w:t>, 2020</w:t>
            </w:r>
          </w:p>
        </w:tc>
      </w:tr>
    </w:tbl>
    <w:p w14:paraId="7F87AE4C"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133690C0" w14:textId="2A9D01B3"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A36198">
        <w:rPr>
          <w:sz w:val="22"/>
          <w:szCs w:val="22"/>
        </w:rPr>
        <w:t>has implemented this</w:t>
      </w:r>
      <w:r w:rsidRPr="00F36F29">
        <w:rPr>
          <w:sz w:val="22"/>
          <w:szCs w:val="22"/>
        </w:rPr>
        <w:t xml:space="preserve"> recommendation.</w:t>
      </w:r>
    </w:p>
    <w:p w14:paraId="0D73BDC7"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2F5BC209" w14:textId="772333CA"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lastRenderedPageBreak/>
        <w:t xml:space="preserve">In paragraph </w:t>
      </w:r>
      <w:r w:rsidR="00A11845" w:rsidRPr="00F36F29">
        <w:rPr>
          <w:b/>
          <w:bCs/>
          <w:sz w:val="22"/>
          <w:szCs w:val="22"/>
          <w:lang w:val="en-US"/>
        </w:rPr>
        <w:t>175</w:t>
      </w:r>
      <w:r w:rsidRPr="00F36F29">
        <w:rPr>
          <w:b/>
          <w:bCs/>
          <w:sz w:val="22"/>
          <w:szCs w:val="22"/>
          <w:lang w:val="en-US"/>
        </w:rPr>
        <w:t>, the Board</w:t>
      </w:r>
      <w:r w:rsidR="00A11845" w:rsidRPr="00F36F29">
        <w:rPr>
          <w:b/>
          <w:bCs/>
          <w:sz w:val="22"/>
          <w:szCs w:val="22"/>
          <w:lang w:val="en-US"/>
        </w:rPr>
        <w:t xml:space="preserve"> recommends that UNDP periodically inform all business units on new suspensions or entities and individuals sanctioned at the recommendation of the UNDP vendor review committee.</w:t>
      </w:r>
    </w:p>
    <w:p w14:paraId="6E2F9428"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702C097E" w14:textId="77777777" w:rsidTr="00BD64A1">
        <w:tc>
          <w:tcPr>
            <w:tcW w:w="2970" w:type="dxa"/>
          </w:tcPr>
          <w:p w14:paraId="3253A7E9"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4E5D6657" w14:textId="1ADAEDD4" w:rsidR="0001335B" w:rsidRPr="00F36F29" w:rsidRDefault="009553B1" w:rsidP="00BD64A1">
            <w:pPr>
              <w:pStyle w:val="SingleTxt"/>
              <w:tabs>
                <w:tab w:val="clear" w:pos="1267"/>
                <w:tab w:val="left" w:pos="209"/>
                <w:tab w:val="left" w:pos="836"/>
              </w:tabs>
              <w:spacing w:after="0" w:line="240" w:lineRule="auto"/>
              <w:ind w:left="0" w:right="27"/>
            </w:pPr>
            <w:r w:rsidRPr="00F36F29">
              <w:t>BMS/Procurement Sourcing Unit</w:t>
            </w:r>
          </w:p>
        </w:tc>
      </w:tr>
      <w:tr w:rsidR="00F36F29" w:rsidRPr="00F36F29" w14:paraId="575373C9" w14:textId="77777777" w:rsidTr="00BD64A1">
        <w:tc>
          <w:tcPr>
            <w:tcW w:w="2970" w:type="dxa"/>
          </w:tcPr>
          <w:p w14:paraId="64752A92"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7DEF105B" w14:textId="77777777" w:rsidR="0001335B" w:rsidRPr="00F36F29" w:rsidRDefault="0001335B" w:rsidP="00BD64A1">
            <w:pPr>
              <w:pStyle w:val="SingleTxt"/>
              <w:tabs>
                <w:tab w:val="clear" w:pos="1267"/>
                <w:tab w:val="left" w:pos="209"/>
                <w:tab w:val="left" w:pos="836"/>
              </w:tabs>
              <w:spacing w:after="0" w:line="240" w:lineRule="auto"/>
              <w:ind w:left="0" w:right="27"/>
            </w:pPr>
            <w:r w:rsidRPr="00F36F29">
              <w:t>In progress</w:t>
            </w:r>
          </w:p>
        </w:tc>
      </w:tr>
      <w:tr w:rsidR="0001335B" w:rsidRPr="00F36F29" w14:paraId="34CC80AF" w14:textId="77777777" w:rsidTr="00BD64A1">
        <w:tc>
          <w:tcPr>
            <w:tcW w:w="2970" w:type="dxa"/>
          </w:tcPr>
          <w:p w14:paraId="05B3E164"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60DA611D" w14:textId="3AC62D57" w:rsidR="0001335B" w:rsidRPr="00F36F29" w:rsidRDefault="00D05A4B" w:rsidP="00BD64A1">
            <w:pPr>
              <w:pStyle w:val="SingleTxt"/>
              <w:tabs>
                <w:tab w:val="clear" w:pos="1267"/>
                <w:tab w:val="left" w:pos="209"/>
                <w:tab w:val="left" w:pos="836"/>
              </w:tabs>
              <w:spacing w:after="0" w:line="240" w:lineRule="auto"/>
              <w:ind w:left="0" w:right="27"/>
            </w:pPr>
            <w:r w:rsidRPr="00F36F29">
              <w:t>Q</w:t>
            </w:r>
            <w:r w:rsidR="00BA7F0E" w:rsidRPr="00F36F29">
              <w:t>2</w:t>
            </w:r>
            <w:r w:rsidRPr="00F36F29">
              <w:t>, 202</w:t>
            </w:r>
            <w:r w:rsidR="00BA7F0E" w:rsidRPr="00F36F29">
              <w:t>1</w:t>
            </w:r>
          </w:p>
        </w:tc>
      </w:tr>
    </w:tbl>
    <w:p w14:paraId="247189AD"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32BB6BFE" w14:textId="306D8581"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D15666">
        <w:rPr>
          <w:sz w:val="22"/>
          <w:szCs w:val="22"/>
        </w:rPr>
        <w:t xml:space="preserve">is in the process of formalizing a process to </w:t>
      </w:r>
      <w:r w:rsidR="00F77041" w:rsidRPr="00F77041">
        <w:rPr>
          <w:sz w:val="22"/>
          <w:szCs w:val="22"/>
        </w:rPr>
        <w:t>inform all business units on new suspensions or entities and individuals sanctioned at the recommendation of the UNDP vendor review committee</w:t>
      </w:r>
      <w:r w:rsidR="00F77041">
        <w:rPr>
          <w:sz w:val="22"/>
          <w:szCs w:val="22"/>
        </w:rPr>
        <w:t xml:space="preserve">. </w:t>
      </w:r>
    </w:p>
    <w:p w14:paraId="700EF7AD"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5B2AC750" w14:textId="6D1D46EA"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530990" w:rsidRPr="00F36F29">
        <w:rPr>
          <w:b/>
          <w:bCs/>
          <w:sz w:val="22"/>
          <w:szCs w:val="22"/>
          <w:lang w:val="en-US"/>
        </w:rPr>
        <w:t>180</w:t>
      </w:r>
      <w:r w:rsidRPr="00F36F29">
        <w:rPr>
          <w:b/>
          <w:bCs/>
          <w:sz w:val="22"/>
          <w:szCs w:val="22"/>
          <w:lang w:val="en-US"/>
        </w:rPr>
        <w:t>, the Board</w:t>
      </w:r>
      <w:r w:rsidR="00530990" w:rsidRPr="00F36F29">
        <w:t xml:space="preserve"> </w:t>
      </w:r>
      <w:r w:rsidR="00530990" w:rsidRPr="00F36F29">
        <w:rPr>
          <w:b/>
          <w:bCs/>
          <w:sz w:val="22"/>
          <w:szCs w:val="22"/>
          <w:lang w:val="en-US"/>
        </w:rPr>
        <w:t xml:space="preserve">recommends that UNDP expedite the clearing of the backlog of vendor cases to be reviewed by the vendor review committee. </w:t>
      </w:r>
    </w:p>
    <w:p w14:paraId="132D3250"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1038F985" w14:textId="77777777" w:rsidTr="00BD64A1">
        <w:tc>
          <w:tcPr>
            <w:tcW w:w="2970" w:type="dxa"/>
          </w:tcPr>
          <w:p w14:paraId="47EFF044"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5AE14C4D" w14:textId="357D52BB" w:rsidR="0001335B" w:rsidRPr="00F36F29" w:rsidRDefault="009553B1" w:rsidP="00BD64A1">
            <w:pPr>
              <w:pStyle w:val="SingleTxt"/>
              <w:tabs>
                <w:tab w:val="clear" w:pos="1267"/>
                <w:tab w:val="left" w:pos="209"/>
                <w:tab w:val="left" w:pos="836"/>
              </w:tabs>
              <w:spacing w:after="0" w:line="240" w:lineRule="auto"/>
              <w:ind w:left="0" w:right="27"/>
            </w:pPr>
            <w:r w:rsidRPr="00F36F29">
              <w:t>BMS/Procurement Sourcing Unit</w:t>
            </w:r>
          </w:p>
        </w:tc>
      </w:tr>
      <w:tr w:rsidR="00F36F29" w:rsidRPr="00F36F29" w14:paraId="328A69B5" w14:textId="77777777" w:rsidTr="00BD64A1">
        <w:tc>
          <w:tcPr>
            <w:tcW w:w="2970" w:type="dxa"/>
          </w:tcPr>
          <w:p w14:paraId="74C92B18"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6487385E" w14:textId="77777777" w:rsidR="0001335B" w:rsidRPr="00F36F29" w:rsidRDefault="0001335B" w:rsidP="00BD64A1">
            <w:pPr>
              <w:pStyle w:val="SingleTxt"/>
              <w:tabs>
                <w:tab w:val="clear" w:pos="1267"/>
                <w:tab w:val="left" w:pos="209"/>
                <w:tab w:val="left" w:pos="836"/>
              </w:tabs>
              <w:spacing w:after="0" w:line="240" w:lineRule="auto"/>
              <w:ind w:left="0" w:right="27"/>
            </w:pPr>
            <w:r w:rsidRPr="00F36F29">
              <w:t>In progress</w:t>
            </w:r>
          </w:p>
        </w:tc>
      </w:tr>
      <w:tr w:rsidR="0001335B" w:rsidRPr="00F36F29" w14:paraId="112D61E5" w14:textId="77777777" w:rsidTr="00BD64A1">
        <w:tc>
          <w:tcPr>
            <w:tcW w:w="2970" w:type="dxa"/>
          </w:tcPr>
          <w:p w14:paraId="630A8A4C"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26687A6D" w14:textId="2F904AC3" w:rsidR="0001335B" w:rsidRPr="00F36F29" w:rsidRDefault="0043075B" w:rsidP="00BD64A1">
            <w:pPr>
              <w:pStyle w:val="SingleTxt"/>
              <w:tabs>
                <w:tab w:val="clear" w:pos="1267"/>
                <w:tab w:val="left" w:pos="209"/>
                <w:tab w:val="left" w:pos="836"/>
              </w:tabs>
              <w:spacing w:after="0" w:line="240" w:lineRule="auto"/>
              <w:ind w:left="0" w:right="27"/>
            </w:pPr>
            <w:r w:rsidRPr="00F36F29">
              <w:t>Q</w:t>
            </w:r>
            <w:r w:rsidR="008A263D" w:rsidRPr="00F36F29">
              <w:t>2</w:t>
            </w:r>
            <w:r w:rsidRPr="00F36F29">
              <w:t>, 202</w:t>
            </w:r>
            <w:r w:rsidR="008A263D" w:rsidRPr="00F36F29">
              <w:t>1</w:t>
            </w:r>
          </w:p>
        </w:tc>
      </w:tr>
    </w:tbl>
    <w:p w14:paraId="15114DCF"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53E2B9D7" w14:textId="235BD52A"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F77041">
        <w:rPr>
          <w:sz w:val="22"/>
          <w:szCs w:val="22"/>
        </w:rPr>
        <w:t>is working to clear its backlog of vendor cases</w:t>
      </w:r>
      <w:r w:rsidR="00C748DB">
        <w:rPr>
          <w:sz w:val="22"/>
          <w:szCs w:val="22"/>
        </w:rPr>
        <w:t xml:space="preserve"> and plans to clear them all by 2021. </w:t>
      </w:r>
    </w:p>
    <w:p w14:paraId="4645D741"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3C005D6C" w14:textId="0FCF8BC9"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C45574" w:rsidRPr="00F36F29">
        <w:rPr>
          <w:b/>
          <w:bCs/>
          <w:sz w:val="22"/>
          <w:szCs w:val="22"/>
          <w:lang w:val="en-US"/>
        </w:rPr>
        <w:t>20</w:t>
      </w:r>
      <w:r w:rsidRPr="00F36F29">
        <w:rPr>
          <w:b/>
          <w:bCs/>
          <w:sz w:val="22"/>
          <w:szCs w:val="22"/>
          <w:lang w:val="en-US"/>
        </w:rPr>
        <w:t>0, the Board</w:t>
      </w:r>
      <w:r w:rsidR="00C45574" w:rsidRPr="00F36F29">
        <w:rPr>
          <w:b/>
          <w:bCs/>
          <w:sz w:val="22"/>
          <w:szCs w:val="22"/>
          <w:lang w:val="en-US"/>
        </w:rPr>
        <w:t xml:space="preserve"> recommends that UNDP continue to provide feedback to and to engage with the Development Coordination Office on 1 per cent levy matters (including challenges observed at country level and questions on interpretation of the United Nations Secretariat guidance).</w:t>
      </w:r>
    </w:p>
    <w:p w14:paraId="750CDCC9"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04D8DAD7" w14:textId="77777777" w:rsidTr="00BD64A1">
        <w:tc>
          <w:tcPr>
            <w:tcW w:w="2970" w:type="dxa"/>
          </w:tcPr>
          <w:p w14:paraId="097F0216"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687FAB3B" w14:textId="6E0EEAF1" w:rsidR="0001335B" w:rsidRPr="00F36F29" w:rsidRDefault="008D7492" w:rsidP="00BD64A1">
            <w:pPr>
              <w:pStyle w:val="SingleTxt"/>
              <w:tabs>
                <w:tab w:val="clear" w:pos="1267"/>
                <w:tab w:val="left" w:pos="209"/>
                <w:tab w:val="left" w:pos="836"/>
              </w:tabs>
              <w:spacing w:after="0" w:line="240" w:lineRule="auto"/>
              <w:ind w:left="0" w:right="27"/>
            </w:pPr>
            <w:r w:rsidRPr="00F36F29">
              <w:t>BMS/</w:t>
            </w:r>
            <w:r w:rsidR="0043075B" w:rsidRPr="00F36F29">
              <w:t>O</w:t>
            </w:r>
            <w:r w:rsidRPr="00F36F29">
              <w:t>ffice of Financial Resource Management</w:t>
            </w:r>
            <w:r w:rsidR="0043075B" w:rsidRPr="00F36F29">
              <w:t xml:space="preserve"> and BERA</w:t>
            </w:r>
          </w:p>
        </w:tc>
      </w:tr>
      <w:tr w:rsidR="00F36F29" w:rsidRPr="00F36F29" w14:paraId="13DA298F" w14:textId="77777777" w:rsidTr="00BD64A1">
        <w:tc>
          <w:tcPr>
            <w:tcW w:w="2970" w:type="dxa"/>
          </w:tcPr>
          <w:p w14:paraId="0E502CDF"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34D6146B" w14:textId="5BAA8D35" w:rsidR="0001335B" w:rsidRPr="00F36F29" w:rsidRDefault="008D5AF8" w:rsidP="00BD64A1">
            <w:pPr>
              <w:pStyle w:val="SingleTxt"/>
              <w:tabs>
                <w:tab w:val="clear" w:pos="1267"/>
                <w:tab w:val="left" w:pos="209"/>
                <w:tab w:val="left" w:pos="836"/>
              </w:tabs>
              <w:spacing w:after="0" w:line="240" w:lineRule="auto"/>
              <w:ind w:left="0" w:right="27"/>
            </w:pPr>
            <w:r>
              <w:t>Implemented</w:t>
            </w:r>
          </w:p>
        </w:tc>
      </w:tr>
      <w:tr w:rsidR="0001335B" w:rsidRPr="00F36F29" w14:paraId="453735E3" w14:textId="77777777" w:rsidTr="00BD64A1">
        <w:tc>
          <w:tcPr>
            <w:tcW w:w="2970" w:type="dxa"/>
          </w:tcPr>
          <w:p w14:paraId="58A11B4E"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37A161F1" w14:textId="610C1A88" w:rsidR="0001335B" w:rsidRPr="00F36F29" w:rsidRDefault="0043075B" w:rsidP="00BD64A1">
            <w:pPr>
              <w:pStyle w:val="SingleTxt"/>
              <w:tabs>
                <w:tab w:val="clear" w:pos="1267"/>
                <w:tab w:val="left" w:pos="209"/>
                <w:tab w:val="left" w:pos="836"/>
              </w:tabs>
              <w:spacing w:after="0" w:line="240" w:lineRule="auto"/>
              <w:ind w:left="0" w:right="27"/>
            </w:pPr>
            <w:r w:rsidRPr="00F36F29">
              <w:t>Q4, 2020</w:t>
            </w:r>
          </w:p>
        </w:tc>
      </w:tr>
    </w:tbl>
    <w:p w14:paraId="721B2F69"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17F6C935" w14:textId="0A886334"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8D5AF8">
        <w:rPr>
          <w:sz w:val="22"/>
          <w:szCs w:val="22"/>
        </w:rPr>
        <w:t xml:space="preserve">has implemented this recommendation. </w:t>
      </w:r>
    </w:p>
    <w:p w14:paraId="02151147"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7191A5AE" w14:textId="31FCD581"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C45574" w:rsidRPr="00F36F29">
        <w:rPr>
          <w:b/>
          <w:bCs/>
          <w:sz w:val="22"/>
          <w:szCs w:val="22"/>
          <w:lang w:val="en-US"/>
        </w:rPr>
        <w:t>201</w:t>
      </w:r>
      <w:r w:rsidRPr="00F36F29">
        <w:rPr>
          <w:b/>
          <w:bCs/>
          <w:sz w:val="22"/>
          <w:szCs w:val="22"/>
          <w:lang w:val="en-US"/>
        </w:rPr>
        <w:t>, the Board</w:t>
      </w:r>
      <w:r w:rsidR="00894AE8" w:rsidRPr="00F36F29">
        <w:rPr>
          <w:b/>
          <w:bCs/>
          <w:sz w:val="22"/>
          <w:szCs w:val="22"/>
          <w:lang w:val="en-US"/>
        </w:rPr>
        <w:t xml:space="preserve"> recommends that UNDP develop a standardized template and encourage its use among country offices in order to state the reasons why a specific contribution agreement was exempted from the levy in line with the United Nations Secretariat guidance checklist.</w:t>
      </w:r>
    </w:p>
    <w:p w14:paraId="7B8E0396"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2A7F8F50" w14:textId="77777777" w:rsidTr="00BD64A1">
        <w:tc>
          <w:tcPr>
            <w:tcW w:w="2970" w:type="dxa"/>
          </w:tcPr>
          <w:p w14:paraId="122C899B"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51A7B961" w14:textId="77C18A8D" w:rsidR="0001335B" w:rsidRPr="00F36F29" w:rsidRDefault="008D7492" w:rsidP="00BD64A1">
            <w:pPr>
              <w:pStyle w:val="SingleTxt"/>
              <w:tabs>
                <w:tab w:val="clear" w:pos="1267"/>
                <w:tab w:val="left" w:pos="209"/>
                <w:tab w:val="left" w:pos="836"/>
              </w:tabs>
              <w:spacing w:after="0" w:line="240" w:lineRule="auto"/>
              <w:ind w:left="0" w:right="27"/>
            </w:pPr>
            <w:r w:rsidRPr="00F36F29">
              <w:t>BMS/Office of Financial Resource</w:t>
            </w:r>
            <w:r w:rsidR="002F5673" w:rsidRPr="00F36F29">
              <w:t>s</w:t>
            </w:r>
            <w:r w:rsidRPr="00F36F29">
              <w:t xml:space="preserve"> Management</w:t>
            </w:r>
          </w:p>
        </w:tc>
      </w:tr>
      <w:tr w:rsidR="00F36F29" w:rsidRPr="00F36F29" w14:paraId="20162C45" w14:textId="77777777" w:rsidTr="00BD64A1">
        <w:tc>
          <w:tcPr>
            <w:tcW w:w="2970" w:type="dxa"/>
          </w:tcPr>
          <w:p w14:paraId="7AA9B811"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5C07535E" w14:textId="13F29E9E" w:rsidR="0001335B" w:rsidRPr="00F36F29" w:rsidRDefault="008D5AF8" w:rsidP="00BD64A1">
            <w:pPr>
              <w:pStyle w:val="SingleTxt"/>
              <w:tabs>
                <w:tab w:val="clear" w:pos="1267"/>
                <w:tab w:val="left" w:pos="209"/>
                <w:tab w:val="left" w:pos="836"/>
              </w:tabs>
              <w:spacing w:after="0" w:line="240" w:lineRule="auto"/>
              <w:ind w:left="0" w:right="27"/>
            </w:pPr>
            <w:r>
              <w:t>Implemented</w:t>
            </w:r>
          </w:p>
        </w:tc>
      </w:tr>
      <w:tr w:rsidR="0001335B" w:rsidRPr="00F36F29" w14:paraId="591F02D1" w14:textId="77777777" w:rsidTr="00BD64A1">
        <w:tc>
          <w:tcPr>
            <w:tcW w:w="2970" w:type="dxa"/>
          </w:tcPr>
          <w:p w14:paraId="262BCB0C"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791942A7" w14:textId="49BBA473" w:rsidR="0001335B" w:rsidRPr="00F36F29" w:rsidRDefault="0043075B" w:rsidP="00BD64A1">
            <w:pPr>
              <w:pStyle w:val="SingleTxt"/>
              <w:tabs>
                <w:tab w:val="clear" w:pos="1267"/>
                <w:tab w:val="left" w:pos="209"/>
                <w:tab w:val="left" w:pos="836"/>
              </w:tabs>
              <w:spacing w:after="0" w:line="240" w:lineRule="auto"/>
              <w:ind w:left="0" w:right="27"/>
            </w:pPr>
            <w:r w:rsidRPr="00F36F29">
              <w:t>Q4, 2020</w:t>
            </w:r>
          </w:p>
        </w:tc>
      </w:tr>
    </w:tbl>
    <w:p w14:paraId="15BBF966"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675B7FFD" w14:textId="64E7A92F"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8D5AF8">
        <w:rPr>
          <w:sz w:val="22"/>
          <w:szCs w:val="22"/>
        </w:rPr>
        <w:t xml:space="preserve">has implemented </w:t>
      </w:r>
      <w:r w:rsidRPr="00F36F29">
        <w:rPr>
          <w:sz w:val="22"/>
          <w:szCs w:val="22"/>
        </w:rPr>
        <w:t>recommendation.</w:t>
      </w:r>
    </w:p>
    <w:p w14:paraId="5D76FB1E"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3C4A071E" w14:textId="05010D84"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D26ADD" w:rsidRPr="00F36F29">
        <w:rPr>
          <w:b/>
          <w:bCs/>
          <w:sz w:val="22"/>
          <w:szCs w:val="22"/>
          <w:lang w:val="en-US"/>
        </w:rPr>
        <w:t>213</w:t>
      </w:r>
      <w:r w:rsidRPr="00F36F29">
        <w:rPr>
          <w:b/>
          <w:bCs/>
          <w:sz w:val="22"/>
          <w:szCs w:val="22"/>
          <w:lang w:val="en-US"/>
        </w:rPr>
        <w:t>, the Board</w:t>
      </w:r>
      <w:r w:rsidR="00D26ADD" w:rsidRPr="00F36F29">
        <w:rPr>
          <w:b/>
          <w:bCs/>
          <w:sz w:val="22"/>
          <w:szCs w:val="22"/>
          <w:lang w:val="en-US"/>
        </w:rPr>
        <w:t xml:space="preserve"> encourages UNDP to continue to further enhance its system to operationalize, monitor and report on funding compact commitments.</w:t>
      </w:r>
    </w:p>
    <w:p w14:paraId="7EFFED8D"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7BEF40B9" w14:textId="77777777" w:rsidTr="00BD64A1">
        <w:tc>
          <w:tcPr>
            <w:tcW w:w="2970" w:type="dxa"/>
          </w:tcPr>
          <w:p w14:paraId="3B492A64"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00EC1506" w14:textId="3B03BA12" w:rsidR="0001335B" w:rsidRPr="00F36F29" w:rsidRDefault="00A7273C" w:rsidP="00BD64A1">
            <w:pPr>
              <w:pStyle w:val="SingleTxt"/>
              <w:tabs>
                <w:tab w:val="clear" w:pos="1267"/>
                <w:tab w:val="left" w:pos="209"/>
                <w:tab w:val="left" w:pos="836"/>
              </w:tabs>
              <w:spacing w:after="0" w:line="240" w:lineRule="auto"/>
              <w:ind w:left="0" w:right="27"/>
            </w:pPr>
            <w:r w:rsidRPr="00F36F29">
              <w:t>BERA</w:t>
            </w:r>
          </w:p>
        </w:tc>
      </w:tr>
      <w:tr w:rsidR="00F36F29" w:rsidRPr="00F36F29" w14:paraId="6D078D42" w14:textId="77777777" w:rsidTr="00BD64A1">
        <w:tc>
          <w:tcPr>
            <w:tcW w:w="2970" w:type="dxa"/>
          </w:tcPr>
          <w:p w14:paraId="2492E63B"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32972F8A" w14:textId="185061A1" w:rsidR="0001335B" w:rsidRPr="00F36F29" w:rsidRDefault="00B2781C" w:rsidP="00BD64A1">
            <w:pPr>
              <w:pStyle w:val="SingleTxt"/>
              <w:tabs>
                <w:tab w:val="clear" w:pos="1267"/>
                <w:tab w:val="left" w:pos="209"/>
                <w:tab w:val="left" w:pos="836"/>
              </w:tabs>
              <w:spacing w:after="0" w:line="240" w:lineRule="auto"/>
              <w:ind w:left="0" w:right="27"/>
            </w:pPr>
            <w:r>
              <w:t>Implemented</w:t>
            </w:r>
          </w:p>
        </w:tc>
      </w:tr>
      <w:tr w:rsidR="0001335B" w:rsidRPr="00F36F29" w14:paraId="79A6D588" w14:textId="77777777" w:rsidTr="00BD64A1">
        <w:tc>
          <w:tcPr>
            <w:tcW w:w="2970" w:type="dxa"/>
          </w:tcPr>
          <w:p w14:paraId="17D0785A"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lastRenderedPageBreak/>
              <w:t>Target date:</w:t>
            </w:r>
          </w:p>
        </w:tc>
        <w:tc>
          <w:tcPr>
            <w:tcW w:w="5033" w:type="dxa"/>
          </w:tcPr>
          <w:p w14:paraId="33A5C5ED" w14:textId="409CF75D" w:rsidR="0001335B" w:rsidRPr="00F36F29" w:rsidRDefault="00A7273C" w:rsidP="00BD64A1">
            <w:pPr>
              <w:pStyle w:val="SingleTxt"/>
              <w:tabs>
                <w:tab w:val="clear" w:pos="1267"/>
                <w:tab w:val="left" w:pos="209"/>
                <w:tab w:val="left" w:pos="836"/>
              </w:tabs>
              <w:spacing w:after="0" w:line="240" w:lineRule="auto"/>
              <w:ind w:left="0" w:right="27"/>
            </w:pPr>
            <w:r w:rsidRPr="00F36F29">
              <w:t>Q</w:t>
            </w:r>
            <w:r w:rsidR="00B2781C">
              <w:t>3</w:t>
            </w:r>
            <w:r w:rsidRPr="00F36F29">
              <w:t>, 2020</w:t>
            </w:r>
          </w:p>
        </w:tc>
      </w:tr>
    </w:tbl>
    <w:p w14:paraId="105ACAB4"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2783E1AC" w14:textId="34C0A1CF" w:rsidR="00241097" w:rsidRPr="00241097" w:rsidRDefault="00241097" w:rsidP="001441F4">
      <w:pPr>
        <w:pStyle w:val="SingleTxt"/>
        <w:spacing w:line="240" w:lineRule="auto"/>
        <w:ind w:left="720" w:right="29"/>
        <w:jc w:val="left"/>
        <w:rPr>
          <w:sz w:val="22"/>
          <w:szCs w:val="22"/>
        </w:rPr>
      </w:pPr>
      <w:r w:rsidRPr="00241097">
        <w:rPr>
          <w:sz w:val="22"/>
          <w:szCs w:val="22"/>
        </w:rPr>
        <w:t>UNDP has continued to make progress on the funding compact commitment and reported to the Executive Board at the second regular session of 2020 showing progress on 76.9% of the entity-specific indicators (compared to 60% average score for the UN development system).As per the BOA recommendation, UNDP updated the baselines, annual targets and milestones for entity-specific commitments of the funding compact through the structured funding dialogue report with a dedicated annex-2</w:t>
      </w:r>
      <w:r>
        <w:rPr>
          <w:sz w:val="22"/>
          <w:szCs w:val="22"/>
        </w:rPr>
        <w:t xml:space="preserve"> </w:t>
      </w:r>
      <w:r w:rsidRPr="00241097">
        <w:rPr>
          <w:sz w:val="22"/>
          <w:szCs w:val="22"/>
        </w:rPr>
        <w:t xml:space="preserve">https://www.undp.org/content/dam/undp/library/corporate/Executive%20Board/2020/Second-regular-session/DP2020-20_Annex%20II.docx. UNDP continued to make the case for core funding, using the Administrator’s engagements with Member States, identifying country examples that show how core funding is making a difference, empowering UNDP’s Resident Representatives to promote and provide visibility to core contributors, etc. As instructed by the Executive Board decision, UNDP through the inter-agency working group (UNDP, UNFPA, UNICEF and UN Women) started the work to come up with a common system-wide definition for joint activities under DCO’s leadership.  </w:t>
      </w:r>
    </w:p>
    <w:p w14:paraId="061F1E75" w14:textId="09755157"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70FAAF07"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72E0116B" w14:textId="7ECC17D0"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F40FF2" w:rsidRPr="00F36F29">
        <w:rPr>
          <w:b/>
          <w:bCs/>
          <w:sz w:val="22"/>
          <w:szCs w:val="22"/>
          <w:lang w:val="en-US"/>
        </w:rPr>
        <w:t>224</w:t>
      </w:r>
      <w:r w:rsidRPr="00F36F29">
        <w:rPr>
          <w:b/>
          <w:bCs/>
          <w:sz w:val="22"/>
          <w:szCs w:val="22"/>
          <w:lang w:val="en-US"/>
        </w:rPr>
        <w:t>, the Board</w:t>
      </w:r>
      <w:r w:rsidR="00F40FF2" w:rsidRPr="00F36F29">
        <w:rPr>
          <w:b/>
          <w:bCs/>
          <w:sz w:val="22"/>
          <w:szCs w:val="22"/>
          <w:lang w:val="en-US"/>
        </w:rPr>
        <w:t xml:space="preserve"> recommends that UNDP continue to monitor open Resident Coordinators Office projects identified and expedite project closure to the extent possible.</w:t>
      </w:r>
    </w:p>
    <w:p w14:paraId="19092870"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114886F6" w14:textId="77777777" w:rsidTr="00BD64A1">
        <w:tc>
          <w:tcPr>
            <w:tcW w:w="2970" w:type="dxa"/>
          </w:tcPr>
          <w:p w14:paraId="0F612031"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1C1CA090" w14:textId="4F689863" w:rsidR="0001335B" w:rsidRPr="00F36F29" w:rsidRDefault="00A7273C" w:rsidP="00BD64A1">
            <w:pPr>
              <w:pStyle w:val="SingleTxt"/>
              <w:tabs>
                <w:tab w:val="clear" w:pos="1267"/>
                <w:tab w:val="left" w:pos="209"/>
                <w:tab w:val="left" w:pos="836"/>
              </w:tabs>
              <w:spacing w:after="0" w:line="240" w:lineRule="auto"/>
              <w:ind w:left="0" w:right="27"/>
            </w:pPr>
            <w:r w:rsidRPr="00F36F29">
              <w:t>BMS</w:t>
            </w:r>
            <w:r w:rsidR="008D7492" w:rsidRPr="00F36F29">
              <w:t>/</w:t>
            </w:r>
            <w:r w:rsidRPr="00F36F29">
              <w:t>Directorate</w:t>
            </w:r>
          </w:p>
        </w:tc>
      </w:tr>
      <w:tr w:rsidR="00F36F29" w:rsidRPr="00F36F29" w14:paraId="1D2D66E6" w14:textId="77777777" w:rsidTr="00BD64A1">
        <w:tc>
          <w:tcPr>
            <w:tcW w:w="2970" w:type="dxa"/>
          </w:tcPr>
          <w:p w14:paraId="266E4C42"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70703EFD" w14:textId="77777777" w:rsidR="0001335B" w:rsidRPr="00F36F29" w:rsidRDefault="0001335B" w:rsidP="00BD64A1">
            <w:pPr>
              <w:pStyle w:val="SingleTxt"/>
              <w:tabs>
                <w:tab w:val="clear" w:pos="1267"/>
                <w:tab w:val="left" w:pos="209"/>
                <w:tab w:val="left" w:pos="836"/>
              </w:tabs>
              <w:spacing w:after="0" w:line="240" w:lineRule="auto"/>
              <w:ind w:left="0" w:right="27"/>
            </w:pPr>
            <w:r w:rsidRPr="00F36F29">
              <w:t>In progress</w:t>
            </w:r>
          </w:p>
        </w:tc>
      </w:tr>
      <w:tr w:rsidR="0001335B" w:rsidRPr="00F36F29" w14:paraId="2F0BD87C" w14:textId="77777777" w:rsidTr="00BD64A1">
        <w:tc>
          <w:tcPr>
            <w:tcW w:w="2970" w:type="dxa"/>
          </w:tcPr>
          <w:p w14:paraId="5566C6BA"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62E2BA24" w14:textId="78F8D1D1" w:rsidR="0001335B" w:rsidRPr="00F36F29" w:rsidRDefault="00A7273C" w:rsidP="00BD64A1">
            <w:pPr>
              <w:pStyle w:val="SingleTxt"/>
              <w:tabs>
                <w:tab w:val="clear" w:pos="1267"/>
                <w:tab w:val="left" w:pos="209"/>
                <w:tab w:val="left" w:pos="836"/>
              </w:tabs>
              <w:spacing w:after="0" w:line="240" w:lineRule="auto"/>
              <w:ind w:left="0" w:right="27"/>
            </w:pPr>
            <w:r w:rsidRPr="00F36F29">
              <w:t>Q</w:t>
            </w:r>
            <w:r w:rsidR="00014D39" w:rsidRPr="00F36F29">
              <w:t>2,</w:t>
            </w:r>
            <w:r w:rsidRPr="00F36F29">
              <w:t xml:space="preserve"> 202</w:t>
            </w:r>
            <w:r w:rsidR="00014D39" w:rsidRPr="00F36F29">
              <w:t>1</w:t>
            </w:r>
          </w:p>
        </w:tc>
      </w:tr>
    </w:tbl>
    <w:p w14:paraId="747CEBFA"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2BD9D48E" w14:textId="4B7E5D62" w:rsidR="007503E4" w:rsidRDefault="00F37F00" w:rsidP="00F37F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Pr>
          <w:sz w:val="22"/>
          <w:szCs w:val="22"/>
        </w:rPr>
        <w:t xml:space="preserve">UNDP </w:t>
      </w:r>
      <w:r w:rsidRPr="00F37F00">
        <w:rPr>
          <w:sz w:val="22"/>
          <w:szCs w:val="22"/>
        </w:rPr>
        <w:t xml:space="preserve">been working with </w:t>
      </w:r>
      <w:r>
        <w:rPr>
          <w:sz w:val="22"/>
          <w:szCs w:val="22"/>
        </w:rPr>
        <w:t>relevant</w:t>
      </w:r>
      <w:r w:rsidRPr="00F37F00">
        <w:rPr>
          <w:sz w:val="22"/>
          <w:szCs w:val="22"/>
        </w:rPr>
        <w:t xml:space="preserve"> units in order to expedite RCO projects closure.</w:t>
      </w:r>
      <w:r w:rsidR="009E2F5A">
        <w:rPr>
          <w:sz w:val="22"/>
          <w:szCs w:val="22"/>
        </w:rPr>
        <w:t xml:space="preserve"> All open projects will be closed by Q2, 2021. </w:t>
      </w:r>
    </w:p>
    <w:p w14:paraId="7D9267B0" w14:textId="77777777" w:rsidR="00F37F00" w:rsidRPr="00F36F29" w:rsidRDefault="00F37F00" w:rsidP="00F37F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7F6C8CD1" w14:textId="5B1859E2"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046FA6" w:rsidRPr="00F36F29">
        <w:rPr>
          <w:b/>
          <w:bCs/>
          <w:sz w:val="22"/>
          <w:szCs w:val="22"/>
          <w:lang w:val="en-US"/>
        </w:rPr>
        <w:t>225</w:t>
      </w:r>
      <w:r w:rsidRPr="00F36F29">
        <w:rPr>
          <w:b/>
          <w:bCs/>
          <w:sz w:val="22"/>
          <w:szCs w:val="22"/>
          <w:lang w:val="en-US"/>
        </w:rPr>
        <w:t>, the Board</w:t>
      </w:r>
      <w:r w:rsidR="00046FA6" w:rsidRPr="00F36F29">
        <w:rPr>
          <w:b/>
          <w:bCs/>
          <w:sz w:val="22"/>
          <w:szCs w:val="22"/>
          <w:lang w:val="en-US"/>
        </w:rPr>
        <w:t xml:space="preserve"> recommends that UNDP continue to monitor and report the number of staff members provided under transition arrangements to the Resident Coordinator System and document when these transitional arrangements cease to exist.</w:t>
      </w:r>
    </w:p>
    <w:p w14:paraId="026323A4"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0FE48EC1" w14:textId="77777777" w:rsidTr="00BD64A1">
        <w:tc>
          <w:tcPr>
            <w:tcW w:w="2970" w:type="dxa"/>
          </w:tcPr>
          <w:p w14:paraId="305B0BD8"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2FE218F7" w14:textId="0BA6DC9F" w:rsidR="0001335B" w:rsidRPr="00F36F29" w:rsidRDefault="00A7273C" w:rsidP="00BD64A1">
            <w:pPr>
              <w:pStyle w:val="SingleTxt"/>
              <w:tabs>
                <w:tab w:val="clear" w:pos="1267"/>
                <w:tab w:val="left" w:pos="209"/>
                <w:tab w:val="left" w:pos="836"/>
              </w:tabs>
              <w:spacing w:after="0" w:line="240" w:lineRule="auto"/>
              <w:ind w:left="0" w:right="27"/>
            </w:pPr>
            <w:r w:rsidRPr="00F36F29">
              <w:t>BMS</w:t>
            </w:r>
            <w:r w:rsidR="008D7492" w:rsidRPr="00F36F29">
              <w:t>/</w:t>
            </w:r>
            <w:r w:rsidRPr="00F36F29">
              <w:t>Directorate</w:t>
            </w:r>
            <w:r w:rsidR="00863D59" w:rsidRPr="00F36F29">
              <w:t xml:space="preserve"> and </w:t>
            </w:r>
            <w:r w:rsidR="008D7492" w:rsidRPr="00F36F29">
              <w:t>BMS/</w:t>
            </w:r>
            <w:r w:rsidR="00863D59" w:rsidRPr="00F36F29">
              <w:t>O</w:t>
            </w:r>
            <w:r w:rsidR="008D7492" w:rsidRPr="00F36F29">
              <w:t>ffice of Human Resource Management</w:t>
            </w:r>
          </w:p>
        </w:tc>
      </w:tr>
      <w:tr w:rsidR="00F36F29" w:rsidRPr="00F36F29" w14:paraId="2DB3B500" w14:textId="77777777" w:rsidTr="00BD64A1">
        <w:tc>
          <w:tcPr>
            <w:tcW w:w="2970" w:type="dxa"/>
          </w:tcPr>
          <w:p w14:paraId="4E453F7B"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51A12275" w14:textId="77777777" w:rsidR="0001335B" w:rsidRPr="00F36F29" w:rsidRDefault="0001335B" w:rsidP="00BD64A1">
            <w:pPr>
              <w:pStyle w:val="SingleTxt"/>
              <w:tabs>
                <w:tab w:val="clear" w:pos="1267"/>
                <w:tab w:val="left" w:pos="209"/>
                <w:tab w:val="left" w:pos="836"/>
              </w:tabs>
              <w:spacing w:after="0" w:line="240" w:lineRule="auto"/>
              <w:ind w:left="0" w:right="27"/>
            </w:pPr>
            <w:r w:rsidRPr="00F36F29">
              <w:t>In progress</w:t>
            </w:r>
          </w:p>
        </w:tc>
      </w:tr>
      <w:tr w:rsidR="0001335B" w:rsidRPr="00F36F29" w14:paraId="63BB317B" w14:textId="77777777" w:rsidTr="00BD64A1">
        <w:tc>
          <w:tcPr>
            <w:tcW w:w="2970" w:type="dxa"/>
          </w:tcPr>
          <w:p w14:paraId="2E460888"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4FC21562" w14:textId="77EDCD43" w:rsidR="0001335B" w:rsidRPr="00F36F29" w:rsidRDefault="00863D59" w:rsidP="00BD64A1">
            <w:pPr>
              <w:pStyle w:val="SingleTxt"/>
              <w:tabs>
                <w:tab w:val="clear" w:pos="1267"/>
                <w:tab w:val="left" w:pos="209"/>
                <w:tab w:val="left" w:pos="836"/>
              </w:tabs>
              <w:spacing w:after="0" w:line="240" w:lineRule="auto"/>
              <w:ind w:left="0" w:right="27"/>
            </w:pPr>
            <w:r w:rsidRPr="00F36F29">
              <w:t>Q</w:t>
            </w:r>
            <w:r w:rsidR="00274C4C" w:rsidRPr="00F36F29">
              <w:t>2</w:t>
            </w:r>
            <w:r w:rsidRPr="00F36F29">
              <w:t>, 202</w:t>
            </w:r>
            <w:r w:rsidR="00274C4C" w:rsidRPr="00F36F29">
              <w:t>1</w:t>
            </w:r>
          </w:p>
        </w:tc>
      </w:tr>
    </w:tbl>
    <w:p w14:paraId="1F663691"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2F482E52" w14:textId="2D6ED601"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UNDP agreed with the recommendation.</w:t>
      </w:r>
    </w:p>
    <w:p w14:paraId="1014AE8C"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7F25CADD" w14:textId="1AB045B5"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23621F" w:rsidRPr="00F36F29">
        <w:rPr>
          <w:b/>
          <w:bCs/>
          <w:sz w:val="22"/>
          <w:szCs w:val="22"/>
          <w:lang w:val="en-US"/>
        </w:rPr>
        <w:t>232</w:t>
      </w:r>
      <w:r w:rsidRPr="00F36F29">
        <w:rPr>
          <w:b/>
          <w:bCs/>
          <w:sz w:val="22"/>
          <w:szCs w:val="22"/>
          <w:lang w:val="en-US"/>
        </w:rPr>
        <w:t>, the Board</w:t>
      </w:r>
      <w:r w:rsidR="0023621F" w:rsidRPr="00F36F29">
        <w:rPr>
          <w:b/>
          <w:bCs/>
          <w:sz w:val="22"/>
          <w:szCs w:val="22"/>
          <w:lang w:val="en-US"/>
        </w:rPr>
        <w:t xml:space="preserve"> recommends that UNDP use the results from the joint survey with the Development Coordination Office to assess and, if needed, to refine its service offer to the United Nations Resident Coordinator System and its operational support to country offices.</w:t>
      </w:r>
    </w:p>
    <w:p w14:paraId="67E480A3"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19EB7057" w14:textId="77777777" w:rsidTr="00BD64A1">
        <w:tc>
          <w:tcPr>
            <w:tcW w:w="2970" w:type="dxa"/>
          </w:tcPr>
          <w:p w14:paraId="4427CCE6"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45EC6BAC" w14:textId="5F43AC47" w:rsidR="0001335B" w:rsidRPr="00F36F29" w:rsidRDefault="00863D59" w:rsidP="00BD64A1">
            <w:pPr>
              <w:pStyle w:val="SingleTxt"/>
              <w:tabs>
                <w:tab w:val="clear" w:pos="1267"/>
                <w:tab w:val="left" w:pos="209"/>
                <w:tab w:val="left" w:pos="836"/>
              </w:tabs>
              <w:spacing w:after="0" w:line="240" w:lineRule="auto"/>
              <w:ind w:left="0" w:right="27"/>
            </w:pPr>
            <w:r w:rsidRPr="00F36F29">
              <w:t>BMS</w:t>
            </w:r>
            <w:r w:rsidR="008D7492" w:rsidRPr="00F36F29">
              <w:t>/</w:t>
            </w:r>
            <w:r w:rsidRPr="00F36F29">
              <w:t>Directorate</w:t>
            </w:r>
          </w:p>
        </w:tc>
      </w:tr>
      <w:tr w:rsidR="00F36F29" w:rsidRPr="00F36F29" w14:paraId="1509E7BF" w14:textId="77777777" w:rsidTr="00BD64A1">
        <w:tc>
          <w:tcPr>
            <w:tcW w:w="2970" w:type="dxa"/>
          </w:tcPr>
          <w:p w14:paraId="78417EB0"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03A611EA" w14:textId="77777777" w:rsidR="0001335B" w:rsidRPr="00F36F29" w:rsidRDefault="0001335B" w:rsidP="00BD64A1">
            <w:pPr>
              <w:pStyle w:val="SingleTxt"/>
              <w:tabs>
                <w:tab w:val="clear" w:pos="1267"/>
                <w:tab w:val="left" w:pos="209"/>
                <w:tab w:val="left" w:pos="836"/>
              </w:tabs>
              <w:spacing w:after="0" w:line="240" w:lineRule="auto"/>
              <w:ind w:left="0" w:right="27"/>
            </w:pPr>
            <w:r w:rsidRPr="00F36F29">
              <w:t>In progress</w:t>
            </w:r>
          </w:p>
        </w:tc>
      </w:tr>
      <w:tr w:rsidR="00D64DE2" w:rsidRPr="00F36F29" w14:paraId="12E2C947" w14:textId="77777777" w:rsidTr="00BD64A1">
        <w:tc>
          <w:tcPr>
            <w:tcW w:w="2970" w:type="dxa"/>
          </w:tcPr>
          <w:p w14:paraId="7D6DFAF6"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7F419AF6" w14:textId="59575A9F" w:rsidR="0001335B" w:rsidRPr="00F36F29" w:rsidRDefault="00863D59" w:rsidP="00BD64A1">
            <w:pPr>
              <w:pStyle w:val="SingleTxt"/>
              <w:tabs>
                <w:tab w:val="clear" w:pos="1267"/>
                <w:tab w:val="left" w:pos="209"/>
                <w:tab w:val="left" w:pos="836"/>
              </w:tabs>
              <w:spacing w:after="0" w:line="240" w:lineRule="auto"/>
              <w:ind w:left="0" w:right="27"/>
            </w:pPr>
            <w:r w:rsidRPr="00F36F29">
              <w:t>Q</w:t>
            </w:r>
            <w:r w:rsidR="00704DF8" w:rsidRPr="00F36F29">
              <w:t>1</w:t>
            </w:r>
            <w:r w:rsidRPr="00F36F29">
              <w:t>, 202</w:t>
            </w:r>
            <w:r w:rsidR="00704DF8" w:rsidRPr="00F36F29">
              <w:t>1</w:t>
            </w:r>
          </w:p>
        </w:tc>
      </w:tr>
    </w:tbl>
    <w:p w14:paraId="249C548C" w14:textId="77777777" w:rsidR="007F6058" w:rsidRDefault="007F6058" w:rsidP="007F6058">
      <w:pPr>
        <w:pStyle w:val="SingleTxt"/>
        <w:spacing w:line="240" w:lineRule="auto"/>
        <w:ind w:left="720" w:right="29"/>
        <w:rPr>
          <w:sz w:val="22"/>
          <w:szCs w:val="22"/>
        </w:rPr>
      </w:pPr>
    </w:p>
    <w:p w14:paraId="645E4AE8" w14:textId="1478654F" w:rsidR="00B72F93" w:rsidRPr="00F36F29" w:rsidRDefault="007F6058" w:rsidP="00B72F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7F6058">
        <w:rPr>
          <w:sz w:val="22"/>
          <w:szCs w:val="22"/>
        </w:rPr>
        <w:lastRenderedPageBreak/>
        <w:t xml:space="preserve">The joint UNDP and UN DCO service provision survey was successfully launched on 26 August 2020. The UNDP country offices and the Resident Coordinator Offices have started participating in the survey, and </w:t>
      </w:r>
      <w:r w:rsidRPr="001441F4">
        <w:rPr>
          <w:sz w:val="22"/>
          <w:szCs w:val="22"/>
        </w:rPr>
        <w:t>the survey will be kept open till 25 September 2020, or extended as needed. The analysis of results will be finalized shortly after the closure date, not later than end of October</w:t>
      </w:r>
      <w:r w:rsidR="00B72F93" w:rsidRPr="001441F4">
        <w:rPr>
          <w:sz w:val="22"/>
          <w:szCs w:val="22"/>
        </w:rPr>
        <w:t xml:space="preserve"> and UNDP looks forward to</w:t>
      </w:r>
      <w:r w:rsidR="00165D54" w:rsidRPr="001441F4">
        <w:rPr>
          <w:sz w:val="22"/>
          <w:szCs w:val="22"/>
        </w:rPr>
        <w:t xml:space="preserve"> the identification of</w:t>
      </w:r>
      <w:r w:rsidR="00B72F93" w:rsidRPr="001441F4">
        <w:rPr>
          <w:sz w:val="22"/>
          <w:szCs w:val="22"/>
        </w:rPr>
        <w:t xml:space="preserve"> areas for further improvement </w:t>
      </w:r>
      <w:r w:rsidR="0093740D" w:rsidRPr="001441F4">
        <w:rPr>
          <w:sz w:val="22"/>
          <w:szCs w:val="22"/>
        </w:rPr>
        <w:t>and refin</w:t>
      </w:r>
      <w:r w:rsidR="00165D54" w:rsidRPr="001441F4">
        <w:rPr>
          <w:sz w:val="22"/>
          <w:szCs w:val="22"/>
        </w:rPr>
        <w:t>ing</w:t>
      </w:r>
      <w:r w:rsidR="0093740D" w:rsidRPr="001441F4">
        <w:rPr>
          <w:sz w:val="22"/>
          <w:szCs w:val="22"/>
        </w:rPr>
        <w:t xml:space="preserve"> service offerings</w:t>
      </w:r>
      <w:r w:rsidR="00B72F93" w:rsidRPr="001441F4">
        <w:rPr>
          <w:sz w:val="22"/>
          <w:szCs w:val="22"/>
        </w:rPr>
        <w:t>.</w:t>
      </w:r>
    </w:p>
    <w:p w14:paraId="30FE78D8"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2D577250" w14:textId="6125EAEE"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121755" w:rsidRPr="00F36F29">
        <w:rPr>
          <w:b/>
          <w:bCs/>
          <w:sz w:val="22"/>
          <w:szCs w:val="22"/>
          <w:lang w:val="en-US"/>
        </w:rPr>
        <w:t>236</w:t>
      </w:r>
      <w:r w:rsidRPr="00F36F29">
        <w:rPr>
          <w:b/>
          <w:bCs/>
          <w:sz w:val="22"/>
          <w:szCs w:val="22"/>
          <w:lang w:val="en-US"/>
        </w:rPr>
        <w:t>, the Board</w:t>
      </w:r>
      <w:r w:rsidR="00121755" w:rsidRPr="00F36F29">
        <w:rPr>
          <w:b/>
          <w:bCs/>
          <w:sz w:val="22"/>
          <w:szCs w:val="22"/>
          <w:lang w:val="en-US"/>
        </w:rPr>
        <w:t xml:space="preserve"> recommends that UNDP continue to follow up on signing local service level agreements for the service provision to the Resident Coordinators Office.</w:t>
      </w:r>
    </w:p>
    <w:p w14:paraId="0EC9281B"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698944FE" w14:textId="77777777" w:rsidTr="00BD64A1">
        <w:tc>
          <w:tcPr>
            <w:tcW w:w="2970" w:type="dxa"/>
          </w:tcPr>
          <w:p w14:paraId="56143A65"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6111236F" w14:textId="06B83DC0" w:rsidR="0001335B" w:rsidRPr="00F36F29" w:rsidRDefault="00604EBE" w:rsidP="00BD64A1">
            <w:pPr>
              <w:pStyle w:val="SingleTxt"/>
              <w:tabs>
                <w:tab w:val="clear" w:pos="1267"/>
                <w:tab w:val="left" w:pos="209"/>
                <w:tab w:val="left" w:pos="836"/>
              </w:tabs>
              <w:spacing w:after="0" w:line="240" w:lineRule="auto"/>
              <w:ind w:left="0" w:right="27"/>
            </w:pPr>
            <w:r w:rsidRPr="00F36F29">
              <w:t>BMS</w:t>
            </w:r>
            <w:r w:rsidR="008D7492" w:rsidRPr="00F36F29">
              <w:t>/</w:t>
            </w:r>
            <w:r w:rsidRPr="00F36F29">
              <w:t>Directorate</w:t>
            </w:r>
          </w:p>
        </w:tc>
      </w:tr>
      <w:tr w:rsidR="00F36F29" w:rsidRPr="00F36F29" w14:paraId="4A649BAE" w14:textId="77777777" w:rsidTr="00BD64A1">
        <w:tc>
          <w:tcPr>
            <w:tcW w:w="2970" w:type="dxa"/>
          </w:tcPr>
          <w:p w14:paraId="5228C526"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01202CD5" w14:textId="01099A84" w:rsidR="0001335B" w:rsidRPr="00F36F29" w:rsidRDefault="0091154E" w:rsidP="00BD64A1">
            <w:pPr>
              <w:pStyle w:val="SingleTxt"/>
              <w:tabs>
                <w:tab w:val="clear" w:pos="1267"/>
                <w:tab w:val="left" w:pos="209"/>
                <w:tab w:val="left" w:pos="836"/>
              </w:tabs>
              <w:spacing w:after="0" w:line="240" w:lineRule="auto"/>
              <w:ind w:left="0" w:right="27"/>
            </w:pPr>
            <w:r>
              <w:t>Implemented</w:t>
            </w:r>
          </w:p>
        </w:tc>
      </w:tr>
      <w:tr w:rsidR="0001335B" w:rsidRPr="00F36F29" w14:paraId="6546F0A8" w14:textId="77777777" w:rsidTr="00BD64A1">
        <w:tc>
          <w:tcPr>
            <w:tcW w:w="2970" w:type="dxa"/>
          </w:tcPr>
          <w:p w14:paraId="58A362D2"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0F12F4D3" w14:textId="642D56EC" w:rsidR="0001335B" w:rsidRPr="00F36F29" w:rsidRDefault="00604EBE" w:rsidP="00BD64A1">
            <w:pPr>
              <w:pStyle w:val="SingleTxt"/>
              <w:tabs>
                <w:tab w:val="clear" w:pos="1267"/>
                <w:tab w:val="left" w:pos="209"/>
                <w:tab w:val="left" w:pos="836"/>
              </w:tabs>
              <w:spacing w:after="0" w:line="240" w:lineRule="auto"/>
              <w:ind w:left="0" w:right="27"/>
            </w:pPr>
            <w:r w:rsidRPr="00F36F29">
              <w:t>Q4, 2020</w:t>
            </w:r>
          </w:p>
        </w:tc>
      </w:tr>
    </w:tbl>
    <w:p w14:paraId="6D8B4B19"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13CCF7C5" w14:textId="0E91E2E2"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91154E">
        <w:rPr>
          <w:sz w:val="22"/>
          <w:szCs w:val="22"/>
        </w:rPr>
        <w:t xml:space="preserve">has implemented this recommendation. </w:t>
      </w:r>
    </w:p>
    <w:p w14:paraId="64FA4072"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3949F372" w14:textId="066DD0C1"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AF5E80" w:rsidRPr="00F36F29">
        <w:rPr>
          <w:b/>
          <w:bCs/>
          <w:sz w:val="22"/>
          <w:szCs w:val="22"/>
          <w:lang w:val="en-US"/>
        </w:rPr>
        <w:t>252</w:t>
      </w:r>
      <w:r w:rsidRPr="00F36F29">
        <w:rPr>
          <w:b/>
          <w:bCs/>
          <w:sz w:val="22"/>
          <w:szCs w:val="22"/>
          <w:lang w:val="en-US"/>
        </w:rPr>
        <w:t>, the Board</w:t>
      </w:r>
      <w:r w:rsidR="00AF5E80" w:rsidRPr="00F36F29">
        <w:rPr>
          <w:b/>
          <w:bCs/>
          <w:sz w:val="22"/>
          <w:szCs w:val="22"/>
          <w:lang w:val="en-US"/>
        </w:rPr>
        <w:t xml:space="preserve"> recommends that UNDP use the feedback obtained on the Management and Accountability Framework to inform its contribution to the revision of the country-level framework in order to ensure that accountability is strengthened.</w:t>
      </w:r>
    </w:p>
    <w:p w14:paraId="650D1CB3"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00BE3DBB" w14:textId="77777777" w:rsidTr="3D8FCBEB">
        <w:tc>
          <w:tcPr>
            <w:tcW w:w="2970" w:type="dxa"/>
          </w:tcPr>
          <w:p w14:paraId="4312F963"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49F61631" w14:textId="0EB52FB7" w:rsidR="0001335B" w:rsidRPr="00F36F29" w:rsidRDefault="00604EBE" w:rsidP="00BD64A1">
            <w:pPr>
              <w:pStyle w:val="SingleTxt"/>
              <w:tabs>
                <w:tab w:val="clear" w:pos="1267"/>
                <w:tab w:val="left" w:pos="209"/>
                <w:tab w:val="left" w:pos="836"/>
              </w:tabs>
              <w:spacing w:after="0" w:line="240" w:lineRule="auto"/>
              <w:ind w:left="0" w:right="27"/>
            </w:pPr>
            <w:r w:rsidRPr="00F36F29">
              <w:t>BERA</w:t>
            </w:r>
          </w:p>
        </w:tc>
      </w:tr>
      <w:tr w:rsidR="00F36F29" w:rsidRPr="00F36F29" w14:paraId="4F533B6D" w14:textId="77777777" w:rsidTr="3D8FCBEB">
        <w:tc>
          <w:tcPr>
            <w:tcW w:w="2970" w:type="dxa"/>
          </w:tcPr>
          <w:p w14:paraId="1D52DFF0"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0F65CC17" w14:textId="77777777" w:rsidR="0001335B" w:rsidRPr="00F36F29" w:rsidRDefault="0001335B" w:rsidP="00BD64A1">
            <w:pPr>
              <w:pStyle w:val="SingleTxt"/>
              <w:tabs>
                <w:tab w:val="clear" w:pos="1267"/>
                <w:tab w:val="left" w:pos="209"/>
                <w:tab w:val="left" w:pos="836"/>
              </w:tabs>
              <w:spacing w:after="0" w:line="240" w:lineRule="auto"/>
              <w:ind w:left="0" w:right="27"/>
            </w:pPr>
            <w:r w:rsidRPr="00F36F29">
              <w:t>In progress</w:t>
            </w:r>
          </w:p>
        </w:tc>
      </w:tr>
      <w:tr w:rsidR="0001335B" w:rsidRPr="00F36F29" w14:paraId="67FCC486" w14:textId="77777777" w:rsidTr="3D8FCBEB">
        <w:tc>
          <w:tcPr>
            <w:tcW w:w="2970" w:type="dxa"/>
          </w:tcPr>
          <w:p w14:paraId="0055077E"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590D22CC" w14:textId="74B7B504" w:rsidR="0001335B" w:rsidRPr="00F36F29" w:rsidRDefault="153D2ADE" w:rsidP="00BD64A1">
            <w:pPr>
              <w:pStyle w:val="SingleTxt"/>
              <w:tabs>
                <w:tab w:val="clear" w:pos="1267"/>
                <w:tab w:val="left" w:pos="209"/>
                <w:tab w:val="left" w:pos="836"/>
              </w:tabs>
              <w:spacing w:after="0" w:line="240" w:lineRule="auto"/>
              <w:ind w:left="0" w:right="27"/>
            </w:pPr>
            <w:r w:rsidRPr="00F36F29">
              <w:t>Q</w:t>
            </w:r>
            <w:r w:rsidR="005B3111">
              <w:t>1</w:t>
            </w:r>
            <w:r w:rsidRPr="00F36F29">
              <w:t>, 202</w:t>
            </w:r>
            <w:r w:rsidR="005B3111">
              <w:t>1</w:t>
            </w:r>
          </w:p>
        </w:tc>
      </w:tr>
    </w:tbl>
    <w:p w14:paraId="670C3DCA"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5BAB6AEA" w14:textId="3F7CF1D8" w:rsidR="0001335B" w:rsidRPr="00F36F29" w:rsidRDefault="005B3111" w:rsidP="005B3111">
      <w:pPr>
        <w:pStyle w:val="SingleTxt"/>
        <w:spacing w:line="240" w:lineRule="auto"/>
        <w:ind w:left="720" w:right="29"/>
        <w:rPr>
          <w:sz w:val="22"/>
          <w:szCs w:val="22"/>
        </w:rPr>
      </w:pPr>
      <w:r w:rsidRPr="005B3111">
        <w:rPr>
          <w:sz w:val="22"/>
          <w:szCs w:val="22"/>
        </w:rPr>
        <w:t xml:space="preserve">UNDP has carefully </w:t>
      </w:r>
      <w:proofErr w:type="spellStart"/>
      <w:r w:rsidRPr="005B3111">
        <w:rPr>
          <w:sz w:val="22"/>
          <w:szCs w:val="22"/>
        </w:rPr>
        <w:t>analyzed</w:t>
      </w:r>
      <w:proofErr w:type="spellEnd"/>
      <w:r w:rsidRPr="005B3111">
        <w:rPr>
          <w:sz w:val="22"/>
          <w:szCs w:val="22"/>
        </w:rPr>
        <w:t xml:space="preserve"> the feedback on the Management and Accountability Framework (MAF) and compared survey results with similar surveys conducted by UNICEF and UNFPA to identify key challenges and understand what management action may need to be taken. UNDP has contributed to the design of a survey of RCOs/UNCTs to be issued by DCO in preparation of the revision of the country-level framework. UNDP’s analysis of MAF implementation to date will subsequently inform our contribution to the planned revision of the country-level MAF, as well as the design of a robust regional chapter, to ensure that mutual accountability is strengthened and the independent RC system serves all UNDS entities in the promotion of their mandates.</w:t>
      </w:r>
    </w:p>
    <w:p w14:paraId="5DDA754F"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5A316880" w14:textId="5693FA08"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E22421" w:rsidRPr="00F36F29">
        <w:rPr>
          <w:b/>
          <w:bCs/>
          <w:sz w:val="22"/>
          <w:szCs w:val="22"/>
          <w:lang w:val="en-US"/>
        </w:rPr>
        <w:t>269</w:t>
      </w:r>
      <w:r w:rsidRPr="00F36F29">
        <w:rPr>
          <w:b/>
          <w:bCs/>
          <w:sz w:val="22"/>
          <w:szCs w:val="22"/>
          <w:lang w:val="en-US"/>
        </w:rPr>
        <w:t>, the Board</w:t>
      </w:r>
      <w:r w:rsidR="00E22421" w:rsidRPr="00F36F29">
        <w:rPr>
          <w:b/>
          <w:bCs/>
          <w:sz w:val="22"/>
          <w:szCs w:val="22"/>
          <w:lang w:val="en-US"/>
        </w:rPr>
        <w:t xml:space="preserve"> recommends that UNDP continue its participation in the inter-agency dialogue on the client satisfaction principles as well as the costing and pricing principles and, in cooperation with other stakeholders, explore options on how this inter-agency dialogue on the costing and pricing principles may be enhanced in order to address existing concerns of United Nations entities who have not agreed with the principles.</w:t>
      </w:r>
    </w:p>
    <w:p w14:paraId="3482DA01"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04A8AF76" w14:textId="77777777" w:rsidTr="00BD64A1">
        <w:tc>
          <w:tcPr>
            <w:tcW w:w="2970" w:type="dxa"/>
          </w:tcPr>
          <w:p w14:paraId="1AF23A99"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59BEB814" w14:textId="6F20E480" w:rsidR="0001335B" w:rsidRPr="00F36F29" w:rsidRDefault="00604EBE" w:rsidP="00BD64A1">
            <w:pPr>
              <w:pStyle w:val="SingleTxt"/>
              <w:tabs>
                <w:tab w:val="clear" w:pos="1267"/>
                <w:tab w:val="left" w:pos="209"/>
                <w:tab w:val="left" w:pos="836"/>
              </w:tabs>
              <w:spacing w:after="0" w:line="240" w:lineRule="auto"/>
              <w:ind w:left="0" w:right="27"/>
            </w:pPr>
            <w:r w:rsidRPr="00F36F29">
              <w:t>BMS</w:t>
            </w:r>
            <w:r w:rsidR="008D7492" w:rsidRPr="00F36F29">
              <w:t>/</w:t>
            </w:r>
            <w:r w:rsidRPr="00F36F29">
              <w:t>Directorate</w:t>
            </w:r>
          </w:p>
        </w:tc>
      </w:tr>
      <w:tr w:rsidR="00F36F29" w:rsidRPr="00F36F29" w14:paraId="2C87E4AB" w14:textId="77777777" w:rsidTr="00BD64A1">
        <w:tc>
          <w:tcPr>
            <w:tcW w:w="2970" w:type="dxa"/>
          </w:tcPr>
          <w:p w14:paraId="565FED53"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3920707B" w14:textId="59DFC1F5" w:rsidR="0001335B" w:rsidRPr="00F36F29" w:rsidRDefault="00C74F05" w:rsidP="00BD64A1">
            <w:pPr>
              <w:pStyle w:val="SingleTxt"/>
              <w:tabs>
                <w:tab w:val="clear" w:pos="1267"/>
                <w:tab w:val="left" w:pos="209"/>
                <w:tab w:val="left" w:pos="836"/>
              </w:tabs>
              <w:spacing w:after="0" w:line="240" w:lineRule="auto"/>
              <w:ind w:left="0" w:right="27"/>
            </w:pPr>
            <w:r>
              <w:t>Implemented</w:t>
            </w:r>
          </w:p>
        </w:tc>
      </w:tr>
      <w:tr w:rsidR="0001335B" w:rsidRPr="00F36F29" w14:paraId="7C2A4466" w14:textId="77777777" w:rsidTr="00BD64A1">
        <w:tc>
          <w:tcPr>
            <w:tcW w:w="2970" w:type="dxa"/>
          </w:tcPr>
          <w:p w14:paraId="37952D50"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70F82EDA" w14:textId="01752662" w:rsidR="0001335B" w:rsidRPr="00F36F29" w:rsidRDefault="00604EBE" w:rsidP="00BD64A1">
            <w:pPr>
              <w:pStyle w:val="SingleTxt"/>
              <w:tabs>
                <w:tab w:val="clear" w:pos="1267"/>
                <w:tab w:val="left" w:pos="209"/>
                <w:tab w:val="left" w:pos="836"/>
              </w:tabs>
              <w:spacing w:after="0" w:line="240" w:lineRule="auto"/>
              <w:ind w:left="0" w:right="27"/>
            </w:pPr>
            <w:r w:rsidRPr="00F36F29">
              <w:t>Q4, 2020</w:t>
            </w:r>
          </w:p>
        </w:tc>
      </w:tr>
    </w:tbl>
    <w:p w14:paraId="7C8EE9C6"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11AB405A" w14:textId="747A3AF2" w:rsidR="0001335B" w:rsidRPr="00F36F29" w:rsidRDefault="0001335B" w:rsidP="00BE6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 xml:space="preserve">UNDP </w:t>
      </w:r>
      <w:r w:rsidR="00C74F05">
        <w:rPr>
          <w:sz w:val="22"/>
          <w:szCs w:val="22"/>
        </w:rPr>
        <w:t>has implemented this recommendation</w:t>
      </w:r>
      <w:r w:rsidRPr="00F36F29">
        <w:rPr>
          <w:sz w:val="22"/>
          <w:szCs w:val="22"/>
        </w:rPr>
        <w:t>.</w:t>
      </w:r>
    </w:p>
    <w:p w14:paraId="6FD66F89"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71D07411" w14:textId="67C40057"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D109AD" w:rsidRPr="00F36F29">
        <w:rPr>
          <w:b/>
          <w:bCs/>
          <w:sz w:val="22"/>
          <w:szCs w:val="22"/>
          <w:lang w:val="en-US"/>
        </w:rPr>
        <w:t>288</w:t>
      </w:r>
      <w:r w:rsidRPr="00F36F29">
        <w:rPr>
          <w:b/>
          <w:bCs/>
          <w:sz w:val="22"/>
          <w:szCs w:val="22"/>
          <w:lang w:val="en-US"/>
        </w:rPr>
        <w:t>, the Board</w:t>
      </w:r>
      <w:r w:rsidR="00D109AD" w:rsidRPr="00F36F29">
        <w:rPr>
          <w:b/>
          <w:bCs/>
          <w:sz w:val="22"/>
          <w:szCs w:val="22"/>
          <w:lang w:val="en-US"/>
        </w:rPr>
        <w:t xml:space="preserve"> recommends that UNDP consider further streamlining the mapping of its contributions to the United Nations development system reform process and </w:t>
      </w:r>
      <w:r w:rsidR="00D109AD" w:rsidRPr="00F36F29">
        <w:rPr>
          <w:b/>
          <w:bCs/>
          <w:sz w:val="22"/>
          <w:szCs w:val="22"/>
          <w:lang w:val="en-US"/>
        </w:rPr>
        <w:lastRenderedPageBreak/>
        <w:t>continue its strong engagement in all inter-agency workstreams for the United Nations development system reform.</w:t>
      </w:r>
    </w:p>
    <w:p w14:paraId="650192EE"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595A2996" w14:textId="77777777" w:rsidTr="3D8FCBEB">
        <w:tc>
          <w:tcPr>
            <w:tcW w:w="2970" w:type="dxa"/>
          </w:tcPr>
          <w:p w14:paraId="086E9DE4"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16ABD6BF" w14:textId="2FB9F01B" w:rsidR="0001335B" w:rsidRPr="00F36F29" w:rsidRDefault="009D09BC" w:rsidP="00BD64A1">
            <w:pPr>
              <w:pStyle w:val="SingleTxt"/>
              <w:tabs>
                <w:tab w:val="clear" w:pos="1267"/>
                <w:tab w:val="left" w:pos="209"/>
                <w:tab w:val="left" w:pos="836"/>
              </w:tabs>
              <w:spacing w:after="0" w:line="240" w:lineRule="auto"/>
              <w:ind w:left="0" w:right="27"/>
            </w:pPr>
            <w:r w:rsidRPr="00F36F29">
              <w:t>BMS</w:t>
            </w:r>
            <w:r w:rsidR="00434FF4" w:rsidRPr="00F36F29">
              <w:t>/Directorate</w:t>
            </w:r>
            <w:r w:rsidRPr="00F36F29">
              <w:t xml:space="preserve"> and BERA</w:t>
            </w:r>
          </w:p>
        </w:tc>
      </w:tr>
      <w:tr w:rsidR="00F36F29" w:rsidRPr="00F36F29" w14:paraId="74A29AE7" w14:textId="77777777" w:rsidTr="3D8FCBEB">
        <w:tc>
          <w:tcPr>
            <w:tcW w:w="2970" w:type="dxa"/>
          </w:tcPr>
          <w:p w14:paraId="72FA5547"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08A67351" w14:textId="64B889DD" w:rsidR="0001335B" w:rsidRPr="00F36F29" w:rsidRDefault="0001335B" w:rsidP="00BD64A1">
            <w:pPr>
              <w:pStyle w:val="SingleTxt"/>
              <w:tabs>
                <w:tab w:val="clear" w:pos="1267"/>
                <w:tab w:val="left" w:pos="209"/>
                <w:tab w:val="left" w:pos="836"/>
              </w:tabs>
              <w:spacing w:after="0" w:line="240" w:lineRule="auto"/>
              <w:ind w:left="0" w:right="27"/>
            </w:pPr>
            <w:r w:rsidRPr="00F36F29">
              <w:t>I</w:t>
            </w:r>
            <w:r w:rsidR="009A7B83">
              <w:t>mplemented</w:t>
            </w:r>
          </w:p>
        </w:tc>
      </w:tr>
      <w:tr w:rsidR="0001335B" w:rsidRPr="00F36F29" w14:paraId="1F06CC5E" w14:textId="77777777" w:rsidTr="3D8FCBEB">
        <w:tc>
          <w:tcPr>
            <w:tcW w:w="2970" w:type="dxa"/>
          </w:tcPr>
          <w:p w14:paraId="726A564E"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747DF401" w14:textId="25CA8D20" w:rsidR="0001335B" w:rsidRPr="00F36F29" w:rsidRDefault="009A7B83" w:rsidP="00BD64A1">
            <w:pPr>
              <w:pStyle w:val="SingleTxt"/>
              <w:tabs>
                <w:tab w:val="clear" w:pos="1267"/>
                <w:tab w:val="left" w:pos="209"/>
                <w:tab w:val="left" w:pos="836"/>
              </w:tabs>
              <w:spacing w:after="0" w:line="240" w:lineRule="auto"/>
              <w:ind w:left="0" w:right="27"/>
            </w:pPr>
            <w:r>
              <w:t>Q3, 2020</w:t>
            </w:r>
          </w:p>
        </w:tc>
      </w:tr>
    </w:tbl>
    <w:p w14:paraId="62DAEB51"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038272F9" w14:textId="488FBD57" w:rsidR="0001335B" w:rsidRPr="00F36F29" w:rsidRDefault="009221AE" w:rsidP="009A7B83">
      <w:pPr>
        <w:pStyle w:val="SingleTxt"/>
        <w:spacing w:line="240" w:lineRule="auto"/>
        <w:ind w:left="720" w:right="29"/>
        <w:rPr>
          <w:sz w:val="22"/>
          <w:szCs w:val="22"/>
        </w:rPr>
      </w:pPr>
      <w:r w:rsidRPr="009221AE">
        <w:rPr>
          <w:sz w:val="22"/>
          <w:szCs w:val="22"/>
        </w:rPr>
        <w:t>UNDP continues to closely monitor and record its contributions to UNDS reform. To date UNDP has provided seven updates to the Executive Board spelling out in detail how UNDP engages in UNDS reform strands, how UNDS reform is affecting UNDP and how the organization positions itself in this new reform context.</w:t>
      </w:r>
      <w:r>
        <w:rPr>
          <w:sz w:val="22"/>
          <w:szCs w:val="22"/>
        </w:rPr>
        <w:t xml:space="preserve"> </w:t>
      </w:r>
      <w:r w:rsidRPr="009221AE">
        <w:rPr>
          <w:sz w:val="22"/>
          <w:szCs w:val="22"/>
        </w:rPr>
        <w:t xml:space="preserve">UNDP continues to work closely with other UN agencies on issues related to UN Reform. The UNICEF-UNDP Framework for Action, which has been extended to also cover COVID-19 response, serves as an instrument to deepen joint collaboration between both agencies, advancing the principles of UN reform. UNDP is also expanding collaboration with FAO, ILO and UNEP, among others. UNDP, UNFPA, UNICEF and UN Women worked together towards a common chapter of the Strategic Plans, which describes key areas of collaboration amongst these four funds and programmes as well as common indicators to carry this work forward. As Vice Chair and member of the UNSDG, UNDP is also supporting efforts to review the UNSDG and the Core Group with the aim of strengthening both inter-agency mechanism. </w:t>
      </w:r>
    </w:p>
    <w:p w14:paraId="7B727D3D" w14:textId="77777777" w:rsidR="007503E4" w:rsidRPr="00F36F29" w:rsidRDefault="007503E4" w:rsidP="007503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3E816731" w14:textId="6D45EC3F" w:rsidR="0001335B" w:rsidRPr="00F36F29" w:rsidRDefault="0001335B" w:rsidP="0001335B">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lang w:val="en-US"/>
        </w:rPr>
        <w:t xml:space="preserve">In paragraph </w:t>
      </w:r>
      <w:r w:rsidR="00D42150" w:rsidRPr="00F36F29">
        <w:rPr>
          <w:b/>
          <w:bCs/>
          <w:sz w:val="22"/>
          <w:szCs w:val="22"/>
          <w:lang w:val="en-US"/>
        </w:rPr>
        <w:t>289</w:t>
      </w:r>
      <w:r w:rsidRPr="00F36F29">
        <w:rPr>
          <w:b/>
          <w:bCs/>
          <w:sz w:val="22"/>
          <w:szCs w:val="22"/>
          <w:lang w:val="en-US"/>
        </w:rPr>
        <w:t>, the Board</w:t>
      </w:r>
      <w:r w:rsidR="00D42150" w:rsidRPr="00F36F29">
        <w:rPr>
          <w:b/>
          <w:bCs/>
          <w:sz w:val="22"/>
          <w:szCs w:val="22"/>
          <w:lang w:val="en-US"/>
        </w:rPr>
        <w:t xml:space="preserve"> recommends that UNDP use the opportunities and challenges identified in surveys related to the United Nations development system reform to further refine its support to the country level on reform related matters.</w:t>
      </w:r>
    </w:p>
    <w:p w14:paraId="05608724" w14:textId="77777777" w:rsidR="0001335B" w:rsidRPr="00F36F29" w:rsidRDefault="0001335B" w:rsidP="0001335B">
      <w:pPr>
        <w:pStyle w:val="ListParagraph"/>
        <w:rPr>
          <w:b/>
          <w:bCs/>
          <w:sz w:val="22"/>
          <w:szCs w:val="22"/>
          <w:lang w:val="en-US"/>
        </w:rPr>
      </w:pPr>
    </w:p>
    <w:tbl>
      <w:tblPr>
        <w:tblW w:w="8003" w:type="dxa"/>
        <w:tblInd w:w="1188" w:type="dxa"/>
        <w:tblLook w:val="04A0" w:firstRow="1" w:lastRow="0" w:firstColumn="1" w:lastColumn="0" w:noHBand="0" w:noVBand="1"/>
      </w:tblPr>
      <w:tblGrid>
        <w:gridCol w:w="2970"/>
        <w:gridCol w:w="5033"/>
      </w:tblGrid>
      <w:tr w:rsidR="00F36F29" w:rsidRPr="00F36F29" w14:paraId="040E809D" w14:textId="77777777" w:rsidTr="3D8FCBEB">
        <w:tc>
          <w:tcPr>
            <w:tcW w:w="2970" w:type="dxa"/>
          </w:tcPr>
          <w:p w14:paraId="632D165D" w14:textId="77777777" w:rsidR="0001335B" w:rsidRPr="00F36F29" w:rsidRDefault="0001335B"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53BFE705" w14:textId="229FCA7C" w:rsidR="0001335B" w:rsidRPr="00F36F29" w:rsidRDefault="001B3B50" w:rsidP="00BD64A1">
            <w:pPr>
              <w:pStyle w:val="SingleTxt"/>
              <w:tabs>
                <w:tab w:val="clear" w:pos="1267"/>
                <w:tab w:val="left" w:pos="209"/>
                <w:tab w:val="left" w:pos="836"/>
              </w:tabs>
              <w:spacing w:after="0" w:line="240" w:lineRule="auto"/>
              <w:ind w:left="0" w:right="27"/>
            </w:pPr>
            <w:r w:rsidRPr="00F36F29">
              <w:t>BERA</w:t>
            </w:r>
          </w:p>
        </w:tc>
      </w:tr>
      <w:tr w:rsidR="00F36F29" w:rsidRPr="00F36F29" w14:paraId="467827EF" w14:textId="77777777" w:rsidTr="3D8FCBEB">
        <w:tc>
          <w:tcPr>
            <w:tcW w:w="2970" w:type="dxa"/>
          </w:tcPr>
          <w:p w14:paraId="3B68B9B0"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3BA866AF" w14:textId="3861F6ED" w:rsidR="0001335B" w:rsidRPr="00F36F29" w:rsidRDefault="004B7ABC" w:rsidP="00BD64A1">
            <w:pPr>
              <w:pStyle w:val="SingleTxt"/>
              <w:tabs>
                <w:tab w:val="clear" w:pos="1267"/>
                <w:tab w:val="left" w:pos="209"/>
                <w:tab w:val="left" w:pos="836"/>
              </w:tabs>
              <w:spacing w:after="0" w:line="240" w:lineRule="auto"/>
              <w:ind w:left="0" w:right="27"/>
            </w:pPr>
            <w:r>
              <w:t>I</w:t>
            </w:r>
            <w:r w:rsidR="0060686E">
              <w:t>n-progress</w:t>
            </w:r>
          </w:p>
        </w:tc>
      </w:tr>
      <w:tr w:rsidR="0001335B" w:rsidRPr="00F36F29" w14:paraId="50D3B909" w14:textId="77777777" w:rsidTr="3D8FCBEB">
        <w:tc>
          <w:tcPr>
            <w:tcW w:w="2970" w:type="dxa"/>
          </w:tcPr>
          <w:p w14:paraId="10C26D58" w14:textId="77777777" w:rsidR="0001335B" w:rsidRPr="00F36F29" w:rsidRDefault="0001335B"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0DE97900" w14:textId="2FBFDCF5" w:rsidR="0001335B" w:rsidRPr="00F36F29" w:rsidRDefault="18978A98" w:rsidP="00BD64A1">
            <w:pPr>
              <w:pStyle w:val="SingleTxt"/>
              <w:tabs>
                <w:tab w:val="clear" w:pos="1267"/>
                <w:tab w:val="left" w:pos="209"/>
                <w:tab w:val="left" w:pos="836"/>
              </w:tabs>
              <w:spacing w:after="0" w:line="240" w:lineRule="auto"/>
              <w:ind w:left="0" w:right="27"/>
            </w:pPr>
            <w:r w:rsidRPr="00F36F29">
              <w:t>Q4, 2020</w:t>
            </w:r>
          </w:p>
        </w:tc>
      </w:tr>
    </w:tbl>
    <w:p w14:paraId="656E6569" w14:textId="77777777" w:rsidR="0001335B" w:rsidRPr="00F36F29" w:rsidRDefault="0001335B" w:rsidP="0001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2EACCFA3" w14:textId="4DF320D4" w:rsidR="00D0323C" w:rsidRPr="00F36F29" w:rsidRDefault="002C4FFA" w:rsidP="004B7ABC">
      <w:pPr>
        <w:pStyle w:val="SingleTxt"/>
        <w:spacing w:line="240" w:lineRule="auto"/>
        <w:ind w:left="720" w:right="29"/>
        <w:rPr>
          <w:sz w:val="22"/>
          <w:szCs w:val="22"/>
        </w:rPr>
      </w:pPr>
      <w:r w:rsidRPr="002C4FFA">
        <w:rPr>
          <w:sz w:val="22"/>
          <w:szCs w:val="22"/>
        </w:rPr>
        <w:t>UNDP has been proactive in collecting data on UNDS reform from its country offices, aiming to get a better understanding for how reform strands have been implemented, which knowledge gaps still exist and how they can be addressed. The most recent survey of this kind has been the UNDP-led UNDS reform survey conducted in June 2020. The data collected will be triangulated with other surveys that are being conducted, such as the upcoming DCO-led survey on the implementation of the MAF at country level, in order to provide UNDP with a clearer and evidenced-based understanding of how the organization can better support UNDS reform implementation. UNDP is also engaged with DCO and other UN partners to identify common challenges and opportunities as identified in the reform survey to improve support to country offices towards more coordination, coherence, efficiency and joint implementation and results.</w:t>
      </w:r>
    </w:p>
    <w:p w14:paraId="33B7F0A2" w14:textId="77777777" w:rsidR="008260A1" w:rsidRPr="00F36F29" w:rsidRDefault="008260A1" w:rsidP="008260A1">
      <w:pPr>
        <w:pStyle w:val="SingleTxt"/>
        <w:tabs>
          <w:tab w:val="left" w:pos="720"/>
        </w:tabs>
        <w:spacing w:after="0" w:line="240" w:lineRule="auto"/>
        <w:ind w:left="0"/>
        <w:rPr>
          <w:sz w:val="22"/>
          <w:szCs w:val="22"/>
        </w:rPr>
      </w:pPr>
    </w:p>
    <w:p w14:paraId="2113C6FD" w14:textId="77777777" w:rsidR="00D64ECB" w:rsidRPr="00F36F29" w:rsidRDefault="008260A1" w:rsidP="00BE6369">
      <w:pPr>
        <w:pStyle w:val="Heading1"/>
        <w:rPr>
          <w:rFonts w:ascii="Times New Roman" w:hAnsi="Times New Roman" w:cs="Times New Roman"/>
          <w:b/>
          <w:bCs/>
          <w:color w:val="auto"/>
        </w:rPr>
      </w:pPr>
      <w:r w:rsidRPr="00F36F29">
        <w:rPr>
          <w:rFonts w:ascii="Times New Roman" w:hAnsi="Times New Roman" w:cs="Times New Roman"/>
          <w:b/>
          <w:bCs/>
          <w:color w:val="auto"/>
        </w:rPr>
        <w:t xml:space="preserve">Implementation of the recommendations contained in the report of </w:t>
      </w:r>
    </w:p>
    <w:p w14:paraId="00DC7641" w14:textId="43474AF7" w:rsidR="008260A1" w:rsidRPr="00F36F29" w:rsidRDefault="008260A1" w:rsidP="00BE6369">
      <w:pPr>
        <w:pStyle w:val="Heading1"/>
        <w:rPr>
          <w:rFonts w:ascii="Times New Roman" w:hAnsi="Times New Roman" w:cs="Times New Roman"/>
          <w:b/>
          <w:bCs/>
          <w:color w:val="auto"/>
        </w:rPr>
      </w:pPr>
      <w:r w:rsidRPr="00F36F29">
        <w:rPr>
          <w:rFonts w:ascii="Times New Roman" w:hAnsi="Times New Roman" w:cs="Times New Roman"/>
          <w:b/>
          <w:bCs/>
          <w:color w:val="auto"/>
        </w:rPr>
        <w:t>the Board of Auditors for prior financial periods</w:t>
      </w:r>
    </w:p>
    <w:p w14:paraId="5CFF01F8" w14:textId="75F0548E" w:rsidR="008260A1" w:rsidRPr="00F36F29" w:rsidRDefault="008260A1" w:rsidP="008260A1">
      <w:pPr>
        <w:pStyle w:val="SingleTxt"/>
        <w:tabs>
          <w:tab w:val="left" w:pos="720"/>
        </w:tabs>
        <w:spacing w:after="0" w:line="240" w:lineRule="auto"/>
        <w:ind w:left="0" w:right="29"/>
        <w:rPr>
          <w:i/>
          <w:sz w:val="22"/>
          <w:szCs w:val="22"/>
        </w:rPr>
      </w:pPr>
    </w:p>
    <w:p w14:paraId="3DFB7E4E" w14:textId="77777777" w:rsidR="008260A1" w:rsidRPr="00F36F29" w:rsidRDefault="008260A1" w:rsidP="008260A1">
      <w:pPr>
        <w:pStyle w:val="SingleTxt"/>
        <w:tabs>
          <w:tab w:val="left" w:pos="720"/>
        </w:tabs>
        <w:spacing w:after="0" w:line="240" w:lineRule="auto"/>
        <w:ind w:left="0" w:right="29"/>
        <w:rPr>
          <w:sz w:val="22"/>
          <w:szCs w:val="22"/>
        </w:rPr>
      </w:pPr>
    </w:p>
    <w:p w14:paraId="7E345DC7" w14:textId="2AD57506" w:rsidR="00DA786E" w:rsidRPr="00F36F29" w:rsidRDefault="00DA786E" w:rsidP="00DA786E">
      <w:pPr>
        <w:pStyle w:val="SingleTxt"/>
        <w:tabs>
          <w:tab w:val="left" w:pos="720"/>
        </w:tabs>
        <w:spacing w:after="0" w:line="240" w:lineRule="auto"/>
        <w:ind w:left="0" w:right="29"/>
        <w:rPr>
          <w:b/>
          <w:bCs/>
          <w:sz w:val="22"/>
          <w:szCs w:val="22"/>
        </w:rPr>
      </w:pPr>
      <w:r w:rsidRPr="00F36F29">
        <w:rPr>
          <w:b/>
          <w:bCs/>
          <w:sz w:val="22"/>
          <w:szCs w:val="22"/>
          <w:u w:val="single"/>
        </w:rPr>
        <w:t>Report of the Board for the year ended 31 December 2018</w:t>
      </w:r>
      <w:r w:rsidRPr="00F36F29">
        <w:rPr>
          <w:b/>
          <w:bCs/>
          <w:sz w:val="22"/>
          <w:szCs w:val="22"/>
        </w:rPr>
        <w:t>:</w:t>
      </w:r>
    </w:p>
    <w:p w14:paraId="4A86B5AD" w14:textId="77777777" w:rsidR="00DD6BD5" w:rsidRPr="00F36F29" w:rsidRDefault="00DD6BD5" w:rsidP="00DD6B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b/>
          <w:bCs/>
          <w:sz w:val="22"/>
          <w:szCs w:val="22"/>
        </w:rPr>
      </w:pPr>
    </w:p>
    <w:p w14:paraId="1A9467FC" w14:textId="039EF366" w:rsidR="003E20EC" w:rsidRPr="00F36F29" w:rsidRDefault="003E20EC" w:rsidP="003E20EC">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rPr>
        <w:lastRenderedPageBreak/>
        <w:t>In paragraph 47, the Board recommended that UNDP enhance the process for manual recording of exchange transactions at the country office level in order to ensure that revenue is recorded in the period in which UNDP rendered the services, as required under an accrual basis of accounting.</w:t>
      </w:r>
    </w:p>
    <w:p w14:paraId="74FC8659" w14:textId="77777777" w:rsidR="000E4290" w:rsidRPr="00F36F29" w:rsidRDefault="000E4290" w:rsidP="009C03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03EC4CC0" w14:textId="020AFD1D" w:rsidR="009C03CA" w:rsidRPr="00F36F29" w:rsidRDefault="009C03CA" w:rsidP="009C03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In 2019, UNDP included confirmation of recording of exchange revenue in the annual assertion that is required to be certified by country offices.</w:t>
      </w:r>
      <w:r w:rsidR="001775E3" w:rsidRPr="00F36F29">
        <w:rPr>
          <w:sz w:val="22"/>
          <w:szCs w:val="22"/>
        </w:rPr>
        <w:t xml:space="preserve"> </w:t>
      </w:r>
      <w:r w:rsidR="00C7554F" w:rsidRPr="00F36F29">
        <w:rPr>
          <w:sz w:val="22"/>
          <w:szCs w:val="22"/>
        </w:rPr>
        <w:t xml:space="preserve">UNDP plans to strengthen the assertion for 2020 to provide country offices the exchange revenue </w:t>
      </w:r>
      <w:r w:rsidR="00DF2050" w:rsidRPr="00F36F29">
        <w:rPr>
          <w:sz w:val="22"/>
          <w:szCs w:val="22"/>
        </w:rPr>
        <w:t>transaction details for their review and confirmation.</w:t>
      </w:r>
    </w:p>
    <w:p w14:paraId="4A660098" w14:textId="77777777" w:rsidR="003E20EC" w:rsidRPr="00F36F29" w:rsidRDefault="003E20EC" w:rsidP="003E20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37512872" w14:textId="77777777" w:rsidTr="00BD64A1">
        <w:tc>
          <w:tcPr>
            <w:tcW w:w="2970" w:type="dxa"/>
          </w:tcPr>
          <w:p w14:paraId="46319D16" w14:textId="77777777" w:rsidR="003E20EC" w:rsidRPr="00F36F29" w:rsidRDefault="003E20EC"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786434F9" w14:textId="77777777" w:rsidR="003E20EC" w:rsidRPr="00F36F29" w:rsidRDefault="003E20EC" w:rsidP="00BD64A1">
            <w:pPr>
              <w:pStyle w:val="SingleTxt"/>
              <w:tabs>
                <w:tab w:val="clear" w:pos="1267"/>
                <w:tab w:val="left" w:pos="209"/>
                <w:tab w:val="left" w:pos="836"/>
              </w:tabs>
              <w:spacing w:after="0" w:line="240" w:lineRule="auto"/>
              <w:ind w:left="0" w:right="27"/>
            </w:pPr>
            <w:r w:rsidRPr="00F36F29">
              <w:t>Regional Bureaux</w:t>
            </w:r>
          </w:p>
        </w:tc>
      </w:tr>
      <w:tr w:rsidR="00F36F29" w:rsidRPr="00F36F29" w14:paraId="159B39DA" w14:textId="77777777" w:rsidTr="00BD64A1">
        <w:tc>
          <w:tcPr>
            <w:tcW w:w="2970" w:type="dxa"/>
          </w:tcPr>
          <w:p w14:paraId="3F897E26" w14:textId="77777777" w:rsidR="003E20EC" w:rsidRPr="00F36F29" w:rsidRDefault="003E20EC"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18B93E64" w14:textId="77777777" w:rsidR="003E20EC" w:rsidRPr="00F36F29" w:rsidRDefault="003E20EC" w:rsidP="00BD64A1">
            <w:pPr>
              <w:pStyle w:val="SingleTxt"/>
              <w:tabs>
                <w:tab w:val="clear" w:pos="1267"/>
                <w:tab w:val="left" w:pos="209"/>
                <w:tab w:val="left" w:pos="836"/>
              </w:tabs>
              <w:spacing w:after="0" w:line="240" w:lineRule="auto"/>
              <w:ind w:left="0" w:right="27"/>
            </w:pPr>
            <w:r w:rsidRPr="00F36F29">
              <w:t>In progress</w:t>
            </w:r>
          </w:p>
        </w:tc>
      </w:tr>
      <w:tr w:rsidR="003E20EC" w:rsidRPr="00F36F29" w14:paraId="796581E7" w14:textId="77777777" w:rsidTr="00BD64A1">
        <w:tc>
          <w:tcPr>
            <w:tcW w:w="2970" w:type="dxa"/>
          </w:tcPr>
          <w:p w14:paraId="0D616BAD" w14:textId="77777777" w:rsidR="003E20EC" w:rsidRPr="00F36F29" w:rsidRDefault="003E20EC"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6D6C938D" w14:textId="1D156572" w:rsidR="003E20EC" w:rsidRPr="00F36F29" w:rsidRDefault="00DA7E75" w:rsidP="00BD64A1">
            <w:pPr>
              <w:pStyle w:val="SingleTxt"/>
              <w:tabs>
                <w:tab w:val="clear" w:pos="1267"/>
                <w:tab w:val="left" w:pos="209"/>
                <w:tab w:val="left" w:pos="836"/>
              </w:tabs>
              <w:spacing w:after="0" w:line="240" w:lineRule="auto"/>
              <w:ind w:left="0" w:right="27"/>
            </w:pPr>
            <w:r w:rsidRPr="00F36F29">
              <w:t>Q4</w:t>
            </w:r>
            <w:r w:rsidR="003474DE" w:rsidRPr="00F36F29">
              <w:t>, 2020</w:t>
            </w:r>
          </w:p>
        </w:tc>
      </w:tr>
    </w:tbl>
    <w:p w14:paraId="46357A85" w14:textId="77777777" w:rsidR="003E20EC" w:rsidRPr="00F36F29" w:rsidRDefault="003E20EC" w:rsidP="003E20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p w14:paraId="0CAA270C" w14:textId="77777777" w:rsidR="003E20EC" w:rsidRPr="00F36F29" w:rsidRDefault="003E20EC" w:rsidP="003E20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pPr>
    </w:p>
    <w:p w14:paraId="76A8ABF5" w14:textId="5CF296F6" w:rsidR="003E20EC" w:rsidRPr="00F36F29" w:rsidRDefault="003E20EC" w:rsidP="003E20EC">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rPr>
        <w:t xml:space="preserve">In paragraph 49, the Board recommended that </w:t>
      </w:r>
      <w:r w:rsidRPr="00F36F29">
        <w:rPr>
          <w:b/>
          <w:bCs/>
          <w:sz w:val="22"/>
          <w:szCs w:val="22"/>
          <w:lang w:val="en-US"/>
        </w:rPr>
        <w:t xml:space="preserve">UNDP ensure that country office provide on-the-job training so that personnel have the required sustainable awareness to accurately record exchange transactions in accordance with UNDP policies and instructions. </w:t>
      </w:r>
    </w:p>
    <w:p w14:paraId="608BD281" w14:textId="77777777" w:rsidR="000E4290" w:rsidRPr="00F36F29" w:rsidRDefault="000E4290" w:rsidP="000E42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61963E7F" w14:textId="41D341B0" w:rsidR="000E4290" w:rsidRPr="00F36F29" w:rsidRDefault="000E4290" w:rsidP="000E42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In 2020, UNDP will train staff to pursue collection efforts and book revenue in line with UNDP policies and procedures.</w:t>
      </w:r>
    </w:p>
    <w:p w14:paraId="3FD9C379" w14:textId="77777777" w:rsidR="003E20EC" w:rsidRPr="00F36F29" w:rsidRDefault="003E20EC" w:rsidP="003E20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0436E9D7" w14:textId="77777777" w:rsidTr="00BD64A1">
        <w:tc>
          <w:tcPr>
            <w:tcW w:w="2970" w:type="dxa"/>
          </w:tcPr>
          <w:p w14:paraId="202CE156" w14:textId="77777777" w:rsidR="003E20EC" w:rsidRPr="00F36F29" w:rsidRDefault="003E20EC"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74CD54B0" w14:textId="77777777" w:rsidR="003E20EC" w:rsidRPr="00F36F29" w:rsidRDefault="003E20EC" w:rsidP="00BD64A1">
            <w:pPr>
              <w:pStyle w:val="SingleTxt"/>
              <w:tabs>
                <w:tab w:val="clear" w:pos="1267"/>
                <w:tab w:val="left" w:pos="209"/>
                <w:tab w:val="left" w:pos="836"/>
              </w:tabs>
              <w:spacing w:after="0" w:line="240" w:lineRule="auto"/>
              <w:ind w:left="0" w:right="27"/>
            </w:pPr>
            <w:r w:rsidRPr="00F36F29">
              <w:t>BMS/ Office of Financial Resources Management and Regional Bureaux</w:t>
            </w:r>
          </w:p>
        </w:tc>
      </w:tr>
      <w:tr w:rsidR="00F36F29" w:rsidRPr="00F36F29" w14:paraId="7016099A" w14:textId="77777777" w:rsidTr="00BD64A1">
        <w:tc>
          <w:tcPr>
            <w:tcW w:w="2970" w:type="dxa"/>
          </w:tcPr>
          <w:p w14:paraId="49B580FF" w14:textId="77777777" w:rsidR="003E20EC" w:rsidRPr="00F36F29" w:rsidRDefault="003E20EC"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532290B3" w14:textId="77777777" w:rsidR="003E20EC" w:rsidRPr="00F36F29" w:rsidRDefault="003E20EC" w:rsidP="00BD64A1">
            <w:pPr>
              <w:pStyle w:val="SingleTxt"/>
              <w:tabs>
                <w:tab w:val="clear" w:pos="1267"/>
                <w:tab w:val="left" w:pos="209"/>
                <w:tab w:val="left" w:pos="836"/>
              </w:tabs>
              <w:spacing w:after="0" w:line="240" w:lineRule="auto"/>
              <w:ind w:left="0" w:right="27"/>
            </w:pPr>
            <w:r w:rsidRPr="00F36F29">
              <w:t>In progress</w:t>
            </w:r>
          </w:p>
        </w:tc>
      </w:tr>
      <w:tr w:rsidR="003E20EC" w:rsidRPr="00F36F29" w14:paraId="7E8AB42E" w14:textId="77777777" w:rsidTr="00BD64A1">
        <w:tc>
          <w:tcPr>
            <w:tcW w:w="2970" w:type="dxa"/>
          </w:tcPr>
          <w:p w14:paraId="3C9416AB" w14:textId="77777777" w:rsidR="003E20EC" w:rsidRPr="00F36F29" w:rsidRDefault="003E20EC"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183684A0" w14:textId="5F612546" w:rsidR="003E20EC" w:rsidRPr="00F36F29" w:rsidRDefault="00DA7E75" w:rsidP="00BD64A1">
            <w:pPr>
              <w:pStyle w:val="SingleTxt"/>
              <w:tabs>
                <w:tab w:val="clear" w:pos="1267"/>
                <w:tab w:val="left" w:pos="209"/>
                <w:tab w:val="left" w:pos="836"/>
              </w:tabs>
              <w:spacing w:after="0" w:line="240" w:lineRule="auto"/>
              <w:ind w:left="0" w:right="27"/>
            </w:pPr>
            <w:r w:rsidRPr="00F36F29">
              <w:t>Q4</w:t>
            </w:r>
            <w:r w:rsidR="00853B42" w:rsidRPr="00F36F29">
              <w:t>, 2020</w:t>
            </w:r>
          </w:p>
        </w:tc>
      </w:tr>
    </w:tbl>
    <w:p w14:paraId="2FC7AF14" w14:textId="77777777" w:rsidR="003E20EC" w:rsidRPr="00F36F29" w:rsidRDefault="003E20EC" w:rsidP="003E20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111150EC" w14:textId="3D598ECA" w:rsidR="005F33CA" w:rsidRPr="00F36F29" w:rsidRDefault="005F33CA" w:rsidP="005F33CA">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rPr>
      </w:pPr>
      <w:r w:rsidRPr="00F36F29">
        <w:rPr>
          <w:b/>
          <w:bCs/>
          <w:sz w:val="22"/>
          <w:szCs w:val="22"/>
        </w:rPr>
        <w:t xml:space="preserve">In paragraph 75, the Board recommended that </w:t>
      </w:r>
      <w:r w:rsidRPr="00F36F29">
        <w:rPr>
          <w:b/>
          <w:bCs/>
          <w:sz w:val="22"/>
          <w:szCs w:val="22"/>
          <w:lang w:val="en-US"/>
        </w:rPr>
        <w:t xml:space="preserve">UNDP </w:t>
      </w:r>
      <w:r w:rsidRPr="00F36F29">
        <w:rPr>
          <w:b/>
          <w:bCs/>
          <w:sz w:val="22"/>
          <w:szCs w:val="22"/>
        </w:rPr>
        <w:t>review the cases of non-compliance presented by the Board and analyse the reasons and circumstances why Bureaux and Country Offices did not fully comply with the corporate internal control framework.</w:t>
      </w:r>
    </w:p>
    <w:p w14:paraId="5E03E25D" w14:textId="77777777" w:rsidR="00EC7AF5" w:rsidRPr="00F36F29" w:rsidRDefault="00EC7AF5" w:rsidP="00AD4B37">
      <w:pPr>
        <w:pStyle w:val="SingleTxt"/>
        <w:spacing w:line="240" w:lineRule="auto"/>
        <w:ind w:left="720" w:right="29"/>
        <w:rPr>
          <w:sz w:val="22"/>
          <w:szCs w:val="22"/>
        </w:rPr>
      </w:pPr>
    </w:p>
    <w:p w14:paraId="227532F2" w14:textId="12A675B5" w:rsidR="00C919B0" w:rsidRPr="00F36F29" w:rsidRDefault="00C919B0" w:rsidP="00AD4B37">
      <w:pPr>
        <w:pStyle w:val="SingleTxt"/>
        <w:spacing w:line="240" w:lineRule="auto"/>
        <w:ind w:left="720" w:right="29"/>
        <w:rPr>
          <w:sz w:val="22"/>
          <w:szCs w:val="22"/>
        </w:rPr>
      </w:pPr>
      <w:r w:rsidRPr="00F36F29">
        <w:rPr>
          <w:sz w:val="22"/>
          <w:szCs w:val="22"/>
        </w:rPr>
        <w:t>UNDP has reviewed the cases of non-compliance and updated its control in Atlas to address this recommendation.</w:t>
      </w:r>
      <w:r w:rsidR="00AD4B37" w:rsidRPr="00F36F29">
        <w:rPr>
          <w:sz w:val="22"/>
          <w:szCs w:val="22"/>
        </w:rPr>
        <w:t xml:space="preserve"> </w:t>
      </w:r>
    </w:p>
    <w:p w14:paraId="605A3A76" w14:textId="77777777" w:rsidR="005F33CA" w:rsidRPr="00F36F29" w:rsidRDefault="005F33CA" w:rsidP="005F33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D64DE2" w14:paraId="60D9A5FD" w14:textId="77777777" w:rsidTr="00BD64A1">
        <w:tc>
          <w:tcPr>
            <w:tcW w:w="2970" w:type="dxa"/>
          </w:tcPr>
          <w:p w14:paraId="00819AB6" w14:textId="77777777" w:rsidR="005F33CA" w:rsidRPr="00D64DE2" w:rsidRDefault="005F33CA" w:rsidP="00BD64A1">
            <w:pPr>
              <w:pStyle w:val="SingleTxt"/>
              <w:tabs>
                <w:tab w:val="clear" w:pos="1267"/>
                <w:tab w:val="left" w:pos="209"/>
                <w:tab w:val="left" w:pos="836"/>
              </w:tabs>
              <w:spacing w:after="0" w:line="240" w:lineRule="auto"/>
              <w:ind w:left="0" w:right="29"/>
              <w:rPr>
                <w:i/>
              </w:rPr>
            </w:pPr>
            <w:r w:rsidRPr="00D64DE2">
              <w:rPr>
                <w:i/>
              </w:rPr>
              <w:t>Department(s) responsible:</w:t>
            </w:r>
          </w:p>
        </w:tc>
        <w:tc>
          <w:tcPr>
            <w:tcW w:w="5033" w:type="dxa"/>
          </w:tcPr>
          <w:p w14:paraId="0718E36E" w14:textId="77777777" w:rsidR="005F33CA" w:rsidRPr="00D64DE2" w:rsidRDefault="005F33CA" w:rsidP="00BD64A1">
            <w:pPr>
              <w:pStyle w:val="SingleTxt"/>
              <w:tabs>
                <w:tab w:val="clear" w:pos="1267"/>
                <w:tab w:val="left" w:pos="209"/>
                <w:tab w:val="left" w:pos="836"/>
              </w:tabs>
              <w:spacing w:after="0" w:line="240" w:lineRule="auto"/>
              <w:ind w:left="0" w:right="27"/>
            </w:pPr>
            <w:r w:rsidRPr="00D64DE2">
              <w:t>BMS/ Office of Financial Resources Management and Regional Bureaux</w:t>
            </w:r>
          </w:p>
        </w:tc>
      </w:tr>
      <w:tr w:rsidR="00F36F29" w:rsidRPr="00D64DE2" w14:paraId="3E3228DA" w14:textId="77777777" w:rsidTr="00BD64A1">
        <w:tc>
          <w:tcPr>
            <w:tcW w:w="2970" w:type="dxa"/>
          </w:tcPr>
          <w:p w14:paraId="18C1B4A4" w14:textId="77777777" w:rsidR="005F33CA" w:rsidRPr="00D64DE2" w:rsidRDefault="005F33CA" w:rsidP="00BD64A1">
            <w:pPr>
              <w:pStyle w:val="SingleTxt"/>
              <w:tabs>
                <w:tab w:val="clear" w:pos="1267"/>
                <w:tab w:val="left" w:pos="209"/>
                <w:tab w:val="left" w:pos="836"/>
              </w:tabs>
              <w:spacing w:after="0" w:line="240" w:lineRule="auto"/>
              <w:ind w:left="0" w:right="27"/>
              <w:rPr>
                <w:i/>
              </w:rPr>
            </w:pPr>
            <w:r w:rsidRPr="00D64DE2">
              <w:rPr>
                <w:i/>
              </w:rPr>
              <w:t>Status:</w:t>
            </w:r>
          </w:p>
        </w:tc>
        <w:tc>
          <w:tcPr>
            <w:tcW w:w="5033" w:type="dxa"/>
          </w:tcPr>
          <w:p w14:paraId="5A3BAB94" w14:textId="22182093" w:rsidR="005F33CA" w:rsidRPr="00D64DE2" w:rsidRDefault="000B3518" w:rsidP="00BD64A1">
            <w:pPr>
              <w:pStyle w:val="SingleTxt"/>
              <w:tabs>
                <w:tab w:val="clear" w:pos="1267"/>
                <w:tab w:val="left" w:pos="209"/>
                <w:tab w:val="left" w:pos="836"/>
              </w:tabs>
              <w:spacing w:after="0" w:line="240" w:lineRule="auto"/>
              <w:ind w:left="0" w:right="27"/>
            </w:pPr>
            <w:r w:rsidRPr="00D64DE2">
              <w:t>Implemented</w:t>
            </w:r>
          </w:p>
        </w:tc>
      </w:tr>
      <w:tr w:rsidR="005F33CA" w:rsidRPr="00D64DE2" w14:paraId="599915CC" w14:textId="77777777" w:rsidTr="00BD64A1">
        <w:tc>
          <w:tcPr>
            <w:tcW w:w="2970" w:type="dxa"/>
          </w:tcPr>
          <w:p w14:paraId="04876D77" w14:textId="77777777" w:rsidR="005F33CA" w:rsidRPr="00D64DE2" w:rsidRDefault="005F33CA" w:rsidP="00BD64A1">
            <w:pPr>
              <w:pStyle w:val="SingleTxt"/>
              <w:tabs>
                <w:tab w:val="clear" w:pos="1267"/>
                <w:tab w:val="left" w:pos="209"/>
                <w:tab w:val="left" w:pos="836"/>
              </w:tabs>
              <w:spacing w:after="0" w:line="240" w:lineRule="auto"/>
              <w:ind w:left="0" w:right="27"/>
              <w:rPr>
                <w:i/>
              </w:rPr>
            </w:pPr>
            <w:r w:rsidRPr="00D64DE2">
              <w:rPr>
                <w:i/>
              </w:rPr>
              <w:t>Target date:</w:t>
            </w:r>
          </w:p>
        </w:tc>
        <w:tc>
          <w:tcPr>
            <w:tcW w:w="5033" w:type="dxa"/>
          </w:tcPr>
          <w:p w14:paraId="5A7F1D6F" w14:textId="2AEA56C4" w:rsidR="005F33CA" w:rsidRPr="00D64DE2" w:rsidRDefault="000E0B19" w:rsidP="00BD64A1">
            <w:pPr>
              <w:pStyle w:val="SingleTxt"/>
              <w:tabs>
                <w:tab w:val="clear" w:pos="1267"/>
                <w:tab w:val="left" w:pos="209"/>
                <w:tab w:val="left" w:pos="836"/>
              </w:tabs>
              <w:spacing w:after="0" w:line="240" w:lineRule="auto"/>
              <w:ind w:left="0" w:right="27"/>
            </w:pPr>
            <w:r w:rsidRPr="00D64DE2">
              <w:t>Q4, 2020</w:t>
            </w:r>
          </w:p>
        </w:tc>
      </w:tr>
    </w:tbl>
    <w:p w14:paraId="60E61138" w14:textId="77777777" w:rsidR="005F33CA" w:rsidRPr="00D64DE2" w:rsidRDefault="005F33CA" w:rsidP="005F33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p w14:paraId="752F7093" w14:textId="77777777" w:rsidR="005F33CA" w:rsidRPr="00D64DE2" w:rsidRDefault="005F33CA" w:rsidP="005F33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pPr>
    </w:p>
    <w:p w14:paraId="37FEB26F" w14:textId="61F3677C" w:rsidR="005F33CA" w:rsidRPr="00D64DE2" w:rsidRDefault="005F33CA" w:rsidP="005F33CA">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rPr>
      </w:pPr>
      <w:r w:rsidRPr="00D64DE2">
        <w:rPr>
          <w:b/>
          <w:bCs/>
          <w:sz w:val="22"/>
          <w:szCs w:val="22"/>
        </w:rPr>
        <w:t xml:space="preserve">In paragraph 76, the Board recommended that UNDP, based on the above analysis, further refine its internal control framework to strengthen its implementation. </w:t>
      </w:r>
    </w:p>
    <w:p w14:paraId="37B95FE4" w14:textId="77777777" w:rsidR="00EC7AF5" w:rsidRPr="00D64DE2" w:rsidRDefault="00EC7AF5" w:rsidP="00EC7AF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51D5F203" w14:textId="41AD4785" w:rsidR="0073138E" w:rsidRPr="00D64DE2" w:rsidRDefault="000C5997" w:rsidP="00EC7AF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D64DE2">
        <w:rPr>
          <w:sz w:val="22"/>
          <w:szCs w:val="22"/>
        </w:rPr>
        <w:t xml:space="preserve">UNDP has updated the corporate ICF to reflect changes noted by UNBOA. UNDP has already sent communication to all Cos and </w:t>
      </w:r>
      <w:proofErr w:type="spellStart"/>
      <w:r w:rsidRPr="00D64DE2">
        <w:rPr>
          <w:sz w:val="22"/>
          <w:szCs w:val="22"/>
        </w:rPr>
        <w:t>RBx</w:t>
      </w:r>
      <w:proofErr w:type="spellEnd"/>
      <w:r w:rsidRPr="00D64DE2">
        <w:rPr>
          <w:sz w:val="22"/>
          <w:szCs w:val="22"/>
        </w:rPr>
        <w:t xml:space="preserve"> in July and has sent another global communication in October to </w:t>
      </w:r>
      <w:proofErr w:type="spellStart"/>
      <w:r w:rsidRPr="00D64DE2">
        <w:rPr>
          <w:sz w:val="22"/>
          <w:szCs w:val="22"/>
        </w:rPr>
        <w:t>RBx</w:t>
      </w:r>
      <w:proofErr w:type="spellEnd"/>
      <w:r w:rsidRPr="00D64DE2">
        <w:rPr>
          <w:sz w:val="22"/>
          <w:szCs w:val="22"/>
        </w:rPr>
        <w:t xml:space="preserve"> to ensure COs comply with the new changes in ICF.</w:t>
      </w:r>
    </w:p>
    <w:p w14:paraId="4110300E" w14:textId="77777777" w:rsidR="005F33CA" w:rsidRPr="00D64DE2" w:rsidRDefault="005F33CA" w:rsidP="005F33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tbl>
      <w:tblPr>
        <w:tblW w:w="8003" w:type="dxa"/>
        <w:tblInd w:w="1188" w:type="dxa"/>
        <w:tblLook w:val="04A0" w:firstRow="1" w:lastRow="0" w:firstColumn="1" w:lastColumn="0" w:noHBand="0" w:noVBand="1"/>
      </w:tblPr>
      <w:tblGrid>
        <w:gridCol w:w="2970"/>
        <w:gridCol w:w="5033"/>
      </w:tblGrid>
      <w:tr w:rsidR="00F36F29" w:rsidRPr="00D64DE2" w14:paraId="5946252F" w14:textId="77777777" w:rsidTr="00BD64A1">
        <w:tc>
          <w:tcPr>
            <w:tcW w:w="2970" w:type="dxa"/>
          </w:tcPr>
          <w:p w14:paraId="251059DC" w14:textId="77777777" w:rsidR="005F33CA" w:rsidRPr="00D64DE2" w:rsidRDefault="005F33CA" w:rsidP="00BD64A1">
            <w:pPr>
              <w:pStyle w:val="SingleTxt"/>
              <w:tabs>
                <w:tab w:val="clear" w:pos="1267"/>
                <w:tab w:val="left" w:pos="209"/>
                <w:tab w:val="left" w:pos="836"/>
              </w:tabs>
              <w:spacing w:after="0" w:line="240" w:lineRule="auto"/>
              <w:ind w:left="0" w:right="29"/>
              <w:rPr>
                <w:i/>
              </w:rPr>
            </w:pPr>
            <w:r w:rsidRPr="00D64DE2">
              <w:rPr>
                <w:i/>
              </w:rPr>
              <w:lastRenderedPageBreak/>
              <w:t>Department(s) responsible:</w:t>
            </w:r>
          </w:p>
        </w:tc>
        <w:tc>
          <w:tcPr>
            <w:tcW w:w="5033" w:type="dxa"/>
          </w:tcPr>
          <w:p w14:paraId="7F541F6A" w14:textId="77777777" w:rsidR="005F33CA" w:rsidRPr="00D64DE2" w:rsidRDefault="005F33CA" w:rsidP="00BD64A1">
            <w:pPr>
              <w:pStyle w:val="SingleTxt"/>
              <w:tabs>
                <w:tab w:val="clear" w:pos="1267"/>
                <w:tab w:val="left" w:pos="209"/>
                <w:tab w:val="left" w:pos="836"/>
              </w:tabs>
              <w:spacing w:after="0" w:line="240" w:lineRule="auto"/>
              <w:ind w:left="0" w:right="27"/>
            </w:pPr>
            <w:r w:rsidRPr="00D64DE2">
              <w:t>BMS/ Office of Financial Resources Management and Regional Bureaux</w:t>
            </w:r>
          </w:p>
        </w:tc>
      </w:tr>
      <w:tr w:rsidR="00F36F29" w:rsidRPr="00F36F29" w14:paraId="67EDF6E2" w14:textId="77777777" w:rsidTr="00BD64A1">
        <w:tc>
          <w:tcPr>
            <w:tcW w:w="2970" w:type="dxa"/>
          </w:tcPr>
          <w:p w14:paraId="730D69B1" w14:textId="77777777" w:rsidR="005F33CA" w:rsidRPr="00D64DE2" w:rsidRDefault="005F33CA" w:rsidP="00BD64A1">
            <w:pPr>
              <w:pStyle w:val="SingleTxt"/>
              <w:tabs>
                <w:tab w:val="clear" w:pos="1267"/>
                <w:tab w:val="left" w:pos="209"/>
                <w:tab w:val="left" w:pos="836"/>
              </w:tabs>
              <w:spacing w:after="0" w:line="240" w:lineRule="auto"/>
              <w:ind w:left="0" w:right="27"/>
              <w:rPr>
                <w:i/>
              </w:rPr>
            </w:pPr>
            <w:r w:rsidRPr="00D64DE2">
              <w:rPr>
                <w:i/>
              </w:rPr>
              <w:t>Status:</w:t>
            </w:r>
          </w:p>
        </w:tc>
        <w:tc>
          <w:tcPr>
            <w:tcW w:w="5033" w:type="dxa"/>
          </w:tcPr>
          <w:p w14:paraId="649CA189" w14:textId="6C9EED17" w:rsidR="005F33CA" w:rsidRPr="00F36F29" w:rsidRDefault="000C5997" w:rsidP="00BD64A1">
            <w:pPr>
              <w:pStyle w:val="SingleTxt"/>
              <w:tabs>
                <w:tab w:val="clear" w:pos="1267"/>
                <w:tab w:val="left" w:pos="209"/>
                <w:tab w:val="left" w:pos="836"/>
              </w:tabs>
              <w:spacing w:after="0" w:line="240" w:lineRule="auto"/>
              <w:ind w:left="0" w:right="27"/>
            </w:pPr>
            <w:r w:rsidRPr="00D64DE2">
              <w:t>Implemented</w:t>
            </w:r>
            <w:r>
              <w:t xml:space="preserve"> </w:t>
            </w:r>
          </w:p>
        </w:tc>
      </w:tr>
      <w:tr w:rsidR="005F33CA" w:rsidRPr="00F36F29" w14:paraId="543BB786" w14:textId="77777777" w:rsidTr="00BD64A1">
        <w:tc>
          <w:tcPr>
            <w:tcW w:w="2970" w:type="dxa"/>
          </w:tcPr>
          <w:p w14:paraId="5328639C" w14:textId="77777777" w:rsidR="005F33CA" w:rsidRPr="00F36F29" w:rsidRDefault="005F33CA"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4F82491D" w14:textId="4D61F164" w:rsidR="005F33CA" w:rsidRPr="00F36F29" w:rsidRDefault="00896032" w:rsidP="00BD64A1">
            <w:pPr>
              <w:pStyle w:val="SingleTxt"/>
              <w:tabs>
                <w:tab w:val="clear" w:pos="1267"/>
                <w:tab w:val="left" w:pos="209"/>
                <w:tab w:val="left" w:pos="836"/>
              </w:tabs>
              <w:spacing w:after="0" w:line="240" w:lineRule="auto"/>
              <w:ind w:left="0" w:right="27"/>
            </w:pPr>
            <w:r w:rsidRPr="00F36F29">
              <w:t>Q</w:t>
            </w:r>
            <w:r w:rsidR="000C5997">
              <w:t>3</w:t>
            </w:r>
            <w:r w:rsidRPr="00F36F29">
              <w:t>, 2020</w:t>
            </w:r>
          </w:p>
        </w:tc>
      </w:tr>
    </w:tbl>
    <w:p w14:paraId="3C343A8A" w14:textId="77777777" w:rsidR="00DD6BD5" w:rsidRPr="00F36F29" w:rsidRDefault="00DD6BD5" w:rsidP="005F33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b/>
          <w:bCs/>
          <w:sz w:val="22"/>
          <w:szCs w:val="22"/>
        </w:rPr>
      </w:pPr>
    </w:p>
    <w:p w14:paraId="3EC83C15" w14:textId="283BD9CE" w:rsidR="00904A12" w:rsidRPr="00F918E8" w:rsidRDefault="00904A12" w:rsidP="00904A12">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918E8">
        <w:rPr>
          <w:b/>
          <w:bCs/>
          <w:sz w:val="22"/>
          <w:szCs w:val="22"/>
        </w:rPr>
        <w:t xml:space="preserve">In paragraph 85, the Board recommended that </w:t>
      </w:r>
      <w:r w:rsidRPr="00F918E8">
        <w:rPr>
          <w:b/>
          <w:bCs/>
          <w:sz w:val="22"/>
          <w:szCs w:val="22"/>
          <w:lang w:val="en-US"/>
        </w:rPr>
        <w:t xml:space="preserve">UNDP assess whether and what internal financial control procedures could be enacted by UNDP to enhance data quality and limit risks of errors by means of having standardized control procedures and an appropriate documentation which evidence that control procedures have been performed. </w:t>
      </w:r>
    </w:p>
    <w:p w14:paraId="64515B4B" w14:textId="77777777" w:rsidR="00A43CF0" w:rsidRPr="00F918E8" w:rsidRDefault="00A43CF0" w:rsidP="00A43C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250243AB" w14:textId="70C17B3C" w:rsidR="00623E0D" w:rsidRPr="00F918E8" w:rsidRDefault="00A43CF0" w:rsidP="00A43C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918E8">
        <w:rPr>
          <w:sz w:val="22"/>
          <w:szCs w:val="22"/>
        </w:rPr>
        <w:t>The existing documentation of controls, as specified in the internal control framework, and embedded in the policies and procedures content, sets out the policy framework for appropriate documentation.</w:t>
      </w:r>
      <w:r w:rsidR="00F918E8" w:rsidRPr="00F918E8">
        <w:rPr>
          <w:sz w:val="22"/>
          <w:szCs w:val="22"/>
        </w:rPr>
        <w:t xml:space="preserve"> These are periodically reviewed. </w:t>
      </w:r>
    </w:p>
    <w:p w14:paraId="22B5CA7F" w14:textId="77777777" w:rsidR="00904A12" w:rsidRPr="00F36F29" w:rsidRDefault="00904A12" w:rsidP="00904A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33B7E24F" w14:textId="77777777" w:rsidTr="00BD64A1">
        <w:tc>
          <w:tcPr>
            <w:tcW w:w="2970" w:type="dxa"/>
          </w:tcPr>
          <w:p w14:paraId="33262DF3" w14:textId="77777777" w:rsidR="00904A12" w:rsidRPr="00F36F29" w:rsidRDefault="00904A12"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5ABD8583" w14:textId="77777777" w:rsidR="00904A12" w:rsidRPr="00F36F29" w:rsidRDefault="00904A12" w:rsidP="00BD64A1">
            <w:pPr>
              <w:pStyle w:val="SingleTxt"/>
              <w:tabs>
                <w:tab w:val="clear" w:pos="1267"/>
                <w:tab w:val="left" w:pos="209"/>
                <w:tab w:val="left" w:pos="836"/>
              </w:tabs>
              <w:spacing w:after="0" w:line="240" w:lineRule="auto"/>
              <w:ind w:left="0" w:right="27"/>
            </w:pPr>
            <w:r w:rsidRPr="00F36F29">
              <w:t>BMS/ Office of Financial Resources Management and Regional Bureaux</w:t>
            </w:r>
          </w:p>
        </w:tc>
      </w:tr>
      <w:tr w:rsidR="00F36F29" w:rsidRPr="00F36F29" w14:paraId="5A2FA4F5" w14:textId="77777777" w:rsidTr="00BD64A1">
        <w:tc>
          <w:tcPr>
            <w:tcW w:w="2970" w:type="dxa"/>
          </w:tcPr>
          <w:p w14:paraId="3071C3DF" w14:textId="77777777" w:rsidR="00904A12" w:rsidRPr="00F36F29" w:rsidRDefault="00904A12"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17740D51" w14:textId="77777777" w:rsidR="00904A12" w:rsidRPr="00F36F29" w:rsidRDefault="00904A12" w:rsidP="00BD64A1">
            <w:pPr>
              <w:pStyle w:val="SingleTxt"/>
              <w:tabs>
                <w:tab w:val="clear" w:pos="1267"/>
                <w:tab w:val="left" w:pos="209"/>
                <w:tab w:val="left" w:pos="836"/>
              </w:tabs>
              <w:spacing w:after="0" w:line="240" w:lineRule="auto"/>
              <w:ind w:left="0" w:right="27"/>
            </w:pPr>
            <w:r w:rsidRPr="00F36F29">
              <w:t>In progress</w:t>
            </w:r>
          </w:p>
        </w:tc>
      </w:tr>
      <w:tr w:rsidR="00904A12" w:rsidRPr="00F36F29" w14:paraId="16C6519D" w14:textId="77777777" w:rsidTr="00BD64A1">
        <w:tc>
          <w:tcPr>
            <w:tcW w:w="2970" w:type="dxa"/>
          </w:tcPr>
          <w:p w14:paraId="4300E1B8" w14:textId="77777777" w:rsidR="00904A12" w:rsidRPr="00F36F29" w:rsidRDefault="00904A12"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13E0165B" w14:textId="17867A93" w:rsidR="00904A12" w:rsidRPr="00F36F29" w:rsidRDefault="00DA7E75" w:rsidP="00BD64A1">
            <w:pPr>
              <w:pStyle w:val="SingleTxt"/>
              <w:tabs>
                <w:tab w:val="clear" w:pos="1267"/>
                <w:tab w:val="left" w:pos="209"/>
                <w:tab w:val="left" w:pos="836"/>
              </w:tabs>
              <w:spacing w:after="0" w:line="240" w:lineRule="auto"/>
              <w:ind w:left="0" w:right="27"/>
            </w:pPr>
            <w:r w:rsidRPr="00F36F29">
              <w:t>Q</w:t>
            </w:r>
            <w:r w:rsidR="000A3E8A" w:rsidRPr="00F36F29">
              <w:t>4</w:t>
            </w:r>
            <w:r w:rsidR="00B768DE" w:rsidRPr="00F36F29">
              <w:t>, 202</w:t>
            </w:r>
            <w:r w:rsidR="000A3E8A" w:rsidRPr="00F36F29">
              <w:t>0</w:t>
            </w:r>
          </w:p>
        </w:tc>
      </w:tr>
    </w:tbl>
    <w:p w14:paraId="74435BB2" w14:textId="77777777" w:rsidR="009B1392" w:rsidRPr="00F36F29" w:rsidRDefault="009B1392" w:rsidP="00904A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b/>
          <w:bCs/>
          <w:sz w:val="22"/>
          <w:szCs w:val="22"/>
        </w:rPr>
      </w:pPr>
    </w:p>
    <w:p w14:paraId="588D0D3B" w14:textId="2A8585C3" w:rsidR="00CC6786" w:rsidRPr="00F36F29" w:rsidRDefault="00CC6786" w:rsidP="00CC6786">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rPr>
        <w:t xml:space="preserve">In paragraph 93, the Board recommended that </w:t>
      </w:r>
      <w:r w:rsidRPr="00F36F29">
        <w:rPr>
          <w:b/>
          <w:bCs/>
          <w:sz w:val="22"/>
          <w:szCs w:val="22"/>
          <w:lang w:val="en-US"/>
        </w:rPr>
        <w:t xml:space="preserve">UNDP </w:t>
      </w:r>
      <w:r w:rsidRPr="00F36F29">
        <w:rPr>
          <w:b/>
          <w:bCs/>
          <w:sz w:val="22"/>
          <w:szCs w:val="22"/>
        </w:rPr>
        <w:t>ensure that country offices either establish their own standard template with at least minimum documentation requirements for programmatic output verification or use the template provided by UNDP.</w:t>
      </w:r>
      <w:r w:rsidRPr="00F36F29">
        <w:rPr>
          <w:b/>
          <w:bCs/>
          <w:sz w:val="22"/>
          <w:szCs w:val="22"/>
          <w:lang w:val="en-US"/>
        </w:rPr>
        <w:t xml:space="preserve"> </w:t>
      </w:r>
    </w:p>
    <w:p w14:paraId="57B55427" w14:textId="77777777" w:rsidR="00CF3443" w:rsidRPr="00F36F29" w:rsidRDefault="00CF3443" w:rsidP="00CF34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p w14:paraId="5F694B7A" w14:textId="3390DE85" w:rsidR="00CF3443" w:rsidRPr="00F36F29" w:rsidRDefault="00CF3443" w:rsidP="00CF34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UNDP's Monitoring Policy states output progress and/or completion must be verified at least annually and a corporate template is provided for verification. It views sustained compliance will best result from enhancements to the corporate planning system.</w:t>
      </w:r>
    </w:p>
    <w:p w14:paraId="36417177" w14:textId="77777777" w:rsidR="00CC6786" w:rsidRPr="00F36F29" w:rsidRDefault="00CC6786" w:rsidP="00C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1CCB126F" w14:textId="77777777" w:rsidTr="00BD64A1">
        <w:tc>
          <w:tcPr>
            <w:tcW w:w="2970" w:type="dxa"/>
          </w:tcPr>
          <w:p w14:paraId="07AAC4B1" w14:textId="77777777" w:rsidR="00CC6786" w:rsidRPr="00F36F29" w:rsidRDefault="00CC6786"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3D486157" w14:textId="77777777" w:rsidR="00CC6786" w:rsidRPr="00F36F29" w:rsidRDefault="00CC6786" w:rsidP="00BD64A1">
            <w:pPr>
              <w:pStyle w:val="SingleTxt"/>
              <w:tabs>
                <w:tab w:val="clear" w:pos="1267"/>
                <w:tab w:val="left" w:pos="209"/>
                <w:tab w:val="left" w:pos="836"/>
              </w:tabs>
              <w:spacing w:after="0" w:line="240" w:lineRule="auto"/>
              <w:ind w:left="0" w:right="27"/>
            </w:pPr>
            <w:r w:rsidRPr="00F36F29">
              <w:t>Bureau for Policy and Programme Support and Regional Bureaux</w:t>
            </w:r>
          </w:p>
        </w:tc>
      </w:tr>
      <w:tr w:rsidR="00F36F29" w:rsidRPr="00F36F29" w14:paraId="44B557E9" w14:textId="77777777" w:rsidTr="00BD64A1">
        <w:tc>
          <w:tcPr>
            <w:tcW w:w="2970" w:type="dxa"/>
          </w:tcPr>
          <w:p w14:paraId="358EFF45" w14:textId="77777777" w:rsidR="00CC6786" w:rsidRPr="00F36F29" w:rsidRDefault="00CC6786"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49E3D6D4" w14:textId="77777777" w:rsidR="00CC6786" w:rsidRPr="00F36F29" w:rsidRDefault="00CC6786" w:rsidP="00BD64A1">
            <w:pPr>
              <w:pStyle w:val="SingleTxt"/>
              <w:tabs>
                <w:tab w:val="clear" w:pos="1267"/>
                <w:tab w:val="left" w:pos="209"/>
                <w:tab w:val="left" w:pos="836"/>
              </w:tabs>
              <w:spacing w:after="0" w:line="240" w:lineRule="auto"/>
              <w:ind w:left="0" w:right="27"/>
            </w:pPr>
            <w:r w:rsidRPr="00F36F29">
              <w:t>In progress</w:t>
            </w:r>
          </w:p>
        </w:tc>
      </w:tr>
      <w:tr w:rsidR="00CC6786" w:rsidRPr="00F36F29" w14:paraId="46B4CFA4" w14:textId="77777777" w:rsidTr="00BD64A1">
        <w:tc>
          <w:tcPr>
            <w:tcW w:w="2970" w:type="dxa"/>
          </w:tcPr>
          <w:p w14:paraId="0C2C9403" w14:textId="77777777" w:rsidR="00CC6786" w:rsidRPr="00F36F29" w:rsidRDefault="00CC6786"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2536E9D1" w14:textId="05B0F85C" w:rsidR="00CC6786" w:rsidRPr="00F36F29" w:rsidRDefault="00937FA7" w:rsidP="00BD64A1">
            <w:pPr>
              <w:pStyle w:val="SingleTxt"/>
              <w:tabs>
                <w:tab w:val="clear" w:pos="1267"/>
                <w:tab w:val="left" w:pos="209"/>
                <w:tab w:val="left" w:pos="836"/>
              </w:tabs>
              <w:spacing w:after="0" w:line="240" w:lineRule="auto"/>
              <w:ind w:left="0" w:right="27"/>
            </w:pPr>
            <w:r w:rsidRPr="00F36F29">
              <w:t>Q2, 202</w:t>
            </w:r>
            <w:r w:rsidR="004B3CA7" w:rsidRPr="00F36F29">
              <w:t>1</w:t>
            </w:r>
          </w:p>
        </w:tc>
      </w:tr>
    </w:tbl>
    <w:p w14:paraId="218EA2D1" w14:textId="77777777" w:rsidR="00CC6786" w:rsidRPr="00F36F29" w:rsidRDefault="00CC6786" w:rsidP="00C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p w14:paraId="40BE8D06" w14:textId="77777777" w:rsidR="009B1392" w:rsidRPr="00F36F29" w:rsidRDefault="009B1392" w:rsidP="00C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b/>
          <w:bCs/>
          <w:sz w:val="22"/>
          <w:szCs w:val="22"/>
        </w:rPr>
      </w:pPr>
    </w:p>
    <w:p w14:paraId="69E4DE72" w14:textId="77777777" w:rsidR="0055181A" w:rsidRPr="00F36F29" w:rsidRDefault="0055181A" w:rsidP="0055181A">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rPr>
        <w:t xml:space="preserve">In paragraph 116, the Board recommended that </w:t>
      </w:r>
      <w:r w:rsidRPr="00F36F29">
        <w:rPr>
          <w:b/>
          <w:bCs/>
          <w:sz w:val="22"/>
          <w:szCs w:val="22"/>
          <w:lang w:val="en-US"/>
        </w:rPr>
        <w:t xml:space="preserve">UNDP ensure that Country Offices document the review </w:t>
      </w:r>
      <w:proofErr w:type="gramStart"/>
      <w:r w:rsidRPr="00F36F29">
        <w:rPr>
          <w:b/>
          <w:bCs/>
          <w:sz w:val="22"/>
          <w:szCs w:val="22"/>
          <w:lang w:val="en-US"/>
        </w:rPr>
        <w:t>of</w:t>
      </w:r>
      <w:proofErr w:type="gramEnd"/>
      <w:r w:rsidRPr="00F36F29">
        <w:rPr>
          <w:b/>
          <w:bCs/>
          <w:sz w:val="22"/>
          <w:szCs w:val="22"/>
          <w:lang w:val="en-US"/>
        </w:rPr>
        <w:t xml:space="preserve"> and conclusions drawn from micro assessments. </w:t>
      </w:r>
    </w:p>
    <w:p w14:paraId="35B33CDC" w14:textId="77777777" w:rsidR="00C726A9" w:rsidRPr="00F36F29" w:rsidRDefault="00C726A9" w:rsidP="00C726A9">
      <w:pPr>
        <w:pStyle w:val="SingleTxt"/>
        <w:spacing w:after="0" w:line="240" w:lineRule="auto"/>
        <w:ind w:left="720" w:right="29"/>
        <w:rPr>
          <w:sz w:val="22"/>
          <w:szCs w:val="22"/>
        </w:rPr>
      </w:pPr>
    </w:p>
    <w:p w14:paraId="0C36BB78" w14:textId="344DB814" w:rsidR="0055181A" w:rsidRPr="00F36F29" w:rsidRDefault="006B4423" w:rsidP="00C726A9">
      <w:pPr>
        <w:pStyle w:val="SingleTxt"/>
        <w:spacing w:after="0" w:line="240" w:lineRule="auto"/>
        <w:ind w:left="720" w:right="29"/>
        <w:rPr>
          <w:sz w:val="22"/>
          <w:szCs w:val="22"/>
        </w:rPr>
      </w:pPr>
      <w:r w:rsidRPr="00F36F29">
        <w:rPr>
          <w:sz w:val="22"/>
          <w:szCs w:val="22"/>
        </w:rPr>
        <w:t>The policy on harmonized approach to cash transfers has been updated to address this recommendation.</w:t>
      </w:r>
      <w:r w:rsidR="00C726A9" w:rsidRPr="00F36F29">
        <w:rPr>
          <w:sz w:val="22"/>
          <w:szCs w:val="22"/>
        </w:rPr>
        <w:t xml:space="preserve"> In the view of the Board, the requirement already existed in the policy but was not complied with. The Board noted that regional bureaux provided guidance and support to the country offices on the implementation of the harmonized approach to cash transfers. This includes guidance on audits and on the completeness of micro assessments carried out. The Board also noted that UNDP quarterly followed up on potential issues with regard to the harmonized approach to cash transfers implementation at the country offices. However, the Board again noted various cases of non-compliance with this requirement.</w:t>
      </w:r>
    </w:p>
    <w:p w14:paraId="249BA3EB" w14:textId="2C49F592" w:rsidR="00361192" w:rsidRPr="00F36F29" w:rsidRDefault="00361192" w:rsidP="00C726A9">
      <w:pPr>
        <w:pStyle w:val="SingleTxt"/>
        <w:spacing w:after="0" w:line="240" w:lineRule="auto"/>
        <w:ind w:left="72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5A73B547" w14:textId="77777777" w:rsidTr="00BD64A1">
        <w:tc>
          <w:tcPr>
            <w:tcW w:w="2970" w:type="dxa"/>
          </w:tcPr>
          <w:p w14:paraId="2AC2AE55" w14:textId="77777777" w:rsidR="0055181A" w:rsidRPr="00F36F29" w:rsidRDefault="0055181A"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09A6AE27" w14:textId="77777777" w:rsidR="0055181A" w:rsidRPr="00F36F29" w:rsidRDefault="0055181A" w:rsidP="00BD64A1">
            <w:pPr>
              <w:pStyle w:val="SingleTxt"/>
              <w:tabs>
                <w:tab w:val="clear" w:pos="1267"/>
                <w:tab w:val="left" w:pos="209"/>
                <w:tab w:val="left" w:pos="836"/>
              </w:tabs>
              <w:spacing w:after="0" w:line="240" w:lineRule="auto"/>
              <w:ind w:left="0" w:right="27"/>
            </w:pPr>
            <w:r w:rsidRPr="00F36F29">
              <w:t>Regional Bureaux</w:t>
            </w:r>
          </w:p>
        </w:tc>
      </w:tr>
      <w:tr w:rsidR="00F36F29" w:rsidRPr="00F36F29" w14:paraId="40883A5E" w14:textId="77777777" w:rsidTr="00BD64A1">
        <w:tc>
          <w:tcPr>
            <w:tcW w:w="2970" w:type="dxa"/>
          </w:tcPr>
          <w:p w14:paraId="23FE5DF4" w14:textId="77777777" w:rsidR="0055181A" w:rsidRPr="00F36F29" w:rsidRDefault="0055181A"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70672876" w14:textId="77777777" w:rsidR="0055181A" w:rsidRPr="00F36F29" w:rsidRDefault="0055181A" w:rsidP="00BD64A1">
            <w:pPr>
              <w:pStyle w:val="SingleTxt"/>
              <w:tabs>
                <w:tab w:val="clear" w:pos="1267"/>
                <w:tab w:val="left" w:pos="209"/>
                <w:tab w:val="left" w:pos="836"/>
              </w:tabs>
              <w:spacing w:after="0" w:line="240" w:lineRule="auto"/>
              <w:ind w:left="0" w:right="27"/>
            </w:pPr>
            <w:r w:rsidRPr="00F36F29">
              <w:t>In progress</w:t>
            </w:r>
          </w:p>
        </w:tc>
      </w:tr>
      <w:tr w:rsidR="0055181A" w:rsidRPr="00F36F29" w14:paraId="7876BC98" w14:textId="77777777" w:rsidTr="00BD64A1">
        <w:tc>
          <w:tcPr>
            <w:tcW w:w="2970" w:type="dxa"/>
          </w:tcPr>
          <w:p w14:paraId="5FE2D6E8" w14:textId="77777777" w:rsidR="0055181A" w:rsidRPr="00F36F29" w:rsidRDefault="0055181A"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1C5B5FCB" w14:textId="1BA69162" w:rsidR="0055181A" w:rsidRPr="00F36F29" w:rsidRDefault="00DA7E75" w:rsidP="00BD64A1">
            <w:pPr>
              <w:pStyle w:val="SingleTxt"/>
              <w:tabs>
                <w:tab w:val="clear" w:pos="1267"/>
                <w:tab w:val="left" w:pos="209"/>
                <w:tab w:val="left" w:pos="836"/>
              </w:tabs>
              <w:spacing w:after="0" w:line="240" w:lineRule="auto"/>
              <w:ind w:left="0" w:right="27"/>
            </w:pPr>
            <w:r w:rsidRPr="00F36F29">
              <w:t>Q4, 2020</w:t>
            </w:r>
          </w:p>
        </w:tc>
      </w:tr>
    </w:tbl>
    <w:p w14:paraId="301128B0" w14:textId="77777777" w:rsidR="009B1392" w:rsidRPr="00F36F29" w:rsidRDefault="009B1392" w:rsidP="005518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b/>
          <w:bCs/>
          <w:sz w:val="22"/>
          <w:szCs w:val="22"/>
        </w:rPr>
      </w:pPr>
    </w:p>
    <w:p w14:paraId="02CC5D8E" w14:textId="463B10DF" w:rsidR="00DF3985" w:rsidRPr="00F36F29" w:rsidRDefault="00DF3985" w:rsidP="00DF3985">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rPr>
      </w:pPr>
      <w:r w:rsidRPr="00F36F29">
        <w:rPr>
          <w:b/>
          <w:bCs/>
          <w:sz w:val="22"/>
          <w:szCs w:val="22"/>
        </w:rPr>
        <w:lastRenderedPageBreak/>
        <w:t xml:space="preserve">In paragraph 124, the Board recommended that </w:t>
      </w:r>
      <w:r w:rsidRPr="00F36F29">
        <w:rPr>
          <w:b/>
          <w:bCs/>
          <w:sz w:val="22"/>
          <w:szCs w:val="22"/>
          <w:lang w:val="en-US"/>
        </w:rPr>
        <w:t xml:space="preserve">UNDP </w:t>
      </w:r>
      <w:r w:rsidRPr="00F36F29">
        <w:rPr>
          <w:b/>
          <w:bCs/>
          <w:sz w:val="22"/>
          <w:szCs w:val="22"/>
        </w:rPr>
        <w:t>update the HACT policy to include that the HACT SharePoint should be used for the mandatory planning of all assurance activities and that UNDP ensure the review of annual assurance activity plans.</w:t>
      </w:r>
    </w:p>
    <w:p w14:paraId="0EA254DD" w14:textId="77777777" w:rsidR="003C26C1" w:rsidRPr="00F36F29" w:rsidRDefault="003C26C1" w:rsidP="003C26C1">
      <w:pPr>
        <w:pStyle w:val="SingleTxt"/>
        <w:spacing w:after="0" w:line="240" w:lineRule="auto"/>
        <w:ind w:left="720" w:right="29"/>
        <w:rPr>
          <w:sz w:val="22"/>
          <w:szCs w:val="22"/>
        </w:rPr>
      </w:pPr>
    </w:p>
    <w:p w14:paraId="63031DFD" w14:textId="25D9AC87" w:rsidR="003C26C1" w:rsidRPr="00F36F29" w:rsidRDefault="003C26C1" w:rsidP="000448B5">
      <w:pPr>
        <w:pStyle w:val="SingleTxt"/>
        <w:spacing w:line="240" w:lineRule="auto"/>
        <w:ind w:left="720" w:right="29"/>
        <w:rPr>
          <w:sz w:val="22"/>
          <w:szCs w:val="22"/>
        </w:rPr>
      </w:pPr>
      <w:r w:rsidRPr="00F36F29">
        <w:rPr>
          <w:sz w:val="22"/>
          <w:szCs w:val="22"/>
        </w:rPr>
        <w:t>The policy on harmonized approach to cash transfers has been updated to address this recommendation.</w:t>
      </w:r>
      <w:r w:rsidR="000448B5" w:rsidRPr="00F36F29">
        <w:rPr>
          <w:sz w:val="22"/>
          <w:szCs w:val="22"/>
        </w:rPr>
        <w:t xml:space="preserve"> The Board noted that UNDP updated the harmonized approach to cash transfers policy to address the recommendation to use the harmonized approach to cash transfers monitoring platform for planning assurance activities. The Board considers this part of the recommendation to be implemented. The Board also noted that UNDP provided guidance and training to regional bureaux for the oversight of implementation of the harmonized approach to cash transfers. However, the Board also noted various cases of non-compliance with the requirement to review annual assurance activity plans. The Board considers this part of the recommendation to be under implementation.</w:t>
      </w:r>
    </w:p>
    <w:p w14:paraId="752DBE4A" w14:textId="77777777" w:rsidR="00DF3985" w:rsidRPr="00F36F29" w:rsidRDefault="00DF3985" w:rsidP="00DF39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3FECE8AC" w14:textId="77777777" w:rsidTr="00BD64A1">
        <w:tc>
          <w:tcPr>
            <w:tcW w:w="2970" w:type="dxa"/>
          </w:tcPr>
          <w:p w14:paraId="76EA1571" w14:textId="77777777" w:rsidR="00DF3985" w:rsidRPr="00F36F29" w:rsidRDefault="00DF3985"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0D458ADD" w14:textId="59E3A090" w:rsidR="00DF3985" w:rsidRPr="00F36F29" w:rsidRDefault="00F66EE2" w:rsidP="00BD64A1">
            <w:pPr>
              <w:pStyle w:val="SingleTxt"/>
              <w:tabs>
                <w:tab w:val="clear" w:pos="1267"/>
                <w:tab w:val="left" w:pos="209"/>
                <w:tab w:val="left" w:pos="836"/>
              </w:tabs>
              <w:spacing w:after="0" w:line="240" w:lineRule="auto"/>
              <w:ind w:left="0" w:right="27"/>
            </w:pPr>
            <w:r w:rsidRPr="00F36F29">
              <w:t>Regional Bureau</w:t>
            </w:r>
            <w:r w:rsidR="0089519B" w:rsidRPr="00F36F29">
              <w:t>x</w:t>
            </w:r>
            <w:r w:rsidRPr="00F36F29">
              <w:t xml:space="preserve"> </w:t>
            </w:r>
          </w:p>
        </w:tc>
      </w:tr>
      <w:tr w:rsidR="00F36F29" w:rsidRPr="00F36F29" w14:paraId="59D8F879" w14:textId="77777777" w:rsidTr="00BD64A1">
        <w:tc>
          <w:tcPr>
            <w:tcW w:w="2970" w:type="dxa"/>
          </w:tcPr>
          <w:p w14:paraId="7EA6E4A6" w14:textId="77777777" w:rsidR="00DF3985" w:rsidRPr="00F36F29" w:rsidRDefault="00DF3985"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639EB029" w14:textId="77777777" w:rsidR="00DF3985" w:rsidRPr="00F36F29" w:rsidRDefault="00DF3985" w:rsidP="00BD64A1">
            <w:pPr>
              <w:pStyle w:val="SingleTxt"/>
              <w:tabs>
                <w:tab w:val="clear" w:pos="1267"/>
                <w:tab w:val="left" w:pos="209"/>
                <w:tab w:val="left" w:pos="836"/>
              </w:tabs>
              <w:spacing w:after="0" w:line="240" w:lineRule="auto"/>
              <w:ind w:left="0" w:right="27"/>
            </w:pPr>
            <w:r w:rsidRPr="00F36F29">
              <w:t>In progress</w:t>
            </w:r>
          </w:p>
        </w:tc>
      </w:tr>
      <w:tr w:rsidR="00DF3985" w:rsidRPr="00F36F29" w14:paraId="0F7CFCF7" w14:textId="77777777" w:rsidTr="00BD64A1">
        <w:tc>
          <w:tcPr>
            <w:tcW w:w="2970" w:type="dxa"/>
          </w:tcPr>
          <w:p w14:paraId="75AD1805" w14:textId="77777777" w:rsidR="00DF3985" w:rsidRPr="00F36F29" w:rsidRDefault="00DF3985"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0C7F6CC8" w14:textId="2CC36ABF" w:rsidR="00DF3985" w:rsidRPr="00F36F29" w:rsidRDefault="00DA7E75" w:rsidP="00BD64A1">
            <w:pPr>
              <w:pStyle w:val="SingleTxt"/>
              <w:tabs>
                <w:tab w:val="clear" w:pos="1267"/>
                <w:tab w:val="left" w:pos="209"/>
                <w:tab w:val="left" w:pos="836"/>
              </w:tabs>
              <w:spacing w:after="0" w:line="240" w:lineRule="auto"/>
              <w:ind w:left="0" w:right="27"/>
            </w:pPr>
            <w:r w:rsidRPr="00F36F29">
              <w:t>Q4, 2020</w:t>
            </w:r>
          </w:p>
        </w:tc>
      </w:tr>
    </w:tbl>
    <w:p w14:paraId="09CFAD41" w14:textId="77777777" w:rsidR="009B1392" w:rsidRPr="00F36F29" w:rsidRDefault="009B1392" w:rsidP="00DF39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b/>
          <w:bCs/>
          <w:sz w:val="22"/>
          <w:szCs w:val="22"/>
        </w:rPr>
      </w:pPr>
    </w:p>
    <w:p w14:paraId="5FEB185E" w14:textId="419411C3" w:rsidR="00C1437C" w:rsidRPr="00F36F29" w:rsidRDefault="00C1437C" w:rsidP="00C1437C">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rPr>
      </w:pPr>
      <w:r w:rsidRPr="00F36F29">
        <w:rPr>
          <w:b/>
          <w:bCs/>
          <w:sz w:val="22"/>
          <w:szCs w:val="22"/>
        </w:rPr>
        <w:t xml:space="preserve">In paragraph 129, the Board recommended that UNDP strengthen oversight and monitoring functions for the HACT framework. </w:t>
      </w:r>
    </w:p>
    <w:p w14:paraId="687A388F" w14:textId="73B219CC" w:rsidR="00990849" w:rsidRPr="00F36F29" w:rsidRDefault="00990849" w:rsidP="00990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1294AF68" w14:textId="5422ADB1" w:rsidR="00990849" w:rsidRPr="00F36F29" w:rsidRDefault="00990849" w:rsidP="00990849">
      <w:pPr>
        <w:pStyle w:val="SingleTxt"/>
        <w:spacing w:after="0" w:line="240" w:lineRule="auto"/>
        <w:ind w:left="720" w:right="29"/>
        <w:rPr>
          <w:sz w:val="22"/>
          <w:szCs w:val="22"/>
        </w:rPr>
      </w:pPr>
      <w:r w:rsidRPr="00F36F29">
        <w:rPr>
          <w:sz w:val="22"/>
          <w:szCs w:val="22"/>
        </w:rPr>
        <w:t xml:space="preserve">Oversight of country office harmonized approach to cash transfers implementation is the responsibility of regional bureaux.  During 2019, bureaux included Programme/Project Management related issues, including harmonized approach to cash transfers compliance at the regional operation managers workshops to supplement their ongoing oversight of country offices based on results reflected in the harmonized approach to cash transfers dashboard. </w:t>
      </w:r>
    </w:p>
    <w:p w14:paraId="5912A7E9" w14:textId="77777777" w:rsidR="00C1437C" w:rsidRPr="00F36F29" w:rsidRDefault="00C1437C" w:rsidP="00C143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7502DB56" w14:textId="77777777" w:rsidTr="00BD64A1">
        <w:tc>
          <w:tcPr>
            <w:tcW w:w="2970" w:type="dxa"/>
          </w:tcPr>
          <w:p w14:paraId="3BC086B6" w14:textId="77777777" w:rsidR="00C1437C" w:rsidRPr="00F36F29" w:rsidRDefault="00C1437C"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63FCD1A0" w14:textId="77777777" w:rsidR="00C1437C" w:rsidRPr="00F36F29" w:rsidRDefault="00C1437C" w:rsidP="00BD64A1">
            <w:pPr>
              <w:pStyle w:val="SingleTxt"/>
              <w:tabs>
                <w:tab w:val="clear" w:pos="1267"/>
                <w:tab w:val="left" w:pos="209"/>
                <w:tab w:val="left" w:pos="836"/>
              </w:tabs>
              <w:spacing w:after="0" w:line="240" w:lineRule="auto"/>
              <w:ind w:left="0" w:right="27"/>
            </w:pPr>
            <w:r w:rsidRPr="00F36F29">
              <w:t>Regional Bureaux</w:t>
            </w:r>
          </w:p>
        </w:tc>
      </w:tr>
      <w:tr w:rsidR="00F36F29" w:rsidRPr="00F36F29" w14:paraId="6E84FF89" w14:textId="77777777" w:rsidTr="00BD64A1">
        <w:tc>
          <w:tcPr>
            <w:tcW w:w="2970" w:type="dxa"/>
          </w:tcPr>
          <w:p w14:paraId="09A567E2" w14:textId="77777777" w:rsidR="00C1437C" w:rsidRPr="00F36F29" w:rsidRDefault="00C1437C"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298F0379" w14:textId="77777777" w:rsidR="00C1437C" w:rsidRPr="00F36F29" w:rsidRDefault="00C1437C" w:rsidP="00BD64A1">
            <w:pPr>
              <w:pStyle w:val="SingleTxt"/>
              <w:tabs>
                <w:tab w:val="clear" w:pos="1267"/>
                <w:tab w:val="left" w:pos="209"/>
                <w:tab w:val="left" w:pos="836"/>
              </w:tabs>
              <w:spacing w:after="0" w:line="240" w:lineRule="auto"/>
              <w:ind w:left="0" w:right="27"/>
            </w:pPr>
            <w:r w:rsidRPr="00F36F29">
              <w:t>In progress</w:t>
            </w:r>
          </w:p>
        </w:tc>
      </w:tr>
      <w:tr w:rsidR="00C1437C" w:rsidRPr="00F36F29" w14:paraId="642BDE0B" w14:textId="77777777" w:rsidTr="00BD64A1">
        <w:tc>
          <w:tcPr>
            <w:tcW w:w="2970" w:type="dxa"/>
          </w:tcPr>
          <w:p w14:paraId="0BD9CF2D" w14:textId="77777777" w:rsidR="00C1437C" w:rsidRPr="00F36F29" w:rsidRDefault="00C1437C"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3DEDBB01" w14:textId="44FAE7A2" w:rsidR="00C1437C" w:rsidRPr="00F36F29" w:rsidRDefault="003313F2" w:rsidP="00BD64A1">
            <w:pPr>
              <w:pStyle w:val="SingleTxt"/>
              <w:tabs>
                <w:tab w:val="clear" w:pos="1267"/>
                <w:tab w:val="left" w:pos="209"/>
                <w:tab w:val="left" w:pos="836"/>
              </w:tabs>
              <w:spacing w:after="0" w:line="240" w:lineRule="auto"/>
              <w:ind w:left="0" w:right="27"/>
            </w:pPr>
            <w:r w:rsidRPr="00F36F29">
              <w:t>Q4, 2020</w:t>
            </w:r>
          </w:p>
        </w:tc>
      </w:tr>
    </w:tbl>
    <w:p w14:paraId="61E1B939" w14:textId="77777777" w:rsidR="009B1392" w:rsidRPr="00F36F29" w:rsidRDefault="009B1392" w:rsidP="00C143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082114D9" w14:textId="7F365181" w:rsidR="00AC17C0" w:rsidRPr="00F36F29" w:rsidRDefault="00AC17C0" w:rsidP="00AC17C0">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rPr>
      </w:pPr>
      <w:r w:rsidRPr="00F36F29">
        <w:rPr>
          <w:b/>
          <w:bCs/>
          <w:sz w:val="22"/>
          <w:szCs w:val="22"/>
        </w:rPr>
        <w:t xml:space="preserve">In paragraph 157, the Board recommended that </w:t>
      </w:r>
      <w:r w:rsidRPr="00F36F29">
        <w:rPr>
          <w:b/>
          <w:bCs/>
          <w:sz w:val="22"/>
          <w:szCs w:val="22"/>
          <w:lang w:val="en-US"/>
        </w:rPr>
        <w:t>UNDP</w:t>
      </w:r>
      <w:r w:rsidRPr="00F36F29">
        <w:rPr>
          <w:b/>
          <w:bCs/>
          <w:sz w:val="22"/>
          <w:szCs w:val="22"/>
        </w:rPr>
        <w:t xml:space="preserve">, as part of its people strategy, review the policies on service contracts and individual contracts in order to establish clear criteria for assessing what constitutes a staff task/function and which tasks and functions may be transferred to other contractual modalities than regular staff contracts. </w:t>
      </w:r>
    </w:p>
    <w:p w14:paraId="1167E368" w14:textId="77777777" w:rsidR="009B1392" w:rsidRPr="00F36F29" w:rsidRDefault="009B1392" w:rsidP="0FCCDF91">
      <w:pPr>
        <w:pStyle w:val="SingleTxt"/>
        <w:spacing w:after="0" w:line="240" w:lineRule="auto"/>
        <w:ind w:left="720" w:right="29"/>
        <w:rPr>
          <w:sz w:val="22"/>
          <w:szCs w:val="22"/>
          <w:highlight w:val="yellow"/>
        </w:rPr>
      </w:pPr>
    </w:p>
    <w:p w14:paraId="782988E5" w14:textId="0981BFD2" w:rsidR="00AC17C0" w:rsidRPr="00F36F29" w:rsidRDefault="009B1392" w:rsidP="00201D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r w:rsidRPr="00F36F29">
        <w:rPr>
          <w:sz w:val="22"/>
          <w:szCs w:val="22"/>
        </w:rPr>
        <w:t>As part of its “People for 2030” strategy, UNDP is in the process of developing multiple options for changes to its contract modalities to enable it to hire personnel under the appropriate contractual modality needed for UNDP to effectively fulfil its mandate.</w:t>
      </w:r>
      <w:r w:rsidR="00EC33EB">
        <w:rPr>
          <w:sz w:val="22"/>
          <w:szCs w:val="22"/>
        </w:rPr>
        <w:t xml:space="preserve"> The updated policy will be launched by Q2, 2021.</w:t>
      </w:r>
    </w:p>
    <w:p w14:paraId="1C2B1D0A" w14:textId="77777777" w:rsidR="00201D36" w:rsidRPr="00F36F29" w:rsidRDefault="00201D36" w:rsidP="00201D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6B51C306" w14:textId="77777777" w:rsidTr="0FCCDF91">
        <w:tc>
          <w:tcPr>
            <w:tcW w:w="2970" w:type="dxa"/>
          </w:tcPr>
          <w:p w14:paraId="6C759EA4" w14:textId="77777777" w:rsidR="00AC17C0" w:rsidRPr="00F36F29" w:rsidRDefault="00AC17C0" w:rsidP="0FCCDF91">
            <w:pPr>
              <w:pStyle w:val="SingleTxt"/>
              <w:tabs>
                <w:tab w:val="clear" w:pos="1267"/>
                <w:tab w:val="left" w:pos="209"/>
                <w:tab w:val="left" w:pos="836"/>
              </w:tabs>
              <w:spacing w:after="0" w:line="240" w:lineRule="auto"/>
              <w:ind w:left="0" w:right="29"/>
              <w:rPr>
                <w:i/>
                <w:iCs/>
              </w:rPr>
            </w:pPr>
            <w:r w:rsidRPr="00F36F29">
              <w:rPr>
                <w:i/>
                <w:iCs/>
              </w:rPr>
              <w:t>Department(s) responsible:</w:t>
            </w:r>
          </w:p>
        </w:tc>
        <w:tc>
          <w:tcPr>
            <w:tcW w:w="5033" w:type="dxa"/>
          </w:tcPr>
          <w:p w14:paraId="7753F7AE" w14:textId="77777777" w:rsidR="00AC17C0" w:rsidRPr="00F36F29" w:rsidRDefault="00AC17C0" w:rsidP="0FCCDF91">
            <w:pPr>
              <w:pStyle w:val="SingleTxt"/>
              <w:tabs>
                <w:tab w:val="clear" w:pos="1267"/>
                <w:tab w:val="left" w:pos="209"/>
                <w:tab w:val="left" w:pos="836"/>
              </w:tabs>
              <w:spacing w:after="0" w:line="240" w:lineRule="auto"/>
              <w:ind w:left="0" w:right="27"/>
            </w:pPr>
            <w:r w:rsidRPr="00F36F29">
              <w:t>BMS/ Office of Human Resources and BMS/ Office of Sourcing and Operations</w:t>
            </w:r>
          </w:p>
        </w:tc>
      </w:tr>
      <w:tr w:rsidR="00F36F29" w:rsidRPr="00F36F29" w14:paraId="6A60BE9C" w14:textId="77777777" w:rsidTr="0FCCDF91">
        <w:tc>
          <w:tcPr>
            <w:tcW w:w="2970" w:type="dxa"/>
          </w:tcPr>
          <w:p w14:paraId="3AB39DEA" w14:textId="77777777" w:rsidR="00AC17C0" w:rsidRPr="00F36F29" w:rsidRDefault="00AC17C0" w:rsidP="0FCCDF91">
            <w:pPr>
              <w:pStyle w:val="SingleTxt"/>
              <w:tabs>
                <w:tab w:val="clear" w:pos="1267"/>
                <w:tab w:val="left" w:pos="209"/>
                <w:tab w:val="left" w:pos="836"/>
              </w:tabs>
              <w:spacing w:after="0" w:line="240" w:lineRule="auto"/>
              <w:ind w:left="0" w:right="27"/>
              <w:rPr>
                <w:i/>
                <w:iCs/>
              </w:rPr>
            </w:pPr>
            <w:r w:rsidRPr="00F36F29">
              <w:rPr>
                <w:i/>
                <w:iCs/>
              </w:rPr>
              <w:t>Status:</w:t>
            </w:r>
          </w:p>
        </w:tc>
        <w:tc>
          <w:tcPr>
            <w:tcW w:w="5033" w:type="dxa"/>
          </w:tcPr>
          <w:p w14:paraId="17BDE0AB" w14:textId="77777777" w:rsidR="00AC17C0" w:rsidRPr="00F36F29" w:rsidRDefault="00AC17C0" w:rsidP="0FCCDF91">
            <w:pPr>
              <w:pStyle w:val="SingleTxt"/>
              <w:tabs>
                <w:tab w:val="clear" w:pos="1267"/>
                <w:tab w:val="left" w:pos="209"/>
                <w:tab w:val="left" w:pos="836"/>
              </w:tabs>
              <w:spacing w:after="0" w:line="240" w:lineRule="auto"/>
              <w:ind w:left="0" w:right="27"/>
            </w:pPr>
            <w:r w:rsidRPr="00F36F29">
              <w:t>In progress</w:t>
            </w:r>
          </w:p>
        </w:tc>
      </w:tr>
      <w:tr w:rsidR="00AC17C0" w:rsidRPr="00F36F29" w14:paraId="089838E5" w14:textId="77777777" w:rsidTr="0FCCDF91">
        <w:tc>
          <w:tcPr>
            <w:tcW w:w="2970" w:type="dxa"/>
          </w:tcPr>
          <w:p w14:paraId="478528DA" w14:textId="77777777" w:rsidR="00AC17C0" w:rsidRPr="00F36F29" w:rsidRDefault="00AC17C0" w:rsidP="0FCCDF91">
            <w:pPr>
              <w:pStyle w:val="SingleTxt"/>
              <w:tabs>
                <w:tab w:val="clear" w:pos="1267"/>
                <w:tab w:val="left" w:pos="209"/>
                <w:tab w:val="left" w:pos="836"/>
              </w:tabs>
              <w:spacing w:after="0" w:line="240" w:lineRule="auto"/>
              <w:ind w:left="0" w:right="27"/>
              <w:rPr>
                <w:i/>
                <w:iCs/>
              </w:rPr>
            </w:pPr>
            <w:r w:rsidRPr="00F36F29">
              <w:rPr>
                <w:i/>
                <w:iCs/>
              </w:rPr>
              <w:t>Target date:</w:t>
            </w:r>
          </w:p>
        </w:tc>
        <w:tc>
          <w:tcPr>
            <w:tcW w:w="5033" w:type="dxa"/>
          </w:tcPr>
          <w:p w14:paraId="5A7D00E5" w14:textId="3269E973" w:rsidR="00AC17C0" w:rsidRPr="00F36F29" w:rsidRDefault="003313F2" w:rsidP="0FCCDF91">
            <w:pPr>
              <w:pStyle w:val="SingleTxt"/>
              <w:tabs>
                <w:tab w:val="clear" w:pos="1267"/>
                <w:tab w:val="left" w:pos="209"/>
                <w:tab w:val="left" w:pos="836"/>
              </w:tabs>
              <w:spacing w:after="0" w:line="240" w:lineRule="auto"/>
              <w:ind w:left="0" w:right="27"/>
            </w:pPr>
            <w:r w:rsidRPr="00F36F29">
              <w:t>Q</w:t>
            </w:r>
            <w:r w:rsidR="00EC33EB">
              <w:t>2</w:t>
            </w:r>
            <w:r w:rsidRPr="00F36F29">
              <w:t>, 202</w:t>
            </w:r>
            <w:r w:rsidR="00EC33EB">
              <w:t>1</w:t>
            </w:r>
          </w:p>
        </w:tc>
      </w:tr>
    </w:tbl>
    <w:p w14:paraId="60EDC3ED" w14:textId="598BC427" w:rsidR="00AC17C0" w:rsidRPr="00F36F29" w:rsidRDefault="00AC17C0" w:rsidP="009B13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p w14:paraId="1C824845" w14:textId="77777777" w:rsidR="00AC17C0" w:rsidRPr="00F36F29" w:rsidRDefault="00AC17C0" w:rsidP="00AC17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pPr>
    </w:p>
    <w:p w14:paraId="4D1B4B7E" w14:textId="68CCA42C" w:rsidR="00AC17C0" w:rsidRPr="00F36F29" w:rsidRDefault="00AC17C0" w:rsidP="00AC17C0">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lang w:val="en-US"/>
        </w:rPr>
      </w:pPr>
      <w:r w:rsidRPr="00F36F29">
        <w:rPr>
          <w:b/>
          <w:bCs/>
          <w:sz w:val="22"/>
          <w:szCs w:val="22"/>
        </w:rPr>
        <w:lastRenderedPageBreak/>
        <w:t>In paragraph 161, the Board recommended that UNDP review its policy on service contracts in order to clarify recurring matters of non-compliance and consider amending the requirements defined in the policy that UNDP does not intend to implement.</w:t>
      </w:r>
      <w:r w:rsidRPr="00F36F29">
        <w:rPr>
          <w:b/>
          <w:bCs/>
          <w:sz w:val="22"/>
          <w:szCs w:val="22"/>
          <w:lang w:val="en-US"/>
        </w:rPr>
        <w:t xml:space="preserve"> </w:t>
      </w:r>
    </w:p>
    <w:p w14:paraId="11AE7431" w14:textId="77777777" w:rsidR="00E77F48" w:rsidRPr="00F36F29" w:rsidRDefault="00E77F48" w:rsidP="00E77F48">
      <w:pPr>
        <w:pStyle w:val="ListParagraph"/>
        <w:rPr>
          <w:b/>
          <w:bCs/>
          <w:sz w:val="22"/>
          <w:szCs w:val="22"/>
          <w:lang w:val="en-US"/>
        </w:rPr>
      </w:pPr>
    </w:p>
    <w:p w14:paraId="2E0BC597" w14:textId="72A039D3" w:rsidR="00FD1B0B" w:rsidRPr="00F36F29" w:rsidRDefault="00FD1B0B" w:rsidP="0FCCDF91">
      <w:pPr>
        <w:pStyle w:val="SingleTxt"/>
        <w:spacing w:after="0" w:line="240" w:lineRule="auto"/>
        <w:ind w:left="720" w:right="29"/>
        <w:rPr>
          <w:sz w:val="22"/>
          <w:szCs w:val="22"/>
        </w:rPr>
      </w:pPr>
      <w:r w:rsidRPr="00F36F29">
        <w:rPr>
          <w:sz w:val="22"/>
          <w:szCs w:val="22"/>
        </w:rPr>
        <w:t xml:space="preserve">UNDP is in the process of reviewing its policy on service contracts. A dedicated senior advisor was appointed in November 2019 and is driving forward the changes to service contracts modalities. An implementation plan has been agreed with an aim to launch a new policy by </w:t>
      </w:r>
      <w:r w:rsidR="00EC33EB">
        <w:rPr>
          <w:sz w:val="22"/>
          <w:szCs w:val="22"/>
        </w:rPr>
        <w:t>Q2, 2021</w:t>
      </w:r>
      <w:r w:rsidRPr="00F36F29">
        <w:rPr>
          <w:sz w:val="22"/>
          <w:szCs w:val="22"/>
        </w:rPr>
        <w:t>.</w:t>
      </w:r>
    </w:p>
    <w:p w14:paraId="2B2C051B" w14:textId="3FA02DDF" w:rsidR="00AC17C0" w:rsidRPr="00F36F29" w:rsidRDefault="00AC17C0" w:rsidP="0FCCD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42F6A50E" w14:textId="77777777" w:rsidTr="0FCCDF91">
        <w:tc>
          <w:tcPr>
            <w:tcW w:w="2970" w:type="dxa"/>
          </w:tcPr>
          <w:p w14:paraId="52CC989A" w14:textId="77777777" w:rsidR="00AC17C0" w:rsidRPr="00F36F29" w:rsidRDefault="00AC17C0" w:rsidP="0FCCDF91">
            <w:pPr>
              <w:pStyle w:val="SingleTxt"/>
              <w:tabs>
                <w:tab w:val="clear" w:pos="1267"/>
                <w:tab w:val="left" w:pos="209"/>
                <w:tab w:val="left" w:pos="836"/>
              </w:tabs>
              <w:spacing w:after="0" w:line="240" w:lineRule="auto"/>
              <w:ind w:left="0" w:right="29"/>
              <w:rPr>
                <w:i/>
                <w:iCs/>
              </w:rPr>
            </w:pPr>
            <w:r w:rsidRPr="00F36F29">
              <w:rPr>
                <w:i/>
                <w:iCs/>
              </w:rPr>
              <w:t>Department(s) responsible:</w:t>
            </w:r>
          </w:p>
        </w:tc>
        <w:tc>
          <w:tcPr>
            <w:tcW w:w="5033" w:type="dxa"/>
          </w:tcPr>
          <w:p w14:paraId="0E0723D7" w14:textId="77777777" w:rsidR="00AC17C0" w:rsidRPr="00F36F29" w:rsidRDefault="00AC17C0" w:rsidP="0FCCDF91">
            <w:pPr>
              <w:pStyle w:val="SingleTxt"/>
              <w:tabs>
                <w:tab w:val="clear" w:pos="1267"/>
                <w:tab w:val="left" w:pos="209"/>
                <w:tab w:val="left" w:pos="836"/>
              </w:tabs>
              <w:spacing w:after="0" w:line="240" w:lineRule="auto"/>
              <w:ind w:left="0" w:right="27"/>
            </w:pPr>
            <w:r w:rsidRPr="00F36F29">
              <w:t>BMS/ Office of Human Resources</w:t>
            </w:r>
          </w:p>
        </w:tc>
      </w:tr>
      <w:tr w:rsidR="00F36F29" w:rsidRPr="00F36F29" w14:paraId="3DA82734" w14:textId="77777777" w:rsidTr="0FCCDF91">
        <w:tc>
          <w:tcPr>
            <w:tcW w:w="2970" w:type="dxa"/>
          </w:tcPr>
          <w:p w14:paraId="0B26DB89" w14:textId="77777777" w:rsidR="00AC17C0" w:rsidRPr="00F36F29" w:rsidRDefault="00AC17C0" w:rsidP="0FCCDF91">
            <w:pPr>
              <w:pStyle w:val="SingleTxt"/>
              <w:tabs>
                <w:tab w:val="clear" w:pos="1267"/>
                <w:tab w:val="left" w:pos="209"/>
                <w:tab w:val="left" w:pos="836"/>
              </w:tabs>
              <w:spacing w:after="0" w:line="240" w:lineRule="auto"/>
              <w:ind w:left="0" w:right="27"/>
              <w:rPr>
                <w:i/>
                <w:iCs/>
              </w:rPr>
            </w:pPr>
            <w:r w:rsidRPr="00F36F29">
              <w:rPr>
                <w:i/>
                <w:iCs/>
              </w:rPr>
              <w:t>Status:</w:t>
            </w:r>
          </w:p>
        </w:tc>
        <w:tc>
          <w:tcPr>
            <w:tcW w:w="5033" w:type="dxa"/>
          </w:tcPr>
          <w:p w14:paraId="6CC0DB40" w14:textId="77777777" w:rsidR="00AC17C0" w:rsidRPr="00F36F29" w:rsidRDefault="00AC17C0" w:rsidP="0FCCDF91">
            <w:pPr>
              <w:pStyle w:val="SingleTxt"/>
              <w:tabs>
                <w:tab w:val="clear" w:pos="1267"/>
                <w:tab w:val="left" w:pos="209"/>
                <w:tab w:val="left" w:pos="836"/>
              </w:tabs>
              <w:spacing w:after="0" w:line="240" w:lineRule="auto"/>
              <w:ind w:left="0" w:right="27"/>
            </w:pPr>
            <w:r w:rsidRPr="00F36F29">
              <w:t>In progress</w:t>
            </w:r>
          </w:p>
        </w:tc>
      </w:tr>
      <w:tr w:rsidR="00AC17C0" w:rsidRPr="00F36F29" w14:paraId="51F6CE06" w14:textId="77777777" w:rsidTr="0FCCDF91">
        <w:tc>
          <w:tcPr>
            <w:tcW w:w="2970" w:type="dxa"/>
          </w:tcPr>
          <w:p w14:paraId="4C29194B" w14:textId="77777777" w:rsidR="00AC17C0" w:rsidRPr="00F36F29" w:rsidRDefault="00AC17C0" w:rsidP="0FCCDF91">
            <w:pPr>
              <w:pStyle w:val="SingleTxt"/>
              <w:tabs>
                <w:tab w:val="clear" w:pos="1267"/>
                <w:tab w:val="left" w:pos="209"/>
                <w:tab w:val="left" w:pos="836"/>
              </w:tabs>
              <w:spacing w:after="0" w:line="240" w:lineRule="auto"/>
              <w:ind w:left="0" w:right="27"/>
              <w:rPr>
                <w:i/>
                <w:iCs/>
              </w:rPr>
            </w:pPr>
            <w:r w:rsidRPr="00F36F29">
              <w:rPr>
                <w:i/>
                <w:iCs/>
              </w:rPr>
              <w:t>Target date:</w:t>
            </w:r>
          </w:p>
        </w:tc>
        <w:tc>
          <w:tcPr>
            <w:tcW w:w="5033" w:type="dxa"/>
          </w:tcPr>
          <w:p w14:paraId="5FBC32D4" w14:textId="442F5F4D" w:rsidR="00AC17C0" w:rsidRPr="00F36F29" w:rsidRDefault="003313F2" w:rsidP="0FCCDF91">
            <w:pPr>
              <w:pStyle w:val="SingleTxt"/>
              <w:tabs>
                <w:tab w:val="clear" w:pos="1267"/>
                <w:tab w:val="left" w:pos="209"/>
                <w:tab w:val="left" w:pos="836"/>
              </w:tabs>
              <w:spacing w:after="0" w:line="240" w:lineRule="auto"/>
              <w:ind w:left="0" w:right="27"/>
            </w:pPr>
            <w:r w:rsidRPr="00F36F29">
              <w:t>Q</w:t>
            </w:r>
            <w:r w:rsidR="00EC33EB">
              <w:t>2</w:t>
            </w:r>
            <w:r w:rsidRPr="00F36F29">
              <w:t xml:space="preserve">, </w:t>
            </w:r>
            <w:r w:rsidR="00AC17C0" w:rsidRPr="00F36F29">
              <w:t>202</w:t>
            </w:r>
            <w:r w:rsidR="00EC33EB">
              <w:t>1</w:t>
            </w:r>
          </w:p>
        </w:tc>
      </w:tr>
    </w:tbl>
    <w:p w14:paraId="70FCDDDE" w14:textId="77777777" w:rsidR="00AC17C0" w:rsidRPr="00F36F29" w:rsidRDefault="00AC17C0" w:rsidP="00AC17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pPr>
    </w:p>
    <w:p w14:paraId="2FD872F4" w14:textId="762A7986" w:rsidR="00AC17C0" w:rsidRPr="00F36F29" w:rsidRDefault="00AC17C0" w:rsidP="00AC17C0">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rPr>
      </w:pPr>
      <w:r w:rsidRPr="00F36F29">
        <w:rPr>
          <w:b/>
          <w:bCs/>
          <w:sz w:val="22"/>
          <w:szCs w:val="22"/>
        </w:rPr>
        <w:t xml:space="preserve">In paragraph 168, the Board recommended that UNDP review its policy on service contracts, including the use and the requirement of the waiver of competitive recruitment. </w:t>
      </w:r>
    </w:p>
    <w:p w14:paraId="4990EC92" w14:textId="77777777" w:rsidR="00E77F48" w:rsidRPr="00F36F29" w:rsidRDefault="00E77F48" w:rsidP="00E77F48">
      <w:pPr>
        <w:pStyle w:val="ListParagraph"/>
        <w:rPr>
          <w:b/>
          <w:bCs/>
          <w:sz w:val="22"/>
          <w:szCs w:val="22"/>
        </w:rPr>
      </w:pPr>
    </w:p>
    <w:p w14:paraId="56850EAD" w14:textId="34506FCC" w:rsidR="00E77F48" w:rsidRPr="00F36F29" w:rsidRDefault="00E77F48" w:rsidP="0FCCDF91">
      <w:pPr>
        <w:pStyle w:val="SingleTxt"/>
        <w:spacing w:after="0" w:line="240" w:lineRule="auto"/>
        <w:ind w:left="720" w:right="29"/>
        <w:rPr>
          <w:sz w:val="22"/>
          <w:szCs w:val="22"/>
        </w:rPr>
      </w:pPr>
      <w:r w:rsidRPr="00F36F29">
        <w:rPr>
          <w:sz w:val="22"/>
          <w:szCs w:val="22"/>
        </w:rPr>
        <w:t xml:space="preserve">UNDP is in the process of reviewing its policy on service contracts. A dedicated senior advisor was appointed in November 2019 and is driving forward the changes to service contracts modalities. An implementation plan has been agreed with an aim to launch a new policy by </w:t>
      </w:r>
      <w:r w:rsidR="006364CC">
        <w:rPr>
          <w:sz w:val="22"/>
          <w:szCs w:val="22"/>
        </w:rPr>
        <w:t>Q2,</w:t>
      </w:r>
      <w:r w:rsidRPr="00F36F29">
        <w:rPr>
          <w:sz w:val="22"/>
          <w:szCs w:val="22"/>
        </w:rPr>
        <w:t xml:space="preserve"> 202</w:t>
      </w:r>
      <w:r w:rsidR="006364CC">
        <w:rPr>
          <w:sz w:val="22"/>
          <w:szCs w:val="22"/>
        </w:rPr>
        <w:t>1</w:t>
      </w:r>
      <w:r w:rsidRPr="00F36F29">
        <w:rPr>
          <w:sz w:val="22"/>
          <w:szCs w:val="22"/>
        </w:rPr>
        <w:t>.</w:t>
      </w:r>
    </w:p>
    <w:p w14:paraId="1DBEC44C" w14:textId="77777777" w:rsidR="00AC17C0" w:rsidRPr="00F36F29" w:rsidRDefault="00AC17C0" w:rsidP="0FCCD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1DE4CE35" w14:textId="77777777" w:rsidTr="0FCCDF91">
        <w:tc>
          <w:tcPr>
            <w:tcW w:w="2970" w:type="dxa"/>
          </w:tcPr>
          <w:p w14:paraId="3A7D604A" w14:textId="77777777" w:rsidR="00AC17C0" w:rsidRPr="00F36F29" w:rsidRDefault="00AC17C0" w:rsidP="0FCCDF91">
            <w:pPr>
              <w:pStyle w:val="SingleTxt"/>
              <w:tabs>
                <w:tab w:val="clear" w:pos="1267"/>
                <w:tab w:val="left" w:pos="209"/>
                <w:tab w:val="left" w:pos="836"/>
              </w:tabs>
              <w:spacing w:after="0" w:line="240" w:lineRule="auto"/>
              <w:ind w:left="0" w:right="29"/>
              <w:rPr>
                <w:i/>
                <w:iCs/>
              </w:rPr>
            </w:pPr>
            <w:r w:rsidRPr="00F36F29">
              <w:rPr>
                <w:i/>
                <w:iCs/>
              </w:rPr>
              <w:t>Department(s) responsible:</w:t>
            </w:r>
          </w:p>
        </w:tc>
        <w:tc>
          <w:tcPr>
            <w:tcW w:w="5033" w:type="dxa"/>
          </w:tcPr>
          <w:p w14:paraId="76E3D810" w14:textId="77777777" w:rsidR="00AC17C0" w:rsidRPr="00F36F29" w:rsidRDefault="00AC17C0" w:rsidP="0FCCDF91">
            <w:pPr>
              <w:pStyle w:val="SingleTxt"/>
              <w:tabs>
                <w:tab w:val="clear" w:pos="1267"/>
                <w:tab w:val="left" w:pos="209"/>
                <w:tab w:val="left" w:pos="836"/>
              </w:tabs>
              <w:spacing w:after="0" w:line="240" w:lineRule="auto"/>
              <w:ind w:left="0" w:right="27"/>
            </w:pPr>
            <w:r w:rsidRPr="00F36F29">
              <w:t>BMS/ Office of Human Resources</w:t>
            </w:r>
          </w:p>
        </w:tc>
      </w:tr>
      <w:tr w:rsidR="00F36F29" w:rsidRPr="00F36F29" w14:paraId="2E7E970C" w14:textId="77777777" w:rsidTr="0FCCDF91">
        <w:tc>
          <w:tcPr>
            <w:tcW w:w="2970" w:type="dxa"/>
          </w:tcPr>
          <w:p w14:paraId="6DC78C69" w14:textId="77777777" w:rsidR="00AC17C0" w:rsidRPr="00F36F29" w:rsidRDefault="00AC17C0" w:rsidP="0FCCDF91">
            <w:pPr>
              <w:pStyle w:val="SingleTxt"/>
              <w:tabs>
                <w:tab w:val="clear" w:pos="1267"/>
                <w:tab w:val="left" w:pos="209"/>
                <w:tab w:val="left" w:pos="836"/>
              </w:tabs>
              <w:spacing w:after="0" w:line="240" w:lineRule="auto"/>
              <w:ind w:left="0" w:right="27"/>
              <w:rPr>
                <w:i/>
                <w:iCs/>
              </w:rPr>
            </w:pPr>
            <w:r w:rsidRPr="00F36F29">
              <w:rPr>
                <w:i/>
                <w:iCs/>
              </w:rPr>
              <w:t>Status:</w:t>
            </w:r>
          </w:p>
        </w:tc>
        <w:tc>
          <w:tcPr>
            <w:tcW w:w="5033" w:type="dxa"/>
          </w:tcPr>
          <w:p w14:paraId="1B628B16" w14:textId="77777777" w:rsidR="00AC17C0" w:rsidRPr="00F36F29" w:rsidRDefault="00AC17C0" w:rsidP="0FCCDF91">
            <w:pPr>
              <w:pStyle w:val="SingleTxt"/>
              <w:tabs>
                <w:tab w:val="clear" w:pos="1267"/>
                <w:tab w:val="left" w:pos="209"/>
                <w:tab w:val="left" w:pos="836"/>
              </w:tabs>
              <w:spacing w:after="0" w:line="240" w:lineRule="auto"/>
              <w:ind w:left="0" w:right="27"/>
            </w:pPr>
            <w:r w:rsidRPr="00F36F29">
              <w:t>In progress</w:t>
            </w:r>
          </w:p>
        </w:tc>
      </w:tr>
      <w:tr w:rsidR="00AC17C0" w:rsidRPr="00F36F29" w14:paraId="03DD14A1" w14:textId="77777777" w:rsidTr="0FCCDF91">
        <w:tc>
          <w:tcPr>
            <w:tcW w:w="2970" w:type="dxa"/>
          </w:tcPr>
          <w:p w14:paraId="438FC7B2" w14:textId="77777777" w:rsidR="00AC17C0" w:rsidRPr="00F36F29" w:rsidRDefault="00AC17C0" w:rsidP="0FCCDF91">
            <w:pPr>
              <w:pStyle w:val="SingleTxt"/>
              <w:tabs>
                <w:tab w:val="clear" w:pos="1267"/>
                <w:tab w:val="left" w:pos="209"/>
                <w:tab w:val="left" w:pos="836"/>
              </w:tabs>
              <w:spacing w:after="0" w:line="240" w:lineRule="auto"/>
              <w:ind w:left="0" w:right="27"/>
              <w:rPr>
                <w:i/>
                <w:iCs/>
              </w:rPr>
            </w:pPr>
            <w:r w:rsidRPr="00F36F29">
              <w:rPr>
                <w:i/>
                <w:iCs/>
              </w:rPr>
              <w:t>Target date:</w:t>
            </w:r>
          </w:p>
        </w:tc>
        <w:tc>
          <w:tcPr>
            <w:tcW w:w="5033" w:type="dxa"/>
          </w:tcPr>
          <w:p w14:paraId="7DECE368" w14:textId="2B942F8A" w:rsidR="00AC17C0" w:rsidRPr="00F36F29" w:rsidRDefault="003313F2" w:rsidP="0FCCDF91">
            <w:pPr>
              <w:pStyle w:val="SingleTxt"/>
              <w:tabs>
                <w:tab w:val="clear" w:pos="1267"/>
                <w:tab w:val="left" w:pos="209"/>
                <w:tab w:val="left" w:pos="836"/>
              </w:tabs>
              <w:spacing w:after="0" w:line="240" w:lineRule="auto"/>
              <w:ind w:left="0" w:right="27"/>
            </w:pPr>
            <w:r w:rsidRPr="00F36F29">
              <w:t>Q</w:t>
            </w:r>
            <w:r w:rsidR="006364CC">
              <w:t>2</w:t>
            </w:r>
            <w:r w:rsidRPr="00F36F29">
              <w:t xml:space="preserve">, </w:t>
            </w:r>
            <w:r w:rsidR="004A4DC1" w:rsidRPr="00F36F29">
              <w:t>202</w:t>
            </w:r>
            <w:r w:rsidR="006364CC">
              <w:t>1</w:t>
            </w:r>
          </w:p>
        </w:tc>
      </w:tr>
    </w:tbl>
    <w:p w14:paraId="49B84B85" w14:textId="77777777" w:rsidR="00C50573" w:rsidRPr="00F36F29" w:rsidRDefault="00C50573" w:rsidP="000D47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215EF9B5" w14:textId="2D309EA7" w:rsidR="006A5171" w:rsidRPr="00F36F29" w:rsidRDefault="006A5171" w:rsidP="00C50573">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rPr>
      </w:pPr>
      <w:r w:rsidRPr="00F36F29">
        <w:rPr>
          <w:b/>
          <w:bCs/>
          <w:sz w:val="22"/>
          <w:szCs w:val="22"/>
        </w:rPr>
        <w:t>In paragraph 173, the Board recommends that UNDP review the responsibilities and monitoring function for the service contract modality as part of implementing the “People for 2030” strategy and define how much monitoring or oversight from headquarters is feasible and reasonable.</w:t>
      </w:r>
    </w:p>
    <w:p w14:paraId="1AEDA45A" w14:textId="1E21E681" w:rsidR="006A5171" w:rsidRPr="00F36F29" w:rsidRDefault="006A5171" w:rsidP="006A5171">
      <w:pPr>
        <w:pStyle w:val="SingleTxt"/>
        <w:spacing w:after="0" w:line="240" w:lineRule="auto"/>
        <w:ind w:left="720" w:right="29"/>
        <w:rPr>
          <w:sz w:val="22"/>
          <w:szCs w:val="22"/>
        </w:rPr>
      </w:pPr>
      <w:r w:rsidRPr="00F36F29">
        <w:rPr>
          <w:sz w:val="22"/>
          <w:szCs w:val="22"/>
        </w:rPr>
        <w:t xml:space="preserve">As part of implementation of the People for 2030 strategy, UNDP is reviewing various aspects of the service contractor modality, including appropriate usage, compensation, recruitment, career progression, etc. An implementation plan has been agreed with an aim to launch a new policy by </w:t>
      </w:r>
      <w:r w:rsidR="006364CC">
        <w:rPr>
          <w:sz w:val="22"/>
          <w:szCs w:val="22"/>
        </w:rPr>
        <w:t>Q2, 2021</w:t>
      </w:r>
      <w:r w:rsidRPr="00F36F29">
        <w:rPr>
          <w:sz w:val="22"/>
          <w:szCs w:val="22"/>
        </w:rPr>
        <w:t xml:space="preserve">. </w:t>
      </w:r>
    </w:p>
    <w:p w14:paraId="3AEC2E94" w14:textId="77777777" w:rsidR="006A5171" w:rsidRPr="00F36F29" w:rsidRDefault="006A5171" w:rsidP="006A5171">
      <w:pPr>
        <w:pStyle w:val="SingleTxt"/>
        <w:spacing w:after="0" w:line="240" w:lineRule="auto"/>
        <w:ind w:left="72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18C8244B" w14:textId="77777777" w:rsidTr="006A5171">
        <w:tc>
          <w:tcPr>
            <w:tcW w:w="2970" w:type="dxa"/>
          </w:tcPr>
          <w:p w14:paraId="7A6D6DB2" w14:textId="77777777" w:rsidR="006A5171" w:rsidRPr="00F36F29" w:rsidRDefault="006A5171" w:rsidP="006A5171">
            <w:pPr>
              <w:pStyle w:val="SingleTxt"/>
              <w:tabs>
                <w:tab w:val="clear" w:pos="1267"/>
                <w:tab w:val="left" w:pos="209"/>
                <w:tab w:val="left" w:pos="836"/>
              </w:tabs>
              <w:spacing w:after="0" w:line="240" w:lineRule="auto"/>
              <w:ind w:left="0" w:right="29"/>
              <w:rPr>
                <w:i/>
                <w:iCs/>
              </w:rPr>
            </w:pPr>
            <w:r w:rsidRPr="00F36F29">
              <w:rPr>
                <w:i/>
                <w:iCs/>
              </w:rPr>
              <w:t>Department(s) responsible:</w:t>
            </w:r>
          </w:p>
        </w:tc>
        <w:tc>
          <w:tcPr>
            <w:tcW w:w="5033" w:type="dxa"/>
          </w:tcPr>
          <w:p w14:paraId="531647AA" w14:textId="77777777" w:rsidR="006A5171" w:rsidRPr="00F36F29" w:rsidRDefault="006A5171" w:rsidP="006A5171">
            <w:pPr>
              <w:pStyle w:val="SingleTxt"/>
              <w:tabs>
                <w:tab w:val="clear" w:pos="1267"/>
                <w:tab w:val="left" w:pos="209"/>
                <w:tab w:val="left" w:pos="836"/>
              </w:tabs>
              <w:spacing w:after="0" w:line="240" w:lineRule="auto"/>
              <w:ind w:left="0" w:right="27"/>
            </w:pPr>
            <w:r w:rsidRPr="00F36F29">
              <w:t>BMS/ Office of Human Resources</w:t>
            </w:r>
          </w:p>
        </w:tc>
      </w:tr>
      <w:tr w:rsidR="00F36F29" w:rsidRPr="00F36F29" w14:paraId="08C02C01" w14:textId="77777777" w:rsidTr="006A5171">
        <w:tc>
          <w:tcPr>
            <w:tcW w:w="2970" w:type="dxa"/>
          </w:tcPr>
          <w:p w14:paraId="51251B6D" w14:textId="77777777" w:rsidR="006A5171" w:rsidRPr="00F36F29" w:rsidRDefault="006A5171" w:rsidP="006A5171">
            <w:pPr>
              <w:pStyle w:val="SingleTxt"/>
              <w:tabs>
                <w:tab w:val="clear" w:pos="1267"/>
                <w:tab w:val="left" w:pos="209"/>
                <w:tab w:val="left" w:pos="836"/>
              </w:tabs>
              <w:spacing w:after="0" w:line="240" w:lineRule="auto"/>
              <w:ind w:left="0" w:right="27"/>
              <w:rPr>
                <w:i/>
                <w:iCs/>
              </w:rPr>
            </w:pPr>
            <w:r w:rsidRPr="00F36F29">
              <w:rPr>
                <w:i/>
                <w:iCs/>
              </w:rPr>
              <w:t>Status:</w:t>
            </w:r>
          </w:p>
        </w:tc>
        <w:tc>
          <w:tcPr>
            <w:tcW w:w="5033" w:type="dxa"/>
          </w:tcPr>
          <w:p w14:paraId="1799F7B2" w14:textId="77777777" w:rsidR="006A5171" w:rsidRPr="00F36F29" w:rsidRDefault="006A5171" w:rsidP="006A5171">
            <w:pPr>
              <w:pStyle w:val="SingleTxt"/>
              <w:tabs>
                <w:tab w:val="clear" w:pos="1267"/>
                <w:tab w:val="left" w:pos="209"/>
                <w:tab w:val="left" w:pos="836"/>
              </w:tabs>
              <w:spacing w:after="0" w:line="240" w:lineRule="auto"/>
              <w:ind w:left="0" w:right="27"/>
            </w:pPr>
            <w:r w:rsidRPr="00F36F29">
              <w:t>In progress</w:t>
            </w:r>
          </w:p>
        </w:tc>
      </w:tr>
      <w:tr w:rsidR="00D64DE2" w:rsidRPr="00F36F29" w14:paraId="1393D184" w14:textId="77777777" w:rsidTr="006A5171">
        <w:tc>
          <w:tcPr>
            <w:tcW w:w="2970" w:type="dxa"/>
          </w:tcPr>
          <w:p w14:paraId="39F33D1D" w14:textId="77777777" w:rsidR="006A5171" w:rsidRPr="00F36F29" w:rsidRDefault="006A5171" w:rsidP="006A5171">
            <w:pPr>
              <w:pStyle w:val="SingleTxt"/>
              <w:tabs>
                <w:tab w:val="clear" w:pos="1267"/>
                <w:tab w:val="left" w:pos="209"/>
                <w:tab w:val="left" w:pos="836"/>
              </w:tabs>
              <w:spacing w:after="0" w:line="240" w:lineRule="auto"/>
              <w:ind w:left="0" w:right="27"/>
              <w:rPr>
                <w:i/>
                <w:iCs/>
              </w:rPr>
            </w:pPr>
            <w:r w:rsidRPr="00F36F29">
              <w:rPr>
                <w:i/>
                <w:iCs/>
              </w:rPr>
              <w:t>Target date:</w:t>
            </w:r>
          </w:p>
        </w:tc>
        <w:tc>
          <w:tcPr>
            <w:tcW w:w="5033" w:type="dxa"/>
          </w:tcPr>
          <w:p w14:paraId="437C5348" w14:textId="2324386D" w:rsidR="006A5171" w:rsidRPr="00F36F29" w:rsidRDefault="006A5171" w:rsidP="006A5171">
            <w:pPr>
              <w:pStyle w:val="SingleTxt"/>
              <w:tabs>
                <w:tab w:val="clear" w:pos="1267"/>
                <w:tab w:val="left" w:pos="209"/>
                <w:tab w:val="left" w:pos="836"/>
              </w:tabs>
              <w:spacing w:after="0" w:line="240" w:lineRule="auto"/>
              <w:ind w:left="0" w:right="27"/>
            </w:pPr>
            <w:r w:rsidRPr="00F36F29">
              <w:t>Q</w:t>
            </w:r>
            <w:r w:rsidR="006364CC">
              <w:t>2</w:t>
            </w:r>
            <w:r w:rsidRPr="00F36F29">
              <w:t>, 202</w:t>
            </w:r>
            <w:r w:rsidR="006364CC">
              <w:t>1</w:t>
            </w:r>
          </w:p>
        </w:tc>
      </w:tr>
    </w:tbl>
    <w:p w14:paraId="5DB653CF" w14:textId="77777777" w:rsidR="006A5171" w:rsidRPr="00F36F29" w:rsidRDefault="006A5171" w:rsidP="006A51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right="29"/>
        <w:rPr>
          <w:b/>
          <w:bCs/>
          <w:sz w:val="22"/>
          <w:szCs w:val="22"/>
        </w:rPr>
      </w:pPr>
    </w:p>
    <w:p w14:paraId="632BA14F" w14:textId="7C995501" w:rsidR="00C50573" w:rsidRPr="00F36F29" w:rsidRDefault="00C50573" w:rsidP="00C50573">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rPr>
      </w:pPr>
      <w:r w:rsidRPr="00F36F29">
        <w:rPr>
          <w:b/>
          <w:bCs/>
          <w:sz w:val="22"/>
          <w:szCs w:val="22"/>
        </w:rPr>
        <w:t xml:space="preserve">In paragraph 191, the Board recommended that UNDP review its policy on individual contracts in order to clarify recurring matters of non-compliance and to strengthen oversight by the procurement committees. </w:t>
      </w:r>
    </w:p>
    <w:p w14:paraId="0F2B8498" w14:textId="77777777" w:rsidR="002B73DA" w:rsidRPr="00F36F29" w:rsidRDefault="002B73DA" w:rsidP="002B73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b/>
          <w:bCs/>
          <w:sz w:val="22"/>
          <w:szCs w:val="22"/>
        </w:rPr>
      </w:pPr>
    </w:p>
    <w:p w14:paraId="150E30B9" w14:textId="60C40E82" w:rsidR="002B73DA" w:rsidRPr="00F36F29" w:rsidRDefault="002B73DA" w:rsidP="0FCCDF91">
      <w:pPr>
        <w:pStyle w:val="SingleTxt"/>
        <w:spacing w:after="0" w:line="240" w:lineRule="auto"/>
        <w:ind w:left="720" w:right="29"/>
        <w:rPr>
          <w:sz w:val="22"/>
          <w:szCs w:val="22"/>
        </w:rPr>
      </w:pPr>
      <w:r w:rsidRPr="00F36F29">
        <w:rPr>
          <w:sz w:val="22"/>
          <w:szCs w:val="22"/>
        </w:rPr>
        <w:t>UNDP views individual contractors an important part of its workforce and is reviewing changes to its usage along with other contract modalities as part of implementing the People for 2030 strategy. This recommendation is being addressed by UNDP as appropriate in the context of this exercise</w:t>
      </w:r>
      <w:r w:rsidR="006364CC">
        <w:rPr>
          <w:sz w:val="22"/>
          <w:szCs w:val="22"/>
        </w:rPr>
        <w:t xml:space="preserve"> by Q2, 2021</w:t>
      </w:r>
      <w:r w:rsidRPr="00F36F29">
        <w:rPr>
          <w:sz w:val="22"/>
          <w:szCs w:val="22"/>
        </w:rPr>
        <w:t xml:space="preserve">. </w:t>
      </w:r>
    </w:p>
    <w:p w14:paraId="1BD83064" w14:textId="77777777" w:rsidR="00C50573" w:rsidRPr="00F36F29" w:rsidRDefault="00C50573" w:rsidP="0FCCDF91">
      <w:pPr>
        <w:pStyle w:val="SingleTxt"/>
        <w:spacing w:after="0" w:line="240" w:lineRule="auto"/>
        <w:ind w:left="72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2B212046" w14:textId="77777777" w:rsidTr="0FCCDF91">
        <w:tc>
          <w:tcPr>
            <w:tcW w:w="2970" w:type="dxa"/>
          </w:tcPr>
          <w:p w14:paraId="4FC51F5B" w14:textId="77777777" w:rsidR="00C50573" w:rsidRPr="00F36F29" w:rsidRDefault="00C50573" w:rsidP="0FCCDF91">
            <w:pPr>
              <w:pStyle w:val="SingleTxt"/>
              <w:tabs>
                <w:tab w:val="clear" w:pos="1267"/>
                <w:tab w:val="left" w:pos="209"/>
                <w:tab w:val="left" w:pos="836"/>
              </w:tabs>
              <w:spacing w:after="0" w:line="240" w:lineRule="auto"/>
              <w:ind w:left="0" w:right="29"/>
              <w:rPr>
                <w:i/>
                <w:iCs/>
              </w:rPr>
            </w:pPr>
            <w:r w:rsidRPr="00F36F29">
              <w:rPr>
                <w:i/>
                <w:iCs/>
              </w:rPr>
              <w:t>Department(s) responsible:</w:t>
            </w:r>
          </w:p>
        </w:tc>
        <w:tc>
          <w:tcPr>
            <w:tcW w:w="5033" w:type="dxa"/>
          </w:tcPr>
          <w:p w14:paraId="5850B448" w14:textId="182B8D3B" w:rsidR="00C50573" w:rsidRPr="00F36F29" w:rsidRDefault="00477422" w:rsidP="0FCCDF91">
            <w:pPr>
              <w:pStyle w:val="SingleTxt"/>
              <w:tabs>
                <w:tab w:val="clear" w:pos="1267"/>
                <w:tab w:val="left" w:pos="209"/>
                <w:tab w:val="left" w:pos="836"/>
              </w:tabs>
              <w:spacing w:after="0" w:line="240" w:lineRule="auto"/>
              <w:ind w:left="0" w:right="27"/>
            </w:pPr>
            <w:r w:rsidRPr="00F36F29">
              <w:t xml:space="preserve">BMS/ Office of Human Resources </w:t>
            </w:r>
            <w:r w:rsidR="003313F2" w:rsidRPr="00F36F29">
              <w:t>and</w:t>
            </w:r>
            <w:r w:rsidRPr="00F36F29">
              <w:t xml:space="preserve"> </w:t>
            </w:r>
            <w:r w:rsidR="00C50573" w:rsidRPr="00F36F29">
              <w:t>BMS/ Office of Sourcing and Operations</w:t>
            </w:r>
          </w:p>
        </w:tc>
      </w:tr>
      <w:tr w:rsidR="00F36F29" w:rsidRPr="00F36F29" w14:paraId="33D41D47" w14:textId="77777777" w:rsidTr="0FCCDF91">
        <w:tc>
          <w:tcPr>
            <w:tcW w:w="2970" w:type="dxa"/>
          </w:tcPr>
          <w:p w14:paraId="30DFE969" w14:textId="77777777" w:rsidR="00C50573" w:rsidRPr="00F36F29" w:rsidRDefault="00C50573" w:rsidP="0FCCDF91">
            <w:pPr>
              <w:pStyle w:val="SingleTxt"/>
              <w:tabs>
                <w:tab w:val="clear" w:pos="1267"/>
                <w:tab w:val="left" w:pos="209"/>
                <w:tab w:val="left" w:pos="836"/>
              </w:tabs>
              <w:spacing w:after="0" w:line="240" w:lineRule="auto"/>
              <w:ind w:left="0" w:right="27"/>
              <w:rPr>
                <w:i/>
                <w:iCs/>
              </w:rPr>
            </w:pPr>
            <w:r w:rsidRPr="00F36F29">
              <w:rPr>
                <w:i/>
                <w:iCs/>
              </w:rPr>
              <w:lastRenderedPageBreak/>
              <w:t>Status:</w:t>
            </w:r>
          </w:p>
        </w:tc>
        <w:tc>
          <w:tcPr>
            <w:tcW w:w="5033" w:type="dxa"/>
          </w:tcPr>
          <w:p w14:paraId="190A1BAB" w14:textId="77777777" w:rsidR="00C50573" w:rsidRPr="00F36F29" w:rsidRDefault="00C50573" w:rsidP="0FCCDF91">
            <w:pPr>
              <w:pStyle w:val="SingleTxt"/>
              <w:tabs>
                <w:tab w:val="clear" w:pos="1267"/>
                <w:tab w:val="left" w:pos="209"/>
                <w:tab w:val="left" w:pos="836"/>
              </w:tabs>
              <w:spacing w:after="0" w:line="240" w:lineRule="auto"/>
              <w:ind w:left="0" w:right="27"/>
            </w:pPr>
            <w:r w:rsidRPr="00F36F29">
              <w:t>In progress</w:t>
            </w:r>
          </w:p>
        </w:tc>
      </w:tr>
      <w:tr w:rsidR="00C50573" w:rsidRPr="00F36F29" w14:paraId="60FB0EB3" w14:textId="77777777" w:rsidTr="0FCCDF91">
        <w:tc>
          <w:tcPr>
            <w:tcW w:w="2970" w:type="dxa"/>
          </w:tcPr>
          <w:p w14:paraId="6B7A2126" w14:textId="77777777" w:rsidR="00C50573" w:rsidRPr="00F36F29" w:rsidRDefault="00C50573" w:rsidP="0FCCDF91">
            <w:pPr>
              <w:pStyle w:val="SingleTxt"/>
              <w:tabs>
                <w:tab w:val="clear" w:pos="1267"/>
                <w:tab w:val="left" w:pos="209"/>
                <w:tab w:val="left" w:pos="836"/>
              </w:tabs>
              <w:spacing w:after="0" w:line="240" w:lineRule="auto"/>
              <w:ind w:left="0" w:right="27"/>
              <w:rPr>
                <w:i/>
                <w:iCs/>
              </w:rPr>
            </w:pPr>
            <w:r w:rsidRPr="00F36F29">
              <w:rPr>
                <w:i/>
                <w:iCs/>
              </w:rPr>
              <w:t>Target date:</w:t>
            </w:r>
          </w:p>
        </w:tc>
        <w:tc>
          <w:tcPr>
            <w:tcW w:w="5033" w:type="dxa"/>
          </w:tcPr>
          <w:p w14:paraId="47569E13" w14:textId="56227439" w:rsidR="00C50573" w:rsidRPr="00F36F29" w:rsidRDefault="003313F2" w:rsidP="0FCCDF91">
            <w:pPr>
              <w:pStyle w:val="SingleTxt"/>
              <w:tabs>
                <w:tab w:val="clear" w:pos="1267"/>
                <w:tab w:val="left" w:pos="209"/>
                <w:tab w:val="left" w:pos="836"/>
              </w:tabs>
              <w:spacing w:after="0" w:line="240" w:lineRule="auto"/>
              <w:ind w:left="0" w:right="27"/>
            </w:pPr>
            <w:r w:rsidRPr="00F36F29">
              <w:t>Q</w:t>
            </w:r>
            <w:r w:rsidR="006364CC">
              <w:t>2</w:t>
            </w:r>
            <w:r w:rsidRPr="00F36F29">
              <w:t>, 202</w:t>
            </w:r>
            <w:r w:rsidR="006364CC">
              <w:t>1</w:t>
            </w:r>
          </w:p>
        </w:tc>
      </w:tr>
    </w:tbl>
    <w:p w14:paraId="4D40E784" w14:textId="77777777" w:rsidR="00DD6BD5" w:rsidRPr="00F36F29" w:rsidRDefault="00DD6BD5" w:rsidP="0FCCDF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18E63202" w14:textId="64DEAA87" w:rsidR="00EB3D5F" w:rsidRPr="00F36F29" w:rsidRDefault="00EB3D5F" w:rsidP="00EB3D5F">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hanging="720"/>
        <w:rPr>
          <w:b/>
          <w:bCs/>
          <w:sz w:val="22"/>
          <w:szCs w:val="22"/>
        </w:rPr>
      </w:pPr>
      <w:r w:rsidRPr="00F36F29">
        <w:rPr>
          <w:b/>
          <w:bCs/>
          <w:sz w:val="22"/>
          <w:szCs w:val="22"/>
        </w:rPr>
        <w:t xml:space="preserve">In paragraph 192, the Board recommended that UNDP ensure that Country Offices and units which noted matters of non-compliance provide on-the-job training so that personnel has the required sustainable awareness to properly procure and manage individual contracts as required by the policy on individual contracts. </w:t>
      </w:r>
    </w:p>
    <w:p w14:paraId="39ADDBF9" w14:textId="77777777" w:rsidR="00EB3D5F" w:rsidRPr="00F36F29" w:rsidRDefault="00EB3D5F" w:rsidP="00EB3D5F">
      <w:pPr>
        <w:pStyle w:val="SingleTxt"/>
        <w:spacing w:after="0" w:line="240" w:lineRule="auto"/>
        <w:ind w:left="990" w:right="29"/>
        <w:rPr>
          <w:sz w:val="22"/>
          <w:szCs w:val="22"/>
        </w:rPr>
      </w:pPr>
    </w:p>
    <w:p w14:paraId="310F38AF" w14:textId="78DB8B58" w:rsidR="00EB3D5F" w:rsidRPr="00F36F29" w:rsidRDefault="00DD6BD5" w:rsidP="00EB3D5F">
      <w:pPr>
        <w:pStyle w:val="SingleTxt"/>
        <w:spacing w:after="0" w:line="240" w:lineRule="auto"/>
        <w:ind w:left="720" w:right="29"/>
        <w:rPr>
          <w:sz w:val="22"/>
          <w:szCs w:val="22"/>
        </w:rPr>
      </w:pPr>
      <w:r w:rsidRPr="00F36F29">
        <w:rPr>
          <w:sz w:val="22"/>
          <w:szCs w:val="22"/>
        </w:rPr>
        <w:t>UNDP views individual contractors an important part of its workforce and is reviewing changes to its usage along with other contract modalities as part of implementing the People for 2030 strategy</w:t>
      </w:r>
      <w:r w:rsidR="006364CC">
        <w:rPr>
          <w:sz w:val="22"/>
          <w:szCs w:val="22"/>
        </w:rPr>
        <w:t xml:space="preserve"> b</w:t>
      </w:r>
      <w:r w:rsidR="00AD2D4D">
        <w:rPr>
          <w:sz w:val="22"/>
          <w:szCs w:val="22"/>
        </w:rPr>
        <w:t xml:space="preserve">y Q2, 2021. </w:t>
      </w:r>
    </w:p>
    <w:p w14:paraId="5219483F" w14:textId="77777777" w:rsidR="00EB3D5F" w:rsidRPr="00F36F29" w:rsidRDefault="00EB3D5F" w:rsidP="00EB3D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7D094FEC" w14:textId="77777777" w:rsidTr="00BD64A1">
        <w:tc>
          <w:tcPr>
            <w:tcW w:w="2970" w:type="dxa"/>
          </w:tcPr>
          <w:p w14:paraId="2EF58AB4" w14:textId="77777777" w:rsidR="00EB3D5F" w:rsidRPr="00F36F29" w:rsidRDefault="00EB3D5F" w:rsidP="00BD64A1">
            <w:pPr>
              <w:pStyle w:val="SingleTxt"/>
              <w:tabs>
                <w:tab w:val="clear" w:pos="1267"/>
                <w:tab w:val="left" w:pos="209"/>
                <w:tab w:val="left" w:pos="836"/>
              </w:tabs>
              <w:spacing w:after="0" w:line="240" w:lineRule="auto"/>
              <w:ind w:left="0" w:right="29"/>
              <w:rPr>
                <w:i/>
              </w:rPr>
            </w:pPr>
            <w:r w:rsidRPr="00F36F29">
              <w:rPr>
                <w:i/>
              </w:rPr>
              <w:t>Department(s) responsible:</w:t>
            </w:r>
          </w:p>
        </w:tc>
        <w:tc>
          <w:tcPr>
            <w:tcW w:w="5033" w:type="dxa"/>
          </w:tcPr>
          <w:p w14:paraId="1CD6F1DC" w14:textId="77777777" w:rsidR="00EB3D5F" w:rsidRPr="00F36F29" w:rsidRDefault="00EB3D5F" w:rsidP="00BD64A1">
            <w:pPr>
              <w:pStyle w:val="SingleTxt"/>
              <w:tabs>
                <w:tab w:val="clear" w:pos="1267"/>
                <w:tab w:val="left" w:pos="209"/>
                <w:tab w:val="left" w:pos="836"/>
              </w:tabs>
              <w:spacing w:after="0" w:line="240" w:lineRule="auto"/>
              <w:ind w:left="0" w:right="27"/>
            </w:pPr>
            <w:r w:rsidRPr="00F36F29">
              <w:t>BMS/ Office of Sourcing and Operations and Regional Bureaux</w:t>
            </w:r>
          </w:p>
        </w:tc>
      </w:tr>
      <w:tr w:rsidR="00F36F29" w:rsidRPr="00F36F29" w14:paraId="4B176543" w14:textId="77777777" w:rsidTr="00BD64A1">
        <w:tc>
          <w:tcPr>
            <w:tcW w:w="2970" w:type="dxa"/>
          </w:tcPr>
          <w:p w14:paraId="694C0A1E" w14:textId="77777777" w:rsidR="00EB3D5F" w:rsidRPr="00F36F29" w:rsidRDefault="00EB3D5F" w:rsidP="00BD64A1">
            <w:pPr>
              <w:pStyle w:val="SingleTxt"/>
              <w:tabs>
                <w:tab w:val="clear" w:pos="1267"/>
                <w:tab w:val="left" w:pos="209"/>
                <w:tab w:val="left" w:pos="836"/>
              </w:tabs>
              <w:spacing w:after="0" w:line="240" w:lineRule="auto"/>
              <w:ind w:left="0" w:right="27"/>
              <w:rPr>
                <w:i/>
              </w:rPr>
            </w:pPr>
            <w:r w:rsidRPr="00F36F29">
              <w:rPr>
                <w:i/>
              </w:rPr>
              <w:t>Status:</w:t>
            </w:r>
          </w:p>
        </w:tc>
        <w:tc>
          <w:tcPr>
            <w:tcW w:w="5033" w:type="dxa"/>
          </w:tcPr>
          <w:p w14:paraId="252D04A1" w14:textId="77777777" w:rsidR="00EB3D5F" w:rsidRPr="00F36F29" w:rsidRDefault="00EB3D5F" w:rsidP="00BD64A1">
            <w:pPr>
              <w:pStyle w:val="SingleTxt"/>
              <w:tabs>
                <w:tab w:val="clear" w:pos="1267"/>
                <w:tab w:val="left" w:pos="209"/>
                <w:tab w:val="left" w:pos="836"/>
              </w:tabs>
              <w:spacing w:after="0" w:line="240" w:lineRule="auto"/>
              <w:ind w:left="0" w:right="27"/>
            </w:pPr>
            <w:r w:rsidRPr="00F36F29">
              <w:t>In progress</w:t>
            </w:r>
          </w:p>
        </w:tc>
      </w:tr>
      <w:tr w:rsidR="00EB3D5F" w:rsidRPr="00F36F29" w14:paraId="0DDF8586" w14:textId="77777777" w:rsidTr="00BD64A1">
        <w:tc>
          <w:tcPr>
            <w:tcW w:w="2970" w:type="dxa"/>
          </w:tcPr>
          <w:p w14:paraId="0E5361B5" w14:textId="77777777" w:rsidR="00EB3D5F" w:rsidRPr="00F36F29" w:rsidRDefault="00EB3D5F" w:rsidP="00BD64A1">
            <w:pPr>
              <w:pStyle w:val="SingleTxt"/>
              <w:tabs>
                <w:tab w:val="clear" w:pos="1267"/>
                <w:tab w:val="left" w:pos="209"/>
                <w:tab w:val="left" w:pos="836"/>
              </w:tabs>
              <w:spacing w:after="0" w:line="240" w:lineRule="auto"/>
              <w:ind w:left="0" w:right="27"/>
              <w:rPr>
                <w:i/>
              </w:rPr>
            </w:pPr>
            <w:r w:rsidRPr="00F36F29">
              <w:rPr>
                <w:i/>
              </w:rPr>
              <w:t>Target date:</w:t>
            </w:r>
          </w:p>
        </w:tc>
        <w:tc>
          <w:tcPr>
            <w:tcW w:w="5033" w:type="dxa"/>
          </w:tcPr>
          <w:p w14:paraId="2FD8090A" w14:textId="556E01FB" w:rsidR="00EB3D5F" w:rsidRPr="00F36F29" w:rsidRDefault="003313F2" w:rsidP="00BD64A1">
            <w:pPr>
              <w:pStyle w:val="SingleTxt"/>
              <w:tabs>
                <w:tab w:val="clear" w:pos="1267"/>
                <w:tab w:val="left" w:pos="209"/>
                <w:tab w:val="left" w:pos="836"/>
              </w:tabs>
              <w:spacing w:after="0" w:line="240" w:lineRule="auto"/>
              <w:ind w:left="0" w:right="27"/>
            </w:pPr>
            <w:r w:rsidRPr="00F36F29">
              <w:t>Q</w:t>
            </w:r>
            <w:r w:rsidR="00AD2D4D">
              <w:t>2</w:t>
            </w:r>
            <w:r w:rsidRPr="00F36F29">
              <w:t>, 202</w:t>
            </w:r>
            <w:r w:rsidR="00AD2D4D">
              <w:t>1</w:t>
            </w:r>
          </w:p>
        </w:tc>
      </w:tr>
    </w:tbl>
    <w:p w14:paraId="6D6670CB" w14:textId="77777777" w:rsidR="00DA786E" w:rsidRPr="00F36F29" w:rsidRDefault="00DA786E" w:rsidP="008260A1">
      <w:pPr>
        <w:pStyle w:val="SingleTxt"/>
        <w:tabs>
          <w:tab w:val="left" w:pos="720"/>
        </w:tabs>
        <w:spacing w:after="0" w:line="240" w:lineRule="auto"/>
        <w:ind w:left="0" w:right="29"/>
        <w:rPr>
          <w:sz w:val="22"/>
          <w:szCs w:val="22"/>
        </w:rPr>
      </w:pPr>
    </w:p>
    <w:p w14:paraId="7D709F10" w14:textId="77777777" w:rsidR="00DA786E" w:rsidRPr="00F36F29" w:rsidRDefault="00DA786E" w:rsidP="008260A1">
      <w:pPr>
        <w:pStyle w:val="SingleTxt"/>
        <w:tabs>
          <w:tab w:val="left" w:pos="720"/>
        </w:tabs>
        <w:spacing w:after="0" w:line="240" w:lineRule="auto"/>
        <w:ind w:left="0" w:right="29"/>
        <w:rPr>
          <w:sz w:val="22"/>
          <w:szCs w:val="22"/>
        </w:rPr>
      </w:pPr>
    </w:p>
    <w:p w14:paraId="07932F24" w14:textId="24AEE37E" w:rsidR="0024477E" w:rsidRPr="00F36F29" w:rsidRDefault="0024477E" w:rsidP="00EE2CC1">
      <w:pPr>
        <w:pStyle w:val="SingleTxt"/>
        <w:tabs>
          <w:tab w:val="left" w:pos="720"/>
        </w:tabs>
        <w:spacing w:after="0" w:line="240" w:lineRule="auto"/>
        <w:ind w:left="0" w:right="29"/>
        <w:rPr>
          <w:b/>
          <w:bCs/>
          <w:sz w:val="22"/>
          <w:szCs w:val="22"/>
          <w:u w:val="single"/>
        </w:rPr>
      </w:pPr>
      <w:r w:rsidRPr="00F36F29">
        <w:rPr>
          <w:b/>
          <w:bCs/>
          <w:sz w:val="22"/>
          <w:szCs w:val="22"/>
          <w:u w:val="single"/>
        </w:rPr>
        <w:t>Report of the Board for the year ended 31 December 2017:</w:t>
      </w:r>
    </w:p>
    <w:p w14:paraId="4D6BCEA1" w14:textId="77777777" w:rsidR="0024477E" w:rsidRPr="00F36F29" w:rsidRDefault="0024477E" w:rsidP="0024477E">
      <w:pPr>
        <w:pStyle w:val="SingleTxt"/>
        <w:tabs>
          <w:tab w:val="left" w:pos="720"/>
        </w:tabs>
        <w:spacing w:after="0" w:line="240" w:lineRule="auto"/>
        <w:ind w:left="720"/>
        <w:rPr>
          <w:b/>
          <w:bCs/>
          <w:sz w:val="22"/>
          <w:szCs w:val="22"/>
          <w:u w:val="single"/>
        </w:rPr>
      </w:pPr>
    </w:p>
    <w:p w14:paraId="1119B69F" w14:textId="77777777" w:rsidR="0024477E" w:rsidRPr="00F36F29" w:rsidRDefault="0024477E" w:rsidP="0024477E">
      <w:pPr>
        <w:pStyle w:val="SingleTxt"/>
        <w:tabs>
          <w:tab w:val="left" w:pos="720"/>
        </w:tabs>
        <w:spacing w:after="0" w:line="240" w:lineRule="auto"/>
        <w:ind w:left="0"/>
        <w:rPr>
          <w:sz w:val="22"/>
          <w:szCs w:val="22"/>
          <w:highlight w:val="yellow"/>
        </w:rPr>
      </w:pPr>
    </w:p>
    <w:p w14:paraId="227FA371" w14:textId="77777777" w:rsidR="0024477E" w:rsidRPr="00F36F29" w:rsidRDefault="0024477E" w:rsidP="0024477E">
      <w:pPr>
        <w:pStyle w:val="ListParagraph"/>
        <w:numPr>
          <w:ilvl w:val="0"/>
          <w:numId w:val="8"/>
        </w:numPr>
        <w:ind w:left="720" w:hanging="720"/>
        <w:rPr>
          <w:b/>
          <w:bCs/>
          <w:sz w:val="22"/>
          <w:szCs w:val="22"/>
          <w:lang w:val="en-US"/>
        </w:rPr>
      </w:pPr>
      <w:r w:rsidRPr="00F36F29">
        <w:rPr>
          <w:b/>
          <w:bCs/>
          <w:sz w:val="22"/>
          <w:szCs w:val="22"/>
        </w:rPr>
        <w:t xml:space="preserve">In paragraph 41, </w:t>
      </w:r>
      <w:r w:rsidRPr="00F36F29">
        <w:rPr>
          <w:b/>
          <w:bCs/>
          <w:sz w:val="22"/>
          <w:szCs w:val="22"/>
          <w:lang w:val="en-US"/>
        </w:rPr>
        <w:t>UNDP agreed with the Board recommendation to ensure that Country Offices review and update projects’ risks, issues and monitoring logs and document information in Atlas on time as the primary source of project information.</w:t>
      </w:r>
    </w:p>
    <w:p w14:paraId="15ADE9F0" w14:textId="77777777" w:rsidR="0024477E" w:rsidRPr="00F36F29" w:rsidRDefault="0024477E" w:rsidP="0024477E">
      <w:pPr>
        <w:pStyle w:val="SingleTxt"/>
        <w:tabs>
          <w:tab w:val="left" w:pos="720"/>
        </w:tabs>
        <w:spacing w:after="0" w:line="240" w:lineRule="auto"/>
        <w:ind w:left="0"/>
        <w:rPr>
          <w:sz w:val="22"/>
          <w:szCs w:val="22"/>
        </w:rPr>
      </w:pPr>
    </w:p>
    <w:p w14:paraId="79E298EC" w14:textId="46DC8425" w:rsidR="0024477E" w:rsidRPr="00F36F29" w:rsidRDefault="007E46EE" w:rsidP="0024477E">
      <w:pPr>
        <w:pStyle w:val="SingleTxt"/>
        <w:spacing w:after="0" w:line="240" w:lineRule="auto"/>
        <w:ind w:left="720" w:right="29"/>
        <w:rPr>
          <w:sz w:val="22"/>
          <w:szCs w:val="22"/>
        </w:rPr>
      </w:pPr>
      <w:r w:rsidRPr="00F36F29">
        <w:rPr>
          <w:sz w:val="22"/>
          <w:szCs w:val="22"/>
        </w:rPr>
        <w:t>UNDP will continue to monitor compliance with these requirements through its annual project quality analysis process. UNDP has started to develop a collaborative digital workspace for programming. This workspace will help managers see where their programming stands across the full life cycle to better monitor performance and highlight what needs to be done so it can be addressed before becoming an audit issue.</w:t>
      </w:r>
    </w:p>
    <w:p w14:paraId="14C651A4" w14:textId="77777777" w:rsidR="007E46EE" w:rsidRPr="00F36F29" w:rsidRDefault="007E46EE" w:rsidP="0024477E">
      <w:pPr>
        <w:pStyle w:val="SingleTxt"/>
        <w:spacing w:after="0" w:line="240" w:lineRule="auto"/>
        <w:ind w:left="72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2B4D975E" w14:textId="77777777" w:rsidTr="0080102A">
        <w:tc>
          <w:tcPr>
            <w:tcW w:w="2970" w:type="dxa"/>
            <w:hideMark/>
          </w:tcPr>
          <w:p w14:paraId="05118FA6" w14:textId="77777777" w:rsidR="0024477E" w:rsidRPr="00F36F29" w:rsidRDefault="0024477E" w:rsidP="0080102A">
            <w:pPr>
              <w:pStyle w:val="SingleTxt"/>
              <w:tabs>
                <w:tab w:val="clear" w:pos="1267"/>
                <w:tab w:val="left" w:pos="209"/>
                <w:tab w:val="left" w:pos="836"/>
              </w:tabs>
              <w:spacing w:after="0" w:line="240" w:lineRule="auto"/>
              <w:ind w:left="0" w:right="29"/>
              <w:rPr>
                <w:i/>
                <w:sz w:val="22"/>
                <w:szCs w:val="22"/>
                <w:lang w:eastAsia="en-GB"/>
              </w:rPr>
            </w:pPr>
            <w:r w:rsidRPr="00F36F29">
              <w:rPr>
                <w:i/>
                <w:sz w:val="22"/>
                <w:szCs w:val="22"/>
                <w:lang w:eastAsia="en-GB"/>
              </w:rPr>
              <w:t>Department responsible:</w:t>
            </w:r>
          </w:p>
        </w:tc>
        <w:tc>
          <w:tcPr>
            <w:tcW w:w="5033" w:type="dxa"/>
            <w:hideMark/>
          </w:tcPr>
          <w:p w14:paraId="0DC074CD" w14:textId="77777777" w:rsidR="0024477E" w:rsidRPr="00F36F29" w:rsidRDefault="0024477E" w:rsidP="0080102A">
            <w:pPr>
              <w:pStyle w:val="SingleTxt"/>
              <w:tabs>
                <w:tab w:val="clear" w:pos="1267"/>
                <w:tab w:val="left" w:pos="209"/>
                <w:tab w:val="left" w:pos="836"/>
              </w:tabs>
              <w:spacing w:after="0" w:line="240" w:lineRule="auto"/>
              <w:ind w:left="0" w:right="27"/>
              <w:rPr>
                <w:sz w:val="22"/>
                <w:szCs w:val="22"/>
                <w:lang w:eastAsia="en-GB"/>
              </w:rPr>
            </w:pPr>
            <w:r w:rsidRPr="00F36F29">
              <w:rPr>
                <w:sz w:val="22"/>
                <w:szCs w:val="22"/>
                <w:lang w:eastAsia="en-GB"/>
              </w:rPr>
              <w:t xml:space="preserve">Regional Bureaux </w:t>
            </w:r>
          </w:p>
        </w:tc>
      </w:tr>
      <w:tr w:rsidR="00F36F29" w:rsidRPr="00F36F29" w14:paraId="16F2E76C" w14:textId="77777777" w:rsidTr="0080102A">
        <w:tc>
          <w:tcPr>
            <w:tcW w:w="2970" w:type="dxa"/>
            <w:hideMark/>
          </w:tcPr>
          <w:p w14:paraId="5AB4C225" w14:textId="77777777" w:rsidR="0024477E" w:rsidRPr="00F36F29" w:rsidRDefault="0024477E" w:rsidP="0080102A">
            <w:pPr>
              <w:pStyle w:val="SingleTxt"/>
              <w:tabs>
                <w:tab w:val="clear" w:pos="1267"/>
                <w:tab w:val="left" w:pos="209"/>
                <w:tab w:val="left" w:pos="836"/>
              </w:tabs>
              <w:spacing w:after="0" w:line="240" w:lineRule="auto"/>
              <w:ind w:left="0" w:right="27"/>
              <w:rPr>
                <w:i/>
                <w:sz w:val="22"/>
                <w:szCs w:val="22"/>
                <w:lang w:eastAsia="en-GB"/>
              </w:rPr>
            </w:pPr>
            <w:r w:rsidRPr="00F36F29">
              <w:rPr>
                <w:i/>
                <w:sz w:val="22"/>
                <w:szCs w:val="22"/>
                <w:lang w:eastAsia="en-GB"/>
              </w:rPr>
              <w:t>Status:</w:t>
            </w:r>
          </w:p>
        </w:tc>
        <w:tc>
          <w:tcPr>
            <w:tcW w:w="5033" w:type="dxa"/>
            <w:hideMark/>
          </w:tcPr>
          <w:p w14:paraId="6388ECD7" w14:textId="77777777" w:rsidR="0024477E" w:rsidRPr="00F36F29" w:rsidRDefault="0024477E" w:rsidP="0080102A">
            <w:pPr>
              <w:pStyle w:val="SingleTxt"/>
              <w:tabs>
                <w:tab w:val="clear" w:pos="1267"/>
                <w:tab w:val="left" w:pos="209"/>
                <w:tab w:val="left" w:pos="836"/>
              </w:tabs>
              <w:spacing w:after="0" w:line="240" w:lineRule="auto"/>
              <w:ind w:left="0" w:right="27"/>
              <w:rPr>
                <w:sz w:val="22"/>
                <w:szCs w:val="22"/>
                <w:lang w:eastAsia="en-GB"/>
              </w:rPr>
            </w:pPr>
            <w:r w:rsidRPr="00F36F29">
              <w:rPr>
                <w:sz w:val="22"/>
                <w:szCs w:val="22"/>
                <w:lang w:eastAsia="en-GB"/>
              </w:rPr>
              <w:t>In progress</w:t>
            </w:r>
          </w:p>
        </w:tc>
      </w:tr>
      <w:tr w:rsidR="0024477E" w:rsidRPr="00F36F29" w14:paraId="70BC935B" w14:textId="77777777" w:rsidTr="0080102A">
        <w:tc>
          <w:tcPr>
            <w:tcW w:w="2970" w:type="dxa"/>
            <w:hideMark/>
          </w:tcPr>
          <w:p w14:paraId="424BB8AC" w14:textId="77777777" w:rsidR="0024477E" w:rsidRPr="00F36F29" w:rsidRDefault="0024477E" w:rsidP="0080102A">
            <w:pPr>
              <w:pStyle w:val="SingleTxt"/>
              <w:tabs>
                <w:tab w:val="clear" w:pos="1267"/>
                <w:tab w:val="left" w:pos="209"/>
                <w:tab w:val="left" w:pos="836"/>
              </w:tabs>
              <w:spacing w:after="0" w:line="240" w:lineRule="auto"/>
              <w:ind w:left="0" w:right="27"/>
              <w:rPr>
                <w:i/>
                <w:sz w:val="22"/>
                <w:szCs w:val="22"/>
                <w:lang w:eastAsia="en-GB"/>
              </w:rPr>
            </w:pPr>
            <w:r w:rsidRPr="00F36F29">
              <w:rPr>
                <w:i/>
                <w:sz w:val="22"/>
                <w:szCs w:val="22"/>
                <w:lang w:eastAsia="en-GB"/>
              </w:rPr>
              <w:t>Target date:</w:t>
            </w:r>
          </w:p>
        </w:tc>
        <w:tc>
          <w:tcPr>
            <w:tcW w:w="5033" w:type="dxa"/>
            <w:hideMark/>
          </w:tcPr>
          <w:p w14:paraId="6DF87C11" w14:textId="0D5D91F3" w:rsidR="0024477E" w:rsidRPr="00F36F29" w:rsidRDefault="00937FA7" w:rsidP="0080102A">
            <w:pPr>
              <w:pStyle w:val="SingleTxt"/>
              <w:tabs>
                <w:tab w:val="clear" w:pos="1267"/>
                <w:tab w:val="left" w:pos="209"/>
                <w:tab w:val="left" w:pos="836"/>
              </w:tabs>
              <w:spacing w:after="0" w:line="240" w:lineRule="auto"/>
              <w:ind w:left="0" w:right="27"/>
              <w:rPr>
                <w:sz w:val="22"/>
                <w:szCs w:val="22"/>
                <w:lang w:eastAsia="en-GB"/>
              </w:rPr>
            </w:pPr>
            <w:r w:rsidRPr="00F36F29">
              <w:t>Q2, 202</w:t>
            </w:r>
            <w:r w:rsidR="004B3CA7" w:rsidRPr="00F36F29">
              <w:t>1</w:t>
            </w:r>
          </w:p>
        </w:tc>
      </w:tr>
    </w:tbl>
    <w:p w14:paraId="633AF7E0" w14:textId="77777777" w:rsidR="0024477E" w:rsidRPr="00F36F29" w:rsidRDefault="0024477E" w:rsidP="0024477E">
      <w:pPr>
        <w:pStyle w:val="SingleTxt"/>
        <w:tabs>
          <w:tab w:val="left" w:pos="720"/>
        </w:tabs>
        <w:spacing w:after="0" w:line="240" w:lineRule="auto"/>
        <w:ind w:left="0"/>
        <w:rPr>
          <w:sz w:val="22"/>
          <w:szCs w:val="22"/>
        </w:rPr>
      </w:pPr>
    </w:p>
    <w:p w14:paraId="4AC04859" w14:textId="77777777" w:rsidR="0024477E" w:rsidRPr="00F36F29" w:rsidRDefault="0024477E" w:rsidP="0024477E">
      <w:pPr>
        <w:pStyle w:val="SingleTxt"/>
        <w:tabs>
          <w:tab w:val="left" w:pos="720"/>
        </w:tabs>
        <w:spacing w:after="0" w:line="240" w:lineRule="auto"/>
        <w:ind w:left="0"/>
        <w:rPr>
          <w:sz w:val="22"/>
          <w:szCs w:val="22"/>
        </w:rPr>
      </w:pPr>
    </w:p>
    <w:p w14:paraId="155DFEB6" w14:textId="77777777" w:rsidR="0024477E" w:rsidRPr="00F36F29" w:rsidRDefault="0024477E" w:rsidP="0024477E">
      <w:pPr>
        <w:pStyle w:val="ListParagraph"/>
        <w:numPr>
          <w:ilvl w:val="0"/>
          <w:numId w:val="8"/>
        </w:numPr>
        <w:ind w:left="720" w:hanging="720"/>
        <w:rPr>
          <w:b/>
          <w:bCs/>
          <w:sz w:val="22"/>
          <w:szCs w:val="22"/>
          <w:lang w:val="en-US"/>
        </w:rPr>
      </w:pPr>
      <w:r w:rsidRPr="00F36F29">
        <w:rPr>
          <w:b/>
          <w:bCs/>
          <w:sz w:val="22"/>
          <w:szCs w:val="22"/>
        </w:rPr>
        <w:t>In paragraph 88, UNDP agree</w:t>
      </w:r>
      <w:r w:rsidRPr="00F36F29">
        <w:rPr>
          <w:b/>
          <w:sz w:val="22"/>
          <w:szCs w:val="22"/>
        </w:rPr>
        <w:t>d</w:t>
      </w:r>
      <w:r w:rsidRPr="00F36F29">
        <w:rPr>
          <w:b/>
          <w:bCs/>
          <w:sz w:val="22"/>
          <w:szCs w:val="22"/>
        </w:rPr>
        <w:t xml:space="preserve"> with the Board’s recommendation that Malawi, Paraguay and South Africa Country Offices ensure that in future, evaluations of service contracts are completed on time, ideally </w:t>
      </w:r>
      <w:r w:rsidRPr="00F36F29">
        <w:rPr>
          <w:b/>
          <w:sz w:val="22"/>
          <w:szCs w:val="22"/>
        </w:rPr>
        <w:t>one month prior to expiration of contracts as per policy, to give reasonable time for the office to make relevant and timely decisions regarding service contracts</w:t>
      </w:r>
      <w:r w:rsidRPr="00F36F29">
        <w:rPr>
          <w:b/>
          <w:sz w:val="22"/>
          <w:szCs w:val="22"/>
          <w:lang w:val="en-US"/>
        </w:rPr>
        <w:t>.</w:t>
      </w:r>
    </w:p>
    <w:p w14:paraId="52015B51" w14:textId="77777777" w:rsidR="0024477E" w:rsidRPr="00F36F29" w:rsidRDefault="0024477E" w:rsidP="0024477E">
      <w:pPr>
        <w:pStyle w:val="SingleTxt"/>
        <w:tabs>
          <w:tab w:val="left" w:pos="720"/>
        </w:tabs>
        <w:spacing w:after="0" w:line="240" w:lineRule="auto"/>
        <w:ind w:left="0"/>
        <w:rPr>
          <w:sz w:val="22"/>
          <w:szCs w:val="22"/>
        </w:rPr>
      </w:pPr>
    </w:p>
    <w:p w14:paraId="452C19B0" w14:textId="0466CC04" w:rsidR="008E1910" w:rsidRPr="00F36F29" w:rsidRDefault="001D25FB" w:rsidP="0024477E">
      <w:pPr>
        <w:pStyle w:val="SingleTxt"/>
        <w:spacing w:after="0" w:line="240" w:lineRule="auto"/>
        <w:ind w:left="720" w:right="29"/>
        <w:rPr>
          <w:sz w:val="22"/>
          <w:szCs w:val="22"/>
        </w:rPr>
      </w:pPr>
      <w:r w:rsidRPr="00F36F29">
        <w:rPr>
          <w:sz w:val="22"/>
          <w:szCs w:val="22"/>
        </w:rPr>
        <w:t xml:space="preserve">UNDP's new policy on service contracts will link the evaluations to the annual performance management cycle. The timely completion of the evaluations will be part of the corporate-wide performance management cycle and the policy is expected to be in place in the </w:t>
      </w:r>
      <w:r w:rsidR="008B6FFD">
        <w:rPr>
          <w:sz w:val="22"/>
          <w:szCs w:val="22"/>
        </w:rPr>
        <w:t>second</w:t>
      </w:r>
      <w:r w:rsidRPr="00F36F29">
        <w:rPr>
          <w:sz w:val="22"/>
          <w:szCs w:val="22"/>
        </w:rPr>
        <w:t xml:space="preserve"> quarter of 202</w:t>
      </w:r>
      <w:r w:rsidR="008B6FFD">
        <w:rPr>
          <w:sz w:val="22"/>
          <w:szCs w:val="22"/>
        </w:rPr>
        <w:t>1</w:t>
      </w:r>
      <w:r w:rsidRPr="00F36F29">
        <w:rPr>
          <w:sz w:val="22"/>
          <w:szCs w:val="22"/>
        </w:rPr>
        <w:t>.</w:t>
      </w:r>
    </w:p>
    <w:p w14:paraId="5090069A" w14:textId="77777777" w:rsidR="001D25FB" w:rsidRPr="00F36F29" w:rsidRDefault="001D25FB" w:rsidP="001D25FB">
      <w:pPr>
        <w:pStyle w:val="SingleTxt"/>
        <w:spacing w:after="0" w:line="240" w:lineRule="auto"/>
        <w:ind w:left="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2859E7D9" w14:textId="77777777" w:rsidTr="0080102A">
        <w:tc>
          <w:tcPr>
            <w:tcW w:w="2970" w:type="dxa"/>
            <w:hideMark/>
          </w:tcPr>
          <w:p w14:paraId="38762498" w14:textId="77777777" w:rsidR="0024477E" w:rsidRPr="00F36F29" w:rsidRDefault="0024477E" w:rsidP="0080102A">
            <w:pPr>
              <w:pStyle w:val="SingleTxt"/>
              <w:tabs>
                <w:tab w:val="clear" w:pos="1267"/>
                <w:tab w:val="left" w:pos="209"/>
                <w:tab w:val="left" w:pos="836"/>
              </w:tabs>
              <w:spacing w:after="0" w:line="240" w:lineRule="auto"/>
              <w:ind w:left="0" w:right="29"/>
              <w:rPr>
                <w:i/>
                <w:sz w:val="22"/>
                <w:szCs w:val="22"/>
                <w:lang w:eastAsia="en-GB"/>
              </w:rPr>
            </w:pPr>
            <w:r w:rsidRPr="00F36F29">
              <w:rPr>
                <w:i/>
                <w:sz w:val="22"/>
                <w:szCs w:val="22"/>
                <w:lang w:eastAsia="en-GB"/>
              </w:rPr>
              <w:t>Department responsible:</w:t>
            </w:r>
          </w:p>
        </w:tc>
        <w:tc>
          <w:tcPr>
            <w:tcW w:w="5033" w:type="dxa"/>
            <w:hideMark/>
          </w:tcPr>
          <w:p w14:paraId="2766A879" w14:textId="77777777" w:rsidR="0024477E" w:rsidRPr="00F36F29" w:rsidRDefault="0024477E" w:rsidP="0080102A">
            <w:pPr>
              <w:pStyle w:val="SingleTxt"/>
              <w:tabs>
                <w:tab w:val="clear" w:pos="1267"/>
                <w:tab w:val="left" w:pos="209"/>
                <w:tab w:val="left" w:pos="836"/>
              </w:tabs>
              <w:spacing w:after="0" w:line="240" w:lineRule="auto"/>
              <w:ind w:left="0" w:right="27"/>
              <w:rPr>
                <w:sz w:val="22"/>
                <w:szCs w:val="22"/>
                <w:lang w:eastAsia="en-GB"/>
              </w:rPr>
            </w:pPr>
            <w:r w:rsidRPr="00F36F29">
              <w:rPr>
                <w:sz w:val="22"/>
                <w:szCs w:val="22"/>
                <w:lang w:eastAsia="en-GB"/>
              </w:rPr>
              <w:t>Regional Bureau for Africa and Regional Bureau for Latin America and the Caribbean</w:t>
            </w:r>
          </w:p>
        </w:tc>
      </w:tr>
      <w:tr w:rsidR="00F36F29" w:rsidRPr="00F36F29" w14:paraId="55D9D2F4" w14:textId="77777777" w:rsidTr="0080102A">
        <w:tc>
          <w:tcPr>
            <w:tcW w:w="2970" w:type="dxa"/>
            <w:hideMark/>
          </w:tcPr>
          <w:p w14:paraId="1C204B06" w14:textId="77777777" w:rsidR="0024477E" w:rsidRPr="00F36F29" w:rsidRDefault="0024477E" w:rsidP="0080102A">
            <w:pPr>
              <w:pStyle w:val="SingleTxt"/>
              <w:tabs>
                <w:tab w:val="clear" w:pos="1267"/>
                <w:tab w:val="left" w:pos="209"/>
                <w:tab w:val="left" w:pos="836"/>
              </w:tabs>
              <w:spacing w:after="0" w:line="240" w:lineRule="auto"/>
              <w:ind w:left="0" w:right="27"/>
              <w:rPr>
                <w:i/>
                <w:sz w:val="22"/>
                <w:szCs w:val="22"/>
                <w:lang w:eastAsia="en-GB"/>
              </w:rPr>
            </w:pPr>
            <w:r w:rsidRPr="00F36F29">
              <w:rPr>
                <w:i/>
                <w:sz w:val="22"/>
                <w:szCs w:val="22"/>
                <w:lang w:eastAsia="en-GB"/>
              </w:rPr>
              <w:lastRenderedPageBreak/>
              <w:t>Status:</w:t>
            </w:r>
          </w:p>
        </w:tc>
        <w:tc>
          <w:tcPr>
            <w:tcW w:w="5033" w:type="dxa"/>
            <w:hideMark/>
          </w:tcPr>
          <w:p w14:paraId="1DEADAD5" w14:textId="77777777" w:rsidR="0024477E" w:rsidRPr="00F36F29" w:rsidRDefault="0024477E" w:rsidP="0080102A">
            <w:pPr>
              <w:pStyle w:val="SingleTxt"/>
              <w:tabs>
                <w:tab w:val="clear" w:pos="1267"/>
                <w:tab w:val="left" w:pos="209"/>
                <w:tab w:val="left" w:pos="836"/>
              </w:tabs>
              <w:spacing w:after="0" w:line="240" w:lineRule="auto"/>
              <w:ind w:left="0" w:right="27"/>
              <w:rPr>
                <w:sz w:val="22"/>
                <w:szCs w:val="22"/>
                <w:lang w:eastAsia="en-GB"/>
              </w:rPr>
            </w:pPr>
            <w:r w:rsidRPr="00F36F29">
              <w:rPr>
                <w:sz w:val="22"/>
                <w:szCs w:val="22"/>
                <w:lang w:eastAsia="en-GB"/>
              </w:rPr>
              <w:t>In progress</w:t>
            </w:r>
          </w:p>
        </w:tc>
      </w:tr>
      <w:tr w:rsidR="0024477E" w:rsidRPr="00F36F29" w14:paraId="03D941D5" w14:textId="77777777" w:rsidTr="0080102A">
        <w:tc>
          <w:tcPr>
            <w:tcW w:w="2970" w:type="dxa"/>
            <w:hideMark/>
          </w:tcPr>
          <w:p w14:paraId="24A77CD3" w14:textId="77777777" w:rsidR="0024477E" w:rsidRPr="00F36F29" w:rsidRDefault="0024477E" w:rsidP="0080102A">
            <w:pPr>
              <w:pStyle w:val="SingleTxt"/>
              <w:tabs>
                <w:tab w:val="clear" w:pos="1267"/>
                <w:tab w:val="left" w:pos="209"/>
                <w:tab w:val="left" w:pos="836"/>
              </w:tabs>
              <w:spacing w:after="0" w:line="240" w:lineRule="auto"/>
              <w:ind w:left="0" w:right="27"/>
              <w:rPr>
                <w:i/>
                <w:sz w:val="22"/>
                <w:szCs w:val="22"/>
                <w:lang w:eastAsia="en-GB"/>
              </w:rPr>
            </w:pPr>
            <w:r w:rsidRPr="00F36F29">
              <w:rPr>
                <w:i/>
                <w:sz w:val="22"/>
                <w:szCs w:val="22"/>
                <w:lang w:eastAsia="en-GB"/>
              </w:rPr>
              <w:t>Target date:</w:t>
            </w:r>
          </w:p>
        </w:tc>
        <w:tc>
          <w:tcPr>
            <w:tcW w:w="5033" w:type="dxa"/>
            <w:hideMark/>
          </w:tcPr>
          <w:p w14:paraId="486C7535" w14:textId="3DE0E7D8" w:rsidR="0024477E" w:rsidRPr="00F36F29" w:rsidRDefault="00937FA7" w:rsidP="0080102A">
            <w:pPr>
              <w:pStyle w:val="SingleTxt"/>
              <w:tabs>
                <w:tab w:val="clear" w:pos="1267"/>
                <w:tab w:val="left" w:pos="209"/>
                <w:tab w:val="left" w:pos="836"/>
              </w:tabs>
              <w:spacing w:after="0" w:line="240" w:lineRule="auto"/>
              <w:ind w:left="0" w:right="27"/>
              <w:rPr>
                <w:sz w:val="22"/>
                <w:szCs w:val="22"/>
                <w:lang w:eastAsia="en-GB"/>
              </w:rPr>
            </w:pPr>
            <w:r w:rsidRPr="00F36F29">
              <w:rPr>
                <w:sz w:val="22"/>
                <w:szCs w:val="22"/>
                <w:lang w:eastAsia="en-GB"/>
              </w:rPr>
              <w:t>Q</w:t>
            </w:r>
            <w:r w:rsidR="008B6FFD">
              <w:rPr>
                <w:sz w:val="22"/>
                <w:szCs w:val="22"/>
                <w:lang w:eastAsia="en-GB"/>
              </w:rPr>
              <w:t>2</w:t>
            </w:r>
            <w:r w:rsidRPr="00F36F29">
              <w:rPr>
                <w:sz w:val="22"/>
                <w:szCs w:val="22"/>
                <w:lang w:eastAsia="en-GB"/>
              </w:rPr>
              <w:t>,</w:t>
            </w:r>
            <w:r w:rsidR="00DD3C4B" w:rsidRPr="00F36F29">
              <w:rPr>
                <w:sz w:val="22"/>
                <w:szCs w:val="22"/>
                <w:lang w:eastAsia="en-GB"/>
              </w:rPr>
              <w:t xml:space="preserve"> 202</w:t>
            </w:r>
            <w:r w:rsidR="008B6FFD">
              <w:rPr>
                <w:sz w:val="22"/>
                <w:szCs w:val="22"/>
                <w:lang w:eastAsia="en-GB"/>
              </w:rPr>
              <w:t>1</w:t>
            </w:r>
          </w:p>
        </w:tc>
      </w:tr>
    </w:tbl>
    <w:p w14:paraId="40BF381C" w14:textId="77777777" w:rsidR="0024477E" w:rsidRPr="00F36F29" w:rsidRDefault="0024477E" w:rsidP="0024477E">
      <w:pPr>
        <w:pStyle w:val="SingleTxt"/>
        <w:tabs>
          <w:tab w:val="left" w:pos="720"/>
        </w:tabs>
        <w:spacing w:after="0" w:line="240" w:lineRule="auto"/>
        <w:ind w:left="0"/>
        <w:rPr>
          <w:sz w:val="22"/>
          <w:szCs w:val="22"/>
        </w:rPr>
      </w:pPr>
    </w:p>
    <w:p w14:paraId="34468E57" w14:textId="77777777" w:rsidR="0024477E" w:rsidRPr="00F36F29" w:rsidRDefault="0024477E" w:rsidP="0024477E">
      <w:pPr>
        <w:pStyle w:val="SingleTxt"/>
        <w:tabs>
          <w:tab w:val="left" w:pos="720"/>
        </w:tabs>
        <w:spacing w:after="0" w:line="240" w:lineRule="auto"/>
        <w:ind w:left="0"/>
        <w:rPr>
          <w:sz w:val="22"/>
          <w:szCs w:val="22"/>
        </w:rPr>
      </w:pPr>
    </w:p>
    <w:p w14:paraId="0CBDD0C7" w14:textId="77777777" w:rsidR="0024477E" w:rsidRPr="00F36F29" w:rsidRDefault="0024477E" w:rsidP="0024477E">
      <w:pPr>
        <w:pStyle w:val="SingleTxt"/>
        <w:tabs>
          <w:tab w:val="left" w:pos="720"/>
        </w:tabs>
        <w:spacing w:after="0" w:line="240" w:lineRule="auto"/>
        <w:ind w:left="0"/>
        <w:rPr>
          <w:sz w:val="22"/>
          <w:szCs w:val="22"/>
        </w:rPr>
      </w:pPr>
    </w:p>
    <w:p w14:paraId="68FF27C0" w14:textId="77777777" w:rsidR="0024477E" w:rsidRPr="00F36F29" w:rsidRDefault="0024477E" w:rsidP="0024477E">
      <w:pPr>
        <w:pStyle w:val="ListParagraph"/>
        <w:numPr>
          <w:ilvl w:val="0"/>
          <w:numId w:val="8"/>
        </w:numPr>
        <w:ind w:left="720" w:hanging="720"/>
        <w:rPr>
          <w:b/>
          <w:bCs/>
          <w:sz w:val="22"/>
          <w:szCs w:val="22"/>
          <w:lang w:val="en-US"/>
        </w:rPr>
      </w:pPr>
      <w:r w:rsidRPr="00F36F29">
        <w:rPr>
          <w:b/>
          <w:bCs/>
          <w:sz w:val="22"/>
          <w:szCs w:val="22"/>
        </w:rPr>
        <w:t xml:space="preserve">In paragraph 102, </w:t>
      </w:r>
      <w:r w:rsidRPr="00F36F29">
        <w:rPr>
          <w:b/>
          <w:sz w:val="22"/>
          <w:szCs w:val="22"/>
        </w:rPr>
        <w:t>UNDP agreed with the Board’s recommendations that Country Offices (a) encourage staff to exercise their leave within the period in which leave is earned, and (b) ensure the implementation of leave plan so that the office operates efficiently at all times and ultimately reduce cases of forfeited untaken leave days</w:t>
      </w:r>
      <w:r w:rsidRPr="00F36F29">
        <w:rPr>
          <w:b/>
          <w:sz w:val="22"/>
          <w:szCs w:val="22"/>
          <w:lang w:val="en-US"/>
        </w:rPr>
        <w:t>.</w:t>
      </w:r>
    </w:p>
    <w:p w14:paraId="1FA4D934" w14:textId="77777777" w:rsidR="0024477E" w:rsidRPr="00F36F29" w:rsidRDefault="0024477E" w:rsidP="0024477E">
      <w:pPr>
        <w:pStyle w:val="SingleTxt"/>
        <w:tabs>
          <w:tab w:val="left" w:pos="720"/>
        </w:tabs>
        <w:spacing w:after="0" w:line="240" w:lineRule="auto"/>
        <w:ind w:left="0"/>
        <w:rPr>
          <w:sz w:val="22"/>
          <w:szCs w:val="22"/>
        </w:rPr>
      </w:pPr>
    </w:p>
    <w:p w14:paraId="1912CD9C" w14:textId="77777777" w:rsidR="00564E0B" w:rsidRPr="00F36F29" w:rsidRDefault="00564E0B" w:rsidP="00564E0B">
      <w:pPr>
        <w:pStyle w:val="SingleTxt"/>
        <w:spacing w:line="240" w:lineRule="auto"/>
        <w:ind w:left="720" w:right="29"/>
        <w:rPr>
          <w:sz w:val="22"/>
          <w:szCs w:val="22"/>
        </w:rPr>
      </w:pPr>
      <w:r w:rsidRPr="00F36F29">
        <w:rPr>
          <w:sz w:val="22"/>
          <w:szCs w:val="22"/>
        </w:rPr>
        <w:t>UNDP will continue to remind staff to take leave. However, in light of the travel restrictions imposed by a growing number of countries in an effort to contain the spread of COVID-19 virus, an exception to the current policy is approved and staff members are permitted to carry forward the annual leave balance in excess of the maximum allowed beyond 31 March 2020 under the following conditions:</w:t>
      </w:r>
    </w:p>
    <w:p w14:paraId="016690C0" w14:textId="5960AC4D" w:rsidR="00564E0B" w:rsidRPr="00F36F29" w:rsidRDefault="00564E0B" w:rsidP="00564E0B">
      <w:pPr>
        <w:pStyle w:val="SingleTxt"/>
        <w:numPr>
          <w:ilvl w:val="1"/>
          <w:numId w:val="8"/>
        </w:numPr>
        <w:spacing w:line="240" w:lineRule="auto"/>
        <w:ind w:right="29"/>
        <w:rPr>
          <w:sz w:val="22"/>
          <w:szCs w:val="22"/>
        </w:rPr>
      </w:pPr>
      <w:r w:rsidRPr="00F36F29">
        <w:rPr>
          <w:sz w:val="22"/>
          <w:szCs w:val="22"/>
        </w:rPr>
        <w:t xml:space="preserve">all excess days must be used until 31 March 2021; </w:t>
      </w:r>
    </w:p>
    <w:p w14:paraId="56CBB645" w14:textId="1DA00731" w:rsidR="00564E0B" w:rsidRPr="00F36F29" w:rsidRDefault="00564E0B" w:rsidP="00564E0B">
      <w:pPr>
        <w:pStyle w:val="SingleTxt"/>
        <w:numPr>
          <w:ilvl w:val="1"/>
          <w:numId w:val="8"/>
        </w:numPr>
        <w:spacing w:line="240" w:lineRule="auto"/>
        <w:ind w:right="29"/>
        <w:rPr>
          <w:sz w:val="22"/>
          <w:szCs w:val="22"/>
        </w:rPr>
      </w:pPr>
      <w:r w:rsidRPr="00F36F29">
        <w:rPr>
          <w:sz w:val="22"/>
          <w:szCs w:val="22"/>
        </w:rPr>
        <w:t xml:space="preserve">should the staff member separate from service, any payment of the annual leave that may be due shall not exceed the maximum allowed under the United Nations Staff Regulations and Rules. </w:t>
      </w:r>
    </w:p>
    <w:p w14:paraId="122D5B50" w14:textId="601C4876" w:rsidR="0024477E" w:rsidRPr="00F36F29" w:rsidRDefault="00564E0B" w:rsidP="00564E0B">
      <w:pPr>
        <w:pStyle w:val="SingleTxt"/>
        <w:spacing w:after="0" w:line="240" w:lineRule="auto"/>
        <w:ind w:left="720" w:right="29"/>
        <w:rPr>
          <w:sz w:val="22"/>
          <w:szCs w:val="22"/>
        </w:rPr>
      </w:pPr>
      <w:r w:rsidRPr="00F36F29">
        <w:rPr>
          <w:sz w:val="22"/>
          <w:szCs w:val="22"/>
        </w:rPr>
        <w:t>At the same time UNDP has introduced a mandatory performance goal for all supervisors related to effective people management, of which one indicator is: “Support to supervisees in maintaining their health and well-being (e.g. encourage supervisees to use leave, prevent situations where staff lose annual leave, encourage awareness and use of flexible working arrangements, etc.)”</w:t>
      </w:r>
      <w:r w:rsidR="001A4FFF" w:rsidRPr="00F36F29">
        <w:rPr>
          <w:sz w:val="22"/>
          <w:szCs w:val="22"/>
        </w:rPr>
        <w:t>.</w:t>
      </w:r>
    </w:p>
    <w:p w14:paraId="7114C11C" w14:textId="77777777" w:rsidR="0024477E" w:rsidRPr="00F36F29" w:rsidRDefault="0024477E" w:rsidP="0024477E">
      <w:pPr>
        <w:pStyle w:val="SingleTxt"/>
        <w:spacing w:after="0" w:line="240" w:lineRule="auto"/>
        <w:ind w:left="72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5D3C3D6C" w14:textId="77777777" w:rsidTr="0080102A">
        <w:tc>
          <w:tcPr>
            <w:tcW w:w="2970" w:type="dxa"/>
            <w:hideMark/>
          </w:tcPr>
          <w:p w14:paraId="44414017" w14:textId="77777777" w:rsidR="0024477E" w:rsidRPr="00F36F29" w:rsidRDefault="0024477E" w:rsidP="0080102A">
            <w:pPr>
              <w:pStyle w:val="SingleTxt"/>
              <w:tabs>
                <w:tab w:val="clear" w:pos="1267"/>
                <w:tab w:val="left" w:pos="209"/>
                <w:tab w:val="left" w:pos="836"/>
              </w:tabs>
              <w:spacing w:after="0" w:line="240" w:lineRule="auto"/>
              <w:ind w:left="0" w:right="29"/>
              <w:rPr>
                <w:i/>
                <w:sz w:val="22"/>
                <w:szCs w:val="22"/>
                <w:lang w:eastAsia="en-GB"/>
              </w:rPr>
            </w:pPr>
            <w:r w:rsidRPr="00F36F29">
              <w:rPr>
                <w:i/>
                <w:sz w:val="22"/>
                <w:szCs w:val="22"/>
                <w:lang w:eastAsia="en-GB"/>
              </w:rPr>
              <w:t>Department responsible:</w:t>
            </w:r>
          </w:p>
        </w:tc>
        <w:tc>
          <w:tcPr>
            <w:tcW w:w="5033" w:type="dxa"/>
            <w:hideMark/>
          </w:tcPr>
          <w:p w14:paraId="16448202" w14:textId="77777777" w:rsidR="0024477E" w:rsidRPr="00F36F29" w:rsidRDefault="0024477E" w:rsidP="0080102A">
            <w:pPr>
              <w:pStyle w:val="SingleTxt"/>
              <w:tabs>
                <w:tab w:val="clear" w:pos="1267"/>
                <w:tab w:val="left" w:pos="209"/>
                <w:tab w:val="left" w:pos="836"/>
              </w:tabs>
              <w:spacing w:after="0" w:line="240" w:lineRule="auto"/>
              <w:ind w:left="0" w:right="27"/>
              <w:rPr>
                <w:sz w:val="22"/>
                <w:szCs w:val="22"/>
                <w:lang w:eastAsia="en-GB"/>
              </w:rPr>
            </w:pPr>
            <w:r w:rsidRPr="00F36F29">
              <w:rPr>
                <w:sz w:val="22"/>
                <w:szCs w:val="22"/>
                <w:lang w:eastAsia="en-GB"/>
              </w:rPr>
              <w:t xml:space="preserve">Regional Bureaux </w:t>
            </w:r>
          </w:p>
        </w:tc>
      </w:tr>
      <w:tr w:rsidR="00F36F29" w:rsidRPr="00F36F29" w14:paraId="2C807756" w14:textId="77777777" w:rsidTr="0080102A">
        <w:tc>
          <w:tcPr>
            <w:tcW w:w="2970" w:type="dxa"/>
            <w:hideMark/>
          </w:tcPr>
          <w:p w14:paraId="6B0D4900" w14:textId="77777777" w:rsidR="0024477E" w:rsidRPr="00F36F29" w:rsidRDefault="0024477E" w:rsidP="0080102A">
            <w:pPr>
              <w:pStyle w:val="SingleTxt"/>
              <w:tabs>
                <w:tab w:val="clear" w:pos="1267"/>
                <w:tab w:val="left" w:pos="209"/>
                <w:tab w:val="left" w:pos="836"/>
              </w:tabs>
              <w:spacing w:after="0" w:line="240" w:lineRule="auto"/>
              <w:ind w:left="0" w:right="27"/>
              <w:rPr>
                <w:i/>
                <w:sz w:val="22"/>
                <w:szCs w:val="22"/>
                <w:lang w:eastAsia="en-GB"/>
              </w:rPr>
            </w:pPr>
            <w:r w:rsidRPr="00F36F29">
              <w:rPr>
                <w:i/>
                <w:sz w:val="22"/>
                <w:szCs w:val="22"/>
                <w:lang w:eastAsia="en-GB"/>
              </w:rPr>
              <w:t>Status:</w:t>
            </w:r>
          </w:p>
        </w:tc>
        <w:tc>
          <w:tcPr>
            <w:tcW w:w="5033" w:type="dxa"/>
            <w:hideMark/>
          </w:tcPr>
          <w:p w14:paraId="77B66CFF" w14:textId="681F1BFB" w:rsidR="0024477E" w:rsidRPr="00F36F29" w:rsidRDefault="008B6FFD" w:rsidP="0080102A">
            <w:pPr>
              <w:pStyle w:val="SingleTxt"/>
              <w:tabs>
                <w:tab w:val="clear" w:pos="1267"/>
                <w:tab w:val="left" w:pos="209"/>
                <w:tab w:val="left" w:pos="836"/>
              </w:tabs>
              <w:spacing w:after="0" w:line="240" w:lineRule="auto"/>
              <w:ind w:left="0" w:right="27"/>
              <w:rPr>
                <w:sz w:val="22"/>
                <w:szCs w:val="22"/>
                <w:lang w:eastAsia="en-GB"/>
              </w:rPr>
            </w:pPr>
            <w:r>
              <w:rPr>
                <w:sz w:val="22"/>
                <w:szCs w:val="22"/>
                <w:lang w:eastAsia="en-GB"/>
              </w:rPr>
              <w:t xml:space="preserve">Implemented </w:t>
            </w:r>
          </w:p>
        </w:tc>
      </w:tr>
      <w:tr w:rsidR="0024477E" w:rsidRPr="00F36F29" w14:paraId="00A33B6B" w14:textId="77777777" w:rsidTr="0080102A">
        <w:tc>
          <w:tcPr>
            <w:tcW w:w="2970" w:type="dxa"/>
            <w:hideMark/>
          </w:tcPr>
          <w:p w14:paraId="22C55B92" w14:textId="77777777" w:rsidR="0024477E" w:rsidRPr="00F36F29" w:rsidRDefault="0024477E" w:rsidP="0080102A">
            <w:pPr>
              <w:pStyle w:val="SingleTxt"/>
              <w:tabs>
                <w:tab w:val="clear" w:pos="1267"/>
                <w:tab w:val="left" w:pos="209"/>
                <w:tab w:val="left" w:pos="836"/>
              </w:tabs>
              <w:spacing w:after="0" w:line="240" w:lineRule="auto"/>
              <w:ind w:left="0" w:right="27"/>
              <w:rPr>
                <w:i/>
                <w:sz w:val="22"/>
                <w:szCs w:val="22"/>
                <w:lang w:eastAsia="en-GB"/>
              </w:rPr>
            </w:pPr>
            <w:r w:rsidRPr="00F36F29">
              <w:rPr>
                <w:i/>
                <w:sz w:val="22"/>
                <w:szCs w:val="22"/>
                <w:lang w:eastAsia="en-GB"/>
              </w:rPr>
              <w:t>Target date:</w:t>
            </w:r>
          </w:p>
        </w:tc>
        <w:tc>
          <w:tcPr>
            <w:tcW w:w="5033" w:type="dxa"/>
            <w:hideMark/>
          </w:tcPr>
          <w:p w14:paraId="0856AFCF" w14:textId="56CFA132" w:rsidR="0024477E" w:rsidRPr="00F36F29" w:rsidRDefault="0056329E" w:rsidP="0080102A">
            <w:pPr>
              <w:pStyle w:val="SingleTxt"/>
              <w:tabs>
                <w:tab w:val="clear" w:pos="1267"/>
                <w:tab w:val="left" w:pos="209"/>
                <w:tab w:val="left" w:pos="836"/>
              </w:tabs>
              <w:spacing w:after="0" w:line="240" w:lineRule="auto"/>
              <w:ind w:left="0" w:right="27"/>
              <w:rPr>
                <w:sz w:val="22"/>
                <w:szCs w:val="22"/>
                <w:lang w:eastAsia="en-GB"/>
              </w:rPr>
            </w:pPr>
            <w:r w:rsidRPr="00F36F29">
              <w:t>Q</w:t>
            </w:r>
            <w:r w:rsidR="008B6FFD">
              <w:t>3</w:t>
            </w:r>
            <w:r w:rsidRPr="00F36F29">
              <w:t>, 2020</w:t>
            </w:r>
          </w:p>
        </w:tc>
      </w:tr>
    </w:tbl>
    <w:p w14:paraId="112B3996" w14:textId="77777777" w:rsidR="0024477E" w:rsidRPr="00F36F29" w:rsidRDefault="0024477E" w:rsidP="0024477E">
      <w:pPr>
        <w:pStyle w:val="SingleTxt"/>
        <w:tabs>
          <w:tab w:val="left" w:pos="720"/>
        </w:tabs>
        <w:spacing w:after="0" w:line="240" w:lineRule="auto"/>
        <w:ind w:left="0"/>
        <w:rPr>
          <w:sz w:val="22"/>
          <w:szCs w:val="22"/>
        </w:rPr>
      </w:pPr>
    </w:p>
    <w:p w14:paraId="01E0F5A1" w14:textId="77777777" w:rsidR="0024477E" w:rsidRPr="00F36F29" w:rsidRDefault="0024477E" w:rsidP="0024477E">
      <w:pPr>
        <w:pStyle w:val="SingleTxt"/>
        <w:tabs>
          <w:tab w:val="left" w:pos="720"/>
        </w:tabs>
        <w:spacing w:after="0" w:line="240" w:lineRule="auto"/>
        <w:ind w:left="0"/>
        <w:rPr>
          <w:sz w:val="22"/>
          <w:szCs w:val="22"/>
        </w:rPr>
      </w:pPr>
    </w:p>
    <w:p w14:paraId="0AFB00B1" w14:textId="77777777" w:rsidR="0024477E" w:rsidRPr="00F36F29" w:rsidRDefault="0024477E" w:rsidP="0024477E">
      <w:pPr>
        <w:pStyle w:val="SingleTxt"/>
        <w:tabs>
          <w:tab w:val="left" w:pos="720"/>
        </w:tabs>
        <w:spacing w:after="0" w:line="240" w:lineRule="auto"/>
        <w:ind w:left="0"/>
        <w:rPr>
          <w:sz w:val="22"/>
          <w:szCs w:val="22"/>
        </w:rPr>
      </w:pPr>
    </w:p>
    <w:p w14:paraId="74294FCC" w14:textId="3F3EEAAA" w:rsidR="008260A1" w:rsidRPr="00F36F29" w:rsidRDefault="008260A1" w:rsidP="008260A1">
      <w:pPr>
        <w:pStyle w:val="SingleTxt"/>
        <w:tabs>
          <w:tab w:val="left" w:pos="720"/>
        </w:tabs>
        <w:spacing w:after="0" w:line="240" w:lineRule="auto"/>
        <w:ind w:left="0" w:right="29"/>
        <w:rPr>
          <w:b/>
          <w:bCs/>
          <w:sz w:val="22"/>
          <w:szCs w:val="22"/>
          <w:u w:val="single"/>
        </w:rPr>
      </w:pPr>
      <w:r w:rsidRPr="00F36F29">
        <w:rPr>
          <w:b/>
          <w:bCs/>
          <w:sz w:val="22"/>
          <w:szCs w:val="22"/>
          <w:u w:val="single"/>
        </w:rPr>
        <w:t>Report of the Board for the year ended 31 December 2016:</w:t>
      </w:r>
    </w:p>
    <w:p w14:paraId="517232AC" w14:textId="77777777" w:rsidR="008260A1" w:rsidRPr="00F36F29" w:rsidRDefault="008260A1" w:rsidP="008260A1">
      <w:pPr>
        <w:pStyle w:val="SingleTxt"/>
        <w:tabs>
          <w:tab w:val="left" w:pos="720"/>
        </w:tabs>
        <w:spacing w:after="0" w:line="240" w:lineRule="auto"/>
        <w:ind w:left="0" w:right="29"/>
        <w:rPr>
          <w:sz w:val="22"/>
          <w:szCs w:val="22"/>
        </w:rPr>
      </w:pPr>
    </w:p>
    <w:p w14:paraId="250EC05C" w14:textId="77777777" w:rsidR="008260A1" w:rsidRPr="00F36F29" w:rsidRDefault="008260A1" w:rsidP="007E0A64">
      <w:pPr>
        <w:pStyle w:val="SingleTxt"/>
        <w:numPr>
          <w:ilvl w:val="0"/>
          <w:numId w:val="8"/>
        </w:numPr>
        <w:tabs>
          <w:tab w:val="left" w:pos="720"/>
        </w:tabs>
        <w:spacing w:after="0" w:line="240" w:lineRule="auto"/>
        <w:ind w:left="720" w:right="29" w:hanging="720"/>
        <w:rPr>
          <w:b/>
          <w:bCs/>
          <w:sz w:val="22"/>
          <w:szCs w:val="22"/>
        </w:rPr>
      </w:pPr>
      <w:r w:rsidRPr="00F36F29">
        <w:rPr>
          <w:b/>
          <w:bCs/>
          <w:sz w:val="22"/>
          <w:szCs w:val="22"/>
        </w:rPr>
        <w:t>In paragraph 51, the Board recommended that UNDP ensure (a) timely review and updating of the projects risks, issues and monitoring logs and document the same in Atlas as the primary source of projects information, and (b) project boards conduct regular meetings to continuously monitor projects implementation.</w:t>
      </w:r>
    </w:p>
    <w:p w14:paraId="41F65506" w14:textId="77777777" w:rsidR="008260A1" w:rsidRPr="00F36F29" w:rsidRDefault="008260A1" w:rsidP="008260A1">
      <w:pPr>
        <w:pStyle w:val="SingleTxt"/>
        <w:tabs>
          <w:tab w:val="left" w:pos="720"/>
        </w:tabs>
        <w:spacing w:after="0" w:line="240" w:lineRule="auto"/>
        <w:ind w:left="0" w:right="29"/>
        <w:rPr>
          <w:sz w:val="22"/>
          <w:szCs w:val="22"/>
        </w:rPr>
      </w:pPr>
    </w:p>
    <w:p w14:paraId="2228AB96" w14:textId="2F6C1659" w:rsidR="008260A1" w:rsidRPr="00F36F29" w:rsidRDefault="00AF2EB0" w:rsidP="008260A1">
      <w:pPr>
        <w:pStyle w:val="SingleTxt"/>
        <w:tabs>
          <w:tab w:val="left" w:pos="720"/>
        </w:tabs>
        <w:spacing w:after="0" w:line="240" w:lineRule="auto"/>
        <w:ind w:left="720" w:right="29"/>
        <w:rPr>
          <w:sz w:val="22"/>
          <w:szCs w:val="22"/>
        </w:rPr>
      </w:pPr>
      <w:r w:rsidRPr="00F36F29">
        <w:rPr>
          <w:sz w:val="22"/>
          <w:szCs w:val="22"/>
        </w:rPr>
        <w:t xml:space="preserve">UNDP has started to develop a collaborative digital workspace for programming. This workspace will help managers see where their programming stands across the full life cycle to better monitor performance and highlight what needs to be done so it can be addressed before becoming an audit issue. These measures build on previous enhancements, including the end-to-end re-write of programming policies and procedures, the introduction of new quality standards for programming, a new monitoring policy and improvements introduced through the new United Nations Sustainable Development Cooperation Framework. </w:t>
      </w:r>
    </w:p>
    <w:p w14:paraId="0D4B5C42" w14:textId="77777777" w:rsidR="008260A1" w:rsidRPr="00F36F29" w:rsidRDefault="008260A1" w:rsidP="008260A1">
      <w:pPr>
        <w:suppressAutoHyphens w:val="0"/>
        <w:spacing w:line="240" w:lineRule="auto"/>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1DFF65D0" w14:textId="77777777" w:rsidTr="008260A1">
        <w:tc>
          <w:tcPr>
            <w:tcW w:w="2970" w:type="dxa"/>
            <w:hideMark/>
          </w:tcPr>
          <w:p w14:paraId="1F1EFD63" w14:textId="77777777" w:rsidR="008260A1" w:rsidRPr="00F36F29" w:rsidRDefault="008260A1">
            <w:pPr>
              <w:pStyle w:val="SingleTxt"/>
              <w:tabs>
                <w:tab w:val="clear" w:pos="1267"/>
                <w:tab w:val="left" w:pos="209"/>
                <w:tab w:val="left" w:pos="836"/>
              </w:tabs>
              <w:spacing w:after="0" w:line="240" w:lineRule="auto"/>
              <w:ind w:left="0" w:right="29"/>
              <w:rPr>
                <w:i/>
                <w:sz w:val="22"/>
                <w:szCs w:val="22"/>
                <w:lang w:eastAsia="en-GB"/>
              </w:rPr>
            </w:pPr>
            <w:r w:rsidRPr="00F36F29">
              <w:rPr>
                <w:i/>
                <w:sz w:val="22"/>
                <w:szCs w:val="22"/>
                <w:lang w:eastAsia="en-GB"/>
              </w:rPr>
              <w:t>Departments responsible:</w:t>
            </w:r>
          </w:p>
        </w:tc>
        <w:tc>
          <w:tcPr>
            <w:tcW w:w="5033" w:type="dxa"/>
            <w:hideMark/>
          </w:tcPr>
          <w:p w14:paraId="02EB754B" w14:textId="77777777" w:rsidR="008260A1" w:rsidRPr="00F36F29" w:rsidRDefault="008260A1">
            <w:pPr>
              <w:pStyle w:val="SingleTxt"/>
              <w:tabs>
                <w:tab w:val="clear" w:pos="1267"/>
                <w:tab w:val="left" w:pos="209"/>
                <w:tab w:val="left" w:pos="836"/>
              </w:tabs>
              <w:spacing w:after="0" w:line="240" w:lineRule="auto"/>
              <w:ind w:left="0" w:right="27"/>
              <w:rPr>
                <w:sz w:val="22"/>
                <w:szCs w:val="22"/>
                <w:lang w:eastAsia="en-GB"/>
              </w:rPr>
            </w:pPr>
            <w:r w:rsidRPr="00F36F29">
              <w:rPr>
                <w:sz w:val="22"/>
                <w:szCs w:val="22"/>
                <w:lang w:eastAsia="en-GB"/>
              </w:rPr>
              <w:t>Bureau for Policy and Programme Support and Regional Bureaux</w:t>
            </w:r>
          </w:p>
        </w:tc>
      </w:tr>
      <w:tr w:rsidR="00F36F29" w:rsidRPr="00F36F29" w14:paraId="5B8AA445" w14:textId="77777777" w:rsidTr="008260A1">
        <w:tc>
          <w:tcPr>
            <w:tcW w:w="2970" w:type="dxa"/>
            <w:hideMark/>
          </w:tcPr>
          <w:p w14:paraId="69F18C71" w14:textId="77777777" w:rsidR="008260A1" w:rsidRPr="00F36F29" w:rsidRDefault="008260A1">
            <w:pPr>
              <w:pStyle w:val="SingleTxt"/>
              <w:tabs>
                <w:tab w:val="clear" w:pos="1267"/>
                <w:tab w:val="left" w:pos="209"/>
                <w:tab w:val="left" w:pos="836"/>
              </w:tabs>
              <w:spacing w:after="0" w:line="240" w:lineRule="auto"/>
              <w:ind w:left="0" w:right="27"/>
              <w:rPr>
                <w:i/>
                <w:sz w:val="22"/>
                <w:szCs w:val="22"/>
                <w:lang w:eastAsia="en-GB"/>
              </w:rPr>
            </w:pPr>
            <w:r w:rsidRPr="00F36F29">
              <w:rPr>
                <w:i/>
                <w:sz w:val="22"/>
                <w:szCs w:val="22"/>
                <w:lang w:eastAsia="en-GB"/>
              </w:rPr>
              <w:lastRenderedPageBreak/>
              <w:t>Status:</w:t>
            </w:r>
          </w:p>
        </w:tc>
        <w:tc>
          <w:tcPr>
            <w:tcW w:w="5033" w:type="dxa"/>
            <w:hideMark/>
          </w:tcPr>
          <w:p w14:paraId="72A5BE83" w14:textId="70055A72" w:rsidR="008260A1" w:rsidRPr="00F36F29" w:rsidRDefault="008260A1">
            <w:pPr>
              <w:pStyle w:val="SingleTxt"/>
              <w:tabs>
                <w:tab w:val="clear" w:pos="1267"/>
                <w:tab w:val="left" w:pos="209"/>
                <w:tab w:val="left" w:pos="836"/>
              </w:tabs>
              <w:spacing w:after="0" w:line="240" w:lineRule="auto"/>
              <w:ind w:left="0" w:right="27"/>
              <w:rPr>
                <w:sz w:val="22"/>
                <w:szCs w:val="22"/>
                <w:lang w:eastAsia="en-GB"/>
              </w:rPr>
            </w:pPr>
            <w:r w:rsidRPr="00F36F29">
              <w:rPr>
                <w:sz w:val="22"/>
                <w:szCs w:val="22"/>
                <w:lang w:eastAsia="en-GB"/>
              </w:rPr>
              <w:t>In progress</w:t>
            </w:r>
          </w:p>
        </w:tc>
      </w:tr>
      <w:tr w:rsidR="008260A1" w:rsidRPr="00F36F29" w14:paraId="11391E1C" w14:textId="77777777" w:rsidTr="008260A1">
        <w:tc>
          <w:tcPr>
            <w:tcW w:w="2970" w:type="dxa"/>
            <w:hideMark/>
          </w:tcPr>
          <w:p w14:paraId="55682DE7" w14:textId="77777777" w:rsidR="008260A1" w:rsidRPr="00F36F29" w:rsidRDefault="008260A1">
            <w:pPr>
              <w:pStyle w:val="SingleTxt"/>
              <w:tabs>
                <w:tab w:val="clear" w:pos="1267"/>
                <w:tab w:val="left" w:pos="209"/>
                <w:tab w:val="left" w:pos="836"/>
              </w:tabs>
              <w:spacing w:after="0" w:line="240" w:lineRule="auto"/>
              <w:ind w:left="0" w:right="27"/>
              <w:rPr>
                <w:i/>
                <w:sz w:val="22"/>
                <w:szCs w:val="22"/>
                <w:lang w:eastAsia="en-GB"/>
              </w:rPr>
            </w:pPr>
            <w:r w:rsidRPr="00F36F29">
              <w:rPr>
                <w:i/>
                <w:sz w:val="22"/>
                <w:szCs w:val="22"/>
                <w:lang w:eastAsia="en-GB"/>
              </w:rPr>
              <w:t>Target date:</w:t>
            </w:r>
          </w:p>
        </w:tc>
        <w:tc>
          <w:tcPr>
            <w:tcW w:w="5033" w:type="dxa"/>
            <w:hideMark/>
          </w:tcPr>
          <w:p w14:paraId="18B5CAFE" w14:textId="10FB3FCB" w:rsidR="008260A1" w:rsidRPr="00F36F29" w:rsidRDefault="00937FA7">
            <w:pPr>
              <w:pStyle w:val="SingleTxt"/>
              <w:tabs>
                <w:tab w:val="clear" w:pos="1267"/>
                <w:tab w:val="left" w:pos="209"/>
                <w:tab w:val="left" w:pos="836"/>
              </w:tabs>
              <w:spacing w:after="0" w:line="240" w:lineRule="auto"/>
              <w:ind w:left="0" w:right="27"/>
              <w:rPr>
                <w:sz w:val="22"/>
                <w:szCs w:val="22"/>
                <w:lang w:eastAsia="en-GB"/>
              </w:rPr>
            </w:pPr>
            <w:r w:rsidRPr="00F36F29">
              <w:t>Q2, 2021</w:t>
            </w:r>
          </w:p>
        </w:tc>
      </w:tr>
    </w:tbl>
    <w:p w14:paraId="5744D59D" w14:textId="77777777" w:rsidR="008260A1" w:rsidRPr="00F36F29" w:rsidRDefault="008260A1" w:rsidP="008260A1">
      <w:pPr>
        <w:pStyle w:val="SingleTxt"/>
        <w:tabs>
          <w:tab w:val="left" w:pos="720"/>
        </w:tabs>
        <w:spacing w:after="0" w:line="240" w:lineRule="auto"/>
        <w:ind w:left="0" w:right="29"/>
        <w:rPr>
          <w:sz w:val="22"/>
          <w:szCs w:val="22"/>
        </w:rPr>
      </w:pPr>
    </w:p>
    <w:p w14:paraId="25C34537" w14:textId="77777777" w:rsidR="008260A1" w:rsidRPr="00F36F29" w:rsidRDefault="008260A1" w:rsidP="008260A1">
      <w:pPr>
        <w:pStyle w:val="SingleTxt"/>
        <w:tabs>
          <w:tab w:val="left" w:pos="720"/>
        </w:tabs>
        <w:spacing w:after="0" w:line="240" w:lineRule="auto"/>
        <w:ind w:left="0" w:right="29"/>
        <w:rPr>
          <w:sz w:val="22"/>
          <w:szCs w:val="22"/>
        </w:rPr>
      </w:pPr>
    </w:p>
    <w:p w14:paraId="35EA71DB" w14:textId="77777777" w:rsidR="008260A1" w:rsidRPr="00F36F29" w:rsidRDefault="008260A1" w:rsidP="008260A1">
      <w:pPr>
        <w:pStyle w:val="SingleTxt"/>
        <w:tabs>
          <w:tab w:val="left" w:pos="720"/>
        </w:tabs>
        <w:spacing w:after="0" w:line="240" w:lineRule="auto"/>
        <w:ind w:left="0" w:right="29"/>
        <w:rPr>
          <w:sz w:val="22"/>
          <w:szCs w:val="22"/>
        </w:rPr>
      </w:pPr>
    </w:p>
    <w:p w14:paraId="7E1EB64C" w14:textId="77777777" w:rsidR="008260A1" w:rsidRPr="00F36F29" w:rsidRDefault="008260A1" w:rsidP="007E0A64">
      <w:pPr>
        <w:pStyle w:val="SingleTxt"/>
        <w:numPr>
          <w:ilvl w:val="0"/>
          <w:numId w:val="8"/>
        </w:numPr>
        <w:tabs>
          <w:tab w:val="left" w:pos="720"/>
        </w:tabs>
        <w:spacing w:after="0" w:line="240" w:lineRule="auto"/>
        <w:ind w:left="720" w:right="29" w:hanging="720"/>
        <w:rPr>
          <w:b/>
          <w:bCs/>
          <w:sz w:val="22"/>
          <w:szCs w:val="22"/>
        </w:rPr>
      </w:pPr>
      <w:r w:rsidRPr="00F36F29">
        <w:rPr>
          <w:b/>
          <w:bCs/>
          <w:sz w:val="22"/>
          <w:szCs w:val="22"/>
        </w:rPr>
        <w:t>In paragraph 107, the Board recommended that UNDP ensure that future service contract evaluations are completed on time, ideally one month prior to contracts’ expiration as per policy, so as to give reasonable time for the office to make timely decisions.</w:t>
      </w:r>
    </w:p>
    <w:p w14:paraId="7B447658" w14:textId="77777777" w:rsidR="008260A1" w:rsidRPr="00F36F29" w:rsidRDefault="008260A1" w:rsidP="008260A1">
      <w:pPr>
        <w:pStyle w:val="SingleTxt"/>
        <w:tabs>
          <w:tab w:val="left" w:pos="720"/>
        </w:tabs>
        <w:spacing w:after="0" w:line="240" w:lineRule="auto"/>
        <w:ind w:left="0" w:right="29"/>
        <w:rPr>
          <w:sz w:val="22"/>
          <w:szCs w:val="22"/>
        </w:rPr>
      </w:pPr>
    </w:p>
    <w:p w14:paraId="34957FBB" w14:textId="645D01DE" w:rsidR="008260A1" w:rsidRPr="00F36F29" w:rsidRDefault="00A92A4C" w:rsidP="008260A1">
      <w:pPr>
        <w:pStyle w:val="SingleTxt"/>
        <w:tabs>
          <w:tab w:val="left" w:pos="720"/>
        </w:tabs>
        <w:spacing w:after="0" w:line="240" w:lineRule="auto"/>
        <w:ind w:left="720" w:right="29"/>
        <w:rPr>
          <w:sz w:val="22"/>
          <w:szCs w:val="22"/>
        </w:rPr>
      </w:pPr>
      <w:r w:rsidRPr="00F36F29">
        <w:rPr>
          <w:sz w:val="22"/>
          <w:szCs w:val="22"/>
        </w:rPr>
        <w:t xml:space="preserve">UNDP's new policy on service contracts will link the evaluations to the annual performance management cycle. The timely completion of the evaluations will be part of the corporate-wide performance management cycle and the policy is expected to be in place in the </w:t>
      </w:r>
      <w:r w:rsidR="00DD5FC7">
        <w:rPr>
          <w:sz w:val="22"/>
          <w:szCs w:val="22"/>
        </w:rPr>
        <w:t>second</w:t>
      </w:r>
      <w:r w:rsidRPr="00F36F29">
        <w:rPr>
          <w:sz w:val="22"/>
          <w:szCs w:val="22"/>
        </w:rPr>
        <w:t xml:space="preserve"> quarter of 202</w:t>
      </w:r>
      <w:r w:rsidR="00DD5FC7">
        <w:rPr>
          <w:sz w:val="22"/>
          <w:szCs w:val="22"/>
        </w:rPr>
        <w:t>1.</w:t>
      </w:r>
      <w:r w:rsidRPr="00F36F29">
        <w:rPr>
          <w:sz w:val="22"/>
          <w:szCs w:val="22"/>
        </w:rPr>
        <w:t xml:space="preserve"> </w:t>
      </w:r>
    </w:p>
    <w:p w14:paraId="1604865B" w14:textId="77777777" w:rsidR="00A92A4C" w:rsidRPr="00F36F29" w:rsidRDefault="00A92A4C" w:rsidP="008260A1">
      <w:pPr>
        <w:pStyle w:val="SingleTxt"/>
        <w:tabs>
          <w:tab w:val="left" w:pos="720"/>
        </w:tabs>
        <w:spacing w:after="0" w:line="240" w:lineRule="auto"/>
        <w:ind w:left="720" w:right="29"/>
        <w:rPr>
          <w:sz w:val="22"/>
          <w:szCs w:val="22"/>
        </w:rPr>
      </w:pPr>
    </w:p>
    <w:tbl>
      <w:tblPr>
        <w:tblW w:w="8003" w:type="dxa"/>
        <w:tblInd w:w="1188" w:type="dxa"/>
        <w:tblLook w:val="04A0" w:firstRow="1" w:lastRow="0" w:firstColumn="1" w:lastColumn="0" w:noHBand="0" w:noVBand="1"/>
      </w:tblPr>
      <w:tblGrid>
        <w:gridCol w:w="2970"/>
        <w:gridCol w:w="5033"/>
      </w:tblGrid>
      <w:tr w:rsidR="00F36F29" w:rsidRPr="00F36F29" w14:paraId="21ECE4D3" w14:textId="77777777" w:rsidTr="008260A1">
        <w:tc>
          <w:tcPr>
            <w:tcW w:w="2970" w:type="dxa"/>
            <w:hideMark/>
          </w:tcPr>
          <w:p w14:paraId="6652094A" w14:textId="77777777" w:rsidR="008260A1" w:rsidRPr="00F36F29" w:rsidRDefault="008260A1">
            <w:pPr>
              <w:pStyle w:val="SingleTxt"/>
              <w:tabs>
                <w:tab w:val="clear" w:pos="1267"/>
                <w:tab w:val="left" w:pos="209"/>
                <w:tab w:val="left" w:pos="836"/>
              </w:tabs>
              <w:spacing w:after="0" w:line="240" w:lineRule="auto"/>
              <w:ind w:left="0" w:right="29"/>
              <w:rPr>
                <w:i/>
                <w:sz w:val="22"/>
                <w:szCs w:val="22"/>
                <w:lang w:eastAsia="en-GB"/>
              </w:rPr>
            </w:pPr>
            <w:r w:rsidRPr="00F36F29">
              <w:rPr>
                <w:i/>
                <w:sz w:val="22"/>
                <w:szCs w:val="22"/>
                <w:lang w:eastAsia="en-GB"/>
              </w:rPr>
              <w:t>Departments responsible:</w:t>
            </w:r>
          </w:p>
        </w:tc>
        <w:tc>
          <w:tcPr>
            <w:tcW w:w="5033" w:type="dxa"/>
            <w:hideMark/>
          </w:tcPr>
          <w:p w14:paraId="743B4C59" w14:textId="77777777" w:rsidR="008260A1" w:rsidRPr="00F36F29" w:rsidRDefault="008260A1">
            <w:pPr>
              <w:pStyle w:val="SingleTxt"/>
              <w:tabs>
                <w:tab w:val="clear" w:pos="1267"/>
                <w:tab w:val="left" w:pos="209"/>
                <w:tab w:val="left" w:pos="836"/>
              </w:tabs>
              <w:spacing w:after="0" w:line="240" w:lineRule="auto"/>
              <w:ind w:left="0" w:right="27"/>
              <w:rPr>
                <w:sz w:val="22"/>
                <w:szCs w:val="22"/>
                <w:lang w:eastAsia="en-GB"/>
              </w:rPr>
            </w:pPr>
            <w:r w:rsidRPr="00F36F29">
              <w:rPr>
                <w:sz w:val="22"/>
                <w:szCs w:val="22"/>
                <w:lang w:eastAsia="en-GB"/>
              </w:rPr>
              <w:t>BMS/ Office of Human Resources, Central Bureaux and Regional Bureaux</w:t>
            </w:r>
          </w:p>
        </w:tc>
      </w:tr>
      <w:tr w:rsidR="00F36F29" w:rsidRPr="00F36F29" w14:paraId="14A6AB2C" w14:textId="77777777" w:rsidTr="008260A1">
        <w:tc>
          <w:tcPr>
            <w:tcW w:w="2970" w:type="dxa"/>
            <w:hideMark/>
          </w:tcPr>
          <w:p w14:paraId="18133B1C" w14:textId="77777777" w:rsidR="008260A1" w:rsidRPr="00F36F29" w:rsidRDefault="008260A1">
            <w:pPr>
              <w:pStyle w:val="SingleTxt"/>
              <w:tabs>
                <w:tab w:val="clear" w:pos="1267"/>
                <w:tab w:val="left" w:pos="209"/>
                <w:tab w:val="left" w:pos="836"/>
              </w:tabs>
              <w:spacing w:after="0" w:line="240" w:lineRule="auto"/>
              <w:ind w:left="0" w:right="27"/>
              <w:rPr>
                <w:i/>
                <w:sz w:val="22"/>
                <w:szCs w:val="22"/>
                <w:lang w:eastAsia="en-GB"/>
              </w:rPr>
            </w:pPr>
            <w:r w:rsidRPr="00F36F29">
              <w:rPr>
                <w:i/>
                <w:sz w:val="22"/>
                <w:szCs w:val="22"/>
                <w:lang w:eastAsia="en-GB"/>
              </w:rPr>
              <w:t>Status:</w:t>
            </w:r>
          </w:p>
        </w:tc>
        <w:tc>
          <w:tcPr>
            <w:tcW w:w="5033" w:type="dxa"/>
            <w:hideMark/>
          </w:tcPr>
          <w:p w14:paraId="34CF6D73" w14:textId="05BE6CC6" w:rsidR="008260A1" w:rsidRPr="00F36F29" w:rsidRDefault="008260A1">
            <w:pPr>
              <w:pStyle w:val="SingleTxt"/>
              <w:tabs>
                <w:tab w:val="clear" w:pos="1267"/>
                <w:tab w:val="left" w:pos="209"/>
                <w:tab w:val="left" w:pos="836"/>
              </w:tabs>
              <w:spacing w:after="0" w:line="240" w:lineRule="auto"/>
              <w:ind w:left="0" w:right="27"/>
              <w:rPr>
                <w:sz w:val="22"/>
                <w:szCs w:val="22"/>
                <w:lang w:eastAsia="en-GB"/>
              </w:rPr>
            </w:pPr>
            <w:r w:rsidRPr="00F36F29">
              <w:rPr>
                <w:sz w:val="22"/>
                <w:szCs w:val="22"/>
                <w:lang w:eastAsia="en-GB"/>
              </w:rPr>
              <w:t>In progress</w:t>
            </w:r>
          </w:p>
        </w:tc>
      </w:tr>
      <w:tr w:rsidR="008260A1" w:rsidRPr="00F36F29" w14:paraId="2055EE93" w14:textId="77777777" w:rsidTr="008260A1">
        <w:tc>
          <w:tcPr>
            <w:tcW w:w="2970" w:type="dxa"/>
            <w:hideMark/>
          </w:tcPr>
          <w:p w14:paraId="4E83BCB7" w14:textId="77777777" w:rsidR="008260A1" w:rsidRPr="00F36F29" w:rsidRDefault="008260A1">
            <w:pPr>
              <w:pStyle w:val="SingleTxt"/>
              <w:tabs>
                <w:tab w:val="clear" w:pos="1267"/>
                <w:tab w:val="left" w:pos="209"/>
                <w:tab w:val="left" w:pos="836"/>
              </w:tabs>
              <w:spacing w:after="0" w:line="240" w:lineRule="auto"/>
              <w:ind w:left="0" w:right="27"/>
              <w:rPr>
                <w:i/>
                <w:sz w:val="22"/>
                <w:szCs w:val="22"/>
                <w:lang w:eastAsia="en-GB"/>
              </w:rPr>
            </w:pPr>
            <w:r w:rsidRPr="00F36F29">
              <w:rPr>
                <w:i/>
                <w:sz w:val="22"/>
                <w:szCs w:val="22"/>
                <w:lang w:eastAsia="en-GB"/>
              </w:rPr>
              <w:t>Target date:</w:t>
            </w:r>
          </w:p>
        </w:tc>
        <w:tc>
          <w:tcPr>
            <w:tcW w:w="5033" w:type="dxa"/>
            <w:hideMark/>
          </w:tcPr>
          <w:p w14:paraId="2EEB9F95" w14:textId="0192160B" w:rsidR="008260A1" w:rsidRPr="00F36F29" w:rsidRDefault="00A222B7">
            <w:pPr>
              <w:pStyle w:val="SingleTxt"/>
              <w:tabs>
                <w:tab w:val="clear" w:pos="1267"/>
                <w:tab w:val="left" w:pos="209"/>
                <w:tab w:val="left" w:pos="836"/>
              </w:tabs>
              <w:spacing w:after="0" w:line="240" w:lineRule="auto"/>
              <w:ind w:left="0" w:right="27"/>
              <w:rPr>
                <w:sz w:val="22"/>
                <w:szCs w:val="22"/>
                <w:lang w:eastAsia="en-GB"/>
              </w:rPr>
            </w:pPr>
            <w:r w:rsidRPr="00F36F29">
              <w:rPr>
                <w:sz w:val="22"/>
                <w:szCs w:val="22"/>
                <w:lang w:eastAsia="en-GB"/>
              </w:rPr>
              <w:t>Q</w:t>
            </w:r>
            <w:r w:rsidR="00DD5FC7">
              <w:rPr>
                <w:sz w:val="22"/>
                <w:szCs w:val="22"/>
                <w:lang w:eastAsia="en-GB"/>
              </w:rPr>
              <w:t>2</w:t>
            </w:r>
            <w:r w:rsidRPr="00F36F29">
              <w:rPr>
                <w:sz w:val="22"/>
                <w:szCs w:val="22"/>
                <w:lang w:eastAsia="en-GB"/>
              </w:rPr>
              <w:t xml:space="preserve">, </w:t>
            </w:r>
            <w:r w:rsidR="00DD3C4B" w:rsidRPr="00F36F29">
              <w:rPr>
                <w:sz w:val="22"/>
                <w:szCs w:val="22"/>
                <w:lang w:eastAsia="en-GB"/>
              </w:rPr>
              <w:t>202</w:t>
            </w:r>
            <w:r w:rsidR="00DD5FC7">
              <w:rPr>
                <w:sz w:val="22"/>
                <w:szCs w:val="22"/>
                <w:lang w:eastAsia="en-GB"/>
              </w:rPr>
              <w:t>1</w:t>
            </w:r>
          </w:p>
        </w:tc>
      </w:tr>
    </w:tbl>
    <w:p w14:paraId="1BAE2FE8" w14:textId="77777777" w:rsidR="008260A1" w:rsidRPr="00F36F29" w:rsidRDefault="008260A1" w:rsidP="008260A1">
      <w:pPr>
        <w:pStyle w:val="SingleTxt"/>
        <w:tabs>
          <w:tab w:val="left" w:pos="720"/>
        </w:tabs>
        <w:spacing w:after="0" w:line="240" w:lineRule="auto"/>
        <w:ind w:left="0" w:right="29"/>
        <w:rPr>
          <w:sz w:val="22"/>
          <w:szCs w:val="22"/>
        </w:rPr>
      </w:pPr>
    </w:p>
    <w:p w14:paraId="45490D6C" w14:textId="77777777" w:rsidR="008260A1" w:rsidRPr="00F36F29" w:rsidRDefault="008260A1" w:rsidP="008260A1">
      <w:pPr>
        <w:pStyle w:val="SingleTxt"/>
        <w:tabs>
          <w:tab w:val="left" w:pos="720"/>
        </w:tabs>
        <w:spacing w:after="0" w:line="240" w:lineRule="auto"/>
        <w:ind w:left="0" w:right="29"/>
        <w:rPr>
          <w:sz w:val="22"/>
          <w:szCs w:val="22"/>
        </w:rPr>
      </w:pPr>
    </w:p>
    <w:p w14:paraId="2D09EBD0" w14:textId="77777777" w:rsidR="008260A1" w:rsidRPr="00F36F29" w:rsidRDefault="008260A1" w:rsidP="008260A1">
      <w:pPr>
        <w:pStyle w:val="SingleTxt"/>
        <w:tabs>
          <w:tab w:val="left" w:pos="720"/>
        </w:tabs>
        <w:spacing w:after="0" w:line="240" w:lineRule="auto"/>
        <w:ind w:left="0" w:right="29"/>
        <w:rPr>
          <w:sz w:val="22"/>
          <w:szCs w:val="22"/>
        </w:rPr>
      </w:pPr>
    </w:p>
    <w:p w14:paraId="15EE94D3" w14:textId="77777777" w:rsidR="00C51212" w:rsidRPr="00F36F29" w:rsidRDefault="00C51212" w:rsidP="00E05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pPr>
    </w:p>
    <w:sectPr w:rsidR="00C51212" w:rsidRPr="00F36F29" w:rsidSect="00012B31">
      <w:headerReference w:type="default" r:id="rId16"/>
      <w:footerReference w:type="first" r:id="rId17"/>
      <w:type w:val="continuous"/>
      <w:pgSz w:w="12240" w:h="15840" w:code="1"/>
      <w:pgMar w:top="1742" w:right="1195" w:bottom="1901" w:left="1170" w:header="576" w:footer="103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FF570" w14:textId="77777777" w:rsidR="004C625B" w:rsidRDefault="004C625B" w:rsidP="00E05E1C">
      <w:pPr>
        <w:spacing w:line="240" w:lineRule="auto"/>
      </w:pPr>
      <w:r>
        <w:separator/>
      </w:r>
    </w:p>
  </w:endnote>
  <w:endnote w:type="continuationSeparator" w:id="0">
    <w:p w14:paraId="37C3EFE0" w14:textId="77777777" w:rsidR="004C625B" w:rsidRDefault="004C625B" w:rsidP="00E05E1C">
      <w:pPr>
        <w:spacing w:line="240" w:lineRule="auto"/>
      </w:pPr>
      <w:r>
        <w:continuationSeparator/>
      </w:r>
    </w:p>
  </w:endnote>
  <w:endnote w:type="continuationNotice" w:id="1">
    <w:p w14:paraId="1DF88E5B" w14:textId="77777777" w:rsidR="004C625B" w:rsidRDefault="004C62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33"/>
      <w:gridCol w:w="5033"/>
    </w:tblGrid>
    <w:tr w:rsidR="00201D36" w14:paraId="7FFB1892" w14:textId="77777777">
      <w:tc>
        <w:tcPr>
          <w:tcW w:w="5033" w:type="dxa"/>
          <w:shd w:val="clear" w:color="auto" w:fill="auto"/>
        </w:tcPr>
        <w:p w14:paraId="0CCBA735" w14:textId="77777777" w:rsidR="00201D36" w:rsidRPr="00D53306" w:rsidRDefault="00201D36" w:rsidP="00012B31">
          <w:pPr>
            <w:pStyle w:val="Footer"/>
            <w:jc w:val="right"/>
            <w:rPr>
              <w:b w:val="0"/>
              <w:w w:val="103"/>
              <w:sz w:val="14"/>
            </w:rPr>
          </w:pPr>
        </w:p>
      </w:tc>
      <w:tc>
        <w:tcPr>
          <w:tcW w:w="5033" w:type="dxa"/>
          <w:shd w:val="clear" w:color="auto" w:fill="auto"/>
        </w:tcPr>
        <w:p w14:paraId="7BDA47A2" w14:textId="77777777" w:rsidR="00201D36" w:rsidRPr="00D53306" w:rsidRDefault="00201D36" w:rsidP="00012B31">
          <w:pPr>
            <w:pStyle w:val="Footer"/>
            <w:rPr>
              <w:w w:val="103"/>
            </w:rPr>
          </w:pPr>
          <w:r>
            <w:rPr>
              <w:w w:val="103"/>
            </w:rPr>
            <w:fldChar w:fldCharType="begin"/>
          </w:r>
          <w:r>
            <w:rPr>
              <w:w w:val="103"/>
            </w:rPr>
            <w:instrText xml:space="preserve"> PAGE  \* MERGEFORMAT </w:instrText>
          </w:r>
          <w:r>
            <w:rPr>
              <w:w w:val="103"/>
            </w:rPr>
            <w:fldChar w:fldCharType="separate"/>
          </w:r>
          <w:r>
            <w:rPr>
              <w:w w:val="103"/>
            </w:rPr>
            <w:t>4</w:t>
          </w:r>
          <w:r>
            <w:rPr>
              <w:w w:val="103"/>
            </w:rPr>
            <w:fldChar w:fldCharType="end"/>
          </w:r>
        </w:p>
      </w:tc>
    </w:tr>
  </w:tbl>
  <w:p w14:paraId="5EEA89A8" w14:textId="77777777" w:rsidR="00201D36" w:rsidRPr="00D53306" w:rsidRDefault="00201D36" w:rsidP="00012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33"/>
      <w:gridCol w:w="5033"/>
    </w:tblGrid>
    <w:tr w:rsidR="00201D36" w:rsidRPr="005644F1" w14:paraId="38E0AFC5" w14:textId="77777777">
      <w:tc>
        <w:tcPr>
          <w:tcW w:w="5033" w:type="dxa"/>
          <w:shd w:val="clear" w:color="auto" w:fill="auto"/>
        </w:tcPr>
        <w:p w14:paraId="01387B2C" w14:textId="3C13D018" w:rsidR="00201D36" w:rsidRPr="005644F1" w:rsidRDefault="00201D36" w:rsidP="00012B31">
          <w:pPr>
            <w:pStyle w:val="Footer"/>
            <w:jc w:val="right"/>
            <w:rPr>
              <w:noProof w:val="0"/>
              <w:w w:val="103"/>
              <w:lang w:val="en-GB"/>
            </w:rPr>
          </w:pPr>
          <w:r w:rsidRPr="005644F1">
            <w:rPr>
              <w:noProof w:val="0"/>
              <w:w w:val="103"/>
              <w:lang w:val="en-GB"/>
            </w:rPr>
            <w:fldChar w:fldCharType="begin"/>
          </w:r>
          <w:r w:rsidRPr="005644F1">
            <w:rPr>
              <w:noProof w:val="0"/>
              <w:w w:val="103"/>
              <w:lang w:val="en-GB"/>
            </w:rPr>
            <w:instrText xml:space="preserve"> PAGE  \* MERGEFORMAT </w:instrText>
          </w:r>
          <w:r w:rsidRPr="005644F1">
            <w:rPr>
              <w:noProof w:val="0"/>
              <w:w w:val="103"/>
              <w:lang w:val="en-GB"/>
            </w:rPr>
            <w:fldChar w:fldCharType="separate"/>
          </w:r>
          <w:r>
            <w:rPr>
              <w:w w:val="103"/>
              <w:lang w:val="en-GB"/>
            </w:rPr>
            <w:t>6</w:t>
          </w:r>
          <w:r w:rsidRPr="005644F1">
            <w:rPr>
              <w:noProof w:val="0"/>
              <w:w w:val="103"/>
              <w:lang w:val="en-GB"/>
            </w:rPr>
            <w:fldChar w:fldCharType="end"/>
          </w:r>
        </w:p>
      </w:tc>
      <w:tc>
        <w:tcPr>
          <w:tcW w:w="5033" w:type="dxa"/>
          <w:shd w:val="clear" w:color="auto" w:fill="auto"/>
        </w:tcPr>
        <w:p w14:paraId="6ED9E986" w14:textId="77777777" w:rsidR="00201D36" w:rsidRPr="005644F1" w:rsidRDefault="00201D36" w:rsidP="00012B31">
          <w:pPr>
            <w:pStyle w:val="Footer"/>
            <w:rPr>
              <w:b w:val="0"/>
              <w:noProof w:val="0"/>
              <w:w w:val="103"/>
              <w:sz w:val="14"/>
              <w:lang w:val="en-GB"/>
            </w:rPr>
          </w:pPr>
        </w:p>
      </w:tc>
    </w:tr>
  </w:tbl>
  <w:p w14:paraId="1EC3E1C6" w14:textId="77777777" w:rsidR="00201D36" w:rsidRPr="005644F1" w:rsidRDefault="00201D36" w:rsidP="00012B31">
    <w:pPr>
      <w:pStyle w:val="Footer"/>
      <w:rPr>
        <w:noProof w:val="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3"/>
      <w:gridCol w:w="3283"/>
      <w:gridCol w:w="3283"/>
    </w:tblGrid>
    <w:tr w:rsidR="00201D36" w14:paraId="26620777" w14:textId="77777777" w:rsidTr="0FCCDF91">
      <w:tc>
        <w:tcPr>
          <w:tcW w:w="3283" w:type="dxa"/>
        </w:tcPr>
        <w:p w14:paraId="78776621" w14:textId="47CD8A89" w:rsidR="00201D36" w:rsidRDefault="00201D36" w:rsidP="0FCCDF91">
          <w:pPr>
            <w:pStyle w:val="Header"/>
            <w:ind w:left="-115"/>
          </w:pPr>
        </w:p>
      </w:tc>
      <w:tc>
        <w:tcPr>
          <w:tcW w:w="3283" w:type="dxa"/>
        </w:tcPr>
        <w:p w14:paraId="33162AE0" w14:textId="511657C2" w:rsidR="00201D36" w:rsidRDefault="00201D36" w:rsidP="0FCCDF91">
          <w:pPr>
            <w:pStyle w:val="Header"/>
            <w:jc w:val="center"/>
          </w:pPr>
        </w:p>
      </w:tc>
      <w:tc>
        <w:tcPr>
          <w:tcW w:w="3283" w:type="dxa"/>
        </w:tcPr>
        <w:p w14:paraId="1DC73E8F" w14:textId="7F4A311A" w:rsidR="00201D36" w:rsidRDefault="00201D36" w:rsidP="0FCCDF91">
          <w:pPr>
            <w:pStyle w:val="Header"/>
            <w:ind w:right="-115"/>
            <w:jc w:val="right"/>
          </w:pPr>
        </w:p>
      </w:tc>
    </w:tr>
  </w:tbl>
  <w:p w14:paraId="25212C94" w14:textId="453F9987" w:rsidR="00201D36" w:rsidRDefault="00201D36" w:rsidP="0FCCDF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92"/>
      <w:gridCol w:w="3292"/>
      <w:gridCol w:w="3292"/>
    </w:tblGrid>
    <w:tr w:rsidR="00201D36" w14:paraId="617B2ADF" w14:textId="77777777" w:rsidTr="0FCCDF91">
      <w:tc>
        <w:tcPr>
          <w:tcW w:w="3292" w:type="dxa"/>
        </w:tcPr>
        <w:p w14:paraId="0AEF3561" w14:textId="1A6F60AA" w:rsidR="00201D36" w:rsidRDefault="00201D36" w:rsidP="0FCCDF91">
          <w:pPr>
            <w:pStyle w:val="Header"/>
            <w:ind w:left="-115"/>
          </w:pPr>
        </w:p>
      </w:tc>
      <w:tc>
        <w:tcPr>
          <w:tcW w:w="3292" w:type="dxa"/>
        </w:tcPr>
        <w:p w14:paraId="2E0619F2" w14:textId="685D7460" w:rsidR="00201D36" w:rsidRDefault="00201D36" w:rsidP="0FCCDF91">
          <w:pPr>
            <w:pStyle w:val="Header"/>
            <w:jc w:val="center"/>
          </w:pPr>
        </w:p>
      </w:tc>
      <w:tc>
        <w:tcPr>
          <w:tcW w:w="3292" w:type="dxa"/>
        </w:tcPr>
        <w:p w14:paraId="263A85BE" w14:textId="26EC3336" w:rsidR="00201D36" w:rsidRDefault="00201D36" w:rsidP="0FCCDF91">
          <w:pPr>
            <w:pStyle w:val="Header"/>
            <w:ind w:right="-115"/>
            <w:jc w:val="right"/>
          </w:pPr>
        </w:p>
      </w:tc>
    </w:tr>
  </w:tbl>
  <w:p w14:paraId="5DD61B60" w14:textId="248EFA90" w:rsidR="00201D36" w:rsidRDefault="00201D36" w:rsidP="0FCCD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FCF1A" w14:textId="77777777" w:rsidR="004C625B" w:rsidRDefault="004C625B" w:rsidP="00E05E1C">
      <w:pPr>
        <w:spacing w:line="240" w:lineRule="auto"/>
      </w:pPr>
      <w:r>
        <w:separator/>
      </w:r>
    </w:p>
  </w:footnote>
  <w:footnote w:type="continuationSeparator" w:id="0">
    <w:p w14:paraId="0085277C" w14:textId="77777777" w:rsidR="004C625B" w:rsidRDefault="004C625B" w:rsidP="00E05E1C">
      <w:pPr>
        <w:spacing w:line="240" w:lineRule="auto"/>
      </w:pPr>
      <w:r>
        <w:continuationSeparator/>
      </w:r>
    </w:p>
  </w:footnote>
  <w:footnote w:type="continuationNotice" w:id="1">
    <w:p w14:paraId="6787E43E" w14:textId="77777777" w:rsidR="004C625B" w:rsidRDefault="004C62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01D36" w14:paraId="224F7762" w14:textId="77777777">
      <w:trPr>
        <w:trHeight w:hRule="exact" w:val="864"/>
      </w:trPr>
      <w:tc>
        <w:tcPr>
          <w:tcW w:w="4838" w:type="dxa"/>
          <w:shd w:val="clear" w:color="auto" w:fill="auto"/>
          <w:vAlign w:val="bottom"/>
        </w:tcPr>
        <w:p w14:paraId="103668AA" w14:textId="77777777" w:rsidR="00201D36" w:rsidRPr="00D53306" w:rsidRDefault="00201D36" w:rsidP="00012B31">
          <w:pPr>
            <w:pStyle w:val="Header"/>
            <w:spacing w:after="80"/>
            <w:rPr>
              <w:b/>
            </w:rPr>
          </w:pPr>
          <w:r>
            <w:rPr>
              <w:b/>
            </w:rPr>
            <w:t>A/71/XXX</w:t>
          </w:r>
        </w:p>
      </w:tc>
      <w:tc>
        <w:tcPr>
          <w:tcW w:w="5033" w:type="dxa"/>
          <w:shd w:val="clear" w:color="auto" w:fill="auto"/>
          <w:vAlign w:val="bottom"/>
        </w:tcPr>
        <w:p w14:paraId="125A03C6" w14:textId="77777777" w:rsidR="00201D36" w:rsidRDefault="00201D36" w:rsidP="00012B31">
          <w:pPr>
            <w:pStyle w:val="Header"/>
          </w:pPr>
        </w:p>
      </w:tc>
    </w:tr>
  </w:tbl>
  <w:p w14:paraId="5DA3A3C5" w14:textId="77777777" w:rsidR="00201D36" w:rsidRPr="00D53306" w:rsidRDefault="00201D36" w:rsidP="00012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01D36" w14:paraId="0BC25913" w14:textId="77777777">
      <w:trPr>
        <w:trHeight w:hRule="exact" w:val="864"/>
      </w:trPr>
      <w:tc>
        <w:tcPr>
          <w:tcW w:w="4838" w:type="dxa"/>
          <w:shd w:val="clear" w:color="auto" w:fill="auto"/>
          <w:vAlign w:val="bottom"/>
        </w:tcPr>
        <w:p w14:paraId="38D3DE45" w14:textId="77777777" w:rsidR="00201D36" w:rsidRDefault="00201D36" w:rsidP="00012B31">
          <w:pPr>
            <w:pStyle w:val="Header"/>
            <w:jc w:val="right"/>
          </w:pPr>
        </w:p>
      </w:tc>
      <w:tc>
        <w:tcPr>
          <w:tcW w:w="5033" w:type="dxa"/>
          <w:shd w:val="clear" w:color="auto" w:fill="auto"/>
          <w:vAlign w:val="bottom"/>
        </w:tcPr>
        <w:p w14:paraId="3302C167" w14:textId="21A0937C" w:rsidR="00201D36" w:rsidRPr="00D53306" w:rsidRDefault="00201D36" w:rsidP="00012B31">
          <w:pPr>
            <w:pStyle w:val="Header"/>
            <w:spacing w:after="80"/>
            <w:jc w:val="right"/>
            <w:rPr>
              <w:b/>
            </w:rPr>
          </w:pPr>
          <w:r>
            <w:rPr>
              <w:b/>
            </w:rPr>
            <w:t>A/72/XXX/</w:t>
          </w:r>
        </w:p>
      </w:tc>
    </w:tr>
  </w:tbl>
  <w:p w14:paraId="39DFDA69" w14:textId="77777777" w:rsidR="00201D36" w:rsidRPr="00D53306" w:rsidRDefault="00201D36" w:rsidP="00012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58B1" w14:textId="77777777" w:rsidR="00201D36" w:rsidRPr="00D53306" w:rsidRDefault="00201D36" w:rsidP="00012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6CE5"/>
    <w:multiLevelType w:val="hybridMultilevel"/>
    <w:tmpl w:val="C9E04016"/>
    <w:name w:val="TOC42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 w15:restartNumberingAfterBreak="0">
    <w:nsid w:val="286021CD"/>
    <w:multiLevelType w:val="multilevel"/>
    <w:tmpl w:val="C4C8C5D0"/>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702"/>
        </w:tabs>
        <w:ind w:left="702"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8140F77"/>
    <w:multiLevelType w:val="hybridMultilevel"/>
    <w:tmpl w:val="14149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BD2E27"/>
    <w:multiLevelType w:val="hybridMultilevel"/>
    <w:tmpl w:val="4AB8DAE4"/>
    <w:name w:val="TOC4"/>
    <w:lvl w:ilvl="0" w:tplc="D8D85A34">
      <w:start w:val="1"/>
      <w:numFmt w:val="upperRoman"/>
      <w:lvlText w:val="%1."/>
      <w:lvlJc w:val="right"/>
      <w:pPr>
        <w:tabs>
          <w:tab w:val="num" w:pos="1440"/>
        </w:tabs>
        <w:ind w:left="1440" w:hanging="360"/>
      </w:pPr>
      <w:rPr>
        <w:rFonts w:hint="default"/>
      </w:rPr>
    </w:lvl>
    <w:lvl w:ilvl="1" w:tplc="0809000F">
      <w:start w:val="1"/>
      <w:numFmt w:val="decimal"/>
      <w:lvlText w:val="%2."/>
      <w:lvlJc w:val="left"/>
      <w:pPr>
        <w:tabs>
          <w:tab w:val="num" w:pos="720"/>
        </w:tabs>
        <w:ind w:left="0" w:firstLine="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4C02E98"/>
    <w:multiLevelType w:val="hybridMultilevel"/>
    <w:tmpl w:val="9488B154"/>
    <w:lvl w:ilvl="0" w:tplc="513CD4EA">
      <w:start w:val="1"/>
      <w:numFmt w:val="upperLetter"/>
      <w:lvlText w:val="%1."/>
      <w:lvlJc w:val="left"/>
      <w:pPr>
        <w:tabs>
          <w:tab w:val="num" w:pos="720"/>
        </w:tabs>
        <w:ind w:left="0" w:firstLine="0"/>
      </w:pPr>
      <w:rPr>
        <w:rFonts w:hint="default"/>
        <w:b/>
      </w:rPr>
    </w:lvl>
    <w:lvl w:ilvl="1" w:tplc="C026280A">
      <w:start w:val="1"/>
      <w:numFmt w:val="lowerLetter"/>
      <w:lvlText w:val="%2."/>
      <w:lvlJc w:val="left"/>
      <w:pPr>
        <w:tabs>
          <w:tab w:val="num" w:pos="1440"/>
        </w:tabs>
        <w:ind w:left="1440" w:hanging="360"/>
      </w:pPr>
      <w:rPr>
        <w:caps/>
      </w:rPr>
    </w:lvl>
    <w:lvl w:ilvl="2" w:tplc="E23E1948">
      <w:start w:val="58"/>
      <w:numFmt w:val="decimal"/>
      <w:lvlText w:val="%3."/>
      <w:lvlJc w:val="left"/>
      <w:pPr>
        <w:ind w:left="2340" w:hanging="360"/>
      </w:pPr>
      <w:rPr>
        <w:rFonts w:hint="default"/>
        <w:b w:val="0"/>
        <w:sz w:val="22"/>
        <w:szCs w:val="22"/>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D6C6301"/>
    <w:multiLevelType w:val="hybridMultilevel"/>
    <w:tmpl w:val="B70845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5B3B74"/>
    <w:multiLevelType w:val="hybridMultilevel"/>
    <w:tmpl w:val="0E5058B6"/>
    <w:name w:val="TOC3"/>
    <w:lvl w:ilvl="0" w:tplc="80E2CC78">
      <w:start w:val="1"/>
      <w:numFmt w:val="upperRoman"/>
      <w:lvlText w:val="%1."/>
      <w:lvlJc w:val="right"/>
      <w:pPr>
        <w:tabs>
          <w:tab w:val="num" w:pos="1440"/>
        </w:tabs>
        <w:ind w:left="1440" w:hanging="64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E6F5B"/>
    <w:multiLevelType w:val="hybridMultilevel"/>
    <w:tmpl w:val="34982146"/>
    <w:lvl w:ilvl="0" w:tplc="8BA26528">
      <w:start w:val="1"/>
      <w:numFmt w:val="decimal"/>
      <w:lvlText w:val="%1."/>
      <w:lvlJc w:val="left"/>
      <w:pPr>
        <w:ind w:left="502" w:hanging="360"/>
      </w:pPr>
      <w:rPr>
        <w:rFonts w:hint="default"/>
        <w:b w:val="0"/>
        <w:bCs w:val="0"/>
        <w:color w:val="auto"/>
        <w:sz w:val="22"/>
        <w:szCs w:val="22"/>
      </w:rPr>
    </w:lvl>
    <w:lvl w:ilvl="1" w:tplc="08090019">
      <w:start w:val="1"/>
      <w:numFmt w:val="lowerLetter"/>
      <w:lvlText w:val="%2."/>
      <w:lvlJc w:val="left"/>
      <w:pPr>
        <w:ind w:left="810" w:hanging="360"/>
      </w:pPr>
    </w:lvl>
    <w:lvl w:ilvl="2" w:tplc="50E03810">
      <w:numFmt w:val="bullet"/>
      <w:lvlText w:val="•"/>
      <w:lvlJc w:val="left"/>
      <w:pPr>
        <w:ind w:left="1842" w:hanging="492"/>
      </w:pPr>
      <w:rPr>
        <w:rFonts w:ascii="Times New Roman" w:eastAsia="Times New Roman" w:hAnsi="Times New Roman" w:cs="Times New Roman" w:hint="default"/>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8" w15:restartNumberingAfterBreak="0">
    <w:nsid w:val="6A96515D"/>
    <w:multiLevelType w:val="hybridMultilevel"/>
    <w:tmpl w:val="691CB36C"/>
    <w:lvl w:ilvl="0" w:tplc="32100F5C">
      <w:start w:val="1"/>
      <w:numFmt w:val="decimal"/>
      <w:lvlText w:val="%1."/>
      <w:lvlJc w:val="left"/>
      <w:pPr>
        <w:ind w:left="360" w:hanging="360"/>
      </w:pPr>
      <w:rPr>
        <w:rFonts w:ascii="Times New Roman" w:hAnsi="Times New Roman" w:cs="Times New Roman" w:hint="default"/>
        <w:b w:val="0"/>
        <w:i w:val="0"/>
        <w:color w:val="auto"/>
      </w:rPr>
    </w:lvl>
    <w:lvl w:ilvl="1" w:tplc="41F0EB98">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F2368C0"/>
    <w:multiLevelType w:val="multilevel"/>
    <w:tmpl w:val="FFF6355A"/>
    <w:lvl w:ilvl="0">
      <w:start w:val="1"/>
      <w:numFmt w:val="upperRoman"/>
      <w:lvlText w:val="%1."/>
      <w:lvlJc w:val="right"/>
      <w:pPr>
        <w:tabs>
          <w:tab w:val="num" w:pos="1296"/>
        </w:tabs>
        <w:ind w:left="1296" w:hanging="216"/>
      </w:pPr>
      <w:rPr>
        <w:b w:val="0"/>
        <w:bCs/>
        <w:i w:val="0"/>
        <w:iCs/>
      </w:rPr>
    </w:lvl>
    <w:lvl w:ilvl="1">
      <w:start w:val="1"/>
      <w:numFmt w:val="upperLetter"/>
      <w:lvlText w:val="%2."/>
      <w:lvlJc w:val="left"/>
      <w:pPr>
        <w:tabs>
          <w:tab w:val="num" w:pos="1782"/>
        </w:tabs>
        <w:ind w:left="1782" w:hanging="432"/>
      </w:pPr>
    </w:lvl>
    <w:lvl w:ilvl="2">
      <w:start w:val="1"/>
      <w:numFmt w:val="decimal"/>
      <w:lvlText w:val="%3."/>
      <w:lvlJc w:val="left"/>
      <w:pPr>
        <w:tabs>
          <w:tab w:val="num" w:pos="2160"/>
        </w:tabs>
        <w:ind w:left="2160" w:hanging="432"/>
      </w:pPr>
      <w:rPr>
        <w:rFonts w:ascii="Times New Roman" w:eastAsiaTheme="minorHAnsi" w:hAnsi="Times New Roman" w:cs="Times New Roman"/>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7D4639F1"/>
    <w:multiLevelType w:val="hybridMultilevel"/>
    <w:tmpl w:val="70FAAF98"/>
    <w:name w:val="TOC2"/>
    <w:lvl w:ilvl="0" w:tplc="DF7AF25C">
      <w:start w:val="1"/>
      <w:numFmt w:val="upperRoman"/>
      <w:lvlText w:val="%1."/>
      <w:lvlJc w:val="righ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7"/>
  </w:num>
  <w:num w:numId="5">
    <w:abstractNumId w:val="5"/>
  </w:num>
  <w:num w:numId="6">
    <w:abstractNumId w:val="9"/>
  </w:num>
  <w:num w:numId="7">
    <w:abstractNumId w:val="4"/>
    <w:lvlOverride w:ilvl="0">
      <w:startOverride w:val="1"/>
    </w:lvlOverride>
    <w:lvlOverride w:ilvl="1">
      <w:startOverride w:val="1"/>
    </w:lvlOverride>
    <w:lvlOverride w:ilvl="2">
      <w:startOverride w:val="5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MDM3M7E0NjA3MjNT0lEKTi0uzszPAymwqAUAmQ7zWCwAAAA="/>
  </w:docVars>
  <w:rsids>
    <w:rsidRoot w:val="00E05E1C"/>
    <w:rsid w:val="00000182"/>
    <w:rsid w:val="000009EA"/>
    <w:rsid w:val="00004D4E"/>
    <w:rsid w:val="00010EFA"/>
    <w:rsid w:val="00012B31"/>
    <w:rsid w:val="0001335B"/>
    <w:rsid w:val="000146A2"/>
    <w:rsid w:val="00014D39"/>
    <w:rsid w:val="000159E8"/>
    <w:rsid w:val="00022605"/>
    <w:rsid w:val="00022C7F"/>
    <w:rsid w:val="00024BB1"/>
    <w:rsid w:val="00026BD8"/>
    <w:rsid w:val="00026E6D"/>
    <w:rsid w:val="000278F5"/>
    <w:rsid w:val="00032A46"/>
    <w:rsid w:val="00034BB9"/>
    <w:rsid w:val="00036A13"/>
    <w:rsid w:val="0004029D"/>
    <w:rsid w:val="000428E9"/>
    <w:rsid w:val="0004303B"/>
    <w:rsid w:val="000432F0"/>
    <w:rsid w:val="000448B5"/>
    <w:rsid w:val="00046FA6"/>
    <w:rsid w:val="000476BE"/>
    <w:rsid w:val="00051686"/>
    <w:rsid w:val="00052868"/>
    <w:rsid w:val="000532FE"/>
    <w:rsid w:val="00066E91"/>
    <w:rsid w:val="00067AE7"/>
    <w:rsid w:val="00070D6B"/>
    <w:rsid w:val="00071D20"/>
    <w:rsid w:val="00073A24"/>
    <w:rsid w:val="000859B3"/>
    <w:rsid w:val="0008787A"/>
    <w:rsid w:val="000915D6"/>
    <w:rsid w:val="000943D7"/>
    <w:rsid w:val="00095A5E"/>
    <w:rsid w:val="00097432"/>
    <w:rsid w:val="000A20F9"/>
    <w:rsid w:val="000A3E8A"/>
    <w:rsid w:val="000A41EB"/>
    <w:rsid w:val="000A4B2B"/>
    <w:rsid w:val="000A65D1"/>
    <w:rsid w:val="000B3518"/>
    <w:rsid w:val="000B6806"/>
    <w:rsid w:val="000B7F0F"/>
    <w:rsid w:val="000C0D47"/>
    <w:rsid w:val="000C400B"/>
    <w:rsid w:val="000C5997"/>
    <w:rsid w:val="000C5D80"/>
    <w:rsid w:val="000D0D76"/>
    <w:rsid w:val="000D113C"/>
    <w:rsid w:val="000D13E6"/>
    <w:rsid w:val="000D184F"/>
    <w:rsid w:val="000D4731"/>
    <w:rsid w:val="000E0B19"/>
    <w:rsid w:val="000E2DA3"/>
    <w:rsid w:val="000E4290"/>
    <w:rsid w:val="000E5424"/>
    <w:rsid w:val="000F1811"/>
    <w:rsid w:val="000F6469"/>
    <w:rsid w:val="00103F73"/>
    <w:rsid w:val="00105B44"/>
    <w:rsid w:val="00106B44"/>
    <w:rsid w:val="0011031B"/>
    <w:rsid w:val="001124F5"/>
    <w:rsid w:val="00114110"/>
    <w:rsid w:val="00116A40"/>
    <w:rsid w:val="00121755"/>
    <w:rsid w:val="00122B18"/>
    <w:rsid w:val="00123256"/>
    <w:rsid w:val="001236F4"/>
    <w:rsid w:val="00123BD5"/>
    <w:rsid w:val="00125D57"/>
    <w:rsid w:val="001274DB"/>
    <w:rsid w:val="0013160F"/>
    <w:rsid w:val="00133974"/>
    <w:rsid w:val="001343DA"/>
    <w:rsid w:val="00137475"/>
    <w:rsid w:val="00140741"/>
    <w:rsid w:val="00142ACB"/>
    <w:rsid w:val="001441F4"/>
    <w:rsid w:val="001449D2"/>
    <w:rsid w:val="00150EF7"/>
    <w:rsid w:val="0015379E"/>
    <w:rsid w:val="00156810"/>
    <w:rsid w:val="00160588"/>
    <w:rsid w:val="00160D02"/>
    <w:rsid w:val="0016196C"/>
    <w:rsid w:val="001642E1"/>
    <w:rsid w:val="00164EA1"/>
    <w:rsid w:val="00165D54"/>
    <w:rsid w:val="00170D60"/>
    <w:rsid w:val="00173F11"/>
    <w:rsid w:val="001750F8"/>
    <w:rsid w:val="001752C6"/>
    <w:rsid w:val="0017644D"/>
    <w:rsid w:val="001775E3"/>
    <w:rsid w:val="001775FC"/>
    <w:rsid w:val="00181181"/>
    <w:rsid w:val="0018394A"/>
    <w:rsid w:val="00184435"/>
    <w:rsid w:val="001868AB"/>
    <w:rsid w:val="001876FF"/>
    <w:rsid w:val="001952E6"/>
    <w:rsid w:val="00196C9A"/>
    <w:rsid w:val="0019789E"/>
    <w:rsid w:val="001A0186"/>
    <w:rsid w:val="001A1EBE"/>
    <w:rsid w:val="001A49AE"/>
    <w:rsid w:val="001A4FFF"/>
    <w:rsid w:val="001B3B50"/>
    <w:rsid w:val="001B6F87"/>
    <w:rsid w:val="001B7B1F"/>
    <w:rsid w:val="001B7DB4"/>
    <w:rsid w:val="001C3BD3"/>
    <w:rsid w:val="001C5E9B"/>
    <w:rsid w:val="001D1528"/>
    <w:rsid w:val="001D25FB"/>
    <w:rsid w:val="001D498B"/>
    <w:rsid w:val="001D57A6"/>
    <w:rsid w:val="001D69D6"/>
    <w:rsid w:val="001D7F59"/>
    <w:rsid w:val="001E2F79"/>
    <w:rsid w:val="001E2FAF"/>
    <w:rsid w:val="001E4AEA"/>
    <w:rsid w:val="001E5866"/>
    <w:rsid w:val="001F3C69"/>
    <w:rsid w:val="001F7E5B"/>
    <w:rsid w:val="002019C2"/>
    <w:rsid w:val="00201D36"/>
    <w:rsid w:val="00203387"/>
    <w:rsid w:val="00206E35"/>
    <w:rsid w:val="00211134"/>
    <w:rsid w:val="00211296"/>
    <w:rsid w:val="0021154F"/>
    <w:rsid w:val="00211ECA"/>
    <w:rsid w:val="00212B2D"/>
    <w:rsid w:val="0021475A"/>
    <w:rsid w:val="00217190"/>
    <w:rsid w:val="00222AE8"/>
    <w:rsid w:val="002313D9"/>
    <w:rsid w:val="002350FF"/>
    <w:rsid w:val="0023621F"/>
    <w:rsid w:val="00237580"/>
    <w:rsid w:val="00241097"/>
    <w:rsid w:val="00241E08"/>
    <w:rsid w:val="002425CF"/>
    <w:rsid w:val="00242B8A"/>
    <w:rsid w:val="0024477E"/>
    <w:rsid w:val="00253476"/>
    <w:rsid w:val="00254597"/>
    <w:rsid w:val="00254737"/>
    <w:rsid w:val="00254DE5"/>
    <w:rsid w:val="002603D1"/>
    <w:rsid w:val="00267810"/>
    <w:rsid w:val="0027453B"/>
    <w:rsid w:val="00274C4C"/>
    <w:rsid w:val="0027608B"/>
    <w:rsid w:val="00276B64"/>
    <w:rsid w:val="002874A6"/>
    <w:rsid w:val="00291692"/>
    <w:rsid w:val="00292EEE"/>
    <w:rsid w:val="00293942"/>
    <w:rsid w:val="00295C01"/>
    <w:rsid w:val="002A77D9"/>
    <w:rsid w:val="002B1B0A"/>
    <w:rsid w:val="002B73DA"/>
    <w:rsid w:val="002C009E"/>
    <w:rsid w:val="002C19EB"/>
    <w:rsid w:val="002C2714"/>
    <w:rsid w:val="002C2E20"/>
    <w:rsid w:val="002C4FFA"/>
    <w:rsid w:val="002C550C"/>
    <w:rsid w:val="002C5EF7"/>
    <w:rsid w:val="002D1A50"/>
    <w:rsid w:val="002D1AB9"/>
    <w:rsid w:val="002D72CD"/>
    <w:rsid w:val="002E332C"/>
    <w:rsid w:val="002E3573"/>
    <w:rsid w:val="002E3DCD"/>
    <w:rsid w:val="002F012A"/>
    <w:rsid w:val="002F1C11"/>
    <w:rsid w:val="002F5673"/>
    <w:rsid w:val="002F5784"/>
    <w:rsid w:val="0030390B"/>
    <w:rsid w:val="003054C1"/>
    <w:rsid w:val="003057F1"/>
    <w:rsid w:val="00310697"/>
    <w:rsid w:val="0031705E"/>
    <w:rsid w:val="00320F99"/>
    <w:rsid w:val="003239E7"/>
    <w:rsid w:val="00323AAC"/>
    <w:rsid w:val="0032453A"/>
    <w:rsid w:val="00326E2B"/>
    <w:rsid w:val="00330A3C"/>
    <w:rsid w:val="003313F2"/>
    <w:rsid w:val="003336EB"/>
    <w:rsid w:val="0033563D"/>
    <w:rsid w:val="0033699B"/>
    <w:rsid w:val="00340133"/>
    <w:rsid w:val="00340ED6"/>
    <w:rsid w:val="00341C3A"/>
    <w:rsid w:val="003474DE"/>
    <w:rsid w:val="0035178D"/>
    <w:rsid w:val="003528E9"/>
    <w:rsid w:val="00360F4F"/>
    <w:rsid w:val="00361192"/>
    <w:rsid w:val="003612BB"/>
    <w:rsid w:val="003738A3"/>
    <w:rsid w:val="003738B2"/>
    <w:rsid w:val="00374065"/>
    <w:rsid w:val="003761E1"/>
    <w:rsid w:val="00384B83"/>
    <w:rsid w:val="0038721E"/>
    <w:rsid w:val="00391BA6"/>
    <w:rsid w:val="0039299B"/>
    <w:rsid w:val="003A18F3"/>
    <w:rsid w:val="003A63E8"/>
    <w:rsid w:val="003B1AD2"/>
    <w:rsid w:val="003B6194"/>
    <w:rsid w:val="003C11B7"/>
    <w:rsid w:val="003C1AFA"/>
    <w:rsid w:val="003C26C1"/>
    <w:rsid w:val="003C50FA"/>
    <w:rsid w:val="003C6497"/>
    <w:rsid w:val="003D04AF"/>
    <w:rsid w:val="003D1C56"/>
    <w:rsid w:val="003D384C"/>
    <w:rsid w:val="003D44F3"/>
    <w:rsid w:val="003D5296"/>
    <w:rsid w:val="003E20EC"/>
    <w:rsid w:val="003E60CC"/>
    <w:rsid w:val="003F509C"/>
    <w:rsid w:val="003F5327"/>
    <w:rsid w:val="003F6167"/>
    <w:rsid w:val="003F6424"/>
    <w:rsid w:val="00403E37"/>
    <w:rsid w:val="00405B86"/>
    <w:rsid w:val="00410EE6"/>
    <w:rsid w:val="004115A2"/>
    <w:rsid w:val="00414DF7"/>
    <w:rsid w:val="00415A27"/>
    <w:rsid w:val="004227B0"/>
    <w:rsid w:val="00425E6E"/>
    <w:rsid w:val="0043075B"/>
    <w:rsid w:val="00430B3F"/>
    <w:rsid w:val="0043322C"/>
    <w:rsid w:val="004333F9"/>
    <w:rsid w:val="004340B3"/>
    <w:rsid w:val="004341A3"/>
    <w:rsid w:val="00434942"/>
    <w:rsid w:val="00434FF4"/>
    <w:rsid w:val="00437DDC"/>
    <w:rsid w:val="004442F3"/>
    <w:rsid w:val="004460DE"/>
    <w:rsid w:val="00450E28"/>
    <w:rsid w:val="00456404"/>
    <w:rsid w:val="00456ECD"/>
    <w:rsid w:val="00460A42"/>
    <w:rsid w:val="004615A8"/>
    <w:rsid w:val="00462270"/>
    <w:rsid w:val="00465198"/>
    <w:rsid w:val="00475DB5"/>
    <w:rsid w:val="00477422"/>
    <w:rsid w:val="00480218"/>
    <w:rsid w:val="0048105E"/>
    <w:rsid w:val="00481EC0"/>
    <w:rsid w:val="00484638"/>
    <w:rsid w:val="00484A0B"/>
    <w:rsid w:val="004857FD"/>
    <w:rsid w:val="00485B07"/>
    <w:rsid w:val="004911DC"/>
    <w:rsid w:val="00494727"/>
    <w:rsid w:val="00494BA4"/>
    <w:rsid w:val="004A1739"/>
    <w:rsid w:val="004A2190"/>
    <w:rsid w:val="004A22B6"/>
    <w:rsid w:val="004A3616"/>
    <w:rsid w:val="004A4DC1"/>
    <w:rsid w:val="004A5824"/>
    <w:rsid w:val="004A66B3"/>
    <w:rsid w:val="004B27A9"/>
    <w:rsid w:val="004B3CA7"/>
    <w:rsid w:val="004B5651"/>
    <w:rsid w:val="004B7ABC"/>
    <w:rsid w:val="004C05EF"/>
    <w:rsid w:val="004C23A4"/>
    <w:rsid w:val="004C625B"/>
    <w:rsid w:val="004D0A43"/>
    <w:rsid w:val="004D2A71"/>
    <w:rsid w:val="004D57C0"/>
    <w:rsid w:val="004E1AAD"/>
    <w:rsid w:val="004E592F"/>
    <w:rsid w:val="004E61D8"/>
    <w:rsid w:val="004F6EFB"/>
    <w:rsid w:val="004F7B23"/>
    <w:rsid w:val="00510E66"/>
    <w:rsid w:val="00512DBA"/>
    <w:rsid w:val="00513156"/>
    <w:rsid w:val="00514B79"/>
    <w:rsid w:val="0051709F"/>
    <w:rsid w:val="00520952"/>
    <w:rsid w:val="005274EC"/>
    <w:rsid w:val="00530990"/>
    <w:rsid w:val="00532849"/>
    <w:rsid w:val="005328EB"/>
    <w:rsid w:val="0053569B"/>
    <w:rsid w:val="00536220"/>
    <w:rsid w:val="00542C36"/>
    <w:rsid w:val="005461E9"/>
    <w:rsid w:val="0054761E"/>
    <w:rsid w:val="00550B51"/>
    <w:rsid w:val="00550DB2"/>
    <w:rsid w:val="0055181A"/>
    <w:rsid w:val="00556578"/>
    <w:rsid w:val="00560514"/>
    <w:rsid w:val="0056329E"/>
    <w:rsid w:val="00564388"/>
    <w:rsid w:val="005644F1"/>
    <w:rsid w:val="005647B5"/>
    <w:rsid w:val="00564E0B"/>
    <w:rsid w:val="00573827"/>
    <w:rsid w:val="0057598D"/>
    <w:rsid w:val="00576C62"/>
    <w:rsid w:val="0058284D"/>
    <w:rsid w:val="00583454"/>
    <w:rsid w:val="00583B98"/>
    <w:rsid w:val="00583F39"/>
    <w:rsid w:val="00585EEA"/>
    <w:rsid w:val="00593A08"/>
    <w:rsid w:val="00597D22"/>
    <w:rsid w:val="005A14B3"/>
    <w:rsid w:val="005A23EE"/>
    <w:rsid w:val="005A24F1"/>
    <w:rsid w:val="005A354E"/>
    <w:rsid w:val="005A39E5"/>
    <w:rsid w:val="005B284F"/>
    <w:rsid w:val="005B3111"/>
    <w:rsid w:val="005B421B"/>
    <w:rsid w:val="005B58EE"/>
    <w:rsid w:val="005B62E3"/>
    <w:rsid w:val="005C1EE8"/>
    <w:rsid w:val="005C2266"/>
    <w:rsid w:val="005C473D"/>
    <w:rsid w:val="005D0119"/>
    <w:rsid w:val="005D499C"/>
    <w:rsid w:val="005D5B72"/>
    <w:rsid w:val="005D6DE6"/>
    <w:rsid w:val="005E51FD"/>
    <w:rsid w:val="005F18B9"/>
    <w:rsid w:val="005F33CA"/>
    <w:rsid w:val="005F77DF"/>
    <w:rsid w:val="0060335E"/>
    <w:rsid w:val="00604EBE"/>
    <w:rsid w:val="0060686E"/>
    <w:rsid w:val="0061044B"/>
    <w:rsid w:val="00613B19"/>
    <w:rsid w:val="00615936"/>
    <w:rsid w:val="0061614E"/>
    <w:rsid w:val="006206D7"/>
    <w:rsid w:val="0062178E"/>
    <w:rsid w:val="00621DBB"/>
    <w:rsid w:val="00623E0D"/>
    <w:rsid w:val="0063134D"/>
    <w:rsid w:val="00632884"/>
    <w:rsid w:val="00632FFD"/>
    <w:rsid w:val="006364CC"/>
    <w:rsid w:val="00636D2A"/>
    <w:rsid w:val="00643200"/>
    <w:rsid w:val="00646F71"/>
    <w:rsid w:val="00656942"/>
    <w:rsid w:val="00657914"/>
    <w:rsid w:val="00662E4E"/>
    <w:rsid w:val="00665F20"/>
    <w:rsid w:val="00673A70"/>
    <w:rsid w:val="0067609A"/>
    <w:rsid w:val="006819A9"/>
    <w:rsid w:val="00682763"/>
    <w:rsid w:val="00682BD8"/>
    <w:rsid w:val="00686658"/>
    <w:rsid w:val="00686898"/>
    <w:rsid w:val="00687CF1"/>
    <w:rsid w:val="00687F0A"/>
    <w:rsid w:val="006916F0"/>
    <w:rsid w:val="00691E89"/>
    <w:rsid w:val="00694E5C"/>
    <w:rsid w:val="006954D8"/>
    <w:rsid w:val="006A167D"/>
    <w:rsid w:val="006A20BB"/>
    <w:rsid w:val="006A2B02"/>
    <w:rsid w:val="006A3DC9"/>
    <w:rsid w:val="006A5171"/>
    <w:rsid w:val="006A68B4"/>
    <w:rsid w:val="006A7C13"/>
    <w:rsid w:val="006B07EF"/>
    <w:rsid w:val="006B1885"/>
    <w:rsid w:val="006B29F8"/>
    <w:rsid w:val="006B4423"/>
    <w:rsid w:val="006B45EF"/>
    <w:rsid w:val="006B4600"/>
    <w:rsid w:val="006B4C01"/>
    <w:rsid w:val="006B5A0A"/>
    <w:rsid w:val="006B5DE8"/>
    <w:rsid w:val="006B7D8D"/>
    <w:rsid w:val="006C07A9"/>
    <w:rsid w:val="006C14ED"/>
    <w:rsid w:val="006C1EF4"/>
    <w:rsid w:val="006C33DF"/>
    <w:rsid w:val="006C41F7"/>
    <w:rsid w:val="006C4572"/>
    <w:rsid w:val="006C504B"/>
    <w:rsid w:val="006C67FC"/>
    <w:rsid w:val="006D0D57"/>
    <w:rsid w:val="006D2E3C"/>
    <w:rsid w:val="006D30C5"/>
    <w:rsid w:val="006D5A5C"/>
    <w:rsid w:val="006D5F69"/>
    <w:rsid w:val="006E10B7"/>
    <w:rsid w:val="006E2299"/>
    <w:rsid w:val="006E2EFD"/>
    <w:rsid w:val="006E3A08"/>
    <w:rsid w:val="006E4E53"/>
    <w:rsid w:val="006E7987"/>
    <w:rsid w:val="006F70FC"/>
    <w:rsid w:val="0070117F"/>
    <w:rsid w:val="00702348"/>
    <w:rsid w:val="00702D64"/>
    <w:rsid w:val="00704DF8"/>
    <w:rsid w:val="00711C3D"/>
    <w:rsid w:val="007156BA"/>
    <w:rsid w:val="00715FCA"/>
    <w:rsid w:val="00717907"/>
    <w:rsid w:val="00720149"/>
    <w:rsid w:val="0072105D"/>
    <w:rsid w:val="00721547"/>
    <w:rsid w:val="00723C69"/>
    <w:rsid w:val="00725787"/>
    <w:rsid w:val="00730314"/>
    <w:rsid w:val="00730539"/>
    <w:rsid w:val="0073138E"/>
    <w:rsid w:val="00732B38"/>
    <w:rsid w:val="0073320C"/>
    <w:rsid w:val="00735A7B"/>
    <w:rsid w:val="0074019A"/>
    <w:rsid w:val="0074495D"/>
    <w:rsid w:val="00744BD7"/>
    <w:rsid w:val="0074639B"/>
    <w:rsid w:val="007503E4"/>
    <w:rsid w:val="007511A7"/>
    <w:rsid w:val="00753391"/>
    <w:rsid w:val="00753727"/>
    <w:rsid w:val="007607B3"/>
    <w:rsid w:val="0076245B"/>
    <w:rsid w:val="00762AA0"/>
    <w:rsid w:val="007632A6"/>
    <w:rsid w:val="00763F17"/>
    <w:rsid w:val="0077164F"/>
    <w:rsid w:val="00774517"/>
    <w:rsid w:val="00775E8A"/>
    <w:rsid w:val="00780BF2"/>
    <w:rsid w:val="007810AF"/>
    <w:rsid w:val="0078152C"/>
    <w:rsid w:val="0078161F"/>
    <w:rsid w:val="00782409"/>
    <w:rsid w:val="007909EC"/>
    <w:rsid w:val="0079153F"/>
    <w:rsid w:val="00795EF7"/>
    <w:rsid w:val="00796A8A"/>
    <w:rsid w:val="00797053"/>
    <w:rsid w:val="007A47D8"/>
    <w:rsid w:val="007A497D"/>
    <w:rsid w:val="007A566E"/>
    <w:rsid w:val="007A5EB1"/>
    <w:rsid w:val="007A6612"/>
    <w:rsid w:val="007A6634"/>
    <w:rsid w:val="007A6CBD"/>
    <w:rsid w:val="007A723E"/>
    <w:rsid w:val="007A7D44"/>
    <w:rsid w:val="007B151E"/>
    <w:rsid w:val="007B5FF6"/>
    <w:rsid w:val="007B7A39"/>
    <w:rsid w:val="007C228C"/>
    <w:rsid w:val="007C37C5"/>
    <w:rsid w:val="007C3A1F"/>
    <w:rsid w:val="007C7E67"/>
    <w:rsid w:val="007D1202"/>
    <w:rsid w:val="007D2BAC"/>
    <w:rsid w:val="007D4D91"/>
    <w:rsid w:val="007E0A64"/>
    <w:rsid w:val="007E25F9"/>
    <w:rsid w:val="007E414F"/>
    <w:rsid w:val="007E46EE"/>
    <w:rsid w:val="007E644C"/>
    <w:rsid w:val="007F18AE"/>
    <w:rsid w:val="007F1C8D"/>
    <w:rsid w:val="007F3D80"/>
    <w:rsid w:val="007F4A16"/>
    <w:rsid w:val="007F4B8B"/>
    <w:rsid w:val="007F566C"/>
    <w:rsid w:val="007F6058"/>
    <w:rsid w:val="007F75B1"/>
    <w:rsid w:val="0080101E"/>
    <w:rsid w:val="0080102A"/>
    <w:rsid w:val="008023BA"/>
    <w:rsid w:val="00810310"/>
    <w:rsid w:val="00814F9B"/>
    <w:rsid w:val="008153C2"/>
    <w:rsid w:val="00816775"/>
    <w:rsid w:val="008260A1"/>
    <w:rsid w:val="008261DE"/>
    <w:rsid w:val="00827FA0"/>
    <w:rsid w:val="00833A42"/>
    <w:rsid w:val="00833C1C"/>
    <w:rsid w:val="00834012"/>
    <w:rsid w:val="00837151"/>
    <w:rsid w:val="0084249B"/>
    <w:rsid w:val="00844AD9"/>
    <w:rsid w:val="00844B43"/>
    <w:rsid w:val="00853B42"/>
    <w:rsid w:val="008600B6"/>
    <w:rsid w:val="00861B7A"/>
    <w:rsid w:val="00861C7E"/>
    <w:rsid w:val="00861CCF"/>
    <w:rsid w:val="0086258A"/>
    <w:rsid w:val="00863D59"/>
    <w:rsid w:val="00863E10"/>
    <w:rsid w:val="00864058"/>
    <w:rsid w:val="00864579"/>
    <w:rsid w:val="008703BB"/>
    <w:rsid w:val="008725CA"/>
    <w:rsid w:val="00872CAE"/>
    <w:rsid w:val="008737EE"/>
    <w:rsid w:val="008760E7"/>
    <w:rsid w:val="00877954"/>
    <w:rsid w:val="00883593"/>
    <w:rsid w:val="00884BF9"/>
    <w:rsid w:val="00884F61"/>
    <w:rsid w:val="00884FAF"/>
    <w:rsid w:val="00885FD4"/>
    <w:rsid w:val="008901A8"/>
    <w:rsid w:val="008915E8"/>
    <w:rsid w:val="00894AE8"/>
    <w:rsid w:val="00894D58"/>
    <w:rsid w:val="0089519B"/>
    <w:rsid w:val="008951DA"/>
    <w:rsid w:val="00896032"/>
    <w:rsid w:val="00897262"/>
    <w:rsid w:val="008A171B"/>
    <w:rsid w:val="008A263D"/>
    <w:rsid w:val="008A2EAF"/>
    <w:rsid w:val="008A38EB"/>
    <w:rsid w:val="008A4737"/>
    <w:rsid w:val="008A556D"/>
    <w:rsid w:val="008A7271"/>
    <w:rsid w:val="008A7F01"/>
    <w:rsid w:val="008B1D1C"/>
    <w:rsid w:val="008B3CE2"/>
    <w:rsid w:val="008B6FFD"/>
    <w:rsid w:val="008C0325"/>
    <w:rsid w:val="008C0B94"/>
    <w:rsid w:val="008C3EB3"/>
    <w:rsid w:val="008C6AB5"/>
    <w:rsid w:val="008D02EB"/>
    <w:rsid w:val="008D048D"/>
    <w:rsid w:val="008D5AF8"/>
    <w:rsid w:val="008D73C9"/>
    <w:rsid w:val="008D7492"/>
    <w:rsid w:val="008E160E"/>
    <w:rsid w:val="008E1910"/>
    <w:rsid w:val="008E64B0"/>
    <w:rsid w:val="008E6B19"/>
    <w:rsid w:val="008F1C69"/>
    <w:rsid w:val="008F2A75"/>
    <w:rsid w:val="008F403C"/>
    <w:rsid w:val="008F45C3"/>
    <w:rsid w:val="008F58EB"/>
    <w:rsid w:val="008F5F88"/>
    <w:rsid w:val="00901753"/>
    <w:rsid w:val="00904A12"/>
    <w:rsid w:val="009103CF"/>
    <w:rsid w:val="0091154E"/>
    <w:rsid w:val="009126E2"/>
    <w:rsid w:val="009221AE"/>
    <w:rsid w:val="009242F8"/>
    <w:rsid w:val="00924673"/>
    <w:rsid w:val="00924B37"/>
    <w:rsid w:val="00924EFF"/>
    <w:rsid w:val="00925628"/>
    <w:rsid w:val="0092758B"/>
    <w:rsid w:val="00931FE4"/>
    <w:rsid w:val="00933A61"/>
    <w:rsid w:val="00936240"/>
    <w:rsid w:val="0093740D"/>
    <w:rsid w:val="00937FA7"/>
    <w:rsid w:val="009401E2"/>
    <w:rsid w:val="00943839"/>
    <w:rsid w:val="009529C3"/>
    <w:rsid w:val="009553B1"/>
    <w:rsid w:val="00960F61"/>
    <w:rsid w:val="00961BE5"/>
    <w:rsid w:val="00963259"/>
    <w:rsid w:val="00966DCF"/>
    <w:rsid w:val="00970382"/>
    <w:rsid w:val="009717F4"/>
    <w:rsid w:val="00971B35"/>
    <w:rsid w:val="00977C8A"/>
    <w:rsid w:val="0098318E"/>
    <w:rsid w:val="00984B7C"/>
    <w:rsid w:val="00990849"/>
    <w:rsid w:val="00990888"/>
    <w:rsid w:val="00990CA8"/>
    <w:rsid w:val="00990FCA"/>
    <w:rsid w:val="00991247"/>
    <w:rsid w:val="00992E74"/>
    <w:rsid w:val="009A1FC0"/>
    <w:rsid w:val="009A2AD1"/>
    <w:rsid w:val="009A63B8"/>
    <w:rsid w:val="009A6AED"/>
    <w:rsid w:val="009A6B30"/>
    <w:rsid w:val="009A7B83"/>
    <w:rsid w:val="009B1392"/>
    <w:rsid w:val="009B5204"/>
    <w:rsid w:val="009C03CA"/>
    <w:rsid w:val="009C095B"/>
    <w:rsid w:val="009C3515"/>
    <w:rsid w:val="009C4C48"/>
    <w:rsid w:val="009C5182"/>
    <w:rsid w:val="009C55FF"/>
    <w:rsid w:val="009C59F5"/>
    <w:rsid w:val="009C5AAE"/>
    <w:rsid w:val="009C66BC"/>
    <w:rsid w:val="009C6AA9"/>
    <w:rsid w:val="009D09BC"/>
    <w:rsid w:val="009D3470"/>
    <w:rsid w:val="009D7B3F"/>
    <w:rsid w:val="009E2F5A"/>
    <w:rsid w:val="009E3498"/>
    <w:rsid w:val="009F1271"/>
    <w:rsid w:val="009F6659"/>
    <w:rsid w:val="00A028EA"/>
    <w:rsid w:val="00A039E7"/>
    <w:rsid w:val="00A10EE7"/>
    <w:rsid w:val="00A11845"/>
    <w:rsid w:val="00A119E0"/>
    <w:rsid w:val="00A15A88"/>
    <w:rsid w:val="00A17910"/>
    <w:rsid w:val="00A206AE"/>
    <w:rsid w:val="00A20E22"/>
    <w:rsid w:val="00A22174"/>
    <w:rsid w:val="00A22221"/>
    <w:rsid w:val="00A222B7"/>
    <w:rsid w:val="00A2740D"/>
    <w:rsid w:val="00A27815"/>
    <w:rsid w:val="00A30CE7"/>
    <w:rsid w:val="00A36198"/>
    <w:rsid w:val="00A3625F"/>
    <w:rsid w:val="00A40803"/>
    <w:rsid w:val="00A410B1"/>
    <w:rsid w:val="00A43CF0"/>
    <w:rsid w:val="00A45EA1"/>
    <w:rsid w:val="00A529EB"/>
    <w:rsid w:val="00A52FAF"/>
    <w:rsid w:val="00A531B9"/>
    <w:rsid w:val="00A53A73"/>
    <w:rsid w:val="00A53D38"/>
    <w:rsid w:val="00A562DE"/>
    <w:rsid w:val="00A56310"/>
    <w:rsid w:val="00A623C4"/>
    <w:rsid w:val="00A63976"/>
    <w:rsid w:val="00A6769F"/>
    <w:rsid w:val="00A7273C"/>
    <w:rsid w:val="00A72C2F"/>
    <w:rsid w:val="00A73AC8"/>
    <w:rsid w:val="00A74D0E"/>
    <w:rsid w:val="00A77074"/>
    <w:rsid w:val="00A779A8"/>
    <w:rsid w:val="00A80134"/>
    <w:rsid w:val="00A8182F"/>
    <w:rsid w:val="00A82F39"/>
    <w:rsid w:val="00A8689B"/>
    <w:rsid w:val="00A872BE"/>
    <w:rsid w:val="00A87D10"/>
    <w:rsid w:val="00A91A64"/>
    <w:rsid w:val="00A92A4C"/>
    <w:rsid w:val="00A96BD5"/>
    <w:rsid w:val="00A96DC8"/>
    <w:rsid w:val="00AA1C1B"/>
    <w:rsid w:val="00AA2105"/>
    <w:rsid w:val="00AA228E"/>
    <w:rsid w:val="00AA2547"/>
    <w:rsid w:val="00AA4242"/>
    <w:rsid w:val="00AA544E"/>
    <w:rsid w:val="00AA5B3A"/>
    <w:rsid w:val="00AA69E6"/>
    <w:rsid w:val="00AB20C9"/>
    <w:rsid w:val="00AB2DCF"/>
    <w:rsid w:val="00AB3DE0"/>
    <w:rsid w:val="00AB7BB8"/>
    <w:rsid w:val="00AC0B51"/>
    <w:rsid w:val="00AC17C0"/>
    <w:rsid w:val="00AC6130"/>
    <w:rsid w:val="00AC6BB9"/>
    <w:rsid w:val="00AC779F"/>
    <w:rsid w:val="00AD0E1A"/>
    <w:rsid w:val="00AD2D4D"/>
    <w:rsid w:val="00AD37DA"/>
    <w:rsid w:val="00AD43C5"/>
    <w:rsid w:val="00AD4B37"/>
    <w:rsid w:val="00AD718D"/>
    <w:rsid w:val="00AD740D"/>
    <w:rsid w:val="00AE067C"/>
    <w:rsid w:val="00AE528F"/>
    <w:rsid w:val="00AE5704"/>
    <w:rsid w:val="00AF2959"/>
    <w:rsid w:val="00AF2EB0"/>
    <w:rsid w:val="00AF5E80"/>
    <w:rsid w:val="00AF6572"/>
    <w:rsid w:val="00B0034B"/>
    <w:rsid w:val="00B06CFC"/>
    <w:rsid w:val="00B1185C"/>
    <w:rsid w:val="00B13A92"/>
    <w:rsid w:val="00B165F6"/>
    <w:rsid w:val="00B179E6"/>
    <w:rsid w:val="00B204D8"/>
    <w:rsid w:val="00B20DB8"/>
    <w:rsid w:val="00B231B5"/>
    <w:rsid w:val="00B25796"/>
    <w:rsid w:val="00B2781C"/>
    <w:rsid w:val="00B30545"/>
    <w:rsid w:val="00B3099D"/>
    <w:rsid w:val="00B314BC"/>
    <w:rsid w:val="00B32FA2"/>
    <w:rsid w:val="00B358B2"/>
    <w:rsid w:val="00B36545"/>
    <w:rsid w:val="00B37081"/>
    <w:rsid w:val="00B378D6"/>
    <w:rsid w:val="00B42AF3"/>
    <w:rsid w:val="00B42E21"/>
    <w:rsid w:val="00B46871"/>
    <w:rsid w:val="00B474D6"/>
    <w:rsid w:val="00B47B22"/>
    <w:rsid w:val="00B530B3"/>
    <w:rsid w:val="00B53AFF"/>
    <w:rsid w:val="00B548D1"/>
    <w:rsid w:val="00B565A4"/>
    <w:rsid w:val="00B60390"/>
    <w:rsid w:val="00B64D80"/>
    <w:rsid w:val="00B700E8"/>
    <w:rsid w:val="00B72F93"/>
    <w:rsid w:val="00B735EC"/>
    <w:rsid w:val="00B74571"/>
    <w:rsid w:val="00B75BA3"/>
    <w:rsid w:val="00B75F2E"/>
    <w:rsid w:val="00B768DE"/>
    <w:rsid w:val="00B77750"/>
    <w:rsid w:val="00B84637"/>
    <w:rsid w:val="00B90080"/>
    <w:rsid w:val="00B91DCD"/>
    <w:rsid w:val="00B93196"/>
    <w:rsid w:val="00B9511E"/>
    <w:rsid w:val="00B9626E"/>
    <w:rsid w:val="00B96A85"/>
    <w:rsid w:val="00BA595D"/>
    <w:rsid w:val="00BA7F0E"/>
    <w:rsid w:val="00BB055F"/>
    <w:rsid w:val="00BB22B1"/>
    <w:rsid w:val="00BB29CB"/>
    <w:rsid w:val="00BB5016"/>
    <w:rsid w:val="00BB757A"/>
    <w:rsid w:val="00BB7943"/>
    <w:rsid w:val="00BC784E"/>
    <w:rsid w:val="00BD051B"/>
    <w:rsid w:val="00BD07BA"/>
    <w:rsid w:val="00BD64A1"/>
    <w:rsid w:val="00BE0BC8"/>
    <w:rsid w:val="00BE51D7"/>
    <w:rsid w:val="00BE5461"/>
    <w:rsid w:val="00BE6369"/>
    <w:rsid w:val="00BE693C"/>
    <w:rsid w:val="00BE6C14"/>
    <w:rsid w:val="00BE7786"/>
    <w:rsid w:val="00BF71CF"/>
    <w:rsid w:val="00BF7BEC"/>
    <w:rsid w:val="00C015B7"/>
    <w:rsid w:val="00C0311A"/>
    <w:rsid w:val="00C06C05"/>
    <w:rsid w:val="00C124A2"/>
    <w:rsid w:val="00C12BBC"/>
    <w:rsid w:val="00C13C05"/>
    <w:rsid w:val="00C14332"/>
    <w:rsid w:val="00C1437C"/>
    <w:rsid w:val="00C14A94"/>
    <w:rsid w:val="00C16D93"/>
    <w:rsid w:val="00C16FFF"/>
    <w:rsid w:val="00C21B6F"/>
    <w:rsid w:val="00C2293B"/>
    <w:rsid w:val="00C247FE"/>
    <w:rsid w:val="00C26E87"/>
    <w:rsid w:val="00C30B4F"/>
    <w:rsid w:val="00C32298"/>
    <w:rsid w:val="00C323AB"/>
    <w:rsid w:val="00C375EB"/>
    <w:rsid w:val="00C45574"/>
    <w:rsid w:val="00C46A08"/>
    <w:rsid w:val="00C50573"/>
    <w:rsid w:val="00C50C4E"/>
    <w:rsid w:val="00C51212"/>
    <w:rsid w:val="00C51330"/>
    <w:rsid w:val="00C52124"/>
    <w:rsid w:val="00C52842"/>
    <w:rsid w:val="00C5307D"/>
    <w:rsid w:val="00C61B9E"/>
    <w:rsid w:val="00C65BCE"/>
    <w:rsid w:val="00C65E42"/>
    <w:rsid w:val="00C71DCD"/>
    <w:rsid w:val="00C726A9"/>
    <w:rsid w:val="00C738C1"/>
    <w:rsid w:val="00C748DB"/>
    <w:rsid w:val="00C74F05"/>
    <w:rsid w:val="00C7554F"/>
    <w:rsid w:val="00C75988"/>
    <w:rsid w:val="00C82CDE"/>
    <w:rsid w:val="00C851E2"/>
    <w:rsid w:val="00C870AC"/>
    <w:rsid w:val="00C9132D"/>
    <w:rsid w:val="00C919B0"/>
    <w:rsid w:val="00C925BE"/>
    <w:rsid w:val="00C92B56"/>
    <w:rsid w:val="00C92E40"/>
    <w:rsid w:val="00C952EB"/>
    <w:rsid w:val="00C96273"/>
    <w:rsid w:val="00C96FD8"/>
    <w:rsid w:val="00CA14F8"/>
    <w:rsid w:val="00CA1EC9"/>
    <w:rsid w:val="00CA2889"/>
    <w:rsid w:val="00CA443C"/>
    <w:rsid w:val="00CA6C04"/>
    <w:rsid w:val="00CB1575"/>
    <w:rsid w:val="00CB1DD6"/>
    <w:rsid w:val="00CB24F5"/>
    <w:rsid w:val="00CB364E"/>
    <w:rsid w:val="00CB4B19"/>
    <w:rsid w:val="00CC003F"/>
    <w:rsid w:val="00CC22DC"/>
    <w:rsid w:val="00CC3CD2"/>
    <w:rsid w:val="00CC5694"/>
    <w:rsid w:val="00CC634B"/>
    <w:rsid w:val="00CC6786"/>
    <w:rsid w:val="00CD24A7"/>
    <w:rsid w:val="00CD502D"/>
    <w:rsid w:val="00CE06B4"/>
    <w:rsid w:val="00CE71F1"/>
    <w:rsid w:val="00CF3443"/>
    <w:rsid w:val="00CF54D7"/>
    <w:rsid w:val="00CF5511"/>
    <w:rsid w:val="00CF5685"/>
    <w:rsid w:val="00D01FD7"/>
    <w:rsid w:val="00D03020"/>
    <w:rsid w:val="00D0323C"/>
    <w:rsid w:val="00D032EB"/>
    <w:rsid w:val="00D05A4B"/>
    <w:rsid w:val="00D06A4E"/>
    <w:rsid w:val="00D109AD"/>
    <w:rsid w:val="00D14CF8"/>
    <w:rsid w:val="00D15666"/>
    <w:rsid w:val="00D165FB"/>
    <w:rsid w:val="00D204BC"/>
    <w:rsid w:val="00D22F17"/>
    <w:rsid w:val="00D24AEC"/>
    <w:rsid w:val="00D26ADD"/>
    <w:rsid w:val="00D31C36"/>
    <w:rsid w:val="00D349B2"/>
    <w:rsid w:val="00D42150"/>
    <w:rsid w:val="00D42721"/>
    <w:rsid w:val="00D447E7"/>
    <w:rsid w:val="00D464EE"/>
    <w:rsid w:val="00D5466A"/>
    <w:rsid w:val="00D576B2"/>
    <w:rsid w:val="00D619FF"/>
    <w:rsid w:val="00D62E7D"/>
    <w:rsid w:val="00D641B5"/>
    <w:rsid w:val="00D64DE2"/>
    <w:rsid w:val="00D64ECB"/>
    <w:rsid w:val="00D70BB7"/>
    <w:rsid w:val="00D723B0"/>
    <w:rsid w:val="00D72A05"/>
    <w:rsid w:val="00D75920"/>
    <w:rsid w:val="00D762F0"/>
    <w:rsid w:val="00D80552"/>
    <w:rsid w:val="00D80C2B"/>
    <w:rsid w:val="00D84039"/>
    <w:rsid w:val="00D84494"/>
    <w:rsid w:val="00D85BDA"/>
    <w:rsid w:val="00D86951"/>
    <w:rsid w:val="00D9022D"/>
    <w:rsid w:val="00D90AED"/>
    <w:rsid w:val="00D90EF6"/>
    <w:rsid w:val="00D92066"/>
    <w:rsid w:val="00D92D88"/>
    <w:rsid w:val="00D95614"/>
    <w:rsid w:val="00D970B0"/>
    <w:rsid w:val="00D97DD5"/>
    <w:rsid w:val="00DA144A"/>
    <w:rsid w:val="00DA1867"/>
    <w:rsid w:val="00DA45B3"/>
    <w:rsid w:val="00DA49E8"/>
    <w:rsid w:val="00DA533C"/>
    <w:rsid w:val="00DA786E"/>
    <w:rsid w:val="00DA7E75"/>
    <w:rsid w:val="00DB0F5F"/>
    <w:rsid w:val="00DB282F"/>
    <w:rsid w:val="00DB495A"/>
    <w:rsid w:val="00DC0C17"/>
    <w:rsid w:val="00DC0F3C"/>
    <w:rsid w:val="00DC1C1E"/>
    <w:rsid w:val="00DC3A8B"/>
    <w:rsid w:val="00DD1170"/>
    <w:rsid w:val="00DD3C4B"/>
    <w:rsid w:val="00DD4594"/>
    <w:rsid w:val="00DD5FC7"/>
    <w:rsid w:val="00DD62AB"/>
    <w:rsid w:val="00DD6BD5"/>
    <w:rsid w:val="00DD7D9D"/>
    <w:rsid w:val="00DE418B"/>
    <w:rsid w:val="00DE4A58"/>
    <w:rsid w:val="00DF2050"/>
    <w:rsid w:val="00DF3985"/>
    <w:rsid w:val="00DF3C63"/>
    <w:rsid w:val="00DF4093"/>
    <w:rsid w:val="00DF4859"/>
    <w:rsid w:val="00DF56A8"/>
    <w:rsid w:val="00E02901"/>
    <w:rsid w:val="00E040CA"/>
    <w:rsid w:val="00E044C1"/>
    <w:rsid w:val="00E04FFF"/>
    <w:rsid w:val="00E05E1C"/>
    <w:rsid w:val="00E12EEC"/>
    <w:rsid w:val="00E14355"/>
    <w:rsid w:val="00E15C0F"/>
    <w:rsid w:val="00E22421"/>
    <w:rsid w:val="00E268E4"/>
    <w:rsid w:val="00E36CD1"/>
    <w:rsid w:val="00E400AF"/>
    <w:rsid w:val="00E40B89"/>
    <w:rsid w:val="00E4174C"/>
    <w:rsid w:val="00E43411"/>
    <w:rsid w:val="00E439FB"/>
    <w:rsid w:val="00E4481B"/>
    <w:rsid w:val="00E44F15"/>
    <w:rsid w:val="00E4736C"/>
    <w:rsid w:val="00E6051A"/>
    <w:rsid w:val="00E670DE"/>
    <w:rsid w:val="00E702FC"/>
    <w:rsid w:val="00E741B1"/>
    <w:rsid w:val="00E77F48"/>
    <w:rsid w:val="00E80660"/>
    <w:rsid w:val="00E80829"/>
    <w:rsid w:val="00E80901"/>
    <w:rsid w:val="00E81F35"/>
    <w:rsid w:val="00E90FBA"/>
    <w:rsid w:val="00E92235"/>
    <w:rsid w:val="00E9240C"/>
    <w:rsid w:val="00E92CE0"/>
    <w:rsid w:val="00E93412"/>
    <w:rsid w:val="00E93A04"/>
    <w:rsid w:val="00E97D5B"/>
    <w:rsid w:val="00EB04AB"/>
    <w:rsid w:val="00EB080E"/>
    <w:rsid w:val="00EB1CF2"/>
    <w:rsid w:val="00EB3D5F"/>
    <w:rsid w:val="00EB5493"/>
    <w:rsid w:val="00EB59A3"/>
    <w:rsid w:val="00EB719C"/>
    <w:rsid w:val="00EC23A0"/>
    <w:rsid w:val="00EC2AC1"/>
    <w:rsid w:val="00EC33EB"/>
    <w:rsid w:val="00EC34CD"/>
    <w:rsid w:val="00EC41F0"/>
    <w:rsid w:val="00EC4871"/>
    <w:rsid w:val="00EC5822"/>
    <w:rsid w:val="00EC5AB4"/>
    <w:rsid w:val="00EC747A"/>
    <w:rsid w:val="00EC74FB"/>
    <w:rsid w:val="00EC7AF5"/>
    <w:rsid w:val="00EC7C13"/>
    <w:rsid w:val="00ED10C1"/>
    <w:rsid w:val="00ED3330"/>
    <w:rsid w:val="00ED4C2F"/>
    <w:rsid w:val="00ED511F"/>
    <w:rsid w:val="00ED596B"/>
    <w:rsid w:val="00ED7207"/>
    <w:rsid w:val="00ED7A45"/>
    <w:rsid w:val="00ED7EBF"/>
    <w:rsid w:val="00EE22C4"/>
    <w:rsid w:val="00EE2CC1"/>
    <w:rsid w:val="00EE53EE"/>
    <w:rsid w:val="00EE5D9B"/>
    <w:rsid w:val="00EF099A"/>
    <w:rsid w:val="00F00EAD"/>
    <w:rsid w:val="00F02D9B"/>
    <w:rsid w:val="00F038DB"/>
    <w:rsid w:val="00F15A0B"/>
    <w:rsid w:val="00F15AC3"/>
    <w:rsid w:val="00F2274E"/>
    <w:rsid w:val="00F26B33"/>
    <w:rsid w:val="00F307AD"/>
    <w:rsid w:val="00F30931"/>
    <w:rsid w:val="00F30DF7"/>
    <w:rsid w:val="00F365DF"/>
    <w:rsid w:val="00F36F14"/>
    <w:rsid w:val="00F36F29"/>
    <w:rsid w:val="00F37B86"/>
    <w:rsid w:val="00F37F00"/>
    <w:rsid w:val="00F40FF2"/>
    <w:rsid w:val="00F411E1"/>
    <w:rsid w:val="00F4225A"/>
    <w:rsid w:val="00F422CC"/>
    <w:rsid w:val="00F42BCE"/>
    <w:rsid w:val="00F449DB"/>
    <w:rsid w:val="00F460BF"/>
    <w:rsid w:val="00F51BE6"/>
    <w:rsid w:val="00F5516C"/>
    <w:rsid w:val="00F55E08"/>
    <w:rsid w:val="00F56A53"/>
    <w:rsid w:val="00F57794"/>
    <w:rsid w:val="00F61CCD"/>
    <w:rsid w:val="00F649B9"/>
    <w:rsid w:val="00F66EE2"/>
    <w:rsid w:val="00F74EEC"/>
    <w:rsid w:val="00F75287"/>
    <w:rsid w:val="00F75F96"/>
    <w:rsid w:val="00F77041"/>
    <w:rsid w:val="00F810A5"/>
    <w:rsid w:val="00F81C7A"/>
    <w:rsid w:val="00F85D33"/>
    <w:rsid w:val="00F918E8"/>
    <w:rsid w:val="00F95FA6"/>
    <w:rsid w:val="00FA4FB8"/>
    <w:rsid w:val="00FA74C8"/>
    <w:rsid w:val="00FB3E19"/>
    <w:rsid w:val="00FC03BB"/>
    <w:rsid w:val="00FC5BA8"/>
    <w:rsid w:val="00FC67A0"/>
    <w:rsid w:val="00FD1B0B"/>
    <w:rsid w:val="00FD372D"/>
    <w:rsid w:val="00FD491D"/>
    <w:rsid w:val="00FD6CC3"/>
    <w:rsid w:val="00FD79E7"/>
    <w:rsid w:val="00FE1BE8"/>
    <w:rsid w:val="00FE32BB"/>
    <w:rsid w:val="00FE3798"/>
    <w:rsid w:val="00FE3AE8"/>
    <w:rsid w:val="00FE59A0"/>
    <w:rsid w:val="00FE5F77"/>
    <w:rsid w:val="00FE62B7"/>
    <w:rsid w:val="00FF0880"/>
    <w:rsid w:val="00FF155A"/>
    <w:rsid w:val="00FF336C"/>
    <w:rsid w:val="00FF571F"/>
    <w:rsid w:val="00FF70AE"/>
    <w:rsid w:val="01B32C50"/>
    <w:rsid w:val="0247B566"/>
    <w:rsid w:val="02F5779D"/>
    <w:rsid w:val="03ADCB40"/>
    <w:rsid w:val="0817D566"/>
    <w:rsid w:val="088A71C3"/>
    <w:rsid w:val="09724386"/>
    <w:rsid w:val="0BDE148A"/>
    <w:rsid w:val="0E331B0A"/>
    <w:rsid w:val="0FCCDF91"/>
    <w:rsid w:val="1002560E"/>
    <w:rsid w:val="15336DDF"/>
    <w:rsid w:val="153D2ADE"/>
    <w:rsid w:val="18978A98"/>
    <w:rsid w:val="1B1E6BB1"/>
    <w:rsid w:val="202ADBE6"/>
    <w:rsid w:val="29F448E0"/>
    <w:rsid w:val="2BC7B20D"/>
    <w:rsid w:val="3D8FCBEB"/>
    <w:rsid w:val="473AF053"/>
    <w:rsid w:val="4CE6CEA4"/>
    <w:rsid w:val="4FA4F0F6"/>
    <w:rsid w:val="5DFC519A"/>
    <w:rsid w:val="5E041B2E"/>
    <w:rsid w:val="6B43D450"/>
    <w:rsid w:val="79CCCCCC"/>
    <w:rsid w:val="7D47E0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7F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1C"/>
    <w:pPr>
      <w:suppressAutoHyphens/>
      <w:spacing w:after="0" w:line="240" w:lineRule="exact"/>
    </w:pPr>
    <w:rPr>
      <w:rFonts w:ascii="Times New Roman" w:eastAsia="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BE63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8703BB"/>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8260A1"/>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260A1"/>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260A1"/>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8260A1"/>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semiHidden/>
    <w:rsid w:val="008260A1"/>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semiHidden/>
    <w:rsid w:val="008260A1"/>
    <w:rPr>
      <w:rFonts w:asciiTheme="majorHAnsi" w:eastAsiaTheme="majorEastAsia" w:hAnsiTheme="majorHAnsi" w:cstheme="majorBidi"/>
      <w:i/>
      <w:iCs/>
      <w:color w:val="404040" w:themeColor="text1" w:themeTint="BF"/>
      <w:spacing w:val="4"/>
      <w:w w:val="103"/>
      <w:kern w:val="14"/>
      <w:sz w:val="20"/>
      <w:szCs w:val="20"/>
      <w:lang w:eastAsia="en-US"/>
    </w:rPr>
  </w:style>
  <w:style w:type="paragraph" w:customStyle="1" w:styleId="H1">
    <w:name w:val="_ H_1"/>
    <w:basedOn w:val="Normal"/>
    <w:next w:val="SingleTxt"/>
    <w:rsid w:val="00E05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link w:val="SingleTxtChar"/>
    <w:qFormat/>
    <w:rsid w:val="00E05E1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customStyle="1" w:styleId="SingleTxtChar">
    <w:name w:val="__Single Txt Char"/>
    <w:link w:val="SingleTxt"/>
    <w:locked/>
    <w:rsid w:val="00E05E1C"/>
    <w:rPr>
      <w:rFonts w:ascii="Times New Roman" w:eastAsia="Times New Roman" w:hAnsi="Times New Roman" w:cs="Times New Roman"/>
      <w:spacing w:val="4"/>
      <w:w w:val="103"/>
      <w:kern w:val="14"/>
      <w:sz w:val="20"/>
      <w:szCs w:val="20"/>
      <w:lang w:eastAsia="en-US"/>
    </w:rPr>
  </w:style>
  <w:style w:type="paragraph" w:customStyle="1" w:styleId="HCh">
    <w:name w:val="_ H _Ch"/>
    <w:basedOn w:val="H1"/>
    <w:next w:val="SingleTxt"/>
    <w:link w:val="HChChar"/>
    <w:qFormat/>
    <w:rsid w:val="00E05E1C"/>
    <w:pPr>
      <w:spacing w:line="300" w:lineRule="exact"/>
      <w:ind w:left="0" w:right="0" w:firstLine="0"/>
    </w:pPr>
    <w:rPr>
      <w:spacing w:val="-2"/>
      <w:sz w:val="28"/>
    </w:rPr>
  </w:style>
  <w:style w:type="character" w:customStyle="1" w:styleId="HChChar">
    <w:name w:val="_ H _Ch Char"/>
    <w:link w:val="HCh"/>
    <w:locked/>
    <w:rsid w:val="00E05E1C"/>
    <w:rPr>
      <w:rFonts w:ascii="Times New Roman" w:eastAsia="Times New Roman" w:hAnsi="Times New Roman" w:cs="Times New Roman"/>
      <w:b/>
      <w:spacing w:val="-2"/>
      <w:w w:val="103"/>
      <w:kern w:val="14"/>
      <w:sz w:val="28"/>
      <w:szCs w:val="20"/>
      <w:lang w:eastAsia="en-US"/>
    </w:rPr>
  </w:style>
  <w:style w:type="paragraph" w:customStyle="1" w:styleId="HM">
    <w:name w:val="_ H __M"/>
    <w:basedOn w:val="HCh"/>
    <w:next w:val="Normal"/>
    <w:rsid w:val="00E05E1C"/>
    <w:pPr>
      <w:spacing w:line="360" w:lineRule="exact"/>
    </w:pPr>
    <w:rPr>
      <w:spacing w:val="-3"/>
      <w:w w:val="99"/>
      <w:sz w:val="34"/>
    </w:rPr>
  </w:style>
  <w:style w:type="paragraph" w:customStyle="1" w:styleId="H23">
    <w:name w:val="_ H_2/3"/>
    <w:basedOn w:val="H1"/>
    <w:next w:val="SingleTxt"/>
    <w:rsid w:val="00E05E1C"/>
    <w:pPr>
      <w:spacing w:line="240" w:lineRule="exact"/>
      <w:outlineLvl w:val="1"/>
    </w:pPr>
    <w:rPr>
      <w:spacing w:val="2"/>
      <w:sz w:val="20"/>
    </w:rPr>
  </w:style>
  <w:style w:type="paragraph" w:customStyle="1" w:styleId="H4">
    <w:name w:val="_ H_4"/>
    <w:basedOn w:val="Normal"/>
    <w:next w:val="Normal"/>
    <w:rsid w:val="00E05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5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5E1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5E1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5E1C"/>
    <w:pPr>
      <w:spacing w:line="540" w:lineRule="exact"/>
    </w:pPr>
    <w:rPr>
      <w:spacing w:val="-8"/>
      <w:w w:val="96"/>
      <w:sz w:val="57"/>
    </w:rPr>
  </w:style>
  <w:style w:type="paragraph" w:customStyle="1" w:styleId="SS">
    <w:name w:val="__S_S"/>
    <w:basedOn w:val="HCh"/>
    <w:next w:val="Normal"/>
    <w:rsid w:val="00E05E1C"/>
    <w:pPr>
      <w:ind w:left="1267" w:right="1267"/>
    </w:pPr>
  </w:style>
  <w:style w:type="paragraph" w:styleId="BalloonText">
    <w:name w:val="Balloon Text"/>
    <w:basedOn w:val="Normal"/>
    <w:link w:val="BalloonTextChar"/>
    <w:semiHidden/>
    <w:rsid w:val="00E05E1C"/>
    <w:rPr>
      <w:rFonts w:ascii="Tahoma" w:hAnsi="Tahoma" w:cs="Tahoma"/>
      <w:sz w:val="16"/>
      <w:szCs w:val="16"/>
    </w:rPr>
  </w:style>
  <w:style w:type="character" w:customStyle="1" w:styleId="BalloonTextChar">
    <w:name w:val="Balloon Text Char"/>
    <w:basedOn w:val="DefaultParagraphFont"/>
    <w:link w:val="BalloonText"/>
    <w:semiHidden/>
    <w:rsid w:val="00E05E1C"/>
    <w:rPr>
      <w:rFonts w:ascii="Tahoma" w:eastAsia="Times New Roman" w:hAnsi="Tahoma" w:cs="Tahoma"/>
      <w:spacing w:val="4"/>
      <w:w w:val="103"/>
      <w:kern w:val="14"/>
      <w:sz w:val="16"/>
      <w:szCs w:val="16"/>
      <w:lang w:eastAsia="en-US"/>
    </w:rPr>
  </w:style>
  <w:style w:type="character" w:styleId="CommentReference">
    <w:name w:val="annotation reference"/>
    <w:basedOn w:val="DefaultParagraphFont"/>
    <w:uiPriority w:val="99"/>
    <w:rsid w:val="00E05E1C"/>
    <w:rPr>
      <w:sz w:val="6"/>
    </w:rPr>
  </w:style>
  <w:style w:type="character" w:styleId="FootnoteReference">
    <w:name w:val="footnote reference"/>
    <w:basedOn w:val="DefaultParagraphFont"/>
    <w:semiHidden/>
    <w:rsid w:val="00E05E1C"/>
    <w:rPr>
      <w:spacing w:val="-5"/>
      <w:w w:val="130"/>
      <w:position w:val="-4"/>
      <w:vertAlign w:val="superscript"/>
    </w:rPr>
  </w:style>
  <w:style w:type="character" w:styleId="EndnoteReference">
    <w:name w:val="endnote reference"/>
    <w:basedOn w:val="FootnoteReference"/>
    <w:semiHidden/>
    <w:rsid w:val="00E05E1C"/>
    <w:rPr>
      <w:spacing w:val="-5"/>
      <w:w w:val="130"/>
      <w:position w:val="-4"/>
      <w:vertAlign w:val="superscript"/>
    </w:rPr>
  </w:style>
  <w:style w:type="paragraph" w:styleId="FootnoteText">
    <w:name w:val="footnote text"/>
    <w:basedOn w:val="Normal"/>
    <w:link w:val="FootnoteTextChar"/>
    <w:rsid w:val="00E05E1C"/>
    <w:pPr>
      <w:widowControl w:val="0"/>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E05E1C"/>
    <w:rPr>
      <w:rFonts w:ascii="Times New Roman" w:eastAsia="Times New Roman" w:hAnsi="Times New Roman" w:cs="Times New Roman"/>
      <w:spacing w:val="5"/>
      <w:w w:val="104"/>
      <w:kern w:val="14"/>
      <w:sz w:val="17"/>
      <w:szCs w:val="20"/>
      <w:lang w:eastAsia="en-US"/>
    </w:rPr>
  </w:style>
  <w:style w:type="paragraph" w:styleId="EndnoteText">
    <w:name w:val="endnote text"/>
    <w:basedOn w:val="FootnoteText"/>
    <w:link w:val="EndnoteTextChar"/>
    <w:semiHidden/>
    <w:rsid w:val="00E05E1C"/>
  </w:style>
  <w:style w:type="character" w:customStyle="1" w:styleId="EndnoteTextChar">
    <w:name w:val="Endnote Text Char"/>
    <w:basedOn w:val="DefaultParagraphFont"/>
    <w:link w:val="EndnoteText"/>
    <w:semiHidden/>
    <w:rsid w:val="00E05E1C"/>
    <w:rPr>
      <w:rFonts w:ascii="Times New Roman" w:eastAsia="Times New Roman" w:hAnsi="Times New Roman" w:cs="Times New Roman"/>
      <w:spacing w:val="5"/>
      <w:w w:val="104"/>
      <w:kern w:val="14"/>
      <w:sz w:val="17"/>
      <w:szCs w:val="20"/>
      <w:lang w:eastAsia="en-US"/>
    </w:rPr>
  </w:style>
  <w:style w:type="paragraph" w:styleId="Footer">
    <w:name w:val="footer"/>
    <w:link w:val="FooterChar"/>
    <w:rsid w:val="00E05E1C"/>
    <w:pPr>
      <w:tabs>
        <w:tab w:val="center" w:pos="4320"/>
        <w:tab w:val="right" w:pos="8640"/>
      </w:tabs>
      <w:spacing w:after="0" w:line="240" w:lineRule="auto"/>
    </w:pPr>
    <w:rPr>
      <w:rFonts w:ascii="Times New Roman" w:eastAsia="Times New Roman" w:hAnsi="Times New Roman" w:cs="Times New Roman"/>
      <w:b/>
      <w:noProof/>
      <w:sz w:val="17"/>
      <w:szCs w:val="20"/>
      <w:lang w:val="en-US" w:eastAsia="en-US"/>
    </w:rPr>
  </w:style>
  <w:style w:type="character" w:customStyle="1" w:styleId="FooterChar">
    <w:name w:val="Footer Char"/>
    <w:basedOn w:val="DefaultParagraphFont"/>
    <w:link w:val="Footer"/>
    <w:rsid w:val="00E05E1C"/>
    <w:rPr>
      <w:rFonts w:ascii="Times New Roman" w:eastAsia="Times New Roman" w:hAnsi="Times New Roman" w:cs="Times New Roman"/>
      <w:b/>
      <w:noProof/>
      <w:sz w:val="17"/>
      <w:szCs w:val="20"/>
      <w:lang w:val="en-US" w:eastAsia="en-US"/>
    </w:rPr>
  </w:style>
  <w:style w:type="paragraph" w:styleId="Header">
    <w:name w:val="header"/>
    <w:link w:val="HeaderChar"/>
    <w:uiPriority w:val="99"/>
    <w:rsid w:val="00E05E1C"/>
    <w:pPr>
      <w:tabs>
        <w:tab w:val="center" w:pos="4320"/>
        <w:tab w:val="right" w:pos="8640"/>
      </w:tabs>
      <w:spacing w:after="0" w:line="240" w:lineRule="auto"/>
    </w:pPr>
    <w:rPr>
      <w:rFonts w:ascii="Times New Roman" w:eastAsia="Times New Roman" w:hAnsi="Times New Roman" w:cs="Times New Roman"/>
      <w:noProof/>
      <w:sz w:val="17"/>
      <w:szCs w:val="20"/>
      <w:lang w:val="en-US" w:eastAsia="en-US"/>
    </w:rPr>
  </w:style>
  <w:style w:type="character" w:customStyle="1" w:styleId="HeaderChar">
    <w:name w:val="Header Char"/>
    <w:basedOn w:val="DefaultParagraphFont"/>
    <w:link w:val="Header"/>
    <w:uiPriority w:val="99"/>
    <w:rsid w:val="00E05E1C"/>
    <w:rPr>
      <w:rFonts w:ascii="Times New Roman" w:eastAsia="Times New Roman" w:hAnsi="Times New Roman" w:cs="Times New Roman"/>
      <w:noProof/>
      <w:sz w:val="17"/>
      <w:szCs w:val="20"/>
      <w:lang w:val="en-US" w:eastAsia="en-US"/>
    </w:rPr>
  </w:style>
  <w:style w:type="character" w:styleId="LineNumber">
    <w:name w:val="line number"/>
    <w:basedOn w:val="DefaultParagraphFont"/>
    <w:rsid w:val="00E05E1C"/>
    <w:rPr>
      <w:sz w:val="14"/>
    </w:rPr>
  </w:style>
  <w:style w:type="paragraph" w:customStyle="1" w:styleId="Small">
    <w:name w:val="Small"/>
    <w:basedOn w:val="Normal"/>
    <w:next w:val="Normal"/>
    <w:rsid w:val="00E05E1C"/>
    <w:pPr>
      <w:tabs>
        <w:tab w:val="right" w:pos="9965"/>
      </w:tabs>
      <w:spacing w:line="210" w:lineRule="exact"/>
    </w:pPr>
    <w:rPr>
      <w:spacing w:val="5"/>
      <w:w w:val="104"/>
      <w:sz w:val="17"/>
    </w:rPr>
  </w:style>
  <w:style w:type="paragraph" w:customStyle="1" w:styleId="SmallX">
    <w:name w:val="SmallX"/>
    <w:basedOn w:val="Small"/>
    <w:next w:val="Normal"/>
    <w:rsid w:val="00E05E1C"/>
    <w:pPr>
      <w:spacing w:line="180" w:lineRule="exact"/>
      <w:jc w:val="right"/>
    </w:pPr>
    <w:rPr>
      <w:spacing w:val="6"/>
      <w:w w:val="106"/>
      <w:sz w:val="14"/>
    </w:rPr>
  </w:style>
  <w:style w:type="paragraph" w:customStyle="1" w:styleId="XLarge">
    <w:name w:val="XLarge"/>
    <w:basedOn w:val="HM"/>
    <w:rsid w:val="00E05E1C"/>
    <w:pPr>
      <w:spacing w:line="390" w:lineRule="exact"/>
    </w:pPr>
    <w:rPr>
      <w:spacing w:val="-4"/>
      <w:w w:val="98"/>
      <w:sz w:val="40"/>
    </w:rPr>
  </w:style>
  <w:style w:type="paragraph" w:styleId="CommentText">
    <w:name w:val="annotation text"/>
    <w:basedOn w:val="Normal"/>
    <w:link w:val="CommentTextChar"/>
    <w:semiHidden/>
    <w:rsid w:val="00E05E1C"/>
  </w:style>
  <w:style w:type="character" w:customStyle="1" w:styleId="CommentTextChar">
    <w:name w:val="Comment Text Char"/>
    <w:basedOn w:val="DefaultParagraphFont"/>
    <w:link w:val="CommentText"/>
    <w:semiHidden/>
    <w:rsid w:val="00E05E1C"/>
    <w:rPr>
      <w:rFonts w:ascii="Times New Roman" w:eastAsia="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semiHidden/>
    <w:rsid w:val="00E05E1C"/>
    <w:rPr>
      <w:b/>
      <w:bCs/>
    </w:rPr>
  </w:style>
  <w:style w:type="character" w:customStyle="1" w:styleId="CommentSubjectChar">
    <w:name w:val="Comment Subject Char"/>
    <w:basedOn w:val="CommentTextChar"/>
    <w:link w:val="CommentSubject"/>
    <w:semiHidden/>
    <w:rsid w:val="00E05E1C"/>
    <w:rPr>
      <w:rFonts w:ascii="Times New Roman" w:eastAsia="Times New Roman" w:hAnsi="Times New Roman" w:cs="Times New Roman"/>
      <w:b/>
      <w:bCs/>
      <w:spacing w:val="4"/>
      <w:w w:val="103"/>
      <w:kern w:val="14"/>
      <w:sz w:val="20"/>
      <w:szCs w:val="20"/>
      <w:lang w:eastAsia="en-US"/>
    </w:rPr>
  </w:style>
  <w:style w:type="paragraph" w:customStyle="1" w:styleId="Char">
    <w:name w:val="Char"/>
    <w:basedOn w:val="Normal"/>
    <w:rsid w:val="00E05E1C"/>
    <w:pPr>
      <w:suppressAutoHyphens w:val="0"/>
      <w:spacing w:after="160"/>
    </w:pPr>
    <w:rPr>
      <w:rFonts w:ascii="Arial" w:eastAsia="MS Mincho" w:hAnsi="Arial" w:cs="Arial"/>
      <w:snapToGrid w:val="0"/>
      <w:spacing w:val="0"/>
      <w:w w:val="100"/>
      <w:kern w:val="0"/>
      <w:lang w:eastAsia="ja-JP"/>
    </w:rPr>
  </w:style>
  <w:style w:type="paragraph" w:styleId="PlainText">
    <w:name w:val="Plain Text"/>
    <w:basedOn w:val="Normal"/>
    <w:link w:val="PlainTextChar"/>
    <w:rsid w:val="00E05E1C"/>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rsid w:val="00E05E1C"/>
    <w:rPr>
      <w:rFonts w:ascii="Courier New" w:eastAsia="Times New Roman" w:hAnsi="Courier New" w:cs="Courier New"/>
      <w:sz w:val="20"/>
      <w:szCs w:val="20"/>
      <w:lang w:val="en-US" w:eastAsia="en-US"/>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References,WB Para"/>
    <w:basedOn w:val="Normal"/>
    <w:link w:val="ListParagraphChar"/>
    <w:uiPriority w:val="34"/>
    <w:qFormat/>
    <w:rsid w:val="00E05E1C"/>
    <w:pPr>
      <w:ind w:left="720"/>
      <w:contextualSpacing/>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qFormat/>
    <w:locked/>
    <w:rsid w:val="00E05E1C"/>
    <w:rPr>
      <w:rFonts w:ascii="Times New Roman" w:eastAsia="Times New Roman" w:hAnsi="Times New Roman" w:cs="Times New Roman"/>
      <w:spacing w:val="4"/>
      <w:w w:val="103"/>
      <w:kern w:val="14"/>
      <w:sz w:val="20"/>
      <w:szCs w:val="20"/>
      <w:lang w:eastAsia="en-US"/>
    </w:rPr>
  </w:style>
  <w:style w:type="table" w:styleId="TableGrid">
    <w:name w:val="Table Grid"/>
    <w:basedOn w:val="TableNormal"/>
    <w:rsid w:val="00E05E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05E1C"/>
    <w:rPr>
      <w:strike w:val="0"/>
      <w:dstrike w:val="0"/>
      <w:color w:val="0000FF"/>
      <w:u w:val="none"/>
      <w:effect w:val="none"/>
    </w:rPr>
  </w:style>
  <w:style w:type="paragraph" w:styleId="Revision">
    <w:name w:val="Revision"/>
    <w:hidden/>
    <w:uiPriority w:val="99"/>
    <w:semiHidden/>
    <w:rsid w:val="00B378D6"/>
    <w:pPr>
      <w:spacing w:after="0" w:line="240" w:lineRule="auto"/>
    </w:pPr>
    <w:rPr>
      <w:rFonts w:ascii="Times New Roman" w:eastAsia="Times New Roman" w:hAnsi="Times New Roman" w:cs="Times New Roman"/>
      <w:spacing w:val="4"/>
      <w:w w:val="103"/>
      <w:kern w:val="14"/>
      <w:sz w:val="20"/>
      <w:szCs w:val="20"/>
      <w:lang w:eastAsia="en-US"/>
    </w:rPr>
  </w:style>
  <w:style w:type="paragraph" w:customStyle="1" w:styleId="msonormal0">
    <w:name w:val="msonormal"/>
    <w:basedOn w:val="Normal"/>
    <w:rsid w:val="008260A1"/>
    <w:pPr>
      <w:suppressAutoHyphens w:val="0"/>
      <w:spacing w:before="100" w:beforeAutospacing="1" w:after="100" w:afterAutospacing="1" w:line="240" w:lineRule="auto"/>
    </w:pPr>
    <w:rPr>
      <w:spacing w:val="0"/>
      <w:w w:val="100"/>
      <w:kern w:val="0"/>
      <w:sz w:val="24"/>
      <w:szCs w:val="24"/>
      <w:lang w:val="en-US"/>
    </w:rPr>
  </w:style>
  <w:style w:type="character" w:customStyle="1" w:styleId="Heading5Char">
    <w:name w:val="Heading 5 Char"/>
    <w:basedOn w:val="DefaultParagraphFont"/>
    <w:link w:val="Heading5"/>
    <w:uiPriority w:val="9"/>
    <w:semiHidden/>
    <w:rsid w:val="008703BB"/>
    <w:rPr>
      <w:rFonts w:asciiTheme="majorHAnsi" w:eastAsiaTheme="majorEastAsia" w:hAnsiTheme="majorHAnsi" w:cstheme="majorBidi"/>
      <w:color w:val="365F91" w:themeColor="accent1" w:themeShade="BF"/>
      <w:spacing w:val="4"/>
      <w:w w:val="103"/>
      <w:kern w:val="14"/>
      <w:sz w:val="20"/>
      <w:szCs w:val="20"/>
      <w:lang w:eastAsia="en-US"/>
    </w:rPr>
  </w:style>
  <w:style w:type="paragraph" w:customStyle="1" w:styleId="Default">
    <w:name w:val="Default"/>
    <w:rsid w:val="006A517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BE6369"/>
    <w:rPr>
      <w:rFonts w:asciiTheme="majorHAnsi" w:eastAsiaTheme="majorEastAsia" w:hAnsiTheme="majorHAnsi" w:cstheme="majorBidi"/>
      <w:color w:val="365F91" w:themeColor="accent1" w:themeShade="BF"/>
      <w:spacing w:val="4"/>
      <w:w w:val="103"/>
      <w:kern w:val="14"/>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6653">
      <w:bodyDiv w:val="1"/>
      <w:marLeft w:val="0"/>
      <w:marRight w:val="0"/>
      <w:marTop w:val="0"/>
      <w:marBottom w:val="0"/>
      <w:divBdr>
        <w:top w:val="none" w:sz="0" w:space="0" w:color="auto"/>
        <w:left w:val="none" w:sz="0" w:space="0" w:color="auto"/>
        <w:bottom w:val="none" w:sz="0" w:space="0" w:color="auto"/>
        <w:right w:val="none" w:sz="0" w:space="0" w:color="auto"/>
      </w:divBdr>
    </w:div>
    <w:div w:id="14119930">
      <w:bodyDiv w:val="1"/>
      <w:marLeft w:val="0"/>
      <w:marRight w:val="0"/>
      <w:marTop w:val="0"/>
      <w:marBottom w:val="0"/>
      <w:divBdr>
        <w:top w:val="none" w:sz="0" w:space="0" w:color="auto"/>
        <w:left w:val="none" w:sz="0" w:space="0" w:color="auto"/>
        <w:bottom w:val="none" w:sz="0" w:space="0" w:color="auto"/>
        <w:right w:val="none" w:sz="0" w:space="0" w:color="auto"/>
      </w:divBdr>
    </w:div>
    <w:div w:id="72247021">
      <w:bodyDiv w:val="1"/>
      <w:marLeft w:val="0"/>
      <w:marRight w:val="0"/>
      <w:marTop w:val="0"/>
      <w:marBottom w:val="0"/>
      <w:divBdr>
        <w:top w:val="none" w:sz="0" w:space="0" w:color="auto"/>
        <w:left w:val="none" w:sz="0" w:space="0" w:color="auto"/>
        <w:bottom w:val="none" w:sz="0" w:space="0" w:color="auto"/>
        <w:right w:val="none" w:sz="0" w:space="0" w:color="auto"/>
      </w:divBdr>
    </w:div>
    <w:div w:id="77144081">
      <w:bodyDiv w:val="1"/>
      <w:marLeft w:val="0"/>
      <w:marRight w:val="0"/>
      <w:marTop w:val="0"/>
      <w:marBottom w:val="0"/>
      <w:divBdr>
        <w:top w:val="none" w:sz="0" w:space="0" w:color="auto"/>
        <w:left w:val="none" w:sz="0" w:space="0" w:color="auto"/>
        <w:bottom w:val="none" w:sz="0" w:space="0" w:color="auto"/>
        <w:right w:val="none" w:sz="0" w:space="0" w:color="auto"/>
      </w:divBdr>
    </w:div>
    <w:div w:id="86273998">
      <w:bodyDiv w:val="1"/>
      <w:marLeft w:val="0"/>
      <w:marRight w:val="0"/>
      <w:marTop w:val="0"/>
      <w:marBottom w:val="0"/>
      <w:divBdr>
        <w:top w:val="none" w:sz="0" w:space="0" w:color="auto"/>
        <w:left w:val="none" w:sz="0" w:space="0" w:color="auto"/>
        <w:bottom w:val="none" w:sz="0" w:space="0" w:color="auto"/>
        <w:right w:val="none" w:sz="0" w:space="0" w:color="auto"/>
      </w:divBdr>
    </w:div>
    <w:div w:id="93326067">
      <w:bodyDiv w:val="1"/>
      <w:marLeft w:val="0"/>
      <w:marRight w:val="0"/>
      <w:marTop w:val="0"/>
      <w:marBottom w:val="0"/>
      <w:divBdr>
        <w:top w:val="none" w:sz="0" w:space="0" w:color="auto"/>
        <w:left w:val="none" w:sz="0" w:space="0" w:color="auto"/>
        <w:bottom w:val="none" w:sz="0" w:space="0" w:color="auto"/>
        <w:right w:val="none" w:sz="0" w:space="0" w:color="auto"/>
      </w:divBdr>
    </w:div>
    <w:div w:id="96291311">
      <w:bodyDiv w:val="1"/>
      <w:marLeft w:val="0"/>
      <w:marRight w:val="0"/>
      <w:marTop w:val="0"/>
      <w:marBottom w:val="0"/>
      <w:divBdr>
        <w:top w:val="none" w:sz="0" w:space="0" w:color="auto"/>
        <w:left w:val="none" w:sz="0" w:space="0" w:color="auto"/>
        <w:bottom w:val="none" w:sz="0" w:space="0" w:color="auto"/>
        <w:right w:val="none" w:sz="0" w:space="0" w:color="auto"/>
      </w:divBdr>
    </w:div>
    <w:div w:id="98764043">
      <w:bodyDiv w:val="1"/>
      <w:marLeft w:val="0"/>
      <w:marRight w:val="0"/>
      <w:marTop w:val="0"/>
      <w:marBottom w:val="0"/>
      <w:divBdr>
        <w:top w:val="none" w:sz="0" w:space="0" w:color="auto"/>
        <w:left w:val="none" w:sz="0" w:space="0" w:color="auto"/>
        <w:bottom w:val="none" w:sz="0" w:space="0" w:color="auto"/>
        <w:right w:val="none" w:sz="0" w:space="0" w:color="auto"/>
      </w:divBdr>
    </w:div>
    <w:div w:id="111050544">
      <w:bodyDiv w:val="1"/>
      <w:marLeft w:val="0"/>
      <w:marRight w:val="0"/>
      <w:marTop w:val="0"/>
      <w:marBottom w:val="0"/>
      <w:divBdr>
        <w:top w:val="none" w:sz="0" w:space="0" w:color="auto"/>
        <w:left w:val="none" w:sz="0" w:space="0" w:color="auto"/>
        <w:bottom w:val="none" w:sz="0" w:space="0" w:color="auto"/>
        <w:right w:val="none" w:sz="0" w:space="0" w:color="auto"/>
      </w:divBdr>
    </w:div>
    <w:div w:id="119498263">
      <w:bodyDiv w:val="1"/>
      <w:marLeft w:val="0"/>
      <w:marRight w:val="0"/>
      <w:marTop w:val="0"/>
      <w:marBottom w:val="0"/>
      <w:divBdr>
        <w:top w:val="none" w:sz="0" w:space="0" w:color="auto"/>
        <w:left w:val="none" w:sz="0" w:space="0" w:color="auto"/>
        <w:bottom w:val="none" w:sz="0" w:space="0" w:color="auto"/>
        <w:right w:val="none" w:sz="0" w:space="0" w:color="auto"/>
      </w:divBdr>
    </w:div>
    <w:div w:id="120811141">
      <w:bodyDiv w:val="1"/>
      <w:marLeft w:val="0"/>
      <w:marRight w:val="0"/>
      <w:marTop w:val="0"/>
      <w:marBottom w:val="0"/>
      <w:divBdr>
        <w:top w:val="none" w:sz="0" w:space="0" w:color="auto"/>
        <w:left w:val="none" w:sz="0" w:space="0" w:color="auto"/>
        <w:bottom w:val="none" w:sz="0" w:space="0" w:color="auto"/>
        <w:right w:val="none" w:sz="0" w:space="0" w:color="auto"/>
      </w:divBdr>
    </w:div>
    <w:div w:id="128130713">
      <w:bodyDiv w:val="1"/>
      <w:marLeft w:val="0"/>
      <w:marRight w:val="0"/>
      <w:marTop w:val="0"/>
      <w:marBottom w:val="0"/>
      <w:divBdr>
        <w:top w:val="none" w:sz="0" w:space="0" w:color="auto"/>
        <w:left w:val="none" w:sz="0" w:space="0" w:color="auto"/>
        <w:bottom w:val="none" w:sz="0" w:space="0" w:color="auto"/>
        <w:right w:val="none" w:sz="0" w:space="0" w:color="auto"/>
      </w:divBdr>
    </w:div>
    <w:div w:id="136799768">
      <w:bodyDiv w:val="1"/>
      <w:marLeft w:val="0"/>
      <w:marRight w:val="0"/>
      <w:marTop w:val="0"/>
      <w:marBottom w:val="0"/>
      <w:divBdr>
        <w:top w:val="none" w:sz="0" w:space="0" w:color="auto"/>
        <w:left w:val="none" w:sz="0" w:space="0" w:color="auto"/>
        <w:bottom w:val="none" w:sz="0" w:space="0" w:color="auto"/>
        <w:right w:val="none" w:sz="0" w:space="0" w:color="auto"/>
      </w:divBdr>
    </w:div>
    <w:div w:id="148399488">
      <w:bodyDiv w:val="1"/>
      <w:marLeft w:val="0"/>
      <w:marRight w:val="0"/>
      <w:marTop w:val="0"/>
      <w:marBottom w:val="0"/>
      <w:divBdr>
        <w:top w:val="none" w:sz="0" w:space="0" w:color="auto"/>
        <w:left w:val="none" w:sz="0" w:space="0" w:color="auto"/>
        <w:bottom w:val="none" w:sz="0" w:space="0" w:color="auto"/>
        <w:right w:val="none" w:sz="0" w:space="0" w:color="auto"/>
      </w:divBdr>
    </w:div>
    <w:div w:id="154880240">
      <w:bodyDiv w:val="1"/>
      <w:marLeft w:val="0"/>
      <w:marRight w:val="0"/>
      <w:marTop w:val="0"/>
      <w:marBottom w:val="0"/>
      <w:divBdr>
        <w:top w:val="none" w:sz="0" w:space="0" w:color="auto"/>
        <w:left w:val="none" w:sz="0" w:space="0" w:color="auto"/>
        <w:bottom w:val="none" w:sz="0" w:space="0" w:color="auto"/>
        <w:right w:val="none" w:sz="0" w:space="0" w:color="auto"/>
      </w:divBdr>
    </w:div>
    <w:div w:id="156577472">
      <w:bodyDiv w:val="1"/>
      <w:marLeft w:val="0"/>
      <w:marRight w:val="0"/>
      <w:marTop w:val="0"/>
      <w:marBottom w:val="0"/>
      <w:divBdr>
        <w:top w:val="none" w:sz="0" w:space="0" w:color="auto"/>
        <w:left w:val="none" w:sz="0" w:space="0" w:color="auto"/>
        <w:bottom w:val="none" w:sz="0" w:space="0" w:color="auto"/>
        <w:right w:val="none" w:sz="0" w:space="0" w:color="auto"/>
      </w:divBdr>
    </w:div>
    <w:div w:id="171380609">
      <w:bodyDiv w:val="1"/>
      <w:marLeft w:val="0"/>
      <w:marRight w:val="0"/>
      <w:marTop w:val="0"/>
      <w:marBottom w:val="0"/>
      <w:divBdr>
        <w:top w:val="none" w:sz="0" w:space="0" w:color="auto"/>
        <w:left w:val="none" w:sz="0" w:space="0" w:color="auto"/>
        <w:bottom w:val="none" w:sz="0" w:space="0" w:color="auto"/>
        <w:right w:val="none" w:sz="0" w:space="0" w:color="auto"/>
      </w:divBdr>
    </w:div>
    <w:div w:id="184443885">
      <w:bodyDiv w:val="1"/>
      <w:marLeft w:val="0"/>
      <w:marRight w:val="0"/>
      <w:marTop w:val="0"/>
      <w:marBottom w:val="0"/>
      <w:divBdr>
        <w:top w:val="none" w:sz="0" w:space="0" w:color="auto"/>
        <w:left w:val="none" w:sz="0" w:space="0" w:color="auto"/>
        <w:bottom w:val="none" w:sz="0" w:space="0" w:color="auto"/>
        <w:right w:val="none" w:sz="0" w:space="0" w:color="auto"/>
      </w:divBdr>
    </w:div>
    <w:div w:id="186256555">
      <w:bodyDiv w:val="1"/>
      <w:marLeft w:val="0"/>
      <w:marRight w:val="0"/>
      <w:marTop w:val="0"/>
      <w:marBottom w:val="0"/>
      <w:divBdr>
        <w:top w:val="none" w:sz="0" w:space="0" w:color="auto"/>
        <w:left w:val="none" w:sz="0" w:space="0" w:color="auto"/>
        <w:bottom w:val="none" w:sz="0" w:space="0" w:color="auto"/>
        <w:right w:val="none" w:sz="0" w:space="0" w:color="auto"/>
      </w:divBdr>
    </w:div>
    <w:div w:id="216746767">
      <w:bodyDiv w:val="1"/>
      <w:marLeft w:val="0"/>
      <w:marRight w:val="0"/>
      <w:marTop w:val="0"/>
      <w:marBottom w:val="0"/>
      <w:divBdr>
        <w:top w:val="none" w:sz="0" w:space="0" w:color="auto"/>
        <w:left w:val="none" w:sz="0" w:space="0" w:color="auto"/>
        <w:bottom w:val="none" w:sz="0" w:space="0" w:color="auto"/>
        <w:right w:val="none" w:sz="0" w:space="0" w:color="auto"/>
      </w:divBdr>
    </w:div>
    <w:div w:id="242105580">
      <w:bodyDiv w:val="1"/>
      <w:marLeft w:val="0"/>
      <w:marRight w:val="0"/>
      <w:marTop w:val="0"/>
      <w:marBottom w:val="0"/>
      <w:divBdr>
        <w:top w:val="none" w:sz="0" w:space="0" w:color="auto"/>
        <w:left w:val="none" w:sz="0" w:space="0" w:color="auto"/>
        <w:bottom w:val="none" w:sz="0" w:space="0" w:color="auto"/>
        <w:right w:val="none" w:sz="0" w:space="0" w:color="auto"/>
      </w:divBdr>
    </w:div>
    <w:div w:id="255792997">
      <w:bodyDiv w:val="1"/>
      <w:marLeft w:val="0"/>
      <w:marRight w:val="0"/>
      <w:marTop w:val="0"/>
      <w:marBottom w:val="0"/>
      <w:divBdr>
        <w:top w:val="none" w:sz="0" w:space="0" w:color="auto"/>
        <w:left w:val="none" w:sz="0" w:space="0" w:color="auto"/>
        <w:bottom w:val="none" w:sz="0" w:space="0" w:color="auto"/>
        <w:right w:val="none" w:sz="0" w:space="0" w:color="auto"/>
      </w:divBdr>
    </w:div>
    <w:div w:id="257759841">
      <w:bodyDiv w:val="1"/>
      <w:marLeft w:val="0"/>
      <w:marRight w:val="0"/>
      <w:marTop w:val="0"/>
      <w:marBottom w:val="0"/>
      <w:divBdr>
        <w:top w:val="none" w:sz="0" w:space="0" w:color="auto"/>
        <w:left w:val="none" w:sz="0" w:space="0" w:color="auto"/>
        <w:bottom w:val="none" w:sz="0" w:space="0" w:color="auto"/>
        <w:right w:val="none" w:sz="0" w:space="0" w:color="auto"/>
      </w:divBdr>
    </w:div>
    <w:div w:id="258296431">
      <w:bodyDiv w:val="1"/>
      <w:marLeft w:val="0"/>
      <w:marRight w:val="0"/>
      <w:marTop w:val="0"/>
      <w:marBottom w:val="0"/>
      <w:divBdr>
        <w:top w:val="none" w:sz="0" w:space="0" w:color="auto"/>
        <w:left w:val="none" w:sz="0" w:space="0" w:color="auto"/>
        <w:bottom w:val="none" w:sz="0" w:space="0" w:color="auto"/>
        <w:right w:val="none" w:sz="0" w:space="0" w:color="auto"/>
      </w:divBdr>
    </w:div>
    <w:div w:id="258371642">
      <w:bodyDiv w:val="1"/>
      <w:marLeft w:val="0"/>
      <w:marRight w:val="0"/>
      <w:marTop w:val="0"/>
      <w:marBottom w:val="0"/>
      <w:divBdr>
        <w:top w:val="none" w:sz="0" w:space="0" w:color="auto"/>
        <w:left w:val="none" w:sz="0" w:space="0" w:color="auto"/>
        <w:bottom w:val="none" w:sz="0" w:space="0" w:color="auto"/>
        <w:right w:val="none" w:sz="0" w:space="0" w:color="auto"/>
      </w:divBdr>
    </w:div>
    <w:div w:id="262037811">
      <w:bodyDiv w:val="1"/>
      <w:marLeft w:val="0"/>
      <w:marRight w:val="0"/>
      <w:marTop w:val="0"/>
      <w:marBottom w:val="0"/>
      <w:divBdr>
        <w:top w:val="none" w:sz="0" w:space="0" w:color="auto"/>
        <w:left w:val="none" w:sz="0" w:space="0" w:color="auto"/>
        <w:bottom w:val="none" w:sz="0" w:space="0" w:color="auto"/>
        <w:right w:val="none" w:sz="0" w:space="0" w:color="auto"/>
      </w:divBdr>
    </w:div>
    <w:div w:id="263612503">
      <w:bodyDiv w:val="1"/>
      <w:marLeft w:val="0"/>
      <w:marRight w:val="0"/>
      <w:marTop w:val="0"/>
      <w:marBottom w:val="0"/>
      <w:divBdr>
        <w:top w:val="none" w:sz="0" w:space="0" w:color="auto"/>
        <w:left w:val="none" w:sz="0" w:space="0" w:color="auto"/>
        <w:bottom w:val="none" w:sz="0" w:space="0" w:color="auto"/>
        <w:right w:val="none" w:sz="0" w:space="0" w:color="auto"/>
      </w:divBdr>
    </w:div>
    <w:div w:id="283924962">
      <w:bodyDiv w:val="1"/>
      <w:marLeft w:val="0"/>
      <w:marRight w:val="0"/>
      <w:marTop w:val="0"/>
      <w:marBottom w:val="0"/>
      <w:divBdr>
        <w:top w:val="none" w:sz="0" w:space="0" w:color="auto"/>
        <w:left w:val="none" w:sz="0" w:space="0" w:color="auto"/>
        <w:bottom w:val="none" w:sz="0" w:space="0" w:color="auto"/>
        <w:right w:val="none" w:sz="0" w:space="0" w:color="auto"/>
      </w:divBdr>
    </w:div>
    <w:div w:id="284429603">
      <w:bodyDiv w:val="1"/>
      <w:marLeft w:val="0"/>
      <w:marRight w:val="0"/>
      <w:marTop w:val="0"/>
      <w:marBottom w:val="0"/>
      <w:divBdr>
        <w:top w:val="none" w:sz="0" w:space="0" w:color="auto"/>
        <w:left w:val="none" w:sz="0" w:space="0" w:color="auto"/>
        <w:bottom w:val="none" w:sz="0" w:space="0" w:color="auto"/>
        <w:right w:val="none" w:sz="0" w:space="0" w:color="auto"/>
      </w:divBdr>
    </w:div>
    <w:div w:id="324867936">
      <w:bodyDiv w:val="1"/>
      <w:marLeft w:val="0"/>
      <w:marRight w:val="0"/>
      <w:marTop w:val="0"/>
      <w:marBottom w:val="0"/>
      <w:divBdr>
        <w:top w:val="none" w:sz="0" w:space="0" w:color="auto"/>
        <w:left w:val="none" w:sz="0" w:space="0" w:color="auto"/>
        <w:bottom w:val="none" w:sz="0" w:space="0" w:color="auto"/>
        <w:right w:val="none" w:sz="0" w:space="0" w:color="auto"/>
      </w:divBdr>
    </w:div>
    <w:div w:id="390932613">
      <w:bodyDiv w:val="1"/>
      <w:marLeft w:val="0"/>
      <w:marRight w:val="0"/>
      <w:marTop w:val="0"/>
      <w:marBottom w:val="0"/>
      <w:divBdr>
        <w:top w:val="none" w:sz="0" w:space="0" w:color="auto"/>
        <w:left w:val="none" w:sz="0" w:space="0" w:color="auto"/>
        <w:bottom w:val="none" w:sz="0" w:space="0" w:color="auto"/>
        <w:right w:val="none" w:sz="0" w:space="0" w:color="auto"/>
      </w:divBdr>
    </w:div>
    <w:div w:id="413481244">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36487133">
      <w:bodyDiv w:val="1"/>
      <w:marLeft w:val="0"/>
      <w:marRight w:val="0"/>
      <w:marTop w:val="0"/>
      <w:marBottom w:val="0"/>
      <w:divBdr>
        <w:top w:val="none" w:sz="0" w:space="0" w:color="auto"/>
        <w:left w:val="none" w:sz="0" w:space="0" w:color="auto"/>
        <w:bottom w:val="none" w:sz="0" w:space="0" w:color="auto"/>
        <w:right w:val="none" w:sz="0" w:space="0" w:color="auto"/>
      </w:divBdr>
    </w:div>
    <w:div w:id="453329417">
      <w:bodyDiv w:val="1"/>
      <w:marLeft w:val="0"/>
      <w:marRight w:val="0"/>
      <w:marTop w:val="0"/>
      <w:marBottom w:val="0"/>
      <w:divBdr>
        <w:top w:val="none" w:sz="0" w:space="0" w:color="auto"/>
        <w:left w:val="none" w:sz="0" w:space="0" w:color="auto"/>
        <w:bottom w:val="none" w:sz="0" w:space="0" w:color="auto"/>
        <w:right w:val="none" w:sz="0" w:space="0" w:color="auto"/>
      </w:divBdr>
    </w:div>
    <w:div w:id="476997543">
      <w:bodyDiv w:val="1"/>
      <w:marLeft w:val="0"/>
      <w:marRight w:val="0"/>
      <w:marTop w:val="0"/>
      <w:marBottom w:val="0"/>
      <w:divBdr>
        <w:top w:val="none" w:sz="0" w:space="0" w:color="auto"/>
        <w:left w:val="none" w:sz="0" w:space="0" w:color="auto"/>
        <w:bottom w:val="none" w:sz="0" w:space="0" w:color="auto"/>
        <w:right w:val="none" w:sz="0" w:space="0" w:color="auto"/>
      </w:divBdr>
    </w:div>
    <w:div w:id="493033888">
      <w:bodyDiv w:val="1"/>
      <w:marLeft w:val="0"/>
      <w:marRight w:val="0"/>
      <w:marTop w:val="0"/>
      <w:marBottom w:val="0"/>
      <w:divBdr>
        <w:top w:val="none" w:sz="0" w:space="0" w:color="auto"/>
        <w:left w:val="none" w:sz="0" w:space="0" w:color="auto"/>
        <w:bottom w:val="none" w:sz="0" w:space="0" w:color="auto"/>
        <w:right w:val="none" w:sz="0" w:space="0" w:color="auto"/>
      </w:divBdr>
    </w:div>
    <w:div w:id="545290893">
      <w:bodyDiv w:val="1"/>
      <w:marLeft w:val="0"/>
      <w:marRight w:val="0"/>
      <w:marTop w:val="0"/>
      <w:marBottom w:val="0"/>
      <w:divBdr>
        <w:top w:val="none" w:sz="0" w:space="0" w:color="auto"/>
        <w:left w:val="none" w:sz="0" w:space="0" w:color="auto"/>
        <w:bottom w:val="none" w:sz="0" w:space="0" w:color="auto"/>
        <w:right w:val="none" w:sz="0" w:space="0" w:color="auto"/>
      </w:divBdr>
    </w:div>
    <w:div w:id="565531212">
      <w:bodyDiv w:val="1"/>
      <w:marLeft w:val="0"/>
      <w:marRight w:val="0"/>
      <w:marTop w:val="0"/>
      <w:marBottom w:val="0"/>
      <w:divBdr>
        <w:top w:val="none" w:sz="0" w:space="0" w:color="auto"/>
        <w:left w:val="none" w:sz="0" w:space="0" w:color="auto"/>
        <w:bottom w:val="none" w:sz="0" w:space="0" w:color="auto"/>
        <w:right w:val="none" w:sz="0" w:space="0" w:color="auto"/>
      </w:divBdr>
    </w:div>
    <w:div w:id="602493006">
      <w:bodyDiv w:val="1"/>
      <w:marLeft w:val="0"/>
      <w:marRight w:val="0"/>
      <w:marTop w:val="0"/>
      <w:marBottom w:val="0"/>
      <w:divBdr>
        <w:top w:val="none" w:sz="0" w:space="0" w:color="auto"/>
        <w:left w:val="none" w:sz="0" w:space="0" w:color="auto"/>
        <w:bottom w:val="none" w:sz="0" w:space="0" w:color="auto"/>
        <w:right w:val="none" w:sz="0" w:space="0" w:color="auto"/>
      </w:divBdr>
    </w:div>
    <w:div w:id="604964086">
      <w:bodyDiv w:val="1"/>
      <w:marLeft w:val="0"/>
      <w:marRight w:val="0"/>
      <w:marTop w:val="0"/>
      <w:marBottom w:val="0"/>
      <w:divBdr>
        <w:top w:val="none" w:sz="0" w:space="0" w:color="auto"/>
        <w:left w:val="none" w:sz="0" w:space="0" w:color="auto"/>
        <w:bottom w:val="none" w:sz="0" w:space="0" w:color="auto"/>
        <w:right w:val="none" w:sz="0" w:space="0" w:color="auto"/>
      </w:divBdr>
    </w:div>
    <w:div w:id="659231649">
      <w:bodyDiv w:val="1"/>
      <w:marLeft w:val="0"/>
      <w:marRight w:val="0"/>
      <w:marTop w:val="0"/>
      <w:marBottom w:val="0"/>
      <w:divBdr>
        <w:top w:val="none" w:sz="0" w:space="0" w:color="auto"/>
        <w:left w:val="none" w:sz="0" w:space="0" w:color="auto"/>
        <w:bottom w:val="none" w:sz="0" w:space="0" w:color="auto"/>
        <w:right w:val="none" w:sz="0" w:space="0" w:color="auto"/>
      </w:divBdr>
    </w:div>
    <w:div w:id="664671906">
      <w:bodyDiv w:val="1"/>
      <w:marLeft w:val="0"/>
      <w:marRight w:val="0"/>
      <w:marTop w:val="0"/>
      <w:marBottom w:val="0"/>
      <w:divBdr>
        <w:top w:val="none" w:sz="0" w:space="0" w:color="auto"/>
        <w:left w:val="none" w:sz="0" w:space="0" w:color="auto"/>
        <w:bottom w:val="none" w:sz="0" w:space="0" w:color="auto"/>
        <w:right w:val="none" w:sz="0" w:space="0" w:color="auto"/>
      </w:divBdr>
    </w:div>
    <w:div w:id="686953935">
      <w:bodyDiv w:val="1"/>
      <w:marLeft w:val="0"/>
      <w:marRight w:val="0"/>
      <w:marTop w:val="0"/>
      <w:marBottom w:val="0"/>
      <w:divBdr>
        <w:top w:val="none" w:sz="0" w:space="0" w:color="auto"/>
        <w:left w:val="none" w:sz="0" w:space="0" w:color="auto"/>
        <w:bottom w:val="none" w:sz="0" w:space="0" w:color="auto"/>
        <w:right w:val="none" w:sz="0" w:space="0" w:color="auto"/>
      </w:divBdr>
    </w:div>
    <w:div w:id="689061864">
      <w:bodyDiv w:val="1"/>
      <w:marLeft w:val="0"/>
      <w:marRight w:val="0"/>
      <w:marTop w:val="0"/>
      <w:marBottom w:val="0"/>
      <w:divBdr>
        <w:top w:val="none" w:sz="0" w:space="0" w:color="auto"/>
        <w:left w:val="none" w:sz="0" w:space="0" w:color="auto"/>
        <w:bottom w:val="none" w:sz="0" w:space="0" w:color="auto"/>
        <w:right w:val="none" w:sz="0" w:space="0" w:color="auto"/>
      </w:divBdr>
    </w:div>
    <w:div w:id="693730923">
      <w:bodyDiv w:val="1"/>
      <w:marLeft w:val="0"/>
      <w:marRight w:val="0"/>
      <w:marTop w:val="0"/>
      <w:marBottom w:val="0"/>
      <w:divBdr>
        <w:top w:val="none" w:sz="0" w:space="0" w:color="auto"/>
        <w:left w:val="none" w:sz="0" w:space="0" w:color="auto"/>
        <w:bottom w:val="none" w:sz="0" w:space="0" w:color="auto"/>
        <w:right w:val="none" w:sz="0" w:space="0" w:color="auto"/>
      </w:divBdr>
    </w:div>
    <w:div w:id="695085031">
      <w:bodyDiv w:val="1"/>
      <w:marLeft w:val="0"/>
      <w:marRight w:val="0"/>
      <w:marTop w:val="0"/>
      <w:marBottom w:val="0"/>
      <w:divBdr>
        <w:top w:val="none" w:sz="0" w:space="0" w:color="auto"/>
        <w:left w:val="none" w:sz="0" w:space="0" w:color="auto"/>
        <w:bottom w:val="none" w:sz="0" w:space="0" w:color="auto"/>
        <w:right w:val="none" w:sz="0" w:space="0" w:color="auto"/>
      </w:divBdr>
    </w:div>
    <w:div w:id="698507366">
      <w:bodyDiv w:val="1"/>
      <w:marLeft w:val="0"/>
      <w:marRight w:val="0"/>
      <w:marTop w:val="0"/>
      <w:marBottom w:val="0"/>
      <w:divBdr>
        <w:top w:val="none" w:sz="0" w:space="0" w:color="auto"/>
        <w:left w:val="none" w:sz="0" w:space="0" w:color="auto"/>
        <w:bottom w:val="none" w:sz="0" w:space="0" w:color="auto"/>
        <w:right w:val="none" w:sz="0" w:space="0" w:color="auto"/>
      </w:divBdr>
    </w:div>
    <w:div w:id="724959801">
      <w:bodyDiv w:val="1"/>
      <w:marLeft w:val="0"/>
      <w:marRight w:val="0"/>
      <w:marTop w:val="0"/>
      <w:marBottom w:val="0"/>
      <w:divBdr>
        <w:top w:val="none" w:sz="0" w:space="0" w:color="auto"/>
        <w:left w:val="none" w:sz="0" w:space="0" w:color="auto"/>
        <w:bottom w:val="none" w:sz="0" w:space="0" w:color="auto"/>
        <w:right w:val="none" w:sz="0" w:space="0" w:color="auto"/>
      </w:divBdr>
    </w:div>
    <w:div w:id="745343042">
      <w:bodyDiv w:val="1"/>
      <w:marLeft w:val="0"/>
      <w:marRight w:val="0"/>
      <w:marTop w:val="0"/>
      <w:marBottom w:val="0"/>
      <w:divBdr>
        <w:top w:val="none" w:sz="0" w:space="0" w:color="auto"/>
        <w:left w:val="none" w:sz="0" w:space="0" w:color="auto"/>
        <w:bottom w:val="none" w:sz="0" w:space="0" w:color="auto"/>
        <w:right w:val="none" w:sz="0" w:space="0" w:color="auto"/>
      </w:divBdr>
    </w:div>
    <w:div w:id="756363354">
      <w:bodyDiv w:val="1"/>
      <w:marLeft w:val="0"/>
      <w:marRight w:val="0"/>
      <w:marTop w:val="0"/>
      <w:marBottom w:val="0"/>
      <w:divBdr>
        <w:top w:val="none" w:sz="0" w:space="0" w:color="auto"/>
        <w:left w:val="none" w:sz="0" w:space="0" w:color="auto"/>
        <w:bottom w:val="none" w:sz="0" w:space="0" w:color="auto"/>
        <w:right w:val="none" w:sz="0" w:space="0" w:color="auto"/>
      </w:divBdr>
    </w:div>
    <w:div w:id="789864855">
      <w:bodyDiv w:val="1"/>
      <w:marLeft w:val="0"/>
      <w:marRight w:val="0"/>
      <w:marTop w:val="0"/>
      <w:marBottom w:val="0"/>
      <w:divBdr>
        <w:top w:val="none" w:sz="0" w:space="0" w:color="auto"/>
        <w:left w:val="none" w:sz="0" w:space="0" w:color="auto"/>
        <w:bottom w:val="none" w:sz="0" w:space="0" w:color="auto"/>
        <w:right w:val="none" w:sz="0" w:space="0" w:color="auto"/>
      </w:divBdr>
    </w:div>
    <w:div w:id="873884714">
      <w:bodyDiv w:val="1"/>
      <w:marLeft w:val="0"/>
      <w:marRight w:val="0"/>
      <w:marTop w:val="0"/>
      <w:marBottom w:val="0"/>
      <w:divBdr>
        <w:top w:val="none" w:sz="0" w:space="0" w:color="auto"/>
        <w:left w:val="none" w:sz="0" w:space="0" w:color="auto"/>
        <w:bottom w:val="none" w:sz="0" w:space="0" w:color="auto"/>
        <w:right w:val="none" w:sz="0" w:space="0" w:color="auto"/>
      </w:divBdr>
    </w:div>
    <w:div w:id="877010603">
      <w:bodyDiv w:val="1"/>
      <w:marLeft w:val="0"/>
      <w:marRight w:val="0"/>
      <w:marTop w:val="0"/>
      <w:marBottom w:val="0"/>
      <w:divBdr>
        <w:top w:val="none" w:sz="0" w:space="0" w:color="auto"/>
        <w:left w:val="none" w:sz="0" w:space="0" w:color="auto"/>
        <w:bottom w:val="none" w:sz="0" w:space="0" w:color="auto"/>
        <w:right w:val="none" w:sz="0" w:space="0" w:color="auto"/>
      </w:divBdr>
    </w:div>
    <w:div w:id="888765178">
      <w:bodyDiv w:val="1"/>
      <w:marLeft w:val="0"/>
      <w:marRight w:val="0"/>
      <w:marTop w:val="0"/>
      <w:marBottom w:val="0"/>
      <w:divBdr>
        <w:top w:val="none" w:sz="0" w:space="0" w:color="auto"/>
        <w:left w:val="none" w:sz="0" w:space="0" w:color="auto"/>
        <w:bottom w:val="none" w:sz="0" w:space="0" w:color="auto"/>
        <w:right w:val="none" w:sz="0" w:space="0" w:color="auto"/>
      </w:divBdr>
    </w:div>
    <w:div w:id="892740462">
      <w:bodyDiv w:val="1"/>
      <w:marLeft w:val="0"/>
      <w:marRight w:val="0"/>
      <w:marTop w:val="0"/>
      <w:marBottom w:val="0"/>
      <w:divBdr>
        <w:top w:val="none" w:sz="0" w:space="0" w:color="auto"/>
        <w:left w:val="none" w:sz="0" w:space="0" w:color="auto"/>
        <w:bottom w:val="none" w:sz="0" w:space="0" w:color="auto"/>
        <w:right w:val="none" w:sz="0" w:space="0" w:color="auto"/>
      </w:divBdr>
    </w:div>
    <w:div w:id="923026640">
      <w:bodyDiv w:val="1"/>
      <w:marLeft w:val="0"/>
      <w:marRight w:val="0"/>
      <w:marTop w:val="0"/>
      <w:marBottom w:val="0"/>
      <w:divBdr>
        <w:top w:val="none" w:sz="0" w:space="0" w:color="auto"/>
        <w:left w:val="none" w:sz="0" w:space="0" w:color="auto"/>
        <w:bottom w:val="none" w:sz="0" w:space="0" w:color="auto"/>
        <w:right w:val="none" w:sz="0" w:space="0" w:color="auto"/>
      </w:divBdr>
    </w:div>
    <w:div w:id="937176961">
      <w:bodyDiv w:val="1"/>
      <w:marLeft w:val="0"/>
      <w:marRight w:val="0"/>
      <w:marTop w:val="0"/>
      <w:marBottom w:val="0"/>
      <w:divBdr>
        <w:top w:val="none" w:sz="0" w:space="0" w:color="auto"/>
        <w:left w:val="none" w:sz="0" w:space="0" w:color="auto"/>
        <w:bottom w:val="none" w:sz="0" w:space="0" w:color="auto"/>
        <w:right w:val="none" w:sz="0" w:space="0" w:color="auto"/>
      </w:divBdr>
    </w:div>
    <w:div w:id="983777343">
      <w:bodyDiv w:val="1"/>
      <w:marLeft w:val="0"/>
      <w:marRight w:val="0"/>
      <w:marTop w:val="0"/>
      <w:marBottom w:val="0"/>
      <w:divBdr>
        <w:top w:val="none" w:sz="0" w:space="0" w:color="auto"/>
        <w:left w:val="none" w:sz="0" w:space="0" w:color="auto"/>
        <w:bottom w:val="none" w:sz="0" w:space="0" w:color="auto"/>
        <w:right w:val="none" w:sz="0" w:space="0" w:color="auto"/>
      </w:divBdr>
    </w:div>
    <w:div w:id="983898636">
      <w:bodyDiv w:val="1"/>
      <w:marLeft w:val="0"/>
      <w:marRight w:val="0"/>
      <w:marTop w:val="0"/>
      <w:marBottom w:val="0"/>
      <w:divBdr>
        <w:top w:val="none" w:sz="0" w:space="0" w:color="auto"/>
        <w:left w:val="none" w:sz="0" w:space="0" w:color="auto"/>
        <w:bottom w:val="none" w:sz="0" w:space="0" w:color="auto"/>
        <w:right w:val="none" w:sz="0" w:space="0" w:color="auto"/>
      </w:divBdr>
    </w:div>
    <w:div w:id="1156534453">
      <w:bodyDiv w:val="1"/>
      <w:marLeft w:val="0"/>
      <w:marRight w:val="0"/>
      <w:marTop w:val="0"/>
      <w:marBottom w:val="0"/>
      <w:divBdr>
        <w:top w:val="none" w:sz="0" w:space="0" w:color="auto"/>
        <w:left w:val="none" w:sz="0" w:space="0" w:color="auto"/>
        <w:bottom w:val="none" w:sz="0" w:space="0" w:color="auto"/>
        <w:right w:val="none" w:sz="0" w:space="0" w:color="auto"/>
      </w:divBdr>
    </w:div>
    <w:div w:id="1172334388">
      <w:bodyDiv w:val="1"/>
      <w:marLeft w:val="0"/>
      <w:marRight w:val="0"/>
      <w:marTop w:val="0"/>
      <w:marBottom w:val="0"/>
      <w:divBdr>
        <w:top w:val="none" w:sz="0" w:space="0" w:color="auto"/>
        <w:left w:val="none" w:sz="0" w:space="0" w:color="auto"/>
        <w:bottom w:val="none" w:sz="0" w:space="0" w:color="auto"/>
        <w:right w:val="none" w:sz="0" w:space="0" w:color="auto"/>
      </w:divBdr>
    </w:div>
    <w:div w:id="1179731169">
      <w:bodyDiv w:val="1"/>
      <w:marLeft w:val="0"/>
      <w:marRight w:val="0"/>
      <w:marTop w:val="0"/>
      <w:marBottom w:val="0"/>
      <w:divBdr>
        <w:top w:val="none" w:sz="0" w:space="0" w:color="auto"/>
        <w:left w:val="none" w:sz="0" w:space="0" w:color="auto"/>
        <w:bottom w:val="none" w:sz="0" w:space="0" w:color="auto"/>
        <w:right w:val="none" w:sz="0" w:space="0" w:color="auto"/>
      </w:divBdr>
    </w:div>
    <w:div w:id="1192769362">
      <w:bodyDiv w:val="1"/>
      <w:marLeft w:val="0"/>
      <w:marRight w:val="0"/>
      <w:marTop w:val="0"/>
      <w:marBottom w:val="0"/>
      <w:divBdr>
        <w:top w:val="none" w:sz="0" w:space="0" w:color="auto"/>
        <w:left w:val="none" w:sz="0" w:space="0" w:color="auto"/>
        <w:bottom w:val="none" w:sz="0" w:space="0" w:color="auto"/>
        <w:right w:val="none" w:sz="0" w:space="0" w:color="auto"/>
      </w:divBdr>
    </w:div>
    <w:div w:id="1208296255">
      <w:bodyDiv w:val="1"/>
      <w:marLeft w:val="0"/>
      <w:marRight w:val="0"/>
      <w:marTop w:val="0"/>
      <w:marBottom w:val="0"/>
      <w:divBdr>
        <w:top w:val="none" w:sz="0" w:space="0" w:color="auto"/>
        <w:left w:val="none" w:sz="0" w:space="0" w:color="auto"/>
        <w:bottom w:val="none" w:sz="0" w:space="0" w:color="auto"/>
        <w:right w:val="none" w:sz="0" w:space="0" w:color="auto"/>
      </w:divBdr>
    </w:div>
    <w:div w:id="1212183077">
      <w:bodyDiv w:val="1"/>
      <w:marLeft w:val="0"/>
      <w:marRight w:val="0"/>
      <w:marTop w:val="0"/>
      <w:marBottom w:val="0"/>
      <w:divBdr>
        <w:top w:val="none" w:sz="0" w:space="0" w:color="auto"/>
        <w:left w:val="none" w:sz="0" w:space="0" w:color="auto"/>
        <w:bottom w:val="none" w:sz="0" w:space="0" w:color="auto"/>
        <w:right w:val="none" w:sz="0" w:space="0" w:color="auto"/>
      </w:divBdr>
    </w:div>
    <w:div w:id="1213078816">
      <w:bodyDiv w:val="1"/>
      <w:marLeft w:val="0"/>
      <w:marRight w:val="0"/>
      <w:marTop w:val="0"/>
      <w:marBottom w:val="0"/>
      <w:divBdr>
        <w:top w:val="none" w:sz="0" w:space="0" w:color="auto"/>
        <w:left w:val="none" w:sz="0" w:space="0" w:color="auto"/>
        <w:bottom w:val="none" w:sz="0" w:space="0" w:color="auto"/>
        <w:right w:val="none" w:sz="0" w:space="0" w:color="auto"/>
      </w:divBdr>
    </w:div>
    <w:div w:id="1214540855">
      <w:bodyDiv w:val="1"/>
      <w:marLeft w:val="0"/>
      <w:marRight w:val="0"/>
      <w:marTop w:val="0"/>
      <w:marBottom w:val="0"/>
      <w:divBdr>
        <w:top w:val="none" w:sz="0" w:space="0" w:color="auto"/>
        <w:left w:val="none" w:sz="0" w:space="0" w:color="auto"/>
        <w:bottom w:val="none" w:sz="0" w:space="0" w:color="auto"/>
        <w:right w:val="none" w:sz="0" w:space="0" w:color="auto"/>
      </w:divBdr>
    </w:div>
    <w:div w:id="1241334125">
      <w:bodyDiv w:val="1"/>
      <w:marLeft w:val="0"/>
      <w:marRight w:val="0"/>
      <w:marTop w:val="0"/>
      <w:marBottom w:val="0"/>
      <w:divBdr>
        <w:top w:val="none" w:sz="0" w:space="0" w:color="auto"/>
        <w:left w:val="none" w:sz="0" w:space="0" w:color="auto"/>
        <w:bottom w:val="none" w:sz="0" w:space="0" w:color="auto"/>
        <w:right w:val="none" w:sz="0" w:space="0" w:color="auto"/>
      </w:divBdr>
    </w:div>
    <w:div w:id="1285192377">
      <w:bodyDiv w:val="1"/>
      <w:marLeft w:val="0"/>
      <w:marRight w:val="0"/>
      <w:marTop w:val="0"/>
      <w:marBottom w:val="0"/>
      <w:divBdr>
        <w:top w:val="none" w:sz="0" w:space="0" w:color="auto"/>
        <w:left w:val="none" w:sz="0" w:space="0" w:color="auto"/>
        <w:bottom w:val="none" w:sz="0" w:space="0" w:color="auto"/>
        <w:right w:val="none" w:sz="0" w:space="0" w:color="auto"/>
      </w:divBdr>
    </w:div>
    <w:div w:id="1288901230">
      <w:bodyDiv w:val="1"/>
      <w:marLeft w:val="0"/>
      <w:marRight w:val="0"/>
      <w:marTop w:val="0"/>
      <w:marBottom w:val="0"/>
      <w:divBdr>
        <w:top w:val="none" w:sz="0" w:space="0" w:color="auto"/>
        <w:left w:val="none" w:sz="0" w:space="0" w:color="auto"/>
        <w:bottom w:val="none" w:sz="0" w:space="0" w:color="auto"/>
        <w:right w:val="none" w:sz="0" w:space="0" w:color="auto"/>
      </w:divBdr>
    </w:div>
    <w:div w:id="1304968372">
      <w:bodyDiv w:val="1"/>
      <w:marLeft w:val="0"/>
      <w:marRight w:val="0"/>
      <w:marTop w:val="0"/>
      <w:marBottom w:val="0"/>
      <w:divBdr>
        <w:top w:val="none" w:sz="0" w:space="0" w:color="auto"/>
        <w:left w:val="none" w:sz="0" w:space="0" w:color="auto"/>
        <w:bottom w:val="none" w:sz="0" w:space="0" w:color="auto"/>
        <w:right w:val="none" w:sz="0" w:space="0" w:color="auto"/>
      </w:divBdr>
    </w:div>
    <w:div w:id="1307710195">
      <w:bodyDiv w:val="1"/>
      <w:marLeft w:val="0"/>
      <w:marRight w:val="0"/>
      <w:marTop w:val="0"/>
      <w:marBottom w:val="0"/>
      <w:divBdr>
        <w:top w:val="none" w:sz="0" w:space="0" w:color="auto"/>
        <w:left w:val="none" w:sz="0" w:space="0" w:color="auto"/>
        <w:bottom w:val="none" w:sz="0" w:space="0" w:color="auto"/>
        <w:right w:val="none" w:sz="0" w:space="0" w:color="auto"/>
      </w:divBdr>
    </w:div>
    <w:div w:id="1309362271">
      <w:bodyDiv w:val="1"/>
      <w:marLeft w:val="0"/>
      <w:marRight w:val="0"/>
      <w:marTop w:val="0"/>
      <w:marBottom w:val="0"/>
      <w:divBdr>
        <w:top w:val="none" w:sz="0" w:space="0" w:color="auto"/>
        <w:left w:val="none" w:sz="0" w:space="0" w:color="auto"/>
        <w:bottom w:val="none" w:sz="0" w:space="0" w:color="auto"/>
        <w:right w:val="none" w:sz="0" w:space="0" w:color="auto"/>
      </w:divBdr>
    </w:div>
    <w:div w:id="1314681364">
      <w:bodyDiv w:val="1"/>
      <w:marLeft w:val="0"/>
      <w:marRight w:val="0"/>
      <w:marTop w:val="0"/>
      <w:marBottom w:val="0"/>
      <w:divBdr>
        <w:top w:val="none" w:sz="0" w:space="0" w:color="auto"/>
        <w:left w:val="none" w:sz="0" w:space="0" w:color="auto"/>
        <w:bottom w:val="none" w:sz="0" w:space="0" w:color="auto"/>
        <w:right w:val="none" w:sz="0" w:space="0" w:color="auto"/>
      </w:divBdr>
    </w:div>
    <w:div w:id="1344360695">
      <w:bodyDiv w:val="1"/>
      <w:marLeft w:val="0"/>
      <w:marRight w:val="0"/>
      <w:marTop w:val="0"/>
      <w:marBottom w:val="0"/>
      <w:divBdr>
        <w:top w:val="none" w:sz="0" w:space="0" w:color="auto"/>
        <w:left w:val="none" w:sz="0" w:space="0" w:color="auto"/>
        <w:bottom w:val="none" w:sz="0" w:space="0" w:color="auto"/>
        <w:right w:val="none" w:sz="0" w:space="0" w:color="auto"/>
      </w:divBdr>
    </w:div>
    <w:div w:id="1379040277">
      <w:bodyDiv w:val="1"/>
      <w:marLeft w:val="0"/>
      <w:marRight w:val="0"/>
      <w:marTop w:val="0"/>
      <w:marBottom w:val="0"/>
      <w:divBdr>
        <w:top w:val="none" w:sz="0" w:space="0" w:color="auto"/>
        <w:left w:val="none" w:sz="0" w:space="0" w:color="auto"/>
        <w:bottom w:val="none" w:sz="0" w:space="0" w:color="auto"/>
        <w:right w:val="none" w:sz="0" w:space="0" w:color="auto"/>
      </w:divBdr>
    </w:div>
    <w:div w:id="1442609316">
      <w:bodyDiv w:val="1"/>
      <w:marLeft w:val="0"/>
      <w:marRight w:val="0"/>
      <w:marTop w:val="0"/>
      <w:marBottom w:val="0"/>
      <w:divBdr>
        <w:top w:val="none" w:sz="0" w:space="0" w:color="auto"/>
        <w:left w:val="none" w:sz="0" w:space="0" w:color="auto"/>
        <w:bottom w:val="none" w:sz="0" w:space="0" w:color="auto"/>
        <w:right w:val="none" w:sz="0" w:space="0" w:color="auto"/>
      </w:divBdr>
    </w:div>
    <w:div w:id="1504777575">
      <w:bodyDiv w:val="1"/>
      <w:marLeft w:val="0"/>
      <w:marRight w:val="0"/>
      <w:marTop w:val="0"/>
      <w:marBottom w:val="0"/>
      <w:divBdr>
        <w:top w:val="none" w:sz="0" w:space="0" w:color="auto"/>
        <w:left w:val="none" w:sz="0" w:space="0" w:color="auto"/>
        <w:bottom w:val="none" w:sz="0" w:space="0" w:color="auto"/>
        <w:right w:val="none" w:sz="0" w:space="0" w:color="auto"/>
      </w:divBdr>
    </w:div>
    <w:div w:id="1505440253">
      <w:bodyDiv w:val="1"/>
      <w:marLeft w:val="0"/>
      <w:marRight w:val="0"/>
      <w:marTop w:val="0"/>
      <w:marBottom w:val="0"/>
      <w:divBdr>
        <w:top w:val="none" w:sz="0" w:space="0" w:color="auto"/>
        <w:left w:val="none" w:sz="0" w:space="0" w:color="auto"/>
        <w:bottom w:val="none" w:sz="0" w:space="0" w:color="auto"/>
        <w:right w:val="none" w:sz="0" w:space="0" w:color="auto"/>
      </w:divBdr>
    </w:div>
    <w:div w:id="1508132722">
      <w:bodyDiv w:val="1"/>
      <w:marLeft w:val="0"/>
      <w:marRight w:val="0"/>
      <w:marTop w:val="0"/>
      <w:marBottom w:val="0"/>
      <w:divBdr>
        <w:top w:val="none" w:sz="0" w:space="0" w:color="auto"/>
        <w:left w:val="none" w:sz="0" w:space="0" w:color="auto"/>
        <w:bottom w:val="none" w:sz="0" w:space="0" w:color="auto"/>
        <w:right w:val="none" w:sz="0" w:space="0" w:color="auto"/>
      </w:divBdr>
    </w:div>
    <w:div w:id="1537546127">
      <w:bodyDiv w:val="1"/>
      <w:marLeft w:val="0"/>
      <w:marRight w:val="0"/>
      <w:marTop w:val="0"/>
      <w:marBottom w:val="0"/>
      <w:divBdr>
        <w:top w:val="none" w:sz="0" w:space="0" w:color="auto"/>
        <w:left w:val="none" w:sz="0" w:space="0" w:color="auto"/>
        <w:bottom w:val="none" w:sz="0" w:space="0" w:color="auto"/>
        <w:right w:val="none" w:sz="0" w:space="0" w:color="auto"/>
      </w:divBdr>
    </w:div>
    <w:div w:id="1559852122">
      <w:bodyDiv w:val="1"/>
      <w:marLeft w:val="0"/>
      <w:marRight w:val="0"/>
      <w:marTop w:val="0"/>
      <w:marBottom w:val="0"/>
      <w:divBdr>
        <w:top w:val="none" w:sz="0" w:space="0" w:color="auto"/>
        <w:left w:val="none" w:sz="0" w:space="0" w:color="auto"/>
        <w:bottom w:val="none" w:sz="0" w:space="0" w:color="auto"/>
        <w:right w:val="none" w:sz="0" w:space="0" w:color="auto"/>
      </w:divBdr>
    </w:div>
    <w:div w:id="1561404902">
      <w:bodyDiv w:val="1"/>
      <w:marLeft w:val="0"/>
      <w:marRight w:val="0"/>
      <w:marTop w:val="0"/>
      <w:marBottom w:val="0"/>
      <w:divBdr>
        <w:top w:val="none" w:sz="0" w:space="0" w:color="auto"/>
        <w:left w:val="none" w:sz="0" w:space="0" w:color="auto"/>
        <w:bottom w:val="none" w:sz="0" w:space="0" w:color="auto"/>
        <w:right w:val="none" w:sz="0" w:space="0" w:color="auto"/>
      </w:divBdr>
    </w:div>
    <w:div w:id="1595238041">
      <w:bodyDiv w:val="1"/>
      <w:marLeft w:val="0"/>
      <w:marRight w:val="0"/>
      <w:marTop w:val="0"/>
      <w:marBottom w:val="0"/>
      <w:divBdr>
        <w:top w:val="none" w:sz="0" w:space="0" w:color="auto"/>
        <w:left w:val="none" w:sz="0" w:space="0" w:color="auto"/>
        <w:bottom w:val="none" w:sz="0" w:space="0" w:color="auto"/>
        <w:right w:val="none" w:sz="0" w:space="0" w:color="auto"/>
      </w:divBdr>
    </w:div>
    <w:div w:id="1602302678">
      <w:bodyDiv w:val="1"/>
      <w:marLeft w:val="0"/>
      <w:marRight w:val="0"/>
      <w:marTop w:val="0"/>
      <w:marBottom w:val="0"/>
      <w:divBdr>
        <w:top w:val="none" w:sz="0" w:space="0" w:color="auto"/>
        <w:left w:val="none" w:sz="0" w:space="0" w:color="auto"/>
        <w:bottom w:val="none" w:sz="0" w:space="0" w:color="auto"/>
        <w:right w:val="none" w:sz="0" w:space="0" w:color="auto"/>
      </w:divBdr>
    </w:div>
    <w:div w:id="1606037241">
      <w:bodyDiv w:val="1"/>
      <w:marLeft w:val="0"/>
      <w:marRight w:val="0"/>
      <w:marTop w:val="0"/>
      <w:marBottom w:val="0"/>
      <w:divBdr>
        <w:top w:val="none" w:sz="0" w:space="0" w:color="auto"/>
        <w:left w:val="none" w:sz="0" w:space="0" w:color="auto"/>
        <w:bottom w:val="none" w:sz="0" w:space="0" w:color="auto"/>
        <w:right w:val="none" w:sz="0" w:space="0" w:color="auto"/>
      </w:divBdr>
    </w:div>
    <w:div w:id="1648244791">
      <w:bodyDiv w:val="1"/>
      <w:marLeft w:val="0"/>
      <w:marRight w:val="0"/>
      <w:marTop w:val="0"/>
      <w:marBottom w:val="0"/>
      <w:divBdr>
        <w:top w:val="none" w:sz="0" w:space="0" w:color="auto"/>
        <w:left w:val="none" w:sz="0" w:space="0" w:color="auto"/>
        <w:bottom w:val="none" w:sz="0" w:space="0" w:color="auto"/>
        <w:right w:val="none" w:sz="0" w:space="0" w:color="auto"/>
      </w:divBdr>
    </w:div>
    <w:div w:id="1681005758">
      <w:bodyDiv w:val="1"/>
      <w:marLeft w:val="0"/>
      <w:marRight w:val="0"/>
      <w:marTop w:val="0"/>
      <w:marBottom w:val="0"/>
      <w:divBdr>
        <w:top w:val="none" w:sz="0" w:space="0" w:color="auto"/>
        <w:left w:val="none" w:sz="0" w:space="0" w:color="auto"/>
        <w:bottom w:val="none" w:sz="0" w:space="0" w:color="auto"/>
        <w:right w:val="none" w:sz="0" w:space="0" w:color="auto"/>
      </w:divBdr>
    </w:div>
    <w:div w:id="1682514861">
      <w:bodyDiv w:val="1"/>
      <w:marLeft w:val="0"/>
      <w:marRight w:val="0"/>
      <w:marTop w:val="0"/>
      <w:marBottom w:val="0"/>
      <w:divBdr>
        <w:top w:val="none" w:sz="0" w:space="0" w:color="auto"/>
        <w:left w:val="none" w:sz="0" w:space="0" w:color="auto"/>
        <w:bottom w:val="none" w:sz="0" w:space="0" w:color="auto"/>
        <w:right w:val="none" w:sz="0" w:space="0" w:color="auto"/>
      </w:divBdr>
    </w:div>
    <w:div w:id="1708330631">
      <w:bodyDiv w:val="1"/>
      <w:marLeft w:val="0"/>
      <w:marRight w:val="0"/>
      <w:marTop w:val="0"/>
      <w:marBottom w:val="0"/>
      <w:divBdr>
        <w:top w:val="none" w:sz="0" w:space="0" w:color="auto"/>
        <w:left w:val="none" w:sz="0" w:space="0" w:color="auto"/>
        <w:bottom w:val="none" w:sz="0" w:space="0" w:color="auto"/>
        <w:right w:val="none" w:sz="0" w:space="0" w:color="auto"/>
      </w:divBdr>
    </w:div>
    <w:div w:id="1711762788">
      <w:bodyDiv w:val="1"/>
      <w:marLeft w:val="0"/>
      <w:marRight w:val="0"/>
      <w:marTop w:val="0"/>
      <w:marBottom w:val="0"/>
      <w:divBdr>
        <w:top w:val="none" w:sz="0" w:space="0" w:color="auto"/>
        <w:left w:val="none" w:sz="0" w:space="0" w:color="auto"/>
        <w:bottom w:val="none" w:sz="0" w:space="0" w:color="auto"/>
        <w:right w:val="none" w:sz="0" w:space="0" w:color="auto"/>
      </w:divBdr>
    </w:div>
    <w:div w:id="1717581993">
      <w:bodyDiv w:val="1"/>
      <w:marLeft w:val="0"/>
      <w:marRight w:val="0"/>
      <w:marTop w:val="0"/>
      <w:marBottom w:val="0"/>
      <w:divBdr>
        <w:top w:val="none" w:sz="0" w:space="0" w:color="auto"/>
        <w:left w:val="none" w:sz="0" w:space="0" w:color="auto"/>
        <w:bottom w:val="none" w:sz="0" w:space="0" w:color="auto"/>
        <w:right w:val="none" w:sz="0" w:space="0" w:color="auto"/>
      </w:divBdr>
    </w:div>
    <w:div w:id="1763650235">
      <w:bodyDiv w:val="1"/>
      <w:marLeft w:val="0"/>
      <w:marRight w:val="0"/>
      <w:marTop w:val="0"/>
      <w:marBottom w:val="0"/>
      <w:divBdr>
        <w:top w:val="none" w:sz="0" w:space="0" w:color="auto"/>
        <w:left w:val="none" w:sz="0" w:space="0" w:color="auto"/>
        <w:bottom w:val="none" w:sz="0" w:space="0" w:color="auto"/>
        <w:right w:val="none" w:sz="0" w:space="0" w:color="auto"/>
      </w:divBdr>
    </w:div>
    <w:div w:id="1776053239">
      <w:bodyDiv w:val="1"/>
      <w:marLeft w:val="0"/>
      <w:marRight w:val="0"/>
      <w:marTop w:val="0"/>
      <w:marBottom w:val="0"/>
      <w:divBdr>
        <w:top w:val="none" w:sz="0" w:space="0" w:color="auto"/>
        <w:left w:val="none" w:sz="0" w:space="0" w:color="auto"/>
        <w:bottom w:val="none" w:sz="0" w:space="0" w:color="auto"/>
        <w:right w:val="none" w:sz="0" w:space="0" w:color="auto"/>
      </w:divBdr>
    </w:div>
    <w:div w:id="1845852725">
      <w:bodyDiv w:val="1"/>
      <w:marLeft w:val="0"/>
      <w:marRight w:val="0"/>
      <w:marTop w:val="0"/>
      <w:marBottom w:val="0"/>
      <w:divBdr>
        <w:top w:val="none" w:sz="0" w:space="0" w:color="auto"/>
        <w:left w:val="none" w:sz="0" w:space="0" w:color="auto"/>
        <w:bottom w:val="none" w:sz="0" w:space="0" w:color="auto"/>
        <w:right w:val="none" w:sz="0" w:space="0" w:color="auto"/>
      </w:divBdr>
    </w:div>
    <w:div w:id="1898005106">
      <w:bodyDiv w:val="1"/>
      <w:marLeft w:val="0"/>
      <w:marRight w:val="0"/>
      <w:marTop w:val="0"/>
      <w:marBottom w:val="0"/>
      <w:divBdr>
        <w:top w:val="none" w:sz="0" w:space="0" w:color="auto"/>
        <w:left w:val="none" w:sz="0" w:space="0" w:color="auto"/>
        <w:bottom w:val="none" w:sz="0" w:space="0" w:color="auto"/>
        <w:right w:val="none" w:sz="0" w:space="0" w:color="auto"/>
      </w:divBdr>
    </w:div>
    <w:div w:id="1912276686">
      <w:bodyDiv w:val="1"/>
      <w:marLeft w:val="0"/>
      <w:marRight w:val="0"/>
      <w:marTop w:val="0"/>
      <w:marBottom w:val="0"/>
      <w:divBdr>
        <w:top w:val="none" w:sz="0" w:space="0" w:color="auto"/>
        <w:left w:val="none" w:sz="0" w:space="0" w:color="auto"/>
        <w:bottom w:val="none" w:sz="0" w:space="0" w:color="auto"/>
        <w:right w:val="none" w:sz="0" w:space="0" w:color="auto"/>
      </w:divBdr>
    </w:div>
    <w:div w:id="1914119943">
      <w:bodyDiv w:val="1"/>
      <w:marLeft w:val="0"/>
      <w:marRight w:val="0"/>
      <w:marTop w:val="0"/>
      <w:marBottom w:val="0"/>
      <w:divBdr>
        <w:top w:val="none" w:sz="0" w:space="0" w:color="auto"/>
        <w:left w:val="none" w:sz="0" w:space="0" w:color="auto"/>
        <w:bottom w:val="none" w:sz="0" w:space="0" w:color="auto"/>
        <w:right w:val="none" w:sz="0" w:space="0" w:color="auto"/>
      </w:divBdr>
    </w:div>
    <w:div w:id="1925800634">
      <w:bodyDiv w:val="1"/>
      <w:marLeft w:val="0"/>
      <w:marRight w:val="0"/>
      <w:marTop w:val="0"/>
      <w:marBottom w:val="0"/>
      <w:divBdr>
        <w:top w:val="none" w:sz="0" w:space="0" w:color="auto"/>
        <w:left w:val="none" w:sz="0" w:space="0" w:color="auto"/>
        <w:bottom w:val="none" w:sz="0" w:space="0" w:color="auto"/>
        <w:right w:val="none" w:sz="0" w:space="0" w:color="auto"/>
      </w:divBdr>
    </w:div>
    <w:div w:id="1963147233">
      <w:bodyDiv w:val="1"/>
      <w:marLeft w:val="0"/>
      <w:marRight w:val="0"/>
      <w:marTop w:val="0"/>
      <w:marBottom w:val="0"/>
      <w:divBdr>
        <w:top w:val="none" w:sz="0" w:space="0" w:color="auto"/>
        <w:left w:val="none" w:sz="0" w:space="0" w:color="auto"/>
        <w:bottom w:val="none" w:sz="0" w:space="0" w:color="auto"/>
        <w:right w:val="none" w:sz="0" w:space="0" w:color="auto"/>
      </w:divBdr>
    </w:div>
    <w:div w:id="1969388450">
      <w:bodyDiv w:val="1"/>
      <w:marLeft w:val="0"/>
      <w:marRight w:val="0"/>
      <w:marTop w:val="0"/>
      <w:marBottom w:val="0"/>
      <w:divBdr>
        <w:top w:val="none" w:sz="0" w:space="0" w:color="auto"/>
        <w:left w:val="none" w:sz="0" w:space="0" w:color="auto"/>
        <w:bottom w:val="none" w:sz="0" w:space="0" w:color="auto"/>
        <w:right w:val="none" w:sz="0" w:space="0" w:color="auto"/>
      </w:divBdr>
    </w:div>
    <w:div w:id="2005159952">
      <w:bodyDiv w:val="1"/>
      <w:marLeft w:val="0"/>
      <w:marRight w:val="0"/>
      <w:marTop w:val="0"/>
      <w:marBottom w:val="0"/>
      <w:divBdr>
        <w:top w:val="none" w:sz="0" w:space="0" w:color="auto"/>
        <w:left w:val="none" w:sz="0" w:space="0" w:color="auto"/>
        <w:bottom w:val="none" w:sz="0" w:space="0" w:color="auto"/>
        <w:right w:val="none" w:sz="0" w:space="0" w:color="auto"/>
      </w:divBdr>
    </w:div>
    <w:div w:id="2039695637">
      <w:bodyDiv w:val="1"/>
      <w:marLeft w:val="0"/>
      <w:marRight w:val="0"/>
      <w:marTop w:val="0"/>
      <w:marBottom w:val="0"/>
      <w:divBdr>
        <w:top w:val="none" w:sz="0" w:space="0" w:color="auto"/>
        <w:left w:val="none" w:sz="0" w:space="0" w:color="auto"/>
        <w:bottom w:val="none" w:sz="0" w:space="0" w:color="auto"/>
        <w:right w:val="none" w:sz="0" w:space="0" w:color="auto"/>
      </w:divBdr>
    </w:div>
    <w:div w:id="2042509603">
      <w:bodyDiv w:val="1"/>
      <w:marLeft w:val="0"/>
      <w:marRight w:val="0"/>
      <w:marTop w:val="0"/>
      <w:marBottom w:val="0"/>
      <w:divBdr>
        <w:top w:val="none" w:sz="0" w:space="0" w:color="auto"/>
        <w:left w:val="none" w:sz="0" w:space="0" w:color="auto"/>
        <w:bottom w:val="none" w:sz="0" w:space="0" w:color="auto"/>
        <w:right w:val="none" w:sz="0" w:space="0" w:color="auto"/>
      </w:divBdr>
    </w:div>
    <w:div w:id="2051949498">
      <w:bodyDiv w:val="1"/>
      <w:marLeft w:val="0"/>
      <w:marRight w:val="0"/>
      <w:marTop w:val="0"/>
      <w:marBottom w:val="0"/>
      <w:divBdr>
        <w:top w:val="none" w:sz="0" w:space="0" w:color="auto"/>
        <w:left w:val="none" w:sz="0" w:space="0" w:color="auto"/>
        <w:bottom w:val="none" w:sz="0" w:space="0" w:color="auto"/>
        <w:right w:val="none" w:sz="0" w:space="0" w:color="auto"/>
      </w:divBdr>
    </w:div>
    <w:div w:id="2105883151">
      <w:bodyDiv w:val="1"/>
      <w:marLeft w:val="0"/>
      <w:marRight w:val="0"/>
      <w:marTop w:val="0"/>
      <w:marBottom w:val="0"/>
      <w:divBdr>
        <w:top w:val="none" w:sz="0" w:space="0" w:color="auto"/>
        <w:left w:val="none" w:sz="0" w:space="0" w:color="auto"/>
        <w:bottom w:val="none" w:sz="0" w:space="0" w:color="auto"/>
        <w:right w:val="none" w:sz="0" w:space="0" w:color="auto"/>
      </w:divBdr>
    </w:div>
    <w:div w:id="21411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2DC46078D7104E96C85858DC2764B5" ma:contentTypeVersion="13" ma:contentTypeDescription="Create a new document." ma:contentTypeScope="" ma:versionID="d839a2366a19bb39e04e3a28f4c2a3af">
  <xsd:schema xmlns:xsd="http://www.w3.org/2001/XMLSchema" xmlns:xs="http://www.w3.org/2001/XMLSchema" xmlns:p="http://schemas.microsoft.com/office/2006/metadata/properties" xmlns:ns3="4492a8e5-f123-4ff2-8322-4140688def9e" xmlns:ns4="5366d28e-9765-42f6-b9a6-22e803e871c7" targetNamespace="http://schemas.microsoft.com/office/2006/metadata/properties" ma:root="true" ma:fieldsID="54b0b4269617ac317e22aecfde0dcd37" ns3:_="" ns4:_="">
    <xsd:import namespace="4492a8e5-f123-4ff2-8322-4140688def9e"/>
    <xsd:import namespace="5366d28e-9765-42f6-b9a6-22e803e871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2a8e5-f123-4ff2-8322-4140688de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6d28e-9765-42f6-b9a6-22e803e871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EF637-4086-408F-BC19-114E02E8C9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3B021-29D3-4D05-BA80-AD073F7CBF91}">
  <ds:schemaRefs>
    <ds:schemaRef ds:uri="http://schemas.openxmlformats.org/officeDocument/2006/bibliography"/>
  </ds:schemaRefs>
</ds:datastoreItem>
</file>

<file path=customXml/itemProps3.xml><?xml version="1.0" encoding="utf-8"?>
<ds:datastoreItem xmlns:ds="http://schemas.openxmlformats.org/officeDocument/2006/customXml" ds:itemID="{A12AA75F-6018-4D9E-AB98-BEF52635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2a8e5-f123-4ff2-8322-4140688def9e"/>
    <ds:schemaRef ds:uri="5366d28e-9765-42f6-b9a6-22e803e87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CA388-041B-4398-9B90-FD9FF2B17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5595</Words>
  <Characters>31892</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2020-11-07T16:00:00Z</dcterms:created>
  <dcterms:modified xsi:type="dcterms:W3CDTF">2020-11-07T16:00:00Z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0x0101003C2DC46078D7104E96C85858DC2764B5</vt:lpwstr>
  </property>
</Properties>
</file>